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E287D" w14:textId="77777777" w:rsidR="006349FC" w:rsidRPr="00F42A49" w:rsidRDefault="00F46218" w:rsidP="00F42A49">
      <w:pPr>
        <w:pStyle w:val="FrontPageReportTitle"/>
        <w:spacing w:before="2400"/>
        <w:jc w:val="center"/>
        <w:rPr>
          <w:i/>
        </w:rPr>
      </w:pPr>
      <w:bookmarkStart w:id="0" w:name="_GoBack"/>
      <w:bookmarkEnd w:id="0"/>
      <w:r w:rsidRPr="00F42A49">
        <w:rPr>
          <w:rFonts w:eastAsia="Calibri" w:cs="Times New Roman"/>
          <w:iCs w:val="0"/>
          <w:spacing w:val="0"/>
          <w:sz w:val="52"/>
          <w:szCs w:val="52"/>
        </w:rPr>
        <w:t>Department of Health</w:t>
      </w:r>
    </w:p>
    <w:p w14:paraId="2EBE287E" w14:textId="77777777" w:rsidR="00F46218" w:rsidRPr="00F42A49" w:rsidRDefault="00F46218" w:rsidP="00F46218">
      <w:pPr>
        <w:numPr>
          <w:ilvl w:val="1"/>
          <w:numId w:val="0"/>
        </w:numPr>
        <w:jc w:val="center"/>
        <w:rPr>
          <w:rFonts w:eastAsia="Times New Roman" w:cs="Segoe UI"/>
          <w:b/>
          <w:iCs/>
          <w:smallCaps/>
          <w:color w:val="365F91" w:themeColor="accent1" w:themeShade="BF"/>
          <w:spacing w:val="15"/>
          <w:sz w:val="40"/>
        </w:rPr>
      </w:pPr>
      <w:r w:rsidRPr="00F42A49">
        <w:rPr>
          <w:rFonts w:eastAsia="Times New Roman" w:cs="Segoe UI"/>
          <w:b/>
          <w:iCs/>
          <w:smallCaps/>
          <w:color w:val="365F91" w:themeColor="accent1" w:themeShade="BF"/>
          <w:spacing w:val="15"/>
          <w:sz w:val="40"/>
        </w:rPr>
        <w:t>Evaluation of Cape York Wellbeing Centres</w:t>
      </w:r>
    </w:p>
    <w:p w14:paraId="2EBE287F" w14:textId="77777777" w:rsidR="00F46218" w:rsidRPr="00F42A49" w:rsidRDefault="007950C1" w:rsidP="00F46218">
      <w:pPr>
        <w:pStyle w:val="FrontPgDate"/>
        <w:rPr>
          <w:b/>
          <w:caps/>
          <w:color w:val="365F91" w:themeColor="accent1" w:themeShade="BF"/>
        </w:rPr>
      </w:pPr>
      <w:r w:rsidRPr="00F42A49">
        <w:rPr>
          <w:b/>
          <w:caps/>
          <w:color w:val="365F91" w:themeColor="accent1" w:themeShade="BF"/>
        </w:rPr>
        <w:t xml:space="preserve">final evaluation </w:t>
      </w:r>
      <w:r w:rsidR="00F46218" w:rsidRPr="00F42A49">
        <w:rPr>
          <w:b/>
          <w:caps/>
          <w:color w:val="365F91" w:themeColor="accent1" w:themeShade="BF"/>
        </w:rPr>
        <w:t>Report</w:t>
      </w:r>
    </w:p>
    <w:p w14:paraId="2EBE2880" w14:textId="77777777" w:rsidR="002D44C7" w:rsidRPr="00080397" w:rsidRDefault="00551403" w:rsidP="00F42A49">
      <w:pPr>
        <w:spacing w:before="480"/>
        <w:jc w:val="center"/>
        <w:rPr>
          <w:caps/>
          <w:smallCaps/>
          <w:color w:val="365F91"/>
          <w:sz w:val="40"/>
        </w:rPr>
      </w:pPr>
      <w:r>
        <w:rPr>
          <w:smallCaps/>
          <w:color w:val="365F91"/>
          <w:sz w:val="40"/>
        </w:rPr>
        <w:t>September</w:t>
      </w:r>
      <w:r>
        <w:rPr>
          <w:caps/>
          <w:smallCaps/>
          <w:color w:val="365F91"/>
          <w:sz w:val="40"/>
        </w:rPr>
        <w:t xml:space="preserve"> </w:t>
      </w:r>
      <w:r w:rsidR="0046288D">
        <w:rPr>
          <w:caps/>
          <w:smallCaps/>
          <w:color w:val="365F91"/>
          <w:sz w:val="40"/>
        </w:rPr>
        <w:t>2014</w:t>
      </w:r>
    </w:p>
    <w:p w14:paraId="2EBE2881" w14:textId="77777777" w:rsidR="002D44C7" w:rsidRPr="000B50D5" w:rsidRDefault="002D44C7" w:rsidP="000B50D5">
      <w:pPr>
        <w:rPr>
          <w:smallCaps/>
        </w:rPr>
        <w:sectPr w:rsidR="002D44C7" w:rsidRPr="000B50D5" w:rsidSect="00DF72F8">
          <w:headerReference w:type="default" r:id="rId12"/>
          <w:footerReference w:type="default" r:id="rId13"/>
          <w:pgSz w:w="11907" w:h="16840" w:code="9"/>
          <w:pgMar w:top="1701" w:right="1418" w:bottom="992" w:left="1418" w:header="5" w:footer="971" w:gutter="0"/>
          <w:pgNumType w:fmt="lowerRoman" w:start="1"/>
          <w:cols w:space="708"/>
          <w:docGrid w:linePitch="360"/>
        </w:sectPr>
      </w:pPr>
    </w:p>
    <w:p w14:paraId="2EBE2882" w14:textId="77777777" w:rsidR="002D44C7" w:rsidRPr="003F3589" w:rsidRDefault="00662862" w:rsidP="008F677F">
      <w:pPr>
        <w:pStyle w:val="ChLetter"/>
      </w:pPr>
      <w:bookmarkStart w:id="1" w:name="_Toc309303851"/>
      <w:r w:rsidRPr="003F3589">
        <w:lastRenderedPageBreak/>
        <w:t>C</w:t>
      </w:r>
      <w:bookmarkEnd w:id="1"/>
    </w:p>
    <w:p w14:paraId="2EBE2883" w14:textId="77777777" w:rsidR="00662862" w:rsidRDefault="00662862" w:rsidP="00BC0A26">
      <w:pPr>
        <w:pStyle w:val="Heading1"/>
        <w:numPr>
          <w:ilvl w:val="0"/>
          <w:numId w:val="0"/>
        </w:numPr>
        <w:ind w:left="432"/>
      </w:pPr>
      <w:bookmarkStart w:id="2" w:name="_Toc440038414"/>
      <w:r w:rsidRPr="00662862">
        <w:t>Contents</w:t>
      </w:r>
      <w:bookmarkEnd w:id="2"/>
    </w:p>
    <w:p w14:paraId="2EBE2884" w14:textId="77777777" w:rsidR="00F42A49" w:rsidRDefault="00CE04E7">
      <w:pPr>
        <w:pStyle w:val="TOC1"/>
        <w:rPr>
          <w:rFonts w:asciiTheme="minorHAnsi" w:eastAsiaTheme="minorEastAsia" w:hAnsiTheme="minorHAnsi" w:cstheme="minorBidi"/>
          <w:b w:val="0"/>
          <w:smallCaps w:val="0"/>
          <w:color w:val="auto"/>
          <w:spacing w:val="0"/>
          <w:sz w:val="22"/>
          <w:lang w:eastAsia="en-AU"/>
        </w:rPr>
      </w:pPr>
      <w:r>
        <w:fldChar w:fldCharType="begin"/>
      </w:r>
      <w:r>
        <w:instrText xml:space="preserve"> TOC \o "1-2" \h \z \u </w:instrText>
      </w:r>
      <w:r>
        <w:fldChar w:fldCharType="separate"/>
      </w:r>
      <w:hyperlink w:anchor="_Toc440038414" w:history="1">
        <w:r w:rsidR="00F42A49" w:rsidRPr="00375216">
          <w:rPr>
            <w:rStyle w:val="Hyperlink"/>
          </w:rPr>
          <w:t>Contents</w:t>
        </w:r>
        <w:r w:rsidR="00F42A49">
          <w:rPr>
            <w:webHidden/>
          </w:rPr>
          <w:tab/>
        </w:r>
        <w:r w:rsidR="00F42A49">
          <w:rPr>
            <w:webHidden/>
          </w:rPr>
          <w:fldChar w:fldCharType="begin"/>
        </w:r>
        <w:r w:rsidR="00F42A49">
          <w:rPr>
            <w:webHidden/>
          </w:rPr>
          <w:instrText xml:space="preserve"> PAGEREF _Toc440038414 \h </w:instrText>
        </w:r>
        <w:r w:rsidR="00F42A49">
          <w:rPr>
            <w:webHidden/>
          </w:rPr>
        </w:r>
        <w:r w:rsidR="00F42A49">
          <w:rPr>
            <w:webHidden/>
          </w:rPr>
          <w:fldChar w:fldCharType="separate"/>
        </w:r>
        <w:r w:rsidR="00F42A49">
          <w:rPr>
            <w:webHidden/>
          </w:rPr>
          <w:t>i</w:t>
        </w:r>
        <w:r w:rsidR="00F42A49">
          <w:rPr>
            <w:webHidden/>
          </w:rPr>
          <w:fldChar w:fldCharType="end"/>
        </w:r>
      </w:hyperlink>
    </w:p>
    <w:p w14:paraId="2EBE2885"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15" w:history="1">
        <w:r w:rsidR="00F42A49" w:rsidRPr="00375216">
          <w:rPr>
            <w:rStyle w:val="Hyperlink"/>
          </w:rPr>
          <w:t>Tables</w:t>
        </w:r>
        <w:r w:rsidR="00F42A49">
          <w:rPr>
            <w:webHidden/>
          </w:rPr>
          <w:tab/>
        </w:r>
        <w:r w:rsidR="00F42A49">
          <w:rPr>
            <w:webHidden/>
          </w:rPr>
          <w:tab/>
        </w:r>
        <w:r w:rsidR="00F42A49">
          <w:rPr>
            <w:webHidden/>
          </w:rPr>
          <w:fldChar w:fldCharType="begin"/>
        </w:r>
        <w:r w:rsidR="00F42A49">
          <w:rPr>
            <w:webHidden/>
          </w:rPr>
          <w:instrText xml:space="preserve"> PAGEREF _Toc440038415 \h </w:instrText>
        </w:r>
        <w:r w:rsidR="00F42A49">
          <w:rPr>
            <w:webHidden/>
          </w:rPr>
        </w:r>
        <w:r w:rsidR="00F42A49">
          <w:rPr>
            <w:webHidden/>
          </w:rPr>
          <w:fldChar w:fldCharType="separate"/>
        </w:r>
        <w:r w:rsidR="00F42A49">
          <w:rPr>
            <w:webHidden/>
          </w:rPr>
          <w:t>iii</w:t>
        </w:r>
        <w:r w:rsidR="00F42A49">
          <w:rPr>
            <w:webHidden/>
          </w:rPr>
          <w:fldChar w:fldCharType="end"/>
        </w:r>
      </w:hyperlink>
    </w:p>
    <w:p w14:paraId="2EBE2886"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16" w:history="1">
        <w:r w:rsidR="00F42A49" w:rsidRPr="00375216">
          <w:rPr>
            <w:rStyle w:val="Hyperlink"/>
          </w:rPr>
          <w:t>Figures</w:t>
        </w:r>
        <w:r w:rsidR="00F42A49">
          <w:rPr>
            <w:webHidden/>
          </w:rPr>
          <w:tab/>
        </w:r>
        <w:r w:rsidR="00F42A49">
          <w:rPr>
            <w:webHidden/>
          </w:rPr>
          <w:tab/>
        </w:r>
        <w:r w:rsidR="00F42A49">
          <w:rPr>
            <w:webHidden/>
          </w:rPr>
          <w:fldChar w:fldCharType="begin"/>
        </w:r>
        <w:r w:rsidR="00F42A49">
          <w:rPr>
            <w:webHidden/>
          </w:rPr>
          <w:instrText xml:space="preserve"> PAGEREF _Toc440038416 \h </w:instrText>
        </w:r>
        <w:r w:rsidR="00F42A49">
          <w:rPr>
            <w:webHidden/>
          </w:rPr>
        </w:r>
        <w:r w:rsidR="00F42A49">
          <w:rPr>
            <w:webHidden/>
          </w:rPr>
          <w:fldChar w:fldCharType="separate"/>
        </w:r>
        <w:r w:rsidR="00F42A49">
          <w:rPr>
            <w:webHidden/>
          </w:rPr>
          <w:t>iv</w:t>
        </w:r>
        <w:r w:rsidR="00F42A49">
          <w:rPr>
            <w:webHidden/>
          </w:rPr>
          <w:fldChar w:fldCharType="end"/>
        </w:r>
      </w:hyperlink>
    </w:p>
    <w:p w14:paraId="2EBE2887"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17" w:history="1">
        <w:r w:rsidR="00F42A49" w:rsidRPr="00375216">
          <w:rPr>
            <w:rStyle w:val="Hyperlink"/>
          </w:rPr>
          <w:t>Abbreviations</w:t>
        </w:r>
        <w:r w:rsidR="00F42A49">
          <w:rPr>
            <w:webHidden/>
          </w:rPr>
          <w:tab/>
        </w:r>
        <w:r w:rsidR="00F42A49">
          <w:rPr>
            <w:webHidden/>
          </w:rPr>
          <w:fldChar w:fldCharType="begin"/>
        </w:r>
        <w:r w:rsidR="00F42A49">
          <w:rPr>
            <w:webHidden/>
          </w:rPr>
          <w:instrText xml:space="preserve"> PAGEREF _Toc440038417 \h </w:instrText>
        </w:r>
        <w:r w:rsidR="00F42A49">
          <w:rPr>
            <w:webHidden/>
          </w:rPr>
        </w:r>
        <w:r w:rsidR="00F42A49">
          <w:rPr>
            <w:webHidden/>
          </w:rPr>
          <w:fldChar w:fldCharType="separate"/>
        </w:r>
        <w:r w:rsidR="00F42A49">
          <w:rPr>
            <w:webHidden/>
          </w:rPr>
          <w:t>v</w:t>
        </w:r>
        <w:r w:rsidR="00F42A49">
          <w:rPr>
            <w:webHidden/>
          </w:rPr>
          <w:fldChar w:fldCharType="end"/>
        </w:r>
      </w:hyperlink>
    </w:p>
    <w:p w14:paraId="2EBE2888"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18" w:history="1">
        <w:r w:rsidR="00F42A49" w:rsidRPr="00375216">
          <w:rPr>
            <w:rStyle w:val="Hyperlink"/>
          </w:rPr>
          <w:t>Executive Summary</w:t>
        </w:r>
        <w:r w:rsidR="00F42A49">
          <w:rPr>
            <w:webHidden/>
          </w:rPr>
          <w:tab/>
        </w:r>
        <w:r w:rsidR="00F42A49">
          <w:rPr>
            <w:webHidden/>
          </w:rPr>
          <w:fldChar w:fldCharType="begin"/>
        </w:r>
        <w:r w:rsidR="00F42A49">
          <w:rPr>
            <w:webHidden/>
          </w:rPr>
          <w:instrText xml:space="preserve"> PAGEREF _Toc440038418 \h </w:instrText>
        </w:r>
        <w:r w:rsidR="00F42A49">
          <w:rPr>
            <w:webHidden/>
          </w:rPr>
        </w:r>
        <w:r w:rsidR="00F42A49">
          <w:rPr>
            <w:webHidden/>
          </w:rPr>
          <w:fldChar w:fldCharType="separate"/>
        </w:r>
        <w:r w:rsidR="00F42A49">
          <w:rPr>
            <w:webHidden/>
          </w:rPr>
          <w:t>6</w:t>
        </w:r>
        <w:r w:rsidR="00F42A49">
          <w:rPr>
            <w:webHidden/>
          </w:rPr>
          <w:fldChar w:fldCharType="end"/>
        </w:r>
      </w:hyperlink>
    </w:p>
    <w:p w14:paraId="2EBE2889" w14:textId="77777777" w:rsidR="00F42A49" w:rsidRDefault="00AA7DC9">
      <w:pPr>
        <w:pStyle w:val="TOC2"/>
        <w:rPr>
          <w:rFonts w:asciiTheme="minorHAnsi" w:eastAsiaTheme="minorEastAsia" w:hAnsiTheme="minorHAnsi" w:cstheme="minorBidi"/>
          <w:sz w:val="22"/>
          <w:lang w:eastAsia="en-AU"/>
        </w:rPr>
      </w:pPr>
      <w:hyperlink w:anchor="_Toc440038419" w:history="1">
        <w:r w:rsidR="00F42A49" w:rsidRPr="00375216">
          <w:rPr>
            <w:rStyle w:val="Hyperlink"/>
          </w:rPr>
          <w:t>E.1</w:t>
        </w:r>
        <w:r w:rsidR="00F42A49">
          <w:rPr>
            <w:rFonts w:asciiTheme="minorHAnsi" w:eastAsiaTheme="minorEastAsia" w:hAnsiTheme="minorHAnsi" w:cstheme="minorBidi"/>
            <w:sz w:val="22"/>
            <w:lang w:eastAsia="en-AU"/>
          </w:rPr>
          <w:tab/>
        </w:r>
        <w:r w:rsidR="00F42A49" w:rsidRPr="00375216">
          <w:rPr>
            <w:rStyle w:val="Hyperlink"/>
          </w:rPr>
          <w:t>Introduction</w:t>
        </w:r>
        <w:r w:rsidR="00F42A49">
          <w:rPr>
            <w:webHidden/>
          </w:rPr>
          <w:tab/>
        </w:r>
        <w:r w:rsidR="00F42A49">
          <w:rPr>
            <w:webHidden/>
          </w:rPr>
          <w:fldChar w:fldCharType="begin"/>
        </w:r>
        <w:r w:rsidR="00F42A49">
          <w:rPr>
            <w:webHidden/>
          </w:rPr>
          <w:instrText xml:space="preserve"> PAGEREF _Toc440038419 \h </w:instrText>
        </w:r>
        <w:r w:rsidR="00F42A49">
          <w:rPr>
            <w:webHidden/>
          </w:rPr>
        </w:r>
        <w:r w:rsidR="00F42A49">
          <w:rPr>
            <w:webHidden/>
          </w:rPr>
          <w:fldChar w:fldCharType="separate"/>
        </w:r>
        <w:r w:rsidR="00F42A49">
          <w:rPr>
            <w:webHidden/>
          </w:rPr>
          <w:t>6</w:t>
        </w:r>
        <w:r w:rsidR="00F42A49">
          <w:rPr>
            <w:webHidden/>
          </w:rPr>
          <w:fldChar w:fldCharType="end"/>
        </w:r>
      </w:hyperlink>
    </w:p>
    <w:p w14:paraId="2EBE288A" w14:textId="77777777" w:rsidR="00F42A49" w:rsidRDefault="00AA7DC9">
      <w:pPr>
        <w:pStyle w:val="TOC2"/>
        <w:rPr>
          <w:rFonts w:asciiTheme="minorHAnsi" w:eastAsiaTheme="minorEastAsia" w:hAnsiTheme="minorHAnsi" w:cstheme="minorBidi"/>
          <w:sz w:val="22"/>
          <w:lang w:eastAsia="en-AU"/>
        </w:rPr>
      </w:pPr>
      <w:hyperlink w:anchor="_Toc440038420" w:history="1">
        <w:r w:rsidR="00F42A49" w:rsidRPr="00375216">
          <w:rPr>
            <w:rStyle w:val="Hyperlink"/>
          </w:rPr>
          <w:t>E.2</w:t>
        </w:r>
        <w:r w:rsidR="00F42A49">
          <w:rPr>
            <w:rFonts w:asciiTheme="minorHAnsi" w:eastAsiaTheme="minorEastAsia" w:hAnsiTheme="minorHAnsi" w:cstheme="minorBidi"/>
            <w:sz w:val="22"/>
            <w:lang w:eastAsia="en-AU"/>
          </w:rPr>
          <w:tab/>
        </w:r>
        <w:r w:rsidR="00F42A49" w:rsidRPr="00375216">
          <w:rPr>
            <w:rStyle w:val="Hyperlink"/>
          </w:rPr>
          <w:t>Overall assessment</w:t>
        </w:r>
        <w:r w:rsidR="00F42A49">
          <w:rPr>
            <w:webHidden/>
          </w:rPr>
          <w:tab/>
        </w:r>
        <w:r w:rsidR="00F42A49">
          <w:rPr>
            <w:webHidden/>
          </w:rPr>
          <w:fldChar w:fldCharType="begin"/>
        </w:r>
        <w:r w:rsidR="00F42A49">
          <w:rPr>
            <w:webHidden/>
          </w:rPr>
          <w:instrText xml:space="preserve"> PAGEREF _Toc440038420 \h </w:instrText>
        </w:r>
        <w:r w:rsidR="00F42A49">
          <w:rPr>
            <w:webHidden/>
          </w:rPr>
        </w:r>
        <w:r w:rsidR="00F42A49">
          <w:rPr>
            <w:webHidden/>
          </w:rPr>
          <w:fldChar w:fldCharType="separate"/>
        </w:r>
        <w:r w:rsidR="00F42A49">
          <w:rPr>
            <w:webHidden/>
          </w:rPr>
          <w:t>7</w:t>
        </w:r>
        <w:r w:rsidR="00F42A49">
          <w:rPr>
            <w:webHidden/>
          </w:rPr>
          <w:fldChar w:fldCharType="end"/>
        </w:r>
      </w:hyperlink>
    </w:p>
    <w:p w14:paraId="2EBE288B" w14:textId="77777777" w:rsidR="00F42A49" w:rsidRDefault="00AA7DC9">
      <w:pPr>
        <w:pStyle w:val="TOC2"/>
        <w:rPr>
          <w:rFonts w:asciiTheme="minorHAnsi" w:eastAsiaTheme="minorEastAsia" w:hAnsiTheme="minorHAnsi" w:cstheme="minorBidi"/>
          <w:sz w:val="22"/>
          <w:lang w:eastAsia="en-AU"/>
        </w:rPr>
      </w:pPr>
      <w:hyperlink w:anchor="_Toc440038421" w:history="1">
        <w:r w:rsidR="00F42A49" w:rsidRPr="00375216">
          <w:rPr>
            <w:rStyle w:val="Hyperlink"/>
          </w:rPr>
          <w:t>E.3</w:t>
        </w:r>
        <w:r w:rsidR="00F42A49">
          <w:rPr>
            <w:rFonts w:asciiTheme="minorHAnsi" w:eastAsiaTheme="minorEastAsia" w:hAnsiTheme="minorHAnsi" w:cstheme="minorBidi"/>
            <w:sz w:val="22"/>
            <w:lang w:eastAsia="en-AU"/>
          </w:rPr>
          <w:tab/>
        </w:r>
        <w:r w:rsidR="00F42A49" w:rsidRPr="00375216">
          <w:rPr>
            <w:rStyle w:val="Hyperlink"/>
          </w:rPr>
          <w:t>Specific findings</w:t>
        </w:r>
        <w:r w:rsidR="00F42A49">
          <w:rPr>
            <w:webHidden/>
          </w:rPr>
          <w:tab/>
        </w:r>
        <w:r w:rsidR="00F42A49">
          <w:rPr>
            <w:webHidden/>
          </w:rPr>
          <w:fldChar w:fldCharType="begin"/>
        </w:r>
        <w:r w:rsidR="00F42A49">
          <w:rPr>
            <w:webHidden/>
          </w:rPr>
          <w:instrText xml:space="preserve"> PAGEREF _Toc440038421 \h </w:instrText>
        </w:r>
        <w:r w:rsidR="00F42A49">
          <w:rPr>
            <w:webHidden/>
          </w:rPr>
        </w:r>
        <w:r w:rsidR="00F42A49">
          <w:rPr>
            <w:webHidden/>
          </w:rPr>
          <w:fldChar w:fldCharType="separate"/>
        </w:r>
        <w:r w:rsidR="00F42A49">
          <w:rPr>
            <w:webHidden/>
          </w:rPr>
          <w:t>7</w:t>
        </w:r>
        <w:r w:rsidR="00F42A49">
          <w:rPr>
            <w:webHidden/>
          </w:rPr>
          <w:fldChar w:fldCharType="end"/>
        </w:r>
      </w:hyperlink>
    </w:p>
    <w:p w14:paraId="2EBE288C" w14:textId="77777777" w:rsidR="00F42A49" w:rsidRDefault="00AA7DC9">
      <w:pPr>
        <w:pStyle w:val="TOC2"/>
        <w:rPr>
          <w:rFonts w:asciiTheme="minorHAnsi" w:eastAsiaTheme="minorEastAsia" w:hAnsiTheme="minorHAnsi" w:cstheme="minorBidi"/>
          <w:sz w:val="22"/>
          <w:lang w:eastAsia="en-AU"/>
        </w:rPr>
      </w:pPr>
      <w:hyperlink w:anchor="_Toc440038422" w:history="1">
        <w:r w:rsidR="00F42A49" w:rsidRPr="00375216">
          <w:rPr>
            <w:rStyle w:val="Hyperlink"/>
          </w:rPr>
          <w:t>E.4</w:t>
        </w:r>
        <w:r w:rsidR="00F42A49">
          <w:rPr>
            <w:rFonts w:asciiTheme="minorHAnsi" w:eastAsiaTheme="minorEastAsia" w:hAnsiTheme="minorHAnsi" w:cstheme="minorBidi"/>
            <w:sz w:val="22"/>
            <w:lang w:eastAsia="en-AU"/>
          </w:rPr>
          <w:tab/>
        </w:r>
        <w:r w:rsidR="00F42A49" w:rsidRPr="00375216">
          <w:rPr>
            <w:rStyle w:val="Hyperlink"/>
          </w:rPr>
          <w:t>Recommendations</w:t>
        </w:r>
        <w:r w:rsidR="00F42A49">
          <w:rPr>
            <w:webHidden/>
          </w:rPr>
          <w:tab/>
        </w:r>
        <w:r w:rsidR="00F42A49">
          <w:rPr>
            <w:webHidden/>
          </w:rPr>
          <w:fldChar w:fldCharType="begin"/>
        </w:r>
        <w:r w:rsidR="00F42A49">
          <w:rPr>
            <w:webHidden/>
          </w:rPr>
          <w:instrText xml:space="preserve"> PAGEREF _Toc440038422 \h </w:instrText>
        </w:r>
        <w:r w:rsidR="00F42A49">
          <w:rPr>
            <w:webHidden/>
          </w:rPr>
        </w:r>
        <w:r w:rsidR="00F42A49">
          <w:rPr>
            <w:webHidden/>
          </w:rPr>
          <w:fldChar w:fldCharType="separate"/>
        </w:r>
        <w:r w:rsidR="00F42A49">
          <w:rPr>
            <w:webHidden/>
          </w:rPr>
          <w:t>10</w:t>
        </w:r>
        <w:r w:rsidR="00F42A49">
          <w:rPr>
            <w:webHidden/>
          </w:rPr>
          <w:fldChar w:fldCharType="end"/>
        </w:r>
      </w:hyperlink>
    </w:p>
    <w:p w14:paraId="2EBE288D"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23" w:history="1">
        <w:r w:rsidR="00F42A49" w:rsidRPr="00375216">
          <w:rPr>
            <w:rStyle w:val="Hyperlink"/>
          </w:rPr>
          <w:t>Opportunities for Improvement</w:t>
        </w:r>
        <w:r w:rsidR="00F42A49">
          <w:rPr>
            <w:webHidden/>
          </w:rPr>
          <w:tab/>
        </w:r>
        <w:r w:rsidR="00F42A49">
          <w:rPr>
            <w:webHidden/>
          </w:rPr>
          <w:fldChar w:fldCharType="begin"/>
        </w:r>
        <w:r w:rsidR="00F42A49">
          <w:rPr>
            <w:webHidden/>
          </w:rPr>
          <w:instrText xml:space="preserve"> PAGEREF _Toc440038423 \h </w:instrText>
        </w:r>
        <w:r w:rsidR="00F42A49">
          <w:rPr>
            <w:webHidden/>
          </w:rPr>
        </w:r>
        <w:r w:rsidR="00F42A49">
          <w:rPr>
            <w:webHidden/>
          </w:rPr>
          <w:fldChar w:fldCharType="separate"/>
        </w:r>
        <w:r w:rsidR="00F42A49">
          <w:rPr>
            <w:webHidden/>
          </w:rPr>
          <w:t>11</w:t>
        </w:r>
        <w:r w:rsidR="00F42A49">
          <w:rPr>
            <w:webHidden/>
          </w:rPr>
          <w:fldChar w:fldCharType="end"/>
        </w:r>
      </w:hyperlink>
    </w:p>
    <w:p w14:paraId="2EBE288E"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24" w:history="1">
        <w:r w:rsidR="00F42A49" w:rsidRPr="00375216">
          <w:rPr>
            <w:rStyle w:val="Hyperlink"/>
          </w:rPr>
          <w:t>Introduction</w:t>
        </w:r>
        <w:r w:rsidR="00F42A49">
          <w:rPr>
            <w:webHidden/>
          </w:rPr>
          <w:tab/>
        </w:r>
        <w:r w:rsidR="00F42A49">
          <w:rPr>
            <w:webHidden/>
          </w:rPr>
          <w:fldChar w:fldCharType="begin"/>
        </w:r>
        <w:r w:rsidR="00F42A49">
          <w:rPr>
            <w:webHidden/>
          </w:rPr>
          <w:instrText xml:space="preserve"> PAGEREF _Toc440038424 \h </w:instrText>
        </w:r>
        <w:r w:rsidR="00F42A49">
          <w:rPr>
            <w:webHidden/>
          </w:rPr>
        </w:r>
        <w:r w:rsidR="00F42A49">
          <w:rPr>
            <w:webHidden/>
          </w:rPr>
          <w:fldChar w:fldCharType="separate"/>
        </w:r>
        <w:r w:rsidR="00F42A49">
          <w:rPr>
            <w:webHidden/>
          </w:rPr>
          <w:t>14</w:t>
        </w:r>
        <w:r w:rsidR="00F42A49">
          <w:rPr>
            <w:webHidden/>
          </w:rPr>
          <w:fldChar w:fldCharType="end"/>
        </w:r>
      </w:hyperlink>
    </w:p>
    <w:p w14:paraId="2EBE288F" w14:textId="77777777" w:rsidR="00F42A49" w:rsidRDefault="00AA7DC9">
      <w:pPr>
        <w:pStyle w:val="TOC2"/>
        <w:rPr>
          <w:rFonts w:asciiTheme="minorHAnsi" w:eastAsiaTheme="minorEastAsia" w:hAnsiTheme="minorHAnsi" w:cstheme="minorBidi"/>
          <w:sz w:val="22"/>
          <w:lang w:eastAsia="en-AU"/>
        </w:rPr>
      </w:pPr>
      <w:hyperlink w:anchor="_Toc440038425" w:history="1">
        <w:r w:rsidR="00F42A49" w:rsidRPr="00375216">
          <w:rPr>
            <w:rStyle w:val="Hyperlink"/>
          </w:rPr>
          <w:t>1.4</w:t>
        </w:r>
        <w:r w:rsidR="00F42A49">
          <w:rPr>
            <w:rFonts w:asciiTheme="minorHAnsi" w:eastAsiaTheme="minorEastAsia" w:hAnsiTheme="minorHAnsi" w:cstheme="minorBidi"/>
            <w:sz w:val="22"/>
            <w:lang w:eastAsia="en-AU"/>
          </w:rPr>
          <w:tab/>
        </w:r>
        <w:r w:rsidR="00F42A49" w:rsidRPr="00375216">
          <w:rPr>
            <w:rStyle w:val="Hyperlink"/>
          </w:rPr>
          <w:t>Purpose and context of this report</w:t>
        </w:r>
        <w:r w:rsidR="00F42A49">
          <w:rPr>
            <w:webHidden/>
          </w:rPr>
          <w:tab/>
        </w:r>
        <w:r w:rsidR="00F42A49">
          <w:rPr>
            <w:webHidden/>
          </w:rPr>
          <w:fldChar w:fldCharType="begin"/>
        </w:r>
        <w:r w:rsidR="00F42A49">
          <w:rPr>
            <w:webHidden/>
          </w:rPr>
          <w:instrText xml:space="preserve"> PAGEREF _Toc440038425 \h </w:instrText>
        </w:r>
        <w:r w:rsidR="00F42A49">
          <w:rPr>
            <w:webHidden/>
          </w:rPr>
        </w:r>
        <w:r w:rsidR="00F42A49">
          <w:rPr>
            <w:webHidden/>
          </w:rPr>
          <w:fldChar w:fldCharType="separate"/>
        </w:r>
        <w:r w:rsidR="00F42A49">
          <w:rPr>
            <w:webHidden/>
          </w:rPr>
          <w:t>14</w:t>
        </w:r>
        <w:r w:rsidR="00F42A49">
          <w:rPr>
            <w:webHidden/>
          </w:rPr>
          <w:fldChar w:fldCharType="end"/>
        </w:r>
      </w:hyperlink>
    </w:p>
    <w:p w14:paraId="2EBE2890" w14:textId="77777777" w:rsidR="00F42A49" w:rsidRDefault="00AA7DC9">
      <w:pPr>
        <w:pStyle w:val="TOC2"/>
        <w:rPr>
          <w:rFonts w:asciiTheme="minorHAnsi" w:eastAsiaTheme="minorEastAsia" w:hAnsiTheme="minorHAnsi" w:cstheme="minorBidi"/>
          <w:sz w:val="22"/>
          <w:lang w:eastAsia="en-AU"/>
        </w:rPr>
      </w:pPr>
      <w:hyperlink w:anchor="_Toc440038426" w:history="1">
        <w:r w:rsidR="00F42A49" w:rsidRPr="00375216">
          <w:rPr>
            <w:rStyle w:val="Hyperlink"/>
          </w:rPr>
          <w:t>1.2.</w:t>
        </w:r>
        <w:r w:rsidR="00F42A49">
          <w:rPr>
            <w:rFonts w:asciiTheme="minorHAnsi" w:eastAsiaTheme="minorEastAsia" w:hAnsiTheme="minorHAnsi" w:cstheme="minorBidi"/>
            <w:sz w:val="22"/>
            <w:lang w:eastAsia="en-AU"/>
          </w:rPr>
          <w:tab/>
        </w:r>
        <w:r w:rsidR="00F42A49" w:rsidRPr="00375216">
          <w:rPr>
            <w:rStyle w:val="Hyperlink"/>
          </w:rPr>
          <w:t>Evaluation objectives and key questions</w:t>
        </w:r>
        <w:r w:rsidR="00F42A49">
          <w:rPr>
            <w:webHidden/>
          </w:rPr>
          <w:tab/>
        </w:r>
        <w:r w:rsidR="00F42A49">
          <w:rPr>
            <w:webHidden/>
          </w:rPr>
          <w:fldChar w:fldCharType="begin"/>
        </w:r>
        <w:r w:rsidR="00F42A49">
          <w:rPr>
            <w:webHidden/>
          </w:rPr>
          <w:instrText xml:space="preserve"> PAGEREF _Toc440038426 \h </w:instrText>
        </w:r>
        <w:r w:rsidR="00F42A49">
          <w:rPr>
            <w:webHidden/>
          </w:rPr>
        </w:r>
        <w:r w:rsidR="00F42A49">
          <w:rPr>
            <w:webHidden/>
          </w:rPr>
          <w:fldChar w:fldCharType="separate"/>
        </w:r>
        <w:r w:rsidR="00F42A49">
          <w:rPr>
            <w:webHidden/>
          </w:rPr>
          <w:t>15</w:t>
        </w:r>
        <w:r w:rsidR="00F42A49">
          <w:rPr>
            <w:webHidden/>
          </w:rPr>
          <w:fldChar w:fldCharType="end"/>
        </w:r>
      </w:hyperlink>
    </w:p>
    <w:p w14:paraId="2EBE2891" w14:textId="77777777" w:rsidR="00F42A49" w:rsidRDefault="00AA7DC9">
      <w:pPr>
        <w:pStyle w:val="TOC2"/>
        <w:rPr>
          <w:rFonts w:asciiTheme="minorHAnsi" w:eastAsiaTheme="minorEastAsia" w:hAnsiTheme="minorHAnsi" w:cstheme="minorBidi"/>
          <w:sz w:val="22"/>
          <w:lang w:eastAsia="en-AU"/>
        </w:rPr>
      </w:pPr>
      <w:hyperlink w:anchor="_Toc440038427" w:history="1">
        <w:r w:rsidR="00F42A49" w:rsidRPr="00375216">
          <w:rPr>
            <w:rStyle w:val="Hyperlink"/>
          </w:rPr>
          <w:t>1.3</w:t>
        </w:r>
        <w:r w:rsidR="00F42A49">
          <w:rPr>
            <w:rFonts w:asciiTheme="minorHAnsi" w:eastAsiaTheme="minorEastAsia" w:hAnsiTheme="minorHAnsi" w:cstheme="minorBidi"/>
            <w:sz w:val="22"/>
            <w:lang w:eastAsia="en-AU"/>
          </w:rPr>
          <w:tab/>
        </w:r>
        <w:r w:rsidR="00F42A49" w:rsidRPr="00375216">
          <w:rPr>
            <w:rStyle w:val="Hyperlink"/>
          </w:rPr>
          <w:t>Methodology</w:t>
        </w:r>
        <w:r w:rsidR="00F42A49">
          <w:rPr>
            <w:webHidden/>
          </w:rPr>
          <w:tab/>
        </w:r>
        <w:r w:rsidR="00F42A49">
          <w:rPr>
            <w:webHidden/>
          </w:rPr>
          <w:fldChar w:fldCharType="begin"/>
        </w:r>
        <w:r w:rsidR="00F42A49">
          <w:rPr>
            <w:webHidden/>
          </w:rPr>
          <w:instrText xml:space="preserve"> PAGEREF _Toc440038427 \h </w:instrText>
        </w:r>
        <w:r w:rsidR="00F42A49">
          <w:rPr>
            <w:webHidden/>
          </w:rPr>
        </w:r>
        <w:r w:rsidR="00F42A49">
          <w:rPr>
            <w:webHidden/>
          </w:rPr>
          <w:fldChar w:fldCharType="separate"/>
        </w:r>
        <w:r w:rsidR="00F42A49">
          <w:rPr>
            <w:webHidden/>
          </w:rPr>
          <w:t>16</w:t>
        </w:r>
        <w:r w:rsidR="00F42A49">
          <w:rPr>
            <w:webHidden/>
          </w:rPr>
          <w:fldChar w:fldCharType="end"/>
        </w:r>
      </w:hyperlink>
    </w:p>
    <w:p w14:paraId="2EBE2892" w14:textId="77777777" w:rsidR="00F42A49" w:rsidRDefault="00AA7DC9">
      <w:pPr>
        <w:pStyle w:val="TOC2"/>
        <w:rPr>
          <w:rFonts w:asciiTheme="minorHAnsi" w:eastAsiaTheme="minorEastAsia" w:hAnsiTheme="minorHAnsi" w:cstheme="minorBidi"/>
          <w:sz w:val="22"/>
          <w:lang w:eastAsia="en-AU"/>
        </w:rPr>
      </w:pPr>
      <w:hyperlink w:anchor="_Toc440038428" w:history="1">
        <w:r w:rsidR="00F42A49" w:rsidRPr="00375216">
          <w:rPr>
            <w:rStyle w:val="Hyperlink"/>
          </w:rPr>
          <w:t>1.4</w:t>
        </w:r>
        <w:r w:rsidR="00F42A49">
          <w:rPr>
            <w:rFonts w:asciiTheme="minorHAnsi" w:eastAsiaTheme="minorEastAsia" w:hAnsiTheme="minorHAnsi" w:cstheme="minorBidi"/>
            <w:sz w:val="22"/>
            <w:lang w:eastAsia="en-AU"/>
          </w:rPr>
          <w:tab/>
        </w:r>
        <w:r w:rsidR="00F42A49" w:rsidRPr="00375216">
          <w:rPr>
            <w:rStyle w:val="Hyperlink"/>
          </w:rPr>
          <w:t>Structure of this report</w:t>
        </w:r>
        <w:r w:rsidR="00F42A49">
          <w:rPr>
            <w:webHidden/>
          </w:rPr>
          <w:tab/>
        </w:r>
        <w:r w:rsidR="00F42A49">
          <w:rPr>
            <w:webHidden/>
          </w:rPr>
          <w:fldChar w:fldCharType="begin"/>
        </w:r>
        <w:r w:rsidR="00F42A49">
          <w:rPr>
            <w:webHidden/>
          </w:rPr>
          <w:instrText xml:space="preserve"> PAGEREF _Toc440038428 \h </w:instrText>
        </w:r>
        <w:r w:rsidR="00F42A49">
          <w:rPr>
            <w:webHidden/>
          </w:rPr>
        </w:r>
        <w:r w:rsidR="00F42A49">
          <w:rPr>
            <w:webHidden/>
          </w:rPr>
          <w:fldChar w:fldCharType="separate"/>
        </w:r>
        <w:r w:rsidR="00F42A49">
          <w:rPr>
            <w:webHidden/>
          </w:rPr>
          <w:t>20</w:t>
        </w:r>
        <w:r w:rsidR="00F42A49">
          <w:rPr>
            <w:webHidden/>
          </w:rPr>
          <w:fldChar w:fldCharType="end"/>
        </w:r>
      </w:hyperlink>
    </w:p>
    <w:p w14:paraId="2EBE2893" w14:textId="77777777" w:rsidR="00F42A49" w:rsidRDefault="00AA7DC9">
      <w:pPr>
        <w:pStyle w:val="TOC2"/>
        <w:rPr>
          <w:rFonts w:asciiTheme="minorHAnsi" w:eastAsiaTheme="minorEastAsia" w:hAnsiTheme="minorHAnsi" w:cstheme="minorBidi"/>
          <w:sz w:val="22"/>
          <w:lang w:eastAsia="en-AU"/>
        </w:rPr>
      </w:pPr>
      <w:hyperlink w:anchor="_Toc440038429" w:history="1">
        <w:r w:rsidR="00F42A49" w:rsidRPr="00375216">
          <w:rPr>
            <w:rStyle w:val="Hyperlink"/>
          </w:rPr>
          <w:t>1.5</w:t>
        </w:r>
        <w:r w:rsidR="00F42A49">
          <w:rPr>
            <w:rFonts w:asciiTheme="minorHAnsi" w:eastAsiaTheme="minorEastAsia" w:hAnsiTheme="minorHAnsi" w:cstheme="minorBidi"/>
            <w:sz w:val="22"/>
            <w:lang w:eastAsia="en-AU"/>
          </w:rPr>
          <w:tab/>
        </w:r>
        <w:r w:rsidR="00F42A49" w:rsidRPr="00375216">
          <w:rPr>
            <w:rStyle w:val="Hyperlink"/>
          </w:rPr>
          <w:t>Cape York Wellbeing Centres</w:t>
        </w:r>
        <w:r w:rsidR="00F42A49">
          <w:rPr>
            <w:webHidden/>
          </w:rPr>
          <w:tab/>
        </w:r>
        <w:r w:rsidR="00F42A49">
          <w:rPr>
            <w:webHidden/>
          </w:rPr>
          <w:fldChar w:fldCharType="begin"/>
        </w:r>
        <w:r w:rsidR="00F42A49">
          <w:rPr>
            <w:webHidden/>
          </w:rPr>
          <w:instrText xml:space="preserve"> PAGEREF _Toc440038429 \h </w:instrText>
        </w:r>
        <w:r w:rsidR="00F42A49">
          <w:rPr>
            <w:webHidden/>
          </w:rPr>
        </w:r>
        <w:r w:rsidR="00F42A49">
          <w:rPr>
            <w:webHidden/>
          </w:rPr>
          <w:fldChar w:fldCharType="separate"/>
        </w:r>
        <w:r w:rsidR="00F42A49">
          <w:rPr>
            <w:webHidden/>
          </w:rPr>
          <w:t>21</w:t>
        </w:r>
        <w:r w:rsidR="00F42A49">
          <w:rPr>
            <w:webHidden/>
          </w:rPr>
          <w:fldChar w:fldCharType="end"/>
        </w:r>
      </w:hyperlink>
    </w:p>
    <w:p w14:paraId="2EBE2894"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30" w:history="1">
        <w:r w:rsidR="00F42A49" w:rsidRPr="00375216">
          <w:rPr>
            <w:rStyle w:val="Hyperlink"/>
          </w:rPr>
          <w:t>Evidence of Success</w:t>
        </w:r>
        <w:r w:rsidR="00F42A49">
          <w:rPr>
            <w:webHidden/>
          </w:rPr>
          <w:tab/>
        </w:r>
        <w:r w:rsidR="00F42A49">
          <w:rPr>
            <w:webHidden/>
          </w:rPr>
          <w:fldChar w:fldCharType="begin"/>
        </w:r>
        <w:r w:rsidR="00F42A49">
          <w:rPr>
            <w:webHidden/>
          </w:rPr>
          <w:instrText xml:space="preserve"> PAGEREF _Toc440038430 \h </w:instrText>
        </w:r>
        <w:r w:rsidR="00F42A49">
          <w:rPr>
            <w:webHidden/>
          </w:rPr>
        </w:r>
        <w:r w:rsidR="00F42A49">
          <w:rPr>
            <w:webHidden/>
          </w:rPr>
          <w:fldChar w:fldCharType="separate"/>
        </w:r>
        <w:r w:rsidR="00F42A49">
          <w:rPr>
            <w:webHidden/>
          </w:rPr>
          <w:t>23</w:t>
        </w:r>
        <w:r w:rsidR="00F42A49">
          <w:rPr>
            <w:webHidden/>
          </w:rPr>
          <w:fldChar w:fldCharType="end"/>
        </w:r>
      </w:hyperlink>
    </w:p>
    <w:p w14:paraId="2EBE2895" w14:textId="77777777" w:rsidR="00F42A49" w:rsidRDefault="00AA7DC9">
      <w:pPr>
        <w:pStyle w:val="TOC2"/>
        <w:rPr>
          <w:rFonts w:asciiTheme="minorHAnsi" w:eastAsiaTheme="minorEastAsia" w:hAnsiTheme="minorHAnsi" w:cstheme="minorBidi"/>
          <w:sz w:val="22"/>
          <w:lang w:eastAsia="en-AU"/>
        </w:rPr>
      </w:pPr>
      <w:hyperlink w:anchor="_Toc440038431" w:history="1">
        <w:r w:rsidR="00F42A49" w:rsidRPr="00375216">
          <w:rPr>
            <w:rStyle w:val="Hyperlink"/>
          </w:rPr>
          <w:t>2.1</w:t>
        </w:r>
        <w:r w:rsidR="00F42A49">
          <w:rPr>
            <w:rFonts w:asciiTheme="minorHAnsi" w:eastAsiaTheme="minorEastAsia" w:hAnsiTheme="minorHAnsi" w:cstheme="minorBidi"/>
            <w:sz w:val="22"/>
            <w:lang w:eastAsia="en-AU"/>
          </w:rPr>
          <w:tab/>
        </w:r>
        <w:r w:rsidR="00F42A49" w:rsidRPr="00375216">
          <w:rPr>
            <w:rStyle w:val="Hyperlink"/>
          </w:rPr>
          <w:t>Attribution or contribution</w:t>
        </w:r>
        <w:r w:rsidR="00F42A49">
          <w:rPr>
            <w:webHidden/>
          </w:rPr>
          <w:tab/>
        </w:r>
        <w:r w:rsidR="00F42A49">
          <w:rPr>
            <w:webHidden/>
          </w:rPr>
          <w:fldChar w:fldCharType="begin"/>
        </w:r>
        <w:r w:rsidR="00F42A49">
          <w:rPr>
            <w:webHidden/>
          </w:rPr>
          <w:instrText xml:space="preserve"> PAGEREF _Toc440038431 \h </w:instrText>
        </w:r>
        <w:r w:rsidR="00F42A49">
          <w:rPr>
            <w:webHidden/>
          </w:rPr>
        </w:r>
        <w:r w:rsidR="00F42A49">
          <w:rPr>
            <w:webHidden/>
          </w:rPr>
          <w:fldChar w:fldCharType="separate"/>
        </w:r>
        <w:r w:rsidR="00F42A49">
          <w:rPr>
            <w:webHidden/>
          </w:rPr>
          <w:t>23</w:t>
        </w:r>
        <w:r w:rsidR="00F42A49">
          <w:rPr>
            <w:webHidden/>
          </w:rPr>
          <w:fldChar w:fldCharType="end"/>
        </w:r>
      </w:hyperlink>
    </w:p>
    <w:p w14:paraId="2EBE2896" w14:textId="77777777" w:rsidR="00F42A49" w:rsidRDefault="00AA7DC9">
      <w:pPr>
        <w:pStyle w:val="TOC2"/>
        <w:rPr>
          <w:rFonts w:asciiTheme="minorHAnsi" w:eastAsiaTheme="minorEastAsia" w:hAnsiTheme="minorHAnsi" w:cstheme="minorBidi"/>
          <w:sz w:val="22"/>
          <w:lang w:eastAsia="en-AU"/>
        </w:rPr>
      </w:pPr>
      <w:hyperlink w:anchor="_Toc440038432" w:history="1">
        <w:r w:rsidR="00F42A49" w:rsidRPr="00375216">
          <w:rPr>
            <w:rStyle w:val="Hyperlink"/>
          </w:rPr>
          <w:t>2.2</w:t>
        </w:r>
        <w:r w:rsidR="00F42A49">
          <w:rPr>
            <w:rFonts w:asciiTheme="minorHAnsi" w:eastAsiaTheme="minorEastAsia" w:hAnsiTheme="minorHAnsi" w:cstheme="minorBidi"/>
            <w:sz w:val="22"/>
            <w:lang w:eastAsia="en-AU"/>
          </w:rPr>
          <w:tab/>
        </w:r>
        <w:r w:rsidR="00F42A49" w:rsidRPr="00375216">
          <w:rPr>
            <w:rStyle w:val="Hyperlink"/>
          </w:rPr>
          <w:t>Alcohol and substance abuse</w:t>
        </w:r>
        <w:r w:rsidR="00F42A49">
          <w:rPr>
            <w:webHidden/>
          </w:rPr>
          <w:tab/>
        </w:r>
        <w:r w:rsidR="00F42A49">
          <w:rPr>
            <w:webHidden/>
          </w:rPr>
          <w:fldChar w:fldCharType="begin"/>
        </w:r>
        <w:r w:rsidR="00F42A49">
          <w:rPr>
            <w:webHidden/>
          </w:rPr>
          <w:instrText xml:space="preserve"> PAGEREF _Toc440038432 \h </w:instrText>
        </w:r>
        <w:r w:rsidR="00F42A49">
          <w:rPr>
            <w:webHidden/>
          </w:rPr>
        </w:r>
        <w:r w:rsidR="00F42A49">
          <w:rPr>
            <w:webHidden/>
          </w:rPr>
          <w:fldChar w:fldCharType="separate"/>
        </w:r>
        <w:r w:rsidR="00F42A49">
          <w:rPr>
            <w:webHidden/>
          </w:rPr>
          <w:t>24</w:t>
        </w:r>
        <w:r w:rsidR="00F42A49">
          <w:rPr>
            <w:webHidden/>
          </w:rPr>
          <w:fldChar w:fldCharType="end"/>
        </w:r>
      </w:hyperlink>
    </w:p>
    <w:p w14:paraId="2EBE2897" w14:textId="77777777" w:rsidR="00F42A49" w:rsidRDefault="00AA7DC9">
      <w:pPr>
        <w:pStyle w:val="TOC2"/>
        <w:rPr>
          <w:rFonts w:asciiTheme="minorHAnsi" w:eastAsiaTheme="minorEastAsia" w:hAnsiTheme="minorHAnsi" w:cstheme="minorBidi"/>
          <w:sz w:val="22"/>
          <w:lang w:eastAsia="en-AU"/>
        </w:rPr>
      </w:pPr>
      <w:hyperlink w:anchor="_Toc440038433" w:history="1">
        <w:r w:rsidR="00F42A49" w:rsidRPr="00375216">
          <w:rPr>
            <w:rStyle w:val="Hyperlink"/>
          </w:rPr>
          <w:t>2.3</w:t>
        </w:r>
        <w:r w:rsidR="00F42A49">
          <w:rPr>
            <w:rFonts w:asciiTheme="minorHAnsi" w:eastAsiaTheme="minorEastAsia" w:hAnsiTheme="minorHAnsi" w:cstheme="minorBidi"/>
            <w:sz w:val="22"/>
            <w:lang w:eastAsia="en-AU"/>
          </w:rPr>
          <w:tab/>
        </w:r>
        <w:r w:rsidR="00F42A49" w:rsidRPr="00375216">
          <w:rPr>
            <w:rStyle w:val="Hyperlink"/>
          </w:rPr>
          <w:t>Mental health and SEWB</w:t>
        </w:r>
        <w:r w:rsidR="00F42A49">
          <w:rPr>
            <w:webHidden/>
          </w:rPr>
          <w:tab/>
        </w:r>
        <w:r w:rsidR="00F42A49">
          <w:rPr>
            <w:webHidden/>
          </w:rPr>
          <w:fldChar w:fldCharType="begin"/>
        </w:r>
        <w:r w:rsidR="00F42A49">
          <w:rPr>
            <w:webHidden/>
          </w:rPr>
          <w:instrText xml:space="preserve"> PAGEREF _Toc440038433 \h </w:instrText>
        </w:r>
        <w:r w:rsidR="00F42A49">
          <w:rPr>
            <w:webHidden/>
          </w:rPr>
        </w:r>
        <w:r w:rsidR="00F42A49">
          <w:rPr>
            <w:webHidden/>
          </w:rPr>
          <w:fldChar w:fldCharType="separate"/>
        </w:r>
        <w:r w:rsidR="00F42A49">
          <w:rPr>
            <w:webHidden/>
          </w:rPr>
          <w:t>33</w:t>
        </w:r>
        <w:r w:rsidR="00F42A49">
          <w:rPr>
            <w:webHidden/>
          </w:rPr>
          <w:fldChar w:fldCharType="end"/>
        </w:r>
      </w:hyperlink>
    </w:p>
    <w:p w14:paraId="2EBE2898" w14:textId="77777777" w:rsidR="00F42A49" w:rsidRDefault="00AA7DC9">
      <w:pPr>
        <w:pStyle w:val="TOC2"/>
        <w:rPr>
          <w:rFonts w:asciiTheme="minorHAnsi" w:eastAsiaTheme="minorEastAsia" w:hAnsiTheme="minorHAnsi" w:cstheme="minorBidi"/>
          <w:sz w:val="22"/>
          <w:lang w:eastAsia="en-AU"/>
        </w:rPr>
      </w:pPr>
      <w:hyperlink w:anchor="_Toc440038434" w:history="1">
        <w:r w:rsidR="00F42A49" w:rsidRPr="00375216">
          <w:rPr>
            <w:rStyle w:val="Hyperlink"/>
          </w:rPr>
          <w:t>2.4</w:t>
        </w:r>
        <w:r w:rsidR="00F42A49">
          <w:rPr>
            <w:rFonts w:asciiTheme="minorHAnsi" w:eastAsiaTheme="minorEastAsia" w:hAnsiTheme="minorHAnsi" w:cstheme="minorBidi"/>
            <w:sz w:val="22"/>
            <w:lang w:eastAsia="en-AU"/>
          </w:rPr>
          <w:tab/>
        </w:r>
        <w:r w:rsidR="00F42A49" w:rsidRPr="00375216">
          <w:rPr>
            <w:rStyle w:val="Hyperlink"/>
          </w:rPr>
          <w:t>Impact if no WBC</w:t>
        </w:r>
        <w:r w:rsidR="00F42A49">
          <w:rPr>
            <w:webHidden/>
          </w:rPr>
          <w:tab/>
        </w:r>
        <w:r w:rsidR="00F42A49">
          <w:rPr>
            <w:webHidden/>
          </w:rPr>
          <w:fldChar w:fldCharType="begin"/>
        </w:r>
        <w:r w:rsidR="00F42A49">
          <w:rPr>
            <w:webHidden/>
          </w:rPr>
          <w:instrText xml:space="preserve"> PAGEREF _Toc440038434 \h </w:instrText>
        </w:r>
        <w:r w:rsidR="00F42A49">
          <w:rPr>
            <w:webHidden/>
          </w:rPr>
        </w:r>
        <w:r w:rsidR="00F42A49">
          <w:rPr>
            <w:webHidden/>
          </w:rPr>
          <w:fldChar w:fldCharType="separate"/>
        </w:r>
        <w:r w:rsidR="00F42A49">
          <w:rPr>
            <w:webHidden/>
          </w:rPr>
          <w:t>44</w:t>
        </w:r>
        <w:r w:rsidR="00F42A49">
          <w:rPr>
            <w:webHidden/>
          </w:rPr>
          <w:fldChar w:fldCharType="end"/>
        </w:r>
      </w:hyperlink>
    </w:p>
    <w:p w14:paraId="2EBE2899" w14:textId="77777777" w:rsidR="00F42A49" w:rsidRDefault="00AA7DC9">
      <w:pPr>
        <w:pStyle w:val="TOC2"/>
        <w:rPr>
          <w:rFonts w:asciiTheme="minorHAnsi" w:eastAsiaTheme="minorEastAsia" w:hAnsiTheme="minorHAnsi" w:cstheme="minorBidi"/>
          <w:sz w:val="22"/>
          <w:lang w:eastAsia="en-AU"/>
        </w:rPr>
      </w:pPr>
      <w:hyperlink w:anchor="_Toc440038435" w:history="1">
        <w:r w:rsidR="00F42A49" w:rsidRPr="00375216">
          <w:rPr>
            <w:rStyle w:val="Hyperlink"/>
          </w:rPr>
          <w:t>2.5</w:t>
        </w:r>
        <w:r w:rsidR="00F42A49">
          <w:rPr>
            <w:rFonts w:asciiTheme="minorHAnsi" w:eastAsiaTheme="minorEastAsia" w:hAnsiTheme="minorHAnsi" w:cstheme="minorBidi"/>
            <w:sz w:val="22"/>
            <w:lang w:eastAsia="en-AU"/>
          </w:rPr>
          <w:tab/>
        </w:r>
        <w:r w:rsidR="00F42A49" w:rsidRPr="00375216">
          <w:rPr>
            <w:rStyle w:val="Hyperlink"/>
          </w:rPr>
          <w:t>Comparison to other communities</w:t>
        </w:r>
        <w:r w:rsidR="00F42A49">
          <w:rPr>
            <w:webHidden/>
          </w:rPr>
          <w:tab/>
        </w:r>
        <w:r w:rsidR="00F42A49">
          <w:rPr>
            <w:webHidden/>
          </w:rPr>
          <w:fldChar w:fldCharType="begin"/>
        </w:r>
        <w:r w:rsidR="00F42A49">
          <w:rPr>
            <w:webHidden/>
          </w:rPr>
          <w:instrText xml:space="preserve"> PAGEREF _Toc440038435 \h </w:instrText>
        </w:r>
        <w:r w:rsidR="00F42A49">
          <w:rPr>
            <w:webHidden/>
          </w:rPr>
        </w:r>
        <w:r w:rsidR="00F42A49">
          <w:rPr>
            <w:webHidden/>
          </w:rPr>
          <w:fldChar w:fldCharType="separate"/>
        </w:r>
        <w:r w:rsidR="00F42A49">
          <w:rPr>
            <w:webHidden/>
          </w:rPr>
          <w:t>45</w:t>
        </w:r>
        <w:r w:rsidR="00F42A49">
          <w:rPr>
            <w:webHidden/>
          </w:rPr>
          <w:fldChar w:fldCharType="end"/>
        </w:r>
      </w:hyperlink>
    </w:p>
    <w:p w14:paraId="2EBE289A" w14:textId="77777777" w:rsidR="00F42A49" w:rsidRDefault="00AA7DC9">
      <w:pPr>
        <w:pStyle w:val="TOC2"/>
        <w:rPr>
          <w:rFonts w:asciiTheme="minorHAnsi" w:eastAsiaTheme="minorEastAsia" w:hAnsiTheme="minorHAnsi" w:cstheme="minorBidi"/>
          <w:sz w:val="22"/>
          <w:lang w:eastAsia="en-AU"/>
        </w:rPr>
      </w:pPr>
      <w:hyperlink w:anchor="_Toc440038436" w:history="1">
        <w:r w:rsidR="00F42A49" w:rsidRPr="00375216">
          <w:rPr>
            <w:rStyle w:val="Hyperlink"/>
          </w:rPr>
          <w:t>2.6</w:t>
        </w:r>
        <w:r w:rsidR="00F42A49">
          <w:rPr>
            <w:rFonts w:asciiTheme="minorHAnsi" w:eastAsiaTheme="minorEastAsia" w:hAnsiTheme="minorHAnsi" w:cstheme="minorBidi"/>
            <w:sz w:val="22"/>
            <w:lang w:eastAsia="en-AU"/>
          </w:rPr>
          <w:tab/>
        </w:r>
        <w:r w:rsidR="00F42A49" w:rsidRPr="00375216">
          <w:rPr>
            <w:rStyle w:val="Hyperlink"/>
          </w:rPr>
          <w:t>Challenges in achieving individual and community level change</w:t>
        </w:r>
        <w:r w:rsidR="00F42A49">
          <w:rPr>
            <w:webHidden/>
          </w:rPr>
          <w:tab/>
        </w:r>
        <w:r w:rsidR="00F42A49">
          <w:rPr>
            <w:webHidden/>
          </w:rPr>
          <w:fldChar w:fldCharType="begin"/>
        </w:r>
        <w:r w:rsidR="00F42A49">
          <w:rPr>
            <w:webHidden/>
          </w:rPr>
          <w:instrText xml:space="preserve"> PAGEREF _Toc440038436 \h </w:instrText>
        </w:r>
        <w:r w:rsidR="00F42A49">
          <w:rPr>
            <w:webHidden/>
          </w:rPr>
        </w:r>
        <w:r w:rsidR="00F42A49">
          <w:rPr>
            <w:webHidden/>
          </w:rPr>
          <w:fldChar w:fldCharType="separate"/>
        </w:r>
        <w:r w:rsidR="00F42A49">
          <w:rPr>
            <w:webHidden/>
          </w:rPr>
          <w:t>47</w:t>
        </w:r>
        <w:r w:rsidR="00F42A49">
          <w:rPr>
            <w:webHidden/>
          </w:rPr>
          <w:fldChar w:fldCharType="end"/>
        </w:r>
      </w:hyperlink>
    </w:p>
    <w:p w14:paraId="2EBE289B" w14:textId="77777777" w:rsidR="00F42A49" w:rsidRDefault="00AA7DC9">
      <w:pPr>
        <w:pStyle w:val="TOC2"/>
        <w:rPr>
          <w:rFonts w:asciiTheme="minorHAnsi" w:eastAsiaTheme="minorEastAsia" w:hAnsiTheme="minorHAnsi" w:cstheme="minorBidi"/>
          <w:sz w:val="22"/>
          <w:lang w:eastAsia="en-AU"/>
        </w:rPr>
      </w:pPr>
      <w:hyperlink w:anchor="_Toc440038437" w:history="1">
        <w:r w:rsidR="00F42A49" w:rsidRPr="00375216">
          <w:rPr>
            <w:rStyle w:val="Hyperlink"/>
          </w:rPr>
          <w:t>2.7</w:t>
        </w:r>
        <w:r w:rsidR="00F42A49">
          <w:rPr>
            <w:rFonts w:asciiTheme="minorHAnsi" w:eastAsiaTheme="minorEastAsia" w:hAnsiTheme="minorHAnsi" w:cstheme="minorBidi"/>
            <w:sz w:val="22"/>
            <w:lang w:eastAsia="en-AU"/>
          </w:rPr>
          <w:tab/>
        </w:r>
        <w:r w:rsidR="00F42A49" w:rsidRPr="00375216">
          <w:rPr>
            <w:rStyle w:val="Hyperlink"/>
          </w:rPr>
          <w:t>Closing the Gap</w:t>
        </w:r>
        <w:r w:rsidR="00F42A49">
          <w:rPr>
            <w:webHidden/>
          </w:rPr>
          <w:tab/>
        </w:r>
        <w:r w:rsidR="00F42A49">
          <w:rPr>
            <w:webHidden/>
          </w:rPr>
          <w:fldChar w:fldCharType="begin"/>
        </w:r>
        <w:r w:rsidR="00F42A49">
          <w:rPr>
            <w:webHidden/>
          </w:rPr>
          <w:instrText xml:space="preserve"> PAGEREF _Toc440038437 \h </w:instrText>
        </w:r>
        <w:r w:rsidR="00F42A49">
          <w:rPr>
            <w:webHidden/>
          </w:rPr>
        </w:r>
        <w:r w:rsidR="00F42A49">
          <w:rPr>
            <w:webHidden/>
          </w:rPr>
          <w:fldChar w:fldCharType="separate"/>
        </w:r>
        <w:r w:rsidR="00F42A49">
          <w:rPr>
            <w:webHidden/>
          </w:rPr>
          <w:t>50</w:t>
        </w:r>
        <w:r w:rsidR="00F42A49">
          <w:rPr>
            <w:webHidden/>
          </w:rPr>
          <w:fldChar w:fldCharType="end"/>
        </w:r>
      </w:hyperlink>
    </w:p>
    <w:p w14:paraId="2EBE289C" w14:textId="77777777" w:rsidR="00F42A49" w:rsidRDefault="00AA7DC9">
      <w:pPr>
        <w:pStyle w:val="TOC2"/>
        <w:rPr>
          <w:rFonts w:asciiTheme="minorHAnsi" w:eastAsiaTheme="minorEastAsia" w:hAnsiTheme="minorHAnsi" w:cstheme="minorBidi"/>
          <w:sz w:val="22"/>
          <w:lang w:eastAsia="en-AU"/>
        </w:rPr>
      </w:pPr>
      <w:hyperlink w:anchor="_Toc440038438" w:history="1">
        <w:r w:rsidR="00F42A49" w:rsidRPr="00375216">
          <w:rPr>
            <w:rStyle w:val="Hyperlink"/>
          </w:rPr>
          <w:t>2.8</w:t>
        </w:r>
        <w:r w:rsidR="00F42A49">
          <w:rPr>
            <w:rFonts w:asciiTheme="minorHAnsi" w:eastAsiaTheme="minorEastAsia" w:hAnsiTheme="minorHAnsi" w:cstheme="minorBidi"/>
            <w:sz w:val="22"/>
            <w:lang w:eastAsia="en-AU"/>
          </w:rPr>
          <w:tab/>
        </w:r>
        <w:r w:rsidR="00F42A49" w:rsidRPr="00375216">
          <w:rPr>
            <w:rStyle w:val="Hyperlink"/>
          </w:rPr>
          <w:t>Future use of outcome measures</w:t>
        </w:r>
        <w:r w:rsidR="00F42A49">
          <w:rPr>
            <w:webHidden/>
          </w:rPr>
          <w:tab/>
        </w:r>
        <w:r w:rsidR="00F42A49">
          <w:rPr>
            <w:webHidden/>
          </w:rPr>
          <w:fldChar w:fldCharType="begin"/>
        </w:r>
        <w:r w:rsidR="00F42A49">
          <w:rPr>
            <w:webHidden/>
          </w:rPr>
          <w:instrText xml:space="preserve"> PAGEREF _Toc440038438 \h </w:instrText>
        </w:r>
        <w:r w:rsidR="00F42A49">
          <w:rPr>
            <w:webHidden/>
          </w:rPr>
        </w:r>
        <w:r w:rsidR="00F42A49">
          <w:rPr>
            <w:webHidden/>
          </w:rPr>
          <w:fldChar w:fldCharType="separate"/>
        </w:r>
        <w:r w:rsidR="00F42A49">
          <w:rPr>
            <w:webHidden/>
          </w:rPr>
          <w:t>52</w:t>
        </w:r>
        <w:r w:rsidR="00F42A49">
          <w:rPr>
            <w:webHidden/>
          </w:rPr>
          <w:fldChar w:fldCharType="end"/>
        </w:r>
      </w:hyperlink>
    </w:p>
    <w:p w14:paraId="2EBE289D"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39" w:history="1">
        <w:r w:rsidR="00F42A49" w:rsidRPr="00375216">
          <w:rPr>
            <w:rStyle w:val="Hyperlink"/>
          </w:rPr>
          <w:t>The Service Model and its Implementation</w:t>
        </w:r>
        <w:r w:rsidR="00F42A49">
          <w:rPr>
            <w:webHidden/>
          </w:rPr>
          <w:tab/>
        </w:r>
        <w:r w:rsidR="00F42A49">
          <w:rPr>
            <w:webHidden/>
          </w:rPr>
          <w:fldChar w:fldCharType="begin"/>
        </w:r>
        <w:r w:rsidR="00F42A49">
          <w:rPr>
            <w:webHidden/>
          </w:rPr>
          <w:instrText xml:space="preserve"> PAGEREF _Toc440038439 \h </w:instrText>
        </w:r>
        <w:r w:rsidR="00F42A49">
          <w:rPr>
            <w:webHidden/>
          </w:rPr>
        </w:r>
        <w:r w:rsidR="00F42A49">
          <w:rPr>
            <w:webHidden/>
          </w:rPr>
          <w:fldChar w:fldCharType="separate"/>
        </w:r>
        <w:r w:rsidR="00F42A49">
          <w:rPr>
            <w:webHidden/>
          </w:rPr>
          <w:t>53</w:t>
        </w:r>
        <w:r w:rsidR="00F42A49">
          <w:rPr>
            <w:webHidden/>
          </w:rPr>
          <w:fldChar w:fldCharType="end"/>
        </w:r>
      </w:hyperlink>
    </w:p>
    <w:p w14:paraId="2EBE289E" w14:textId="77777777" w:rsidR="00F42A49" w:rsidRDefault="00AA7DC9">
      <w:pPr>
        <w:pStyle w:val="TOC2"/>
        <w:rPr>
          <w:rFonts w:asciiTheme="minorHAnsi" w:eastAsiaTheme="minorEastAsia" w:hAnsiTheme="minorHAnsi" w:cstheme="minorBidi"/>
          <w:sz w:val="22"/>
          <w:lang w:eastAsia="en-AU"/>
        </w:rPr>
      </w:pPr>
      <w:hyperlink w:anchor="_Toc440038440" w:history="1">
        <w:r w:rsidR="00F42A49" w:rsidRPr="00375216">
          <w:rPr>
            <w:rStyle w:val="Hyperlink"/>
          </w:rPr>
          <w:t>3.1</w:t>
        </w:r>
        <w:r w:rsidR="00F42A49">
          <w:rPr>
            <w:rFonts w:asciiTheme="minorHAnsi" w:eastAsiaTheme="minorEastAsia" w:hAnsiTheme="minorHAnsi" w:cstheme="minorBidi"/>
            <w:sz w:val="22"/>
            <w:lang w:eastAsia="en-AU"/>
          </w:rPr>
          <w:tab/>
        </w:r>
        <w:r w:rsidR="00F42A49" w:rsidRPr="00375216">
          <w:rPr>
            <w:rStyle w:val="Hyperlink"/>
          </w:rPr>
          <w:t>Service model description</w:t>
        </w:r>
        <w:r w:rsidR="00F42A49">
          <w:rPr>
            <w:webHidden/>
          </w:rPr>
          <w:tab/>
        </w:r>
        <w:r w:rsidR="00F42A49">
          <w:rPr>
            <w:webHidden/>
          </w:rPr>
          <w:fldChar w:fldCharType="begin"/>
        </w:r>
        <w:r w:rsidR="00F42A49">
          <w:rPr>
            <w:webHidden/>
          </w:rPr>
          <w:instrText xml:space="preserve"> PAGEREF _Toc440038440 \h </w:instrText>
        </w:r>
        <w:r w:rsidR="00F42A49">
          <w:rPr>
            <w:webHidden/>
          </w:rPr>
        </w:r>
        <w:r w:rsidR="00F42A49">
          <w:rPr>
            <w:webHidden/>
          </w:rPr>
          <w:fldChar w:fldCharType="separate"/>
        </w:r>
        <w:r w:rsidR="00F42A49">
          <w:rPr>
            <w:webHidden/>
          </w:rPr>
          <w:t>53</w:t>
        </w:r>
        <w:r w:rsidR="00F42A49">
          <w:rPr>
            <w:webHidden/>
          </w:rPr>
          <w:fldChar w:fldCharType="end"/>
        </w:r>
      </w:hyperlink>
    </w:p>
    <w:p w14:paraId="2EBE289F" w14:textId="77777777" w:rsidR="00F42A49" w:rsidRDefault="00AA7DC9">
      <w:pPr>
        <w:pStyle w:val="TOC2"/>
        <w:rPr>
          <w:rFonts w:asciiTheme="minorHAnsi" w:eastAsiaTheme="minorEastAsia" w:hAnsiTheme="minorHAnsi" w:cstheme="minorBidi"/>
          <w:sz w:val="22"/>
          <w:lang w:eastAsia="en-AU"/>
        </w:rPr>
      </w:pPr>
      <w:hyperlink w:anchor="_Toc440038441" w:history="1">
        <w:r w:rsidR="00F42A49" w:rsidRPr="00375216">
          <w:rPr>
            <w:rStyle w:val="Hyperlink"/>
          </w:rPr>
          <w:t>3.2</w:t>
        </w:r>
        <w:r w:rsidR="00F42A49">
          <w:rPr>
            <w:rFonts w:asciiTheme="minorHAnsi" w:eastAsiaTheme="minorEastAsia" w:hAnsiTheme="minorHAnsi" w:cstheme="minorBidi"/>
            <w:sz w:val="22"/>
            <w:lang w:eastAsia="en-AU"/>
          </w:rPr>
          <w:tab/>
        </w:r>
        <w:r w:rsidR="00F42A49" w:rsidRPr="00375216">
          <w:rPr>
            <w:rStyle w:val="Hyperlink"/>
          </w:rPr>
          <w:t>Service model development</w:t>
        </w:r>
        <w:r w:rsidR="00F42A49">
          <w:rPr>
            <w:webHidden/>
          </w:rPr>
          <w:tab/>
        </w:r>
        <w:r w:rsidR="00F42A49">
          <w:rPr>
            <w:webHidden/>
          </w:rPr>
          <w:fldChar w:fldCharType="begin"/>
        </w:r>
        <w:r w:rsidR="00F42A49">
          <w:rPr>
            <w:webHidden/>
          </w:rPr>
          <w:instrText xml:space="preserve"> PAGEREF _Toc440038441 \h </w:instrText>
        </w:r>
        <w:r w:rsidR="00F42A49">
          <w:rPr>
            <w:webHidden/>
          </w:rPr>
        </w:r>
        <w:r w:rsidR="00F42A49">
          <w:rPr>
            <w:webHidden/>
          </w:rPr>
          <w:fldChar w:fldCharType="separate"/>
        </w:r>
        <w:r w:rsidR="00F42A49">
          <w:rPr>
            <w:webHidden/>
          </w:rPr>
          <w:t>55</w:t>
        </w:r>
        <w:r w:rsidR="00F42A49">
          <w:rPr>
            <w:webHidden/>
          </w:rPr>
          <w:fldChar w:fldCharType="end"/>
        </w:r>
      </w:hyperlink>
    </w:p>
    <w:p w14:paraId="2EBE28A0" w14:textId="77777777" w:rsidR="00F42A49" w:rsidRDefault="00AA7DC9">
      <w:pPr>
        <w:pStyle w:val="TOC2"/>
        <w:rPr>
          <w:rFonts w:asciiTheme="minorHAnsi" w:eastAsiaTheme="minorEastAsia" w:hAnsiTheme="minorHAnsi" w:cstheme="minorBidi"/>
          <w:sz w:val="22"/>
          <w:lang w:eastAsia="en-AU"/>
        </w:rPr>
      </w:pPr>
      <w:hyperlink w:anchor="_Toc440038442" w:history="1">
        <w:r w:rsidR="00F42A49" w:rsidRPr="00375216">
          <w:rPr>
            <w:rStyle w:val="Hyperlink"/>
          </w:rPr>
          <w:t>3.3</w:t>
        </w:r>
        <w:r w:rsidR="00F42A49">
          <w:rPr>
            <w:rFonts w:asciiTheme="minorHAnsi" w:eastAsiaTheme="minorEastAsia" w:hAnsiTheme="minorHAnsi" w:cstheme="minorBidi"/>
            <w:sz w:val="22"/>
            <w:lang w:eastAsia="en-AU"/>
          </w:rPr>
          <w:tab/>
        </w:r>
        <w:r w:rsidR="00F42A49" w:rsidRPr="00375216">
          <w:rPr>
            <w:rStyle w:val="Hyperlink"/>
          </w:rPr>
          <w:t>Alignment with program theory and key service elements</w:t>
        </w:r>
        <w:r w:rsidR="00F42A49">
          <w:rPr>
            <w:webHidden/>
          </w:rPr>
          <w:tab/>
        </w:r>
        <w:r w:rsidR="00F42A49">
          <w:rPr>
            <w:webHidden/>
          </w:rPr>
          <w:fldChar w:fldCharType="begin"/>
        </w:r>
        <w:r w:rsidR="00F42A49">
          <w:rPr>
            <w:webHidden/>
          </w:rPr>
          <w:instrText xml:space="preserve"> PAGEREF _Toc440038442 \h </w:instrText>
        </w:r>
        <w:r w:rsidR="00F42A49">
          <w:rPr>
            <w:webHidden/>
          </w:rPr>
        </w:r>
        <w:r w:rsidR="00F42A49">
          <w:rPr>
            <w:webHidden/>
          </w:rPr>
          <w:fldChar w:fldCharType="separate"/>
        </w:r>
        <w:r w:rsidR="00F42A49">
          <w:rPr>
            <w:webHidden/>
          </w:rPr>
          <w:t>56</w:t>
        </w:r>
        <w:r w:rsidR="00F42A49">
          <w:rPr>
            <w:webHidden/>
          </w:rPr>
          <w:fldChar w:fldCharType="end"/>
        </w:r>
      </w:hyperlink>
    </w:p>
    <w:p w14:paraId="2EBE28A1" w14:textId="77777777" w:rsidR="00F42A49" w:rsidRDefault="00AA7DC9">
      <w:pPr>
        <w:pStyle w:val="TOC2"/>
        <w:rPr>
          <w:rFonts w:asciiTheme="minorHAnsi" w:eastAsiaTheme="minorEastAsia" w:hAnsiTheme="minorHAnsi" w:cstheme="minorBidi"/>
          <w:sz w:val="22"/>
          <w:lang w:eastAsia="en-AU"/>
        </w:rPr>
      </w:pPr>
      <w:hyperlink w:anchor="_Toc440038443" w:history="1">
        <w:r w:rsidR="00F42A49" w:rsidRPr="00375216">
          <w:rPr>
            <w:rStyle w:val="Hyperlink"/>
          </w:rPr>
          <w:t>3.4</w:t>
        </w:r>
        <w:r w:rsidR="00F42A49">
          <w:rPr>
            <w:rFonts w:asciiTheme="minorHAnsi" w:eastAsiaTheme="minorEastAsia" w:hAnsiTheme="minorHAnsi" w:cstheme="minorBidi"/>
            <w:sz w:val="22"/>
            <w:lang w:eastAsia="en-AU"/>
          </w:rPr>
          <w:tab/>
        </w:r>
        <w:r w:rsidR="00F42A49" w:rsidRPr="00375216">
          <w:rPr>
            <w:rStyle w:val="Hyperlink"/>
          </w:rPr>
          <w:t>Service activity and client profile</w:t>
        </w:r>
        <w:r w:rsidR="00F42A49">
          <w:rPr>
            <w:webHidden/>
          </w:rPr>
          <w:tab/>
        </w:r>
        <w:r w:rsidR="00F42A49">
          <w:rPr>
            <w:webHidden/>
          </w:rPr>
          <w:fldChar w:fldCharType="begin"/>
        </w:r>
        <w:r w:rsidR="00F42A49">
          <w:rPr>
            <w:webHidden/>
          </w:rPr>
          <w:instrText xml:space="preserve"> PAGEREF _Toc440038443 \h </w:instrText>
        </w:r>
        <w:r w:rsidR="00F42A49">
          <w:rPr>
            <w:webHidden/>
          </w:rPr>
        </w:r>
        <w:r w:rsidR="00F42A49">
          <w:rPr>
            <w:webHidden/>
          </w:rPr>
          <w:fldChar w:fldCharType="separate"/>
        </w:r>
        <w:r w:rsidR="00F42A49">
          <w:rPr>
            <w:webHidden/>
          </w:rPr>
          <w:t>56</w:t>
        </w:r>
        <w:r w:rsidR="00F42A49">
          <w:rPr>
            <w:webHidden/>
          </w:rPr>
          <w:fldChar w:fldCharType="end"/>
        </w:r>
      </w:hyperlink>
    </w:p>
    <w:p w14:paraId="2EBE28A2" w14:textId="77777777" w:rsidR="00F42A49" w:rsidRDefault="00AA7DC9">
      <w:pPr>
        <w:pStyle w:val="TOC2"/>
        <w:rPr>
          <w:rFonts w:asciiTheme="minorHAnsi" w:eastAsiaTheme="minorEastAsia" w:hAnsiTheme="minorHAnsi" w:cstheme="minorBidi"/>
          <w:sz w:val="22"/>
          <w:lang w:eastAsia="en-AU"/>
        </w:rPr>
      </w:pPr>
      <w:hyperlink w:anchor="_Toc440038444" w:history="1">
        <w:r w:rsidR="00F42A49" w:rsidRPr="00375216">
          <w:rPr>
            <w:rStyle w:val="Hyperlink"/>
          </w:rPr>
          <w:t>3.5</w:t>
        </w:r>
        <w:r w:rsidR="00F42A49">
          <w:rPr>
            <w:rFonts w:asciiTheme="minorHAnsi" w:eastAsiaTheme="minorEastAsia" w:hAnsiTheme="minorHAnsi" w:cstheme="minorBidi"/>
            <w:sz w:val="22"/>
            <w:lang w:eastAsia="en-AU"/>
          </w:rPr>
          <w:tab/>
        </w:r>
        <w:r w:rsidR="00F42A49" w:rsidRPr="00375216">
          <w:rPr>
            <w:rStyle w:val="Hyperlink"/>
          </w:rPr>
          <w:t>Service model implementation</w:t>
        </w:r>
        <w:r w:rsidR="00F42A49">
          <w:rPr>
            <w:webHidden/>
          </w:rPr>
          <w:tab/>
        </w:r>
        <w:r w:rsidR="00F42A49">
          <w:rPr>
            <w:webHidden/>
          </w:rPr>
          <w:fldChar w:fldCharType="begin"/>
        </w:r>
        <w:r w:rsidR="00F42A49">
          <w:rPr>
            <w:webHidden/>
          </w:rPr>
          <w:instrText xml:space="preserve"> PAGEREF _Toc440038444 \h </w:instrText>
        </w:r>
        <w:r w:rsidR="00F42A49">
          <w:rPr>
            <w:webHidden/>
          </w:rPr>
        </w:r>
        <w:r w:rsidR="00F42A49">
          <w:rPr>
            <w:webHidden/>
          </w:rPr>
          <w:fldChar w:fldCharType="separate"/>
        </w:r>
        <w:r w:rsidR="00F42A49">
          <w:rPr>
            <w:webHidden/>
          </w:rPr>
          <w:t>62</w:t>
        </w:r>
        <w:r w:rsidR="00F42A49">
          <w:rPr>
            <w:webHidden/>
          </w:rPr>
          <w:fldChar w:fldCharType="end"/>
        </w:r>
      </w:hyperlink>
    </w:p>
    <w:p w14:paraId="2EBE28A3" w14:textId="77777777" w:rsidR="00F42A49" w:rsidRDefault="00AA7DC9">
      <w:pPr>
        <w:pStyle w:val="TOC2"/>
        <w:rPr>
          <w:rFonts w:asciiTheme="minorHAnsi" w:eastAsiaTheme="minorEastAsia" w:hAnsiTheme="minorHAnsi" w:cstheme="minorBidi"/>
          <w:sz w:val="22"/>
          <w:lang w:eastAsia="en-AU"/>
        </w:rPr>
      </w:pPr>
      <w:hyperlink w:anchor="_Toc440038445" w:history="1">
        <w:r w:rsidR="00F42A49" w:rsidRPr="00375216">
          <w:rPr>
            <w:rStyle w:val="Hyperlink"/>
          </w:rPr>
          <w:t>3.6</w:t>
        </w:r>
        <w:r w:rsidR="00F42A49">
          <w:rPr>
            <w:rFonts w:asciiTheme="minorHAnsi" w:eastAsiaTheme="minorEastAsia" w:hAnsiTheme="minorHAnsi" w:cstheme="minorBidi"/>
            <w:sz w:val="22"/>
            <w:lang w:eastAsia="en-AU"/>
          </w:rPr>
          <w:tab/>
        </w:r>
        <w:r w:rsidR="00F42A49" w:rsidRPr="00375216">
          <w:rPr>
            <w:rStyle w:val="Hyperlink"/>
          </w:rPr>
          <w:t>Partnerships</w:t>
        </w:r>
        <w:r w:rsidR="00F42A49">
          <w:rPr>
            <w:webHidden/>
          </w:rPr>
          <w:tab/>
        </w:r>
        <w:r w:rsidR="00F42A49">
          <w:rPr>
            <w:webHidden/>
          </w:rPr>
          <w:fldChar w:fldCharType="begin"/>
        </w:r>
        <w:r w:rsidR="00F42A49">
          <w:rPr>
            <w:webHidden/>
          </w:rPr>
          <w:instrText xml:space="preserve"> PAGEREF _Toc440038445 \h </w:instrText>
        </w:r>
        <w:r w:rsidR="00F42A49">
          <w:rPr>
            <w:webHidden/>
          </w:rPr>
        </w:r>
        <w:r w:rsidR="00F42A49">
          <w:rPr>
            <w:webHidden/>
          </w:rPr>
          <w:fldChar w:fldCharType="separate"/>
        </w:r>
        <w:r w:rsidR="00F42A49">
          <w:rPr>
            <w:webHidden/>
          </w:rPr>
          <w:t>68</w:t>
        </w:r>
        <w:r w:rsidR="00F42A49">
          <w:rPr>
            <w:webHidden/>
          </w:rPr>
          <w:fldChar w:fldCharType="end"/>
        </w:r>
      </w:hyperlink>
    </w:p>
    <w:p w14:paraId="2EBE28A4" w14:textId="77777777" w:rsidR="00F42A49" w:rsidRDefault="00AA7DC9">
      <w:pPr>
        <w:pStyle w:val="TOC2"/>
        <w:rPr>
          <w:rFonts w:asciiTheme="minorHAnsi" w:eastAsiaTheme="minorEastAsia" w:hAnsiTheme="minorHAnsi" w:cstheme="minorBidi"/>
          <w:sz w:val="22"/>
          <w:lang w:eastAsia="en-AU"/>
        </w:rPr>
      </w:pPr>
      <w:hyperlink w:anchor="_Toc440038446" w:history="1">
        <w:r w:rsidR="00F42A49" w:rsidRPr="00375216">
          <w:rPr>
            <w:rStyle w:val="Hyperlink"/>
          </w:rPr>
          <w:t>3.7</w:t>
        </w:r>
        <w:r w:rsidR="00F42A49">
          <w:rPr>
            <w:rFonts w:asciiTheme="minorHAnsi" w:eastAsiaTheme="minorEastAsia" w:hAnsiTheme="minorHAnsi" w:cstheme="minorBidi"/>
            <w:sz w:val="22"/>
            <w:lang w:eastAsia="en-AU"/>
          </w:rPr>
          <w:tab/>
        </w:r>
        <w:r w:rsidR="00F42A49" w:rsidRPr="00375216">
          <w:rPr>
            <w:rStyle w:val="Hyperlink"/>
          </w:rPr>
          <w:t>Community engagement</w:t>
        </w:r>
        <w:r w:rsidR="00F42A49">
          <w:rPr>
            <w:webHidden/>
          </w:rPr>
          <w:tab/>
        </w:r>
        <w:r w:rsidR="00F42A49">
          <w:rPr>
            <w:webHidden/>
          </w:rPr>
          <w:fldChar w:fldCharType="begin"/>
        </w:r>
        <w:r w:rsidR="00F42A49">
          <w:rPr>
            <w:webHidden/>
          </w:rPr>
          <w:instrText xml:space="preserve"> PAGEREF _Toc440038446 \h </w:instrText>
        </w:r>
        <w:r w:rsidR="00F42A49">
          <w:rPr>
            <w:webHidden/>
          </w:rPr>
        </w:r>
        <w:r w:rsidR="00F42A49">
          <w:rPr>
            <w:webHidden/>
          </w:rPr>
          <w:fldChar w:fldCharType="separate"/>
        </w:r>
        <w:r w:rsidR="00F42A49">
          <w:rPr>
            <w:webHidden/>
          </w:rPr>
          <w:t>71</w:t>
        </w:r>
        <w:r w:rsidR="00F42A49">
          <w:rPr>
            <w:webHidden/>
          </w:rPr>
          <w:fldChar w:fldCharType="end"/>
        </w:r>
      </w:hyperlink>
    </w:p>
    <w:p w14:paraId="2EBE28A5" w14:textId="77777777" w:rsidR="00F42A49" w:rsidRDefault="00AA7DC9">
      <w:pPr>
        <w:pStyle w:val="TOC2"/>
        <w:rPr>
          <w:rFonts w:asciiTheme="minorHAnsi" w:eastAsiaTheme="minorEastAsia" w:hAnsiTheme="minorHAnsi" w:cstheme="minorBidi"/>
          <w:sz w:val="22"/>
          <w:lang w:eastAsia="en-AU"/>
        </w:rPr>
      </w:pPr>
      <w:hyperlink w:anchor="_Toc440038447" w:history="1">
        <w:r w:rsidR="00F42A49" w:rsidRPr="00375216">
          <w:rPr>
            <w:rStyle w:val="Hyperlink"/>
          </w:rPr>
          <w:t>3.8</w:t>
        </w:r>
        <w:r w:rsidR="00F42A49">
          <w:rPr>
            <w:rFonts w:asciiTheme="minorHAnsi" w:eastAsiaTheme="minorEastAsia" w:hAnsiTheme="minorHAnsi" w:cstheme="minorBidi"/>
            <w:sz w:val="22"/>
            <w:lang w:eastAsia="en-AU"/>
          </w:rPr>
          <w:tab/>
        </w:r>
        <w:r w:rsidR="00F42A49" w:rsidRPr="00375216">
          <w:rPr>
            <w:rStyle w:val="Hyperlink"/>
          </w:rPr>
          <w:t>Cultural appropriateness and sensitivity</w:t>
        </w:r>
        <w:r w:rsidR="00F42A49">
          <w:rPr>
            <w:webHidden/>
          </w:rPr>
          <w:tab/>
        </w:r>
        <w:r w:rsidR="00F42A49">
          <w:rPr>
            <w:webHidden/>
          </w:rPr>
          <w:fldChar w:fldCharType="begin"/>
        </w:r>
        <w:r w:rsidR="00F42A49">
          <w:rPr>
            <w:webHidden/>
          </w:rPr>
          <w:instrText xml:space="preserve"> PAGEREF _Toc440038447 \h </w:instrText>
        </w:r>
        <w:r w:rsidR="00F42A49">
          <w:rPr>
            <w:webHidden/>
          </w:rPr>
        </w:r>
        <w:r w:rsidR="00F42A49">
          <w:rPr>
            <w:webHidden/>
          </w:rPr>
          <w:fldChar w:fldCharType="separate"/>
        </w:r>
        <w:r w:rsidR="00F42A49">
          <w:rPr>
            <w:webHidden/>
          </w:rPr>
          <w:t>77</w:t>
        </w:r>
        <w:r w:rsidR="00F42A49">
          <w:rPr>
            <w:webHidden/>
          </w:rPr>
          <w:fldChar w:fldCharType="end"/>
        </w:r>
      </w:hyperlink>
    </w:p>
    <w:p w14:paraId="2EBE28A6" w14:textId="77777777" w:rsidR="00F42A49" w:rsidRDefault="00AA7DC9">
      <w:pPr>
        <w:pStyle w:val="TOC2"/>
        <w:rPr>
          <w:rFonts w:asciiTheme="minorHAnsi" w:eastAsiaTheme="minorEastAsia" w:hAnsiTheme="minorHAnsi" w:cstheme="minorBidi"/>
          <w:sz w:val="22"/>
          <w:lang w:eastAsia="en-AU"/>
        </w:rPr>
      </w:pPr>
      <w:hyperlink w:anchor="_Toc440038448" w:history="1">
        <w:r w:rsidR="00F42A49" w:rsidRPr="00375216">
          <w:rPr>
            <w:rStyle w:val="Hyperlink"/>
          </w:rPr>
          <w:t>3.9</w:t>
        </w:r>
        <w:r w:rsidR="00F42A49">
          <w:rPr>
            <w:rFonts w:asciiTheme="minorHAnsi" w:eastAsiaTheme="minorEastAsia" w:hAnsiTheme="minorHAnsi" w:cstheme="minorBidi"/>
            <w:sz w:val="22"/>
            <w:lang w:eastAsia="en-AU"/>
          </w:rPr>
          <w:tab/>
        </w:r>
        <w:r w:rsidR="00F42A49" w:rsidRPr="00375216">
          <w:rPr>
            <w:rStyle w:val="Hyperlink"/>
          </w:rPr>
          <w:t>Flexibility and responsiveness</w:t>
        </w:r>
        <w:r w:rsidR="00F42A49">
          <w:rPr>
            <w:webHidden/>
          </w:rPr>
          <w:tab/>
        </w:r>
        <w:r w:rsidR="00F42A49">
          <w:rPr>
            <w:webHidden/>
          </w:rPr>
          <w:fldChar w:fldCharType="begin"/>
        </w:r>
        <w:r w:rsidR="00F42A49">
          <w:rPr>
            <w:webHidden/>
          </w:rPr>
          <w:instrText xml:space="preserve"> PAGEREF _Toc440038448 \h </w:instrText>
        </w:r>
        <w:r w:rsidR="00F42A49">
          <w:rPr>
            <w:webHidden/>
          </w:rPr>
        </w:r>
        <w:r w:rsidR="00F42A49">
          <w:rPr>
            <w:webHidden/>
          </w:rPr>
          <w:fldChar w:fldCharType="separate"/>
        </w:r>
        <w:r w:rsidR="00F42A49">
          <w:rPr>
            <w:webHidden/>
          </w:rPr>
          <w:t>79</w:t>
        </w:r>
        <w:r w:rsidR="00F42A49">
          <w:rPr>
            <w:webHidden/>
          </w:rPr>
          <w:fldChar w:fldCharType="end"/>
        </w:r>
      </w:hyperlink>
    </w:p>
    <w:p w14:paraId="2EBE28A7" w14:textId="77777777" w:rsidR="00F42A49" w:rsidRDefault="00AA7DC9">
      <w:pPr>
        <w:pStyle w:val="TOC2"/>
        <w:rPr>
          <w:rFonts w:asciiTheme="minorHAnsi" w:eastAsiaTheme="minorEastAsia" w:hAnsiTheme="minorHAnsi" w:cstheme="minorBidi"/>
          <w:sz w:val="22"/>
          <w:lang w:eastAsia="en-AU"/>
        </w:rPr>
      </w:pPr>
      <w:hyperlink w:anchor="_Toc440038449" w:history="1">
        <w:r w:rsidR="00F42A49" w:rsidRPr="00375216">
          <w:rPr>
            <w:rStyle w:val="Hyperlink"/>
          </w:rPr>
          <w:t>3.10</w:t>
        </w:r>
        <w:r w:rsidR="00F42A49">
          <w:rPr>
            <w:rFonts w:asciiTheme="minorHAnsi" w:eastAsiaTheme="minorEastAsia" w:hAnsiTheme="minorHAnsi" w:cstheme="minorBidi"/>
            <w:sz w:val="22"/>
            <w:lang w:eastAsia="en-AU"/>
          </w:rPr>
          <w:tab/>
        </w:r>
        <w:r w:rsidR="00F42A49" w:rsidRPr="00375216">
          <w:rPr>
            <w:rStyle w:val="Hyperlink"/>
          </w:rPr>
          <w:t>Staffing (including capacity building)</w:t>
        </w:r>
        <w:r w:rsidR="00F42A49">
          <w:rPr>
            <w:webHidden/>
          </w:rPr>
          <w:tab/>
        </w:r>
        <w:r w:rsidR="00F42A49">
          <w:rPr>
            <w:webHidden/>
          </w:rPr>
          <w:fldChar w:fldCharType="begin"/>
        </w:r>
        <w:r w:rsidR="00F42A49">
          <w:rPr>
            <w:webHidden/>
          </w:rPr>
          <w:instrText xml:space="preserve"> PAGEREF _Toc440038449 \h </w:instrText>
        </w:r>
        <w:r w:rsidR="00F42A49">
          <w:rPr>
            <w:webHidden/>
          </w:rPr>
        </w:r>
        <w:r w:rsidR="00F42A49">
          <w:rPr>
            <w:webHidden/>
          </w:rPr>
          <w:fldChar w:fldCharType="separate"/>
        </w:r>
        <w:r w:rsidR="00F42A49">
          <w:rPr>
            <w:webHidden/>
          </w:rPr>
          <w:t>79</w:t>
        </w:r>
        <w:r w:rsidR="00F42A49">
          <w:rPr>
            <w:webHidden/>
          </w:rPr>
          <w:fldChar w:fldCharType="end"/>
        </w:r>
      </w:hyperlink>
    </w:p>
    <w:p w14:paraId="2EBE28A8" w14:textId="77777777" w:rsidR="00F42A49" w:rsidRDefault="00AA7DC9">
      <w:pPr>
        <w:pStyle w:val="TOC2"/>
        <w:rPr>
          <w:rFonts w:asciiTheme="minorHAnsi" w:eastAsiaTheme="minorEastAsia" w:hAnsiTheme="minorHAnsi" w:cstheme="minorBidi"/>
          <w:sz w:val="22"/>
          <w:lang w:eastAsia="en-AU"/>
        </w:rPr>
      </w:pPr>
      <w:hyperlink w:anchor="_Toc440038450" w:history="1">
        <w:r w:rsidR="00F42A49" w:rsidRPr="00375216">
          <w:rPr>
            <w:rStyle w:val="Hyperlink"/>
          </w:rPr>
          <w:t>3.11</w:t>
        </w:r>
        <w:r w:rsidR="00F42A49">
          <w:rPr>
            <w:rFonts w:asciiTheme="minorHAnsi" w:eastAsiaTheme="minorEastAsia" w:hAnsiTheme="minorHAnsi" w:cstheme="minorBidi"/>
            <w:sz w:val="22"/>
            <w:lang w:eastAsia="en-AU"/>
          </w:rPr>
          <w:tab/>
        </w:r>
        <w:r w:rsidR="00F42A49" w:rsidRPr="00375216">
          <w:rPr>
            <w:rStyle w:val="Hyperlink"/>
          </w:rPr>
          <w:t>Systems and processes</w:t>
        </w:r>
        <w:r w:rsidR="00F42A49">
          <w:rPr>
            <w:webHidden/>
          </w:rPr>
          <w:tab/>
        </w:r>
        <w:r w:rsidR="00F42A49">
          <w:rPr>
            <w:webHidden/>
          </w:rPr>
          <w:fldChar w:fldCharType="begin"/>
        </w:r>
        <w:r w:rsidR="00F42A49">
          <w:rPr>
            <w:webHidden/>
          </w:rPr>
          <w:instrText xml:space="preserve"> PAGEREF _Toc440038450 \h </w:instrText>
        </w:r>
        <w:r w:rsidR="00F42A49">
          <w:rPr>
            <w:webHidden/>
          </w:rPr>
        </w:r>
        <w:r w:rsidR="00F42A49">
          <w:rPr>
            <w:webHidden/>
          </w:rPr>
          <w:fldChar w:fldCharType="separate"/>
        </w:r>
        <w:r w:rsidR="00F42A49">
          <w:rPr>
            <w:webHidden/>
          </w:rPr>
          <w:t>82</w:t>
        </w:r>
        <w:r w:rsidR="00F42A49">
          <w:rPr>
            <w:webHidden/>
          </w:rPr>
          <w:fldChar w:fldCharType="end"/>
        </w:r>
      </w:hyperlink>
    </w:p>
    <w:p w14:paraId="2EBE28A9" w14:textId="77777777" w:rsidR="00F42A49" w:rsidRDefault="00AA7DC9">
      <w:pPr>
        <w:pStyle w:val="TOC2"/>
        <w:rPr>
          <w:rFonts w:asciiTheme="minorHAnsi" w:eastAsiaTheme="minorEastAsia" w:hAnsiTheme="minorHAnsi" w:cstheme="minorBidi"/>
          <w:sz w:val="22"/>
          <w:lang w:eastAsia="en-AU"/>
        </w:rPr>
      </w:pPr>
      <w:hyperlink w:anchor="_Toc440038451" w:history="1">
        <w:r w:rsidR="00F42A49" w:rsidRPr="00375216">
          <w:rPr>
            <w:rStyle w:val="Hyperlink"/>
          </w:rPr>
          <w:t>3.12</w:t>
        </w:r>
        <w:r w:rsidR="00F42A49">
          <w:rPr>
            <w:rFonts w:asciiTheme="minorHAnsi" w:eastAsiaTheme="minorEastAsia" w:hAnsiTheme="minorHAnsi" w:cstheme="minorBidi"/>
            <w:sz w:val="22"/>
            <w:lang w:eastAsia="en-AU"/>
          </w:rPr>
          <w:tab/>
        </w:r>
        <w:r w:rsidR="00F42A49" w:rsidRPr="00375216">
          <w:rPr>
            <w:rStyle w:val="Hyperlink"/>
          </w:rPr>
          <w:t>Infrastructure</w:t>
        </w:r>
        <w:r w:rsidR="00F42A49">
          <w:rPr>
            <w:webHidden/>
          </w:rPr>
          <w:tab/>
        </w:r>
        <w:r w:rsidR="00F42A49">
          <w:rPr>
            <w:webHidden/>
          </w:rPr>
          <w:fldChar w:fldCharType="begin"/>
        </w:r>
        <w:r w:rsidR="00F42A49">
          <w:rPr>
            <w:webHidden/>
          </w:rPr>
          <w:instrText xml:space="preserve"> PAGEREF _Toc440038451 \h </w:instrText>
        </w:r>
        <w:r w:rsidR="00F42A49">
          <w:rPr>
            <w:webHidden/>
          </w:rPr>
        </w:r>
        <w:r w:rsidR="00F42A49">
          <w:rPr>
            <w:webHidden/>
          </w:rPr>
          <w:fldChar w:fldCharType="separate"/>
        </w:r>
        <w:r w:rsidR="00F42A49">
          <w:rPr>
            <w:webHidden/>
          </w:rPr>
          <w:t>84</w:t>
        </w:r>
        <w:r w:rsidR="00F42A49">
          <w:rPr>
            <w:webHidden/>
          </w:rPr>
          <w:fldChar w:fldCharType="end"/>
        </w:r>
      </w:hyperlink>
    </w:p>
    <w:p w14:paraId="2EBE28AA" w14:textId="77777777" w:rsidR="00F42A49" w:rsidRDefault="00AA7DC9">
      <w:pPr>
        <w:pStyle w:val="TOC2"/>
        <w:rPr>
          <w:rFonts w:asciiTheme="minorHAnsi" w:eastAsiaTheme="minorEastAsia" w:hAnsiTheme="minorHAnsi" w:cstheme="minorBidi"/>
          <w:sz w:val="22"/>
          <w:lang w:eastAsia="en-AU"/>
        </w:rPr>
      </w:pPr>
      <w:hyperlink w:anchor="_Toc440038452" w:history="1">
        <w:r w:rsidR="00F42A49" w:rsidRPr="00375216">
          <w:rPr>
            <w:rStyle w:val="Hyperlink"/>
          </w:rPr>
          <w:t>3.13</w:t>
        </w:r>
        <w:r w:rsidR="00F42A49">
          <w:rPr>
            <w:rFonts w:asciiTheme="minorHAnsi" w:eastAsiaTheme="minorEastAsia" w:hAnsiTheme="minorHAnsi" w:cstheme="minorBidi"/>
            <w:sz w:val="22"/>
            <w:lang w:eastAsia="en-AU"/>
          </w:rPr>
          <w:tab/>
        </w:r>
        <w:r w:rsidR="00F42A49" w:rsidRPr="00375216">
          <w:rPr>
            <w:rStyle w:val="Hyperlink"/>
          </w:rPr>
          <w:t>Service availability</w:t>
        </w:r>
        <w:r w:rsidR="00F42A49">
          <w:rPr>
            <w:webHidden/>
          </w:rPr>
          <w:tab/>
        </w:r>
        <w:r w:rsidR="00F42A49">
          <w:rPr>
            <w:webHidden/>
          </w:rPr>
          <w:fldChar w:fldCharType="begin"/>
        </w:r>
        <w:r w:rsidR="00F42A49">
          <w:rPr>
            <w:webHidden/>
          </w:rPr>
          <w:instrText xml:space="preserve"> PAGEREF _Toc440038452 \h </w:instrText>
        </w:r>
        <w:r w:rsidR="00F42A49">
          <w:rPr>
            <w:webHidden/>
          </w:rPr>
        </w:r>
        <w:r w:rsidR="00F42A49">
          <w:rPr>
            <w:webHidden/>
          </w:rPr>
          <w:fldChar w:fldCharType="separate"/>
        </w:r>
        <w:r w:rsidR="00F42A49">
          <w:rPr>
            <w:webHidden/>
          </w:rPr>
          <w:t>85</w:t>
        </w:r>
        <w:r w:rsidR="00F42A49">
          <w:rPr>
            <w:webHidden/>
          </w:rPr>
          <w:fldChar w:fldCharType="end"/>
        </w:r>
      </w:hyperlink>
    </w:p>
    <w:p w14:paraId="2EBE28AB" w14:textId="77777777" w:rsidR="00F42A49" w:rsidRDefault="00AA7DC9">
      <w:pPr>
        <w:pStyle w:val="TOC2"/>
        <w:rPr>
          <w:rFonts w:asciiTheme="minorHAnsi" w:eastAsiaTheme="minorEastAsia" w:hAnsiTheme="minorHAnsi" w:cstheme="minorBidi"/>
          <w:sz w:val="22"/>
          <w:lang w:eastAsia="en-AU"/>
        </w:rPr>
      </w:pPr>
      <w:hyperlink w:anchor="_Toc440038453" w:history="1">
        <w:r w:rsidR="00F42A49" w:rsidRPr="00375216">
          <w:rPr>
            <w:rStyle w:val="Hyperlink"/>
          </w:rPr>
          <w:t>3.14</w:t>
        </w:r>
        <w:r w:rsidR="00F42A49">
          <w:rPr>
            <w:rFonts w:asciiTheme="minorHAnsi" w:eastAsiaTheme="minorEastAsia" w:hAnsiTheme="minorHAnsi" w:cstheme="minorBidi"/>
            <w:sz w:val="22"/>
            <w:lang w:eastAsia="en-AU"/>
          </w:rPr>
          <w:tab/>
        </w:r>
        <w:r w:rsidR="00F42A49" w:rsidRPr="00375216">
          <w:rPr>
            <w:rStyle w:val="Hyperlink"/>
          </w:rPr>
          <w:t>Funding and costs</w:t>
        </w:r>
        <w:r w:rsidR="00F42A49">
          <w:rPr>
            <w:webHidden/>
          </w:rPr>
          <w:tab/>
        </w:r>
        <w:r w:rsidR="00F42A49">
          <w:rPr>
            <w:webHidden/>
          </w:rPr>
          <w:fldChar w:fldCharType="begin"/>
        </w:r>
        <w:r w:rsidR="00F42A49">
          <w:rPr>
            <w:webHidden/>
          </w:rPr>
          <w:instrText xml:space="preserve"> PAGEREF _Toc440038453 \h </w:instrText>
        </w:r>
        <w:r w:rsidR="00F42A49">
          <w:rPr>
            <w:webHidden/>
          </w:rPr>
        </w:r>
        <w:r w:rsidR="00F42A49">
          <w:rPr>
            <w:webHidden/>
          </w:rPr>
          <w:fldChar w:fldCharType="separate"/>
        </w:r>
        <w:r w:rsidR="00F42A49">
          <w:rPr>
            <w:webHidden/>
          </w:rPr>
          <w:t>85</w:t>
        </w:r>
        <w:r w:rsidR="00F42A49">
          <w:rPr>
            <w:webHidden/>
          </w:rPr>
          <w:fldChar w:fldCharType="end"/>
        </w:r>
      </w:hyperlink>
    </w:p>
    <w:p w14:paraId="2EBE28AC" w14:textId="77777777" w:rsidR="00F42A49" w:rsidRDefault="00AA7DC9">
      <w:pPr>
        <w:pStyle w:val="TOC2"/>
        <w:rPr>
          <w:rFonts w:asciiTheme="minorHAnsi" w:eastAsiaTheme="minorEastAsia" w:hAnsiTheme="minorHAnsi" w:cstheme="minorBidi"/>
          <w:sz w:val="22"/>
          <w:lang w:eastAsia="en-AU"/>
        </w:rPr>
      </w:pPr>
      <w:hyperlink w:anchor="_Toc440038454" w:history="1">
        <w:r w:rsidR="00F42A49" w:rsidRPr="00375216">
          <w:rPr>
            <w:rStyle w:val="Hyperlink"/>
          </w:rPr>
          <w:t>3.15</w:t>
        </w:r>
        <w:r w:rsidR="00F42A49">
          <w:rPr>
            <w:rFonts w:asciiTheme="minorHAnsi" w:eastAsiaTheme="minorEastAsia" w:hAnsiTheme="minorHAnsi" w:cstheme="minorBidi"/>
            <w:sz w:val="22"/>
            <w:lang w:eastAsia="en-AU"/>
          </w:rPr>
          <w:tab/>
        </w:r>
        <w:r w:rsidR="00F42A49" w:rsidRPr="00375216">
          <w:rPr>
            <w:rStyle w:val="Hyperlink"/>
          </w:rPr>
          <w:t>Service access and profile comparison</w:t>
        </w:r>
        <w:r w:rsidR="00F42A49">
          <w:rPr>
            <w:webHidden/>
          </w:rPr>
          <w:tab/>
        </w:r>
        <w:r w:rsidR="00F42A49">
          <w:rPr>
            <w:webHidden/>
          </w:rPr>
          <w:fldChar w:fldCharType="begin"/>
        </w:r>
        <w:r w:rsidR="00F42A49">
          <w:rPr>
            <w:webHidden/>
          </w:rPr>
          <w:instrText xml:space="preserve"> PAGEREF _Toc440038454 \h </w:instrText>
        </w:r>
        <w:r w:rsidR="00F42A49">
          <w:rPr>
            <w:webHidden/>
          </w:rPr>
        </w:r>
        <w:r w:rsidR="00F42A49">
          <w:rPr>
            <w:webHidden/>
          </w:rPr>
          <w:fldChar w:fldCharType="separate"/>
        </w:r>
        <w:r w:rsidR="00F42A49">
          <w:rPr>
            <w:webHidden/>
          </w:rPr>
          <w:t>87</w:t>
        </w:r>
        <w:r w:rsidR="00F42A49">
          <w:rPr>
            <w:webHidden/>
          </w:rPr>
          <w:fldChar w:fldCharType="end"/>
        </w:r>
      </w:hyperlink>
    </w:p>
    <w:p w14:paraId="2EBE28AD" w14:textId="77777777" w:rsidR="00F42A49" w:rsidRDefault="00AA7DC9">
      <w:pPr>
        <w:pStyle w:val="TOC2"/>
        <w:rPr>
          <w:rFonts w:asciiTheme="minorHAnsi" w:eastAsiaTheme="minorEastAsia" w:hAnsiTheme="minorHAnsi" w:cstheme="minorBidi"/>
          <w:sz w:val="22"/>
          <w:lang w:eastAsia="en-AU"/>
        </w:rPr>
      </w:pPr>
      <w:hyperlink w:anchor="_Toc440038455" w:history="1">
        <w:r w:rsidR="00F42A49" w:rsidRPr="00375216">
          <w:rPr>
            <w:rStyle w:val="Hyperlink"/>
          </w:rPr>
          <w:t>3.16</w:t>
        </w:r>
        <w:r w:rsidR="00F42A49">
          <w:rPr>
            <w:rFonts w:asciiTheme="minorHAnsi" w:eastAsiaTheme="minorEastAsia" w:hAnsiTheme="minorHAnsi" w:cstheme="minorBidi"/>
            <w:sz w:val="22"/>
            <w:lang w:eastAsia="en-AU"/>
          </w:rPr>
          <w:tab/>
        </w:r>
        <w:r w:rsidR="00F42A49" w:rsidRPr="00375216">
          <w:rPr>
            <w:rStyle w:val="Hyperlink"/>
          </w:rPr>
          <w:t xml:space="preserve">Single desk </w:t>
        </w:r>
        <w:r w:rsidR="00F42A49" w:rsidRPr="00375216">
          <w:rPr>
            <w:rStyle w:val="Hyperlink"/>
            <w:lang w:eastAsia="en-AU"/>
          </w:rPr>
          <w:t>officer trial</w:t>
        </w:r>
        <w:r w:rsidR="00F42A49">
          <w:rPr>
            <w:webHidden/>
          </w:rPr>
          <w:tab/>
        </w:r>
        <w:r w:rsidR="00F42A49">
          <w:rPr>
            <w:webHidden/>
          </w:rPr>
          <w:fldChar w:fldCharType="begin"/>
        </w:r>
        <w:r w:rsidR="00F42A49">
          <w:rPr>
            <w:webHidden/>
          </w:rPr>
          <w:instrText xml:space="preserve"> PAGEREF _Toc440038455 \h </w:instrText>
        </w:r>
        <w:r w:rsidR="00F42A49">
          <w:rPr>
            <w:webHidden/>
          </w:rPr>
        </w:r>
        <w:r w:rsidR="00F42A49">
          <w:rPr>
            <w:webHidden/>
          </w:rPr>
          <w:fldChar w:fldCharType="separate"/>
        </w:r>
        <w:r w:rsidR="00F42A49">
          <w:rPr>
            <w:webHidden/>
          </w:rPr>
          <w:t>88</w:t>
        </w:r>
        <w:r w:rsidR="00F42A49">
          <w:rPr>
            <w:webHidden/>
          </w:rPr>
          <w:fldChar w:fldCharType="end"/>
        </w:r>
      </w:hyperlink>
    </w:p>
    <w:p w14:paraId="2EBE28AE" w14:textId="77777777" w:rsidR="00F42A49" w:rsidRDefault="00AA7DC9">
      <w:pPr>
        <w:pStyle w:val="TOC2"/>
        <w:rPr>
          <w:rFonts w:asciiTheme="minorHAnsi" w:eastAsiaTheme="minorEastAsia" w:hAnsiTheme="minorHAnsi" w:cstheme="minorBidi"/>
          <w:sz w:val="22"/>
          <w:lang w:eastAsia="en-AU"/>
        </w:rPr>
      </w:pPr>
      <w:hyperlink w:anchor="_Toc440038456" w:history="1">
        <w:r w:rsidR="00F42A49" w:rsidRPr="00375216">
          <w:rPr>
            <w:rStyle w:val="Hyperlink"/>
          </w:rPr>
          <w:t>3.17</w:t>
        </w:r>
        <w:r w:rsidR="00F42A49">
          <w:rPr>
            <w:rFonts w:asciiTheme="minorHAnsi" w:eastAsiaTheme="minorEastAsia" w:hAnsiTheme="minorHAnsi" w:cstheme="minorBidi"/>
            <w:sz w:val="22"/>
            <w:lang w:eastAsia="en-AU"/>
          </w:rPr>
          <w:tab/>
        </w:r>
        <w:r w:rsidR="00F42A49" w:rsidRPr="00375216">
          <w:rPr>
            <w:rStyle w:val="Hyperlink"/>
          </w:rPr>
          <w:t>Summary of findings</w:t>
        </w:r>
        <w:r w:rsidR="00F42A49">
          <w:rPr>
            <w:webHidden/>
          </w:rPr>
          <w:tab/>
        </w:r>
        <w:r w:rsidR="00F42A49">
          <w:rPr>
            <w:webHidden/>
          </w:rPr>
          <w:fldChar w:fldCharType="begin"/>
        </w:r>
        <w:r w:rsidR="00F42A49">
          <w:rPr>
            <w:webHidden/>
          </w:rPr>
          <w:instrText xml:space="preserve"> PAGEREF _Toc440038456 \h </w:instrText>
        </w:r>
        <w:r w:rsidR="00F42A49">
          <w:rPr>
            <w:webHidden/>
          </w:rPr>
        </w:r>
        <w:r w:rsidR="00F42A49">
          <w:rPr>
            <w:webHidden/>
          </w:rPr>
          <w:fldChar w:fldCharType="separate"/>
        </w:r>
        <w:r w:rsidR="00F42A49">
          <w:rPr>
            <w:webHidden/>
          </w:rPr>
          <w:t>89</w:t>
        </w:r>
        <w:r w:rsidR="00F42A49">
          <w:rPr>
            <w:webHidden/>
          </w:rPr>
          <w:fldChar w:fldCharType="end"/>
        </w:r>
      </w:hyperlink>
    </w:p>
    <w:p w14:paraId="2EBE28AF"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57" w:history="1">
        <w:r w:rsidR="00F42A49" w:rsidRPr="00375216">
          <w:rPr>
            <w:rStyle w:val="Hyperlink"/>
          </w:rPr>
          <w:t>What Has Worked</w:t>
        </w:r>
        <w:r w:rsidR="00F42A49">
          <w:rPr>
            <w:webHidden/>
          </w:rPr>
          <w:tab/>
        </w:r>
        <w:r w:rsidR="00F42A49">
          <w:rPr>
            <w:webHidden/>
          </w:rPr>
          <w:fldChar w:fldCharType="begin"/>
        </w:r>
        <w:r w:rsidR="00F42A49">
          <w:rPr>
            <w:webHidden/>
          </w:rPr>
          <w:instrText xml:space="preserve"> PAGEREF _Toc440038457 \h </w:instrText>
        </w:r>
        <w:r w:rsidR="00F42A49">
          <w:rPr>
            <w:webHidden/>
          </w:rPr>
        </w:r>
        <w:r w:rsidR="00F42A49">
          <w:rPr>
            <w:webHidden/>
          </w:rPr>
          <w:fldChar w:fldCharType="separate"/>
        </w:r>
        <w:r w:rsidR="00F42A49">
          <w:rPr>
            <w:webHidden/>
          </w:rPr>
          <w:t>94</w:t>
        </w:r>
        <w:r w:rsidR="00F42A49">
          <w:rPr>
            <w:webHidden/>
          </w:rPr>
          <w:fldChar w:fldCharType="end"/>
        </w:r>
      </w:hyperlink>
    </w:p>
    <w:p w14:paraId="2EBE28B0" w14:textId="77777777" w:rsidR="00F42A49" w:rsidRDefault="00AA7DC9">
      <w:pPr>
        <w:pStyle w:val="TOC2"/>
        <w:rPr>
          <w:rFonts w:asciiTheme="minorHAnsi" w:eastAsiaTheme="minorEastAsia" w:hAnsiTheme="minorHAnsi" w:cstheme="minorBidi"/>
          <w:sz w:val="22"/>
          <w:lang w:eastAsia="en-AU"/>
        </w:rPr>
      </w:pPr>
      <w:hyperlink w:anchor="_Toc440038458" w:history="1">
        <w:r w:rsidR="00F42A49" w:rsidRPr="00375216">
          <w:rPr>
            <w:rStyle w:val="Hyperlink"/>
          </w:rPr>
          <w:t>4.1</w:t>
        </w:r>
        <w:r w:rsidR="00F42A49">
          <w:rPr>
            <w:rFonts w:asciiTheme="minorHAnsi" w:eastAsiaTheme="minorEastAsia" w:hAnsiTheme="minorHAnsi" w:cstheme="minorBidi"/>
            <w:sz w:val="22"/>
            <w:lang w:eastAsia="en-AU"/>
          </w:rPr>
          <w:tab/>
        </w:r>
        <w:r w:rsidR="00F42A49" w:rsidRPr="00375216">
          <w:rPr>
            <w:rStyle w:val="Hyperlink"/>
          </w:rPr>
          <w:t>What treatment approach works at the individual level?</w:t>
        </w:r>
        <w:r w:rsidR="00F42A49">
          <w:rPr>
            <w:webHidden/>
          </w:rPr>
          <w:tab/>
        </w:r>
        <w:r w:rsidR="00F42A49">
          <w:rPr>
            <w:webHidden/>
          </w:rPr>
          <w:fldChar w:fldCharType="begin"/>
        </w:r>
        <w:r w:rsidR="00F42A49">
          <w:rPr>
            <w:webHidden/>
          </w:rPr>
          <w:instrText xml:space="preserve"> PAGEREF _Toc440038458 \h </w:instrText>
        </w:r>
        <w:r w:rsidR="00F42A49">
          <w:rPr>
            <w:webHidden/>
          </w:rPr>
        </w:r>
        <w:r w:rsidR="00F42A49">
          <w:rPr>
            <w:webHidden/>
          </w:rPr>
          <w:fldChar w:fldCharType="separate"/>
        </w:r>
        <w:r w:rsidR="00F42A49">
          <w:rPr>
            <w:webHidden/>
          </w:rPr>
          <w:t>94</w:t>
        </w:r>
        <w:r w:rsidR="00F42A49">
          <w:rPr>
            <w:webHidden/>
          </w:rPr>
          <w:fldChar w:fldCharType="end"/>
        </w:r>
      </w:hyperlink>
    </w:p>
    <w:p w14:paraId="2EBE28B1" w14:textId="77777777" w:rsidR="00F42A49" w:rsidRDefault="00AA7DC9">
      <w:pPr>
        <w:pStyle w:val="TOC2"/>
        <w:rPr>
          <w:rFonts w:asciiTheme="minorHAnsi" w:eastAsiaTheme="minorEastAsia" w:hAnsiTheme="minorHAnsi" w:cstheme="minorBidi"/>
          <w:sz w:val="22"/>
          <w:lang w:eastAsia="en-AU"/>
        </w:rPr>
      </w:pPr>
      <w:hyperlink w:anchor="_Toc440038459" w:history="1">
        <w:r w:rsidR="00F42A49" w:rsidRPr="00375216">
          <w:rPr>
            <w:rStyle w:val="Hyperlink"/>
          </w:rPr>
          <w:t>4.2</w:t>
        </w:r>
        <w:r w:rsidR="00F42A49">
          <w:rPr>
            <w:rFonts w:asciiTheme="minorHAnsi" w:eastAsiaTheme="minorEastAsia" w:hAnsiTheme="minorHAnsi" w:cstheme="minorBidi"/>
            <w:sz w:val="22"/>
            <w:lang w:eastAsia="en-AU"/>
          </w:rPr>
          <w:tab/>
        </w:r>
        <w:r w:rsidR="00F42A49" w:rsidRPr="00375216">
          <w:rPr>
            <w:rStyle w:val="Hyperlink"/>
          </w:rPr>
          <w:t>Key success factors and challenges</w:t>
        </w:r>
        <w:r w:rsidR="00F42A49">
          <w:rPr>
            <w:webHidden/>
          </w:rPr>
          <w:tab/>
        </w:r>
        <w:r w:rsidR="00F42A49">
          <w:rPr>
            <w:webHidden/>
          </w:rPr>
          <w:fldChar w:fldCharType="begin"/>
        </w:r>
        <w:r w:rsidR="00F42A49">
          <w:rPr>
            <w:webHidden/>
          </w:rPr>
          <w:instrText xml:space="preserve"> PAGEREF _Toc440038459 \h </w:instrText>
        </w:r>
        <w:r w:rsidR="00F42A49">
          <w:rPr>
            <w:webHidden/>
          </w:rPr>
        </w:r>
        <w:r w:rsidR="00F42A49">
          <w:rPr>
            <w:webHidden/>
          </w:rPr>
          <w:fldChar w:fldCharType="separate"/>
        </w:r>
        <w:r w:rsidR="00F42A49">
          <w:rPr>
            <w:webHidden/>
          </w:rPr>
          <w:t>96</w:t>
        </w:r>
        <w:r w:rsidR="00F42A49">
          <w:rPr>
            <w:webHidden/>
          </w:rPr>
          <w:fldChar w:fldCharType="end"/>
        </w:r>
      </w:hyperlink>
    </w:p>
    <w:p w14:paraId="2EBE28B2" w14:textId="77777777" w:rsidR="00F42A49" w:rsidRDefault="00AA7DC9">
      <w:pPr>
        <w:pStyle w:val="TOC2"/>
        <w:rPr>
          <w:rFonts w:asciiTheme="minorHAnsi" w:eastAsiaTheme="minorEastAsia" w:hAnsiTheme="minorHAnsi" w:cstheme="minorBidi"/>
          <w:sz w:val="22"/>
          <w:lang w:eastAsia="en-AU"/>
        </w:rPr>
      </w:pPr>
      <w:hyperlink w:anchor="_Toc440038460" w:history="1">
        <w:r w:rsidR="00F42A49" w:rsidRPr="00375216">
          <w:rPr>
            <w:rStyle w:val="Hyperlink"/>
          </w:rPr>
          <w:t>4.3</w:t>
        </w:r>
        <w:r w:rsidR="00F42A49">
          <w:rPr>
            <w:rFonts w:asciiTheme="minorHAnsi" w:eastAsiaTheme="minorEastAsia" w:hAnsiTheme="minorHAnsi" w:cstheme="minorBidi"/>
            <w:sz w:val="22"/>
            <w:lang w:eastAsia="en-AU"/>
          </w:rPr>
          <w:tab/>
        </w:r>
        <w:r w:rsidR="00F42A49" w:rsidRPr="00375216">
          <w:rPr>
            <w:rStyle w:val="Hyperlink"/>
          </w:rPr>
          <w:t>Opportunities for improvement</w:t>
        </w:r>
        <w:r w:rsidR="00F42A49">
          <w:rPr>
            <w:webHidden/>
          </w:rPr>
          <w:tab/>
        </w:r>
        <w:r w:rsidR="00F42A49">
          <w:rPr>
            <w:webHidden/>
          </w:rPr>
          <w:fldChar w:fldCharType="begin"/>
        </w:r>
        <w:r w:rsidR="00F42A49">
          <w:rPr>
            <w:webHidden/>
          </w:rPr>
          <w:instrText xml:space="preserve"> PAGEREF _Toc440038460 \h </w:instrText>
        </w:r>
        <w:r w:rsidR="00F42A49">
          <w:rPr>
            <w:webHidden/>
          </w:rPr>
        </w:r>
        <w:r w:rsidR="00F42A49">
          <w:rPr>
            <w:webHidden/>
          </w:rPr>
          <w:fldChar w:fldCharType="separate"/>
        </w:r>
        <w:r w:rsidR="00F42A49">
          <w:rPr>
            <w:webHidden/>
          </w:rPr>
          <w:t>99</w:t>
        </w:r>
        <w:r w:rsidR="00F42A49">
          <w:rPr>
            <w:webHidden/>
          </w:rPr>
          <w:fldChar w:fldCharType="end"/>
        </w:r>
      </w:hyperlink>
    </w:p>
    <w:p w14:paraId="2EBE28B3"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61" w:history="1">
        <w:r w:rsidR="00F42A49" w:rsidRPr="00375216">
          <w:rPr>
            <w:rStyle w:val="Hyperlink"/>
          </w:rPr>
          <w:t>Future Direction</w:t>
        </w:r>
        <w:r w:rsidR="00F42A49">
          <w:rPr>
            <w:webHidden/>
          </w:rPr>
          <w:tab/>
        </w:r>
        <w:r w:rsidR="00F42A49">
          <w:rPr>
            <w:webHidden/>
          </w:rPr>
          <w:fldChar w:fldCharType="begin"/>
        </w:r>
        <w:r w:rsidR="00F42A49">
          <w:rPr>
            <w:webHidden/>
          </w:rPr>
          <w:instrText xml:space="preserve"> PAGEREF _Toc440038461 \h </w:instrText>
        </w:r>
        <w:r w:rsidR="00F42A49">
          <w:rPr>
            <w:webHidden/>
          </w:rPr>
        </w:r>
        <w:r w:rsidR="00F42A49">
          <w:rPr>
            <w:webHidden/>
          </w:rPr>
          <w:fldChar w:fldCharType="separate"/>
        </w:r>
        <w:r w:rsidR="00F42A49">
          <w:rPr>
            <w:webHidden/>
          </w:rPr>
          <w:t>102</w:t>
        </w:r>
        <w:r w:rsidR="00F42A49">
          <w:rPr>
            <w:webHidden/>
          </w:rPr>
          <w:fldChar w:fldCharType="end"/>
        </w:r>
      </w:hyperlink>
    </w:p>
    <w:p w14:paraId="2EBE28B4" w14:textId="77777777" w:rsidR="00F42A49" w:rsidRDefault="00AA7DC9">
      <w:pPr>
        <w:pStyle w:val="TOC2"/>
        <w:rPr>
          <w:rFonts w:asciiTheme="minorHAnsi" w:eastAsiaTheme="minorEastAsia" w:hAnsiTheme="minorHAnsi" w:cstheme="minorBidi"/>
          <w:sz w:val="22"/>
          <w:lang w:eastAsia="en-AU"/>
        </w:rPr>
      </w:pPr>
      <w:hyperlink w:anchor="_Toc440038462" w:history="1">
        <w:r w:rsidR="00F42A49" w:rsidRPr="00375216">
          <w:rPr>
            <w:rStyle w:val="Hyperlink"/>
          </w:rPr>
          <w:t>5.1</w:t>
        </w:r>
        <w:r w:rsidR="00F42A49">
          <w:rPr>
            <w:rFonts w:asciiTheme="minorHAnsi" w:eastAsiaTheme="minorEastAsia" w:hAnsiTheme="minorHAnsi" w:cstheme="minorBidi"/>
            <w:sz w:val="22"/>
            <w:lang w:eastAsia="en-AU"/>
          </w:rPr>
          <w:tab/>
        </w:r>
        <w:r w:rsidR="00F42A49" w:rsidRPr="00375216">
          <w:rPr>
            <w:rStyle w:val="Hyperlink"/>
          </w:rPr>
          <w:t>What has been learnt from the WBC evaluation?</w:t>
        </w:r>
        <w:r w:rsidR="00F42A49">
          <w:rPr>
            <w:webHidden/>
          </w:rPr>
          <w:tab/>
        </w:r>
        <w:r w:rsidR="00F42A49">
          <w:rPr>
            <w:webHidden/>
          </w:rPr>
          <w:fldChar w:fldCharType="begin"/>
        </w:r>
        <w:r w:rsidR="00F42A49">
          <w:rPr>
            <w:webHidden/>
          </w:rPr>
          <w:instrText xml:space="preserve"> PAGEREF _Toc440038462 \h </w:instrText>
        </w:r>
        <w:r w:rsidR="00F42A49">
          <w:rPr>
            <w:webHidden/>
          </w:rPr>
        </w:r>
        <w:r w:rsidR="00F42A49">
          <w:rPr>
            <w:webHidden/>
          </w:rPr>
          <w:fldChar w:fldCharType="separate"/>
        </w:r>
        <w:r w:rsidR="00F42A49">
          <w:rPr>
            <w:webHidden/>
          </w:rPr>
          <w:t>102</w:t>
        </w:r>
        <w:r w:rsidR="00F42A49">
          <w:rPr>
            <w:webHidden/>
          </w:rPr>
          <w:fldChar w:fldCharType="end"/>
        </w:r>
      </w:hyperlink>
    </w:p>
    <w:p w14:paraId="2EBE28B5" w14:textId="77777777" w:rsidR="00F42A49" w:rsidRDefault="00AA7DC9">
      <w:pPr>
        <w:pStyle w:val="TOC2"/>
        <w:rPr>
          <w:rFonts w:asciiTheme="minorHAnsi" w:eastAsiaTheme="minorEastAsia" w:hAnsiTheme="minorHAnsi" w:cstheme="minorBidi"/>
          <w:sz w:val="22"/>
          <w:lang w:eastAsia="en-AU"/>
        </w:rPr>
      </w:pPr>
      <w:hyperlink w:anchor="_Toc440038463" w:history="1">
        <w:r w:rsidR="00F42A49" w:rsidRPr="00375216">
          <w:rPr>
            <w:rStyle w:val="Hyperlink"/>
          </w:rPr>
          <w:t>5.2</w:t>
        </w:r>
        <w:r w:rsidR="00F42A49">
          <w:rPr>
            <w:rFonts w:asciiTheme="minorHAnsi" w:eastAsiaTheme="minorEastAsia" w:hAnsiTheme="minorHAnsi" w:cstheme="minorBidi"/>
            <w:sz w:val="22"/>
            <w:lang w:eastAsia="en-AU"/>
          </w:rPr>
          <w:tab/>
        </w:r>
        <w:r w:rsidR="00F42A49" w:rsidRPr="00375216">
          <w:rPr>
            <w:rStyle w:val="Hyperlink"/>
          </w:rPr>
          <w:t>What are the alternate approaches?</w:t>
        </w:r>
        <w:r w:rsidR="00F42A49">
          <w:rPr>
            <w:webHidden/>
          </w:rPr>
          <w:tab/>
        </w:r>
        <w:r w:rsidR="00F42A49">
          <w:rPr>
            <w:webHidden/>
          </w:rPr>
          <w:fldChar w:fldCharType="begin"/>
        </w:r>
        <w:r w:rsidR="00F42A49">
          <w:rPr>
            <w:webHidden/>
          </w:rPr>
          <w:instrText xml:space="preserve"> PAGEREF _Toc440038463 \h </w:instrText>
        </w:r>
        <w:r w:rsidR="00F42A49">
          <w:rPr>
            <w:webHidden/>
          </w:rPr>
        </w:r>
        <w:r w:rsidR="00F42A49">
          <w:rPr>
            <w:webHidden/>
          </w:rPr>
          <w:fldChar w:fldCharType="separate"/>
        </w:r>
        <w:r w:rsidR="00F42A49">
          <w:rPr>
            <w:webHidden/>
          </w:rPr>
          <w:t>103</w:t>
        </w:r>
        <w:r w:rsidR="00F42A49">
          <w:rPr>
            <w:webHidden/>
          </w:rPr>
          <w:fldChar w:fldCharType="end"/>
        </w:r>
      </w:hyperlink>
    </w:p>
    <w:p w14:paraId="2EBE28B6" w14:textId="77777777" w:rsidR="00F42A49" w:rsidRDefault="00AA7DC9">
      <w:pPr>
        <w:pStyle w:val="TOC2"/>
        <w:rPr>
          <w:rFonts w:asciiTheme="minorHAnsi" w:eastAsiaTheme="minorEastAsia" w:hAnsiTheme="minorHAnsi" w:cstheme="minorBidi"/>
          <w:sz w:val="22"/>
          <w:lang w:eastAsia="en-AU"/>
        </w:rPr>
      </w:pPr>
      <w:hyperlink w:anchor="_Toc440038464" w:history="1">
        <w:r w:rsidR="00F42A49" w:rsidRPr="00375216">
          <w:rPr>
            <w:rStyle w:val="Hyperlink"/>
          </w:rPr>
          <w:t>5.3</w:t>
        </w:r>
        <w:r w:rsidR="00F42A49">
          <w:rPr>
            <w:rFonts w:asciiTheme="minorHAnsi" w:eastAsiaTheme="minorEastAsia" w:hAnsiTheme="minorHAnsi" w:cstheme="minorBidi"/>
            <w:sz w:val="22"/>
            <w:lang w:eastAsia="en-AU"/>
          </w:rPr>
          <w:tab/>
        </w:r>
        <w:r w:rsidR="00F42A49" w:rsidRPr="00375216">
          <w:rPr>
            <w:rStyle w:val="Hyperlink"/>
          </w:rPr>
          <w:t>Rolling out SEWB services</w:t>
        </w:r>
        <w:r w:rsidR="00F42A49">
          <w:rPr>
            <w:webHidden/>
          </w:rPr>
          <w:tab/>
        </w:r>
        <w:r w:rsidR="00F42A49">
          <w:rPr>
            <w:webHidden/>
          </w:rPr>
          <w:fldChar w:fldCharType="begin"/>
        </w:r>
        <w:r w:rsidR="00F42A49">
          <w:rPr>
            <w:webHidden/>
          </w:rPr>
          <w:instrText xml:space="preserve"> PAGEREF _Toc440038464 \h </w:instrText>
        </w:r>
        <w:r w:rsidR="00F42A49">
          <w:rPr>
            <w:webHidden/>
          </w:rPr>
        </w:r>
        <w:r w:rsidR="00F42A49">
          <w:rPr>
            <w:webHidden/>
          </w:rPr>
          <w:fldChar w:fldCharType="separate"/>
        </w:r>
        <w:r w:rsidR="00F42A49">
          <w:rPr>
            <w:webHidden/>
          </w:rPr>
          <w:t>106</w:t>
        </w:r>
        <w:r w:rsidR="00F42A49">
          <w:rPr>
            <w:webHidden/>
          </w:rPr>
          <w:fldChar w:fldCharType="end"/>
        </w:r>
      </w:hyperlink>
    </w:p>
    <w:p w14:paraId="2EBE28B7" w14:textId="77777777" w:rsidR="00F42A49" w:rsidRDefault="00AA7DC9">
      <w:pPr>
        <w:pStyle w:val="TOC2"/>
        <w:rPr>
          <w:rFonts w:asciiTheme="minorHAnsi" w:eastAsiaTheme="minorEastAsia" w:hAnsiTheme="minorHAnsi" w:cstheme="minorBidi"/>
          <w:sz w:val="22"/>
          <w:lang w:eastAsia="en-AU"/>
        </w:rPr>
      </w:pPr>
      <w:hyperlink w:anchor="_Toc440038465" w:history="1">
        <w:r w:rsidR="00F42A49" w:rsidRPr="00375216">
          <w:rPr>
            <w:rStyle w:val="Hyperlink"/>
          </w:rPr>
          <w:t>5.4</w:t>
        </w:r>
        <w:r w:rsidR="00F42A49">
          <w:rPr>
            <w:rFonts w:asciiTheme="minorHAnsi" w:eastAsiaTheme="minorEastAsia" w:hAnsiTheme="minorHAnsi" w:cstheme="minorBidi"/>
            <w:sz w:val="22"/>
            <w:lang w:eastAsia="en-AU"/>
          </w:rPr>
          <w:tab/>
        </w:r>
        <w:r w:rsidR="00F42A49" w:rsidRPr="00375216">
          <w:rPr>
            <w:rStyle w:val="Hyperlink"/>
          </w:rPr>
          <w:t>Where to from here for the cape York WBCs</w:t>
        </w:r>
        <w:r w:rsidR="00F42A49">
          <w:rPr>
            <w:webHidden/>
          </w:rPr>
          <w:tab/>
        </w:r>
        <w:r w:rsidR="00F42A49">
          <w:rPr>
            <w:webHidden/>
          </w:rPr>
          <w:fldChar w:fldCharType="begin"/>
        </w:r>
        <w:r w:rsidR="00F42A49">
          <w:rPr>
            <w:webHidden/>
          </w:rPr>
          <w:instrText xml:space="preserve"> PAGEREF _Toc440038465 \h </w:instrText>
        </w:r>
        <w:r w:rsidR="00F42A49">
          <w:rPr>
            <w:webHidden/>
          </w:rPr>
        </w:r>
        <w:r w:rsidR="00F42A49">
          <w:rPr>
            <w:webHidden/>
          </w:rPr>
          <w:fldChar w:fldCharType="separate"/>
        </w:r>
        <w:r w:rsidR="00F42A49">
          <w:rPr>
            <w:webHidden/>
          </w:rPr>
          <w:t>107</w:t>
        </w:r>
        <w:r w:rsidR="00F42A49">
          <w:rPr>
            <w:webHidden/>
          </w:rPr>
          <w:fldChar w:fldCharType="end"/>
        </w:r>
      </w:hyperlink>
    </w:p>
    <w:p w14:paraId="2EBE28B8" w14:textId="77777777" w:rsidR="00F42A49" w:rsidRDefault="00AA7DC9">
      <w:pPr>
        <w:pStyle w:val="TOC1"/>
        <w:rPr>
          <w:rFonts w:asciiTheme="minorHAnsi" w:eastAsiaTheme="minorEastAsia" w:hAnsiTheme="minorHAnsi" w:cstheme="minorBidi"/>
          <w:b w:val="0"/>
          <w:smallCaps w:val="0"/>
          <w:color w:val="auto"/>
          <w:spacing w:val="0"/>
          <w:sz w:val="22"/>
          <w:lang w:eastAsia="en-AU"/>
        </w:rPr>
      </w:pPr>
      <w:hyperlink w:anchor="_Toc440038466" w:history="1">
        <w:r w:rsidR="00F42A49" w:rsidRPr="00375216">
          <w:rPr>
            <w:rStyle w:val="Hyperlink"/>
          </w:rPr>
          <w:t>Appendices</w:t>
        </w:r>
        <w:r w:rsidR="00F42A49">
          <w:rPr>
            <w:webHidden/>
          </w:rPr>
          <w:tab/>
        </w:r>
        <w:r w:rsidR="00F42A49">
          <w:rPr>
            <w:webHidden/>
          </w:rPr>
          <w:fldChar w:fldCharType="begin"/>
        </w:r>
        <w:r w:rsidR="00F42A49">
          <w:rPr>
            <w:webHidden/>
          </w:rPr>
          <w:instrText xml:space="preserve"> PAGEREF _Toc440038466 \h </w:instrText>
        </w:r>
        <w:r w:rsidR="00F42A49">
          <w:rPr>
            <w:webHidden/>
          </w:rPr>
        </w:r>
        <w:r w:rsidR="00F42A49">
          <w:rPr>
            <w:webHidden/>
          </w:rPr>
          <w:fldChar w:fldCharType="separate"/>
        </w:r>
        <w:r w:rsidR="00F42A49">
          <w:rPr>
            <w:webHidden/>
          </w:rPr>
          <w:t>110</w:t>
        </w:r>
        <w:r w:rsidR="00F42A49">
          <w:rPr>
            <w:webHidden/>
          </w:rPr>
          <w:fldChar w:fldCharType="end"/>
        </w:r>
      </w:hyperlink>
    </w:p>
    <w:p w14:paraId="2EBE28B9" w14:textId="77777777" w:rsidR="00F90EFD" w:rsidRDefault="00CE04E7" w:rsidP="00F90EFD">
      <w:pPr>
        <w:rPr>
          <w:noProof/>
        </w:rPr>
      </w:pPr>
      <w:r>
        <w:rPr>
          <w:rFonts w:eastAsia="Times New Roman" w:cs="Segoe UI"/>
          <w:b/>
          <w:noProof/>
          <w:color w:val="3471B8"/>
          <w:spacing w:val="20"/>
          <w:szCs w:val="22"/>
        </w:rPr>
        <w:fldChar w:fldCharType="end"/>
      </w:r>
      <w:r w:rsidR="00F90EFD">
        <w:rPr>
          <w:noProof/>
        </w:rPr>
        <w:br w:type="page"/>
      </w:r>
    </w:p>
    <w:p w14:paraId="2EBE28BA" w14:textId="77777777" w:rsidR="005434D7" w:rsidRPr="00F90EFD" w:rsidRDefault="005434D7" w:rsidP="00F90EFD">
      <w:pPr>
        <w:pStyle w:val="ChLetter"/>
      </w:pPr>
      <w:r>
        <w:lastRenderedPageBreak/>
        <w:t>T</w:t>
      </w:r>
    </w:p>
    <w:p w14:paraId="2EBE28BB" w14:textId="77777777" w:rsidR="005434D7" w:rsidRDefault="005434D7" w:rsidP="00BC0A26">
      <w:pPr>
        <w:pStyle w:val="Heading1"/>
        <w:numPr>
          <w:ilvl w:val="0"/>
          <w:numId w:val="0"/>
        </w:numPr>
        <w:ind w:left="432"/>
      </w:pPr>
      <w:bookmarkStart w:id="3" w:name="_Toc364010436"/>
      <w:bookmarkStart w:id="4" w:name="_Toc364024275"/>
      <w:bookmarkStart w:id="5" w:name="_Toc364024882"/>
      <w:bookmarkStart w:id="6" w:name="_Toc364097180"/>
      <w:bookmarkStart w:id="7" w:name="_Toc372286123"/>
      <w:bookmarkStart w:id="8" w:name="_Toc440038415"/>
      <w:r>
        <w:t>Tables</w:t>
      </w:r>
      <w:bookmarkEnd w:id="3"/>
      <w:bookmarkEnd w:id="4"/>
      <w:bookmarkEnd w:id="5"/>
      <w:bookmarkEnd w:id="6"/>
      <w:bookmarkEnd w:id="7"/>
      <w:bookmarkEnd w:id="8"/>
    </w:p>
    <w:p w14:paraId="2EBE28BC" w14:textId="77777777" w:rsidR="006F13CF" w:rsidRDefault="005434D7"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r w:rsidRPr="00797AAF">
        <w:rPr>
          <w:rStyle w:val="Hyperlink"/>
        </w:rPr>
        <w:fldChar w:fldCharType="begin"/>
      </w:r>
      <w:r w:rsidRPr="00797AAF">
        <w:rPr>
          <w:rStyle w:val="Hyperlink"/>
        </w:rPr>
        <w:instrText xml:space="preserve"> TOC \h \z \t "TableCaption,1" \c "Table" </w:instrText>
      </w:r>
      <w:r w:rsidRPr="00797AAF">
        <w:rPr>
          <w:rStyle w:val="Hyperlink"/>
        </w:rPr>
        <w:fldChar w:fldCharType="separate"/>
      </w:r>
      <w:hyperlink w:anchor="_Toc392686426" w:history="1">
        <w:r w:rsidR="006F13CF" w:rsidRPr="00505234">
          <w:rPr>
            <w:rStyle w:val="Hyperlink"/>
            <w:noProof/>
          </w:rPr>
          <w:t>Table 1.1: Sequence and purpose of evaluation reports</w:t>
        </w:r>
        <w:r w:rsidR="006F13CF">
          <w:rPr>
            <w:noProof/>
            <w:webHidden/>
          </w:rPr>
          <w:tab/>
        </w:r>
        <w:r w:rsidR="006F13CF">
          <w:rPr>
            <w:noProof/>
            <w:webHidden/>
          </w:rPr>
          <w:fldChar w:fldCharType="begin"/>
        </w:r>
        <w:r w:rsidR="006F13CF">
          <w:rPr>
            <w:noProof/>
            <w:webHidden/>
          </w:rPr>
          <w:instrText xml:space="preserve"> PAGEREF _Toc392686426 \h </w:instrText>
        </w:r>
        <w:r w:rsidR="006F13CF">
          <w:rPr>
            <w:noProof/>
            <w:webHidden/>
          </w:rPr>
        </w:r>
        <w:r w:rsidR="006F13CF">
          <w:rPr>
            <w:noProof/>
            <w:webHidden/>
          </w:rPr>
          <w:fldChar w:fldCharType="separate"/>
        </w:r>
        <w:r w:rsidR="009A19EB">
          <w:rPr>
            <w:noProof/>
            <w:webHidden/>
          </w:rPr>
          <w:t>14</w:t>
        </w:r>
        <w:r w:rsidR="006F13CF">
          <w:rPr>
            <w:noProof/>
            <w:webHidden/>
          </w:rPr>
          <w:fldChar w:fldCharType="end"/>
        </w:r>
      </w:hyperlink>
    </w:p>
    <w:p w14:paraId="2EBE28BD"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27" w:history="1">
        <w:r w:rsidR="006F13CF" w:rsidRPr="00505234">
          <w:rPr>
            <w:rStyle w:val="Hyperlink"/>
            <w:noProof/>
          </w:rPr>
          <w:t>Table 1.2: Key evaluation questions by domain</w:t>
        </w:r>
        <w:r w:rsidR="006F13CF">
          <w:rPr>
            <w:noProof/>
            <w:webHidden/>
          </w:rPr>
          <w:tab/>
        </w:r>
        <w:r w:rsidR="006F13CF">
          <w:rPr>
            <w:noProof/>
            <w:webHidden/>
          </w:rPr>
          <w:fldChar w:fldCharType="begin"/>
        </w:r>
        <w:r w:rsidR="006F13CF">
          <w:rPr>
            <w:noProof/>
            <w:webHidden/>
          </w:rPr>
          <w:instrText xml:space="preserve"> PAGEREF _Toc392686427 \h </w:instrText>
        </w:r>
        <w:r w:rsidR="006F13CF">
          <w:rPr>
            <w:noProof/>
            <w:webHidden/>
          </w:rPr>
        </w:r>
        <w:r w:rsidR="006F13CF">
          <w:rPr>
            <w:noProof/>
            <w:webHidden/>
          </w:rPr>
          <w:fldChar w:fldCharType="separate"/>
        </w:r>
        <w:r w:rsidR="009A19EB">
          <w:rPr>
            <w:noProof/>
            <w:webHidden/>
          </w:rPr>
          <w:t>15</w:t>
        </w:r>
        <w:r w:rsidR="006F13CF">
          <w:rPr>
            <w:noProof/>
            <w:webHidden/>
          </w:rPr>
          <w:fldChar w:fldCharType="end"/>
        </w:r>
      </w:hyperlink>
    </w:p>
    <w:p w14:paraId="2EBE28BE"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28" w:history="1">
        <w:r w:rsidR="006F13CF" w:rsidRPr="00505234">
          <w:rPr>
            <w:rStyle w:val="Hyperlink"/>
            <w:noProof/>
          </w:rPr>
          <w:t>Table 1.3: Report Structure</w:t>
        </w:r>
        <w:r w:rsidR="006F13CF">
          <w:rPr>
            <w:noProof/>
            <w:webHidden/>
          </w:rPr>
          <w:tab/>
        </w:r>
        <w:r w:rsidR="006F13CF">
          <w:rPr>
            <w:noProof/>
            <w:webHidden/>
          </w:rPr>
          <w:fldChar w:fldCharType="begin"/>
        </w:r>
        <w:r w:rsidR="006F13CF">
          <w:rPr>
            <w:noProof/>
            <w:webHidden/>
          </w:rPr>
          <w:instrText xml:space="preserve"> PAGEREF _Toc392686428 \h </w:instrText>
        </w:r>
        <w:r w:rsidR="006F13CF">
          <w:rPr>
            <w:noProof/>
            <w:webHidden/>
          </w:rPr>
        </w:r>
        <w:r w:rsidR="006F13CF">
          <w:rPr>
            <w:noProof/>
            <w:webHidden/>
          </w:rPr>
          <w:fldChar w:fldCharType="separate"/>
        </w:r>
        <w:r w:rsidR="009A19EB">
          <w:rPr>
            <w:noProof/>
            <w:webHidden/>
          </w:rPr>
          <w:t>20</w:t>
        </w:r>
        <w:r w:rsidR="006F13CF">
          <w:rPr>
            <w:noProof/>
            <w:webHidden/>
          </w:rPr>
          <w:fldChar w:fldCharType="end"/>
        </w:r>
      </w:hyperlink>
    </w:p>
    <w:p w14:paraId="2EBE28BF"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29" w:history="1">
        <w:r w:rsidR="006F13CF" w:rsidRPr="00505234">
          <w:rPr>
            <w:rStyle w:val="Hyperlink"/>
            <w:noProof/>
          </w:rPr>
          <w:t>Table 2.1: Statistical summary of changes in AUDIT, SDS and IRIS scores</w:t>
        </w:r>
        <w:r w:rsidR="006F13CF">
          <w:rPr>
            <w:noProof/>
            <w:webHidden/>
          </w:rPr>
          <w:tab/>
        </w:r>
        <w:r w:rsidR="006F13CF">
          <w:rPr>
            <w:noProof/>
            <w:webHidden/>
          </w:rPr>
          <w:fldChar w:fldCharType="begin"/>
        </w:r>
        <w:r w:rsidR="006F13CF">
          <w:rPr>
            <w:noProof/>
            <w:webHidden/>
          </w:rPr>
          <w:instrText xml:space="preserve"> PAGEREF _Toc392686429 \h </w:instrText>
        </w:r>
        <w:r w:rsidR="006F13CF">
          <w:rPr>
            <w:noProof/>
            <w:webHidden/>
          </w:rPr>
        </w:r>
        <w:r w:rsidR="006F13CF">
          <w:rPr>
            <w:noProof/>
            <w:webHidden/>
          </w:rPr>
          <w:fldChar w:fldCharType="separate"/>
        </w:r>
        <w:r w:rsidR="009A19EB">
          <w:rPr>
            <w:noProof/>
            <w:webHidden/>
          </w:rPr>
          <w:t>25</w:t>
        </w:r>
        <w:r w:rsidR="006F13CF">
          <w:rPr>
            <w:noProof/>
            <w:webHidden/>
          </w:rPr>
          <w:fldChar w:fldCharType="end"/>
        </w:r>
      </w:hyperlink>
    </w:p>
    <w:p w14:paraId="2EBE28C0"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0" w:history="1">
        <w:r w:rsidR="006F13CF" w:rsidRPr="00505234">
          <w:rPr>
            <w:rStyle w:val="Hyperlink"/>
            <w:noProof/>
          </w:rPr>
          <w:t>Table 2.2: Annual changes in charges resulting in a conviction for breaches of sections 168B and 168C of the Liquor Act, 1992</w:t>
        </w:r>
        <w:r w:rsidR="006F13CF">
          <w:rPr>
            <w:noProof/>
            <w:webHidden/>
          </w:rPr>
          <w:tab/>
        </w:r>
        <w:r w:rsidR="006F13CF">
          <w:rPr>
            <w:noProof/>
            <w:webHidden/>
          </w:rPr>
          <w:fldChar w:fldCharType="begin"/>
        </w:r>
        <w:r w:rsidR="006F13CF">
          <w:rPr>
            <w:noProof/>
            <w:webHidden/>
          </w:rPr>
          <w:instrText xml:space="preserve"> PAGEREF _Toc392686430 \h </w:instrText>
        </w:r>
        <w:r w:rsidR="006F13CF">
          <w:rPr>
            <w:noProof/>
            <w:webHidden/>
          </w:rPr>
        </w:r>
        <w:r w:rsidR="006F13CF">
          <w:rPr>
            <w:noProof/>
            <w:webHidden/>
          </w:rPr>
          <w:fldChar w:fldCharType="separate"/>
        </w:r>
        <w:r w:rsidR="009A19EB">
          <w:rPr>
            <w:noProof/>
            <w:webHidden/>
          </w:rPr>
          <w:t>28</w:t>
        </w:r>
        <w:r w:rsidR="006F13CF">
          <w:rPr>
            <w:noProof/>
            <w:webHidden/>
          </w:rPr>
          <w:fldChar w:fldCharType="end"/>
        </w:r>
      </w:hyperlink>
    </w:p>
    <w:p w14:paraId="2EBE28C1"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1" w:history="1">
        <w:r w:rsidR="006F13CF" w:rsidRPr="00505234">
          <w:rPr>
            <w:rStyle w:val="Hyperlink"/>
            <w:noProof/>
          </w:rPr>
          <w:t>Table 2.3: Snapshot of AOD impact indicators by community</w:t>
        </w:r>
        <w:r w:rsidR="006F13CF">
          <w:rPr>
            <w:noProof/>
            <w:webHidden/>
          </w:rPr>
          <w:tab/>
        </w:r>
        <w:r w:rsidR="006F13CF">
          <w:rPr>
            <w:noProof/>
            <w:webHidden/>
          </w:rPr>
          <w:fldChar w:fldCharType="begin"/>
        </w:r>
        <w:r w:rsidR="006F13CF">
          <w:rPr>
            <w:noProof/>
            <w:webHidden/>
          </w:rPr>
          <w:instrText xml:space="preserve"> PAGEREF _Toc392686431 \h </w:instrText>
        </w:r>
        <w:r w:rsidR="006F13CF">
          <w:rPr>
            <w:noProof/>
            <w:webHidden/>
          </w:rPr>
        </w:r>
        <w:r w:rsidR="006F13CF">
          <w:rPr>
            <w:noProof/>
            <w:webHidden/>
          </w:rPr>
          <w:fldChar w:fldCharType="separate"/>
        </w:r>
        <w:r w:rsidR="009A19EB">
          <w:rPr>
            <w:noProof/>
            <w:webHidden/>
          </w:rPr>
          <w:t>32</w:t>
        </w:r>
        <w:r w:rsidR="006F13CF">
          <w:rPr>
            <w:noProof/>
            <w:webHidden/>
          </w:rPr>
          <w:fldChar w:fldCharType="end"/>
        </w:r>
      </w:hyperlink>
    </w:p>
    <w:p w14:paraId="2EBE28C2"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2" w:history="1">
        <w:r w:rsidR="006F13CF" w:rsidRPr="00505234">
          <w:rPr>
            <w:rStyle w:val="Hyperlink"/>
            <w:noProof/>
          </w:rPr>
          <w:t>Table 2.4: K10 – Statistical overview of score changes (n=153)</w:t>
        </w:r>
        <w:r w:rsidR="006F13CF">
          <w:rPr>
            <w:noProof/>
            <w:webHidden/>
          </w:rPr>
          <w:tab/>
        </w:r>
        <w:r w:rsidR="006F13CF">
          <w:rPr>
            <w:noProof/>
            <w:webHidden/>
          </w:rPr>
          <w:fldChar w:fldCharType="begin"/>
        </w:r>
        <w:r w:rsidR="006F13CF">
          <w:rPr>
            <w:noProof/>
            <w:webHidden/>
          </w:rPr>
          <w:instrText xml:space="preserve"> PAGEREF _Toc392686432 \h </w:instrText>
        </w:r>
        <w:r w:rsidR="006F13CF">
          <w:rPr>
            <w:noProof/>
            <w:webHidden/>
          </w:rPr>
        </w:r>
        <w:r w:rsidR="006F13CF">
          <w:rPr>
            <w:noProof/>
            <w:webHidden/>
          </w:rPr>
          <w:fldChar w:fldCharType="separate"/>
        </w:r>
        <w:r w:rsidR="009A19EB">
          <w:rPr>
            <w:noProof/>
            <w:webHidden/>
          </w:rPr>
          <w:t>35</w:t>
        </w:r>
        <w:r w:rsidR="006F13CF">
          <w:rPr>
            <w:noProof/>
            <w:webHidden/>
          </w:rPr>
          <w:fldChar w:fldCharType="end"/>
        </w:r>
      </w:hyperlink>
    </w:p>
    <w:p w14:paraId="2EBE28C3"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3" w:history="1">
        <w:r w:rsidR="006F13CF" w:rsidRPr="00505234">
          <w:rPr>
            <w:rStyle w:val="Hyperlink"/>
            <w:noProof/>
          </w:rPr>
          <w:t>Table 2.5: Statistical overview HONOS score changes</w:t>
        </w:r>
        <w:r w:rsidR="006F13CF">
          <w:rPr>
            <w:noProof/>
            <w:webHidden/>
          </w:rPr>
          <w:tab/>
        </w:r>
        <w:r w:rsidR="006F13CF">
          <w:rPr>
            <w:noProof/>
            <w:webHidden/>
          </w:rPr>
          <w:fldChar w:fldCharType="begin"/>
        </w:r>
        <w:r w:rsidR="006F13CF">
          <w:rPr>
            <w:noProof/>
            <w:webHidden/>
          </w:rPr>
          <w:instrText xml:space="preserve"> PAGEREF _Toc392686433 \h </w:instrText>
        </w:r>
        <w:r w:rsidR="006F13CF">
          <w:rPr>
            <w:noProof/>
            <w:webHidden/>
          </w:rPr>
        </w:r>
        <w:r w:rsidR="006F13CF">
          <w:rPr>
            <w:noProof/>
            <w:webHidden/>
          </w:rPr>
          <w:fldChar w:fldCharType="separate"/>
        </w:r>
        <w:r w:rsidR="009A19EB">
          <w:rPr>
            <w:noProof/>
            <w:webHidden/>
          </w:rPr>
          <w:t>36</w:t>
        </w:r>
        <w:r w:rsidR="006F13CF">
          <w:rPr>
            <w:noProof/>
            <w:webHidden/>
          </w:rPr>
          <w:fldChar w:fldCharType="end"/>
        </w:r>
      </w:hyperlink>
    </w:p>
    <w:p w14:paraId="2EBE28C4"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4" w:history="1">
        <w:r w:rsidR="006F13CF" w:rsidRPr="00505234">
          <w:rPr>
            <w:rStyle w:val="Hyperlink"/>
            <w:noProof/>
          </w:rPr>
          <w:t>Table 2.6: IRIS profile of WBC clients – mean scores</w:t>
        </w:r>
        <w:r w:rsidR="006F13CF">
          <w:rPr>
            <w:noProof/>
            <w:webHidden/>
          </w:rPr>
          <w:tab/>
        </w:r>
        <w:r w:rsidR="006F13CF">
          <w:rPr>
            <w:noProof/>
            <w:webHidden/>
          </w:rPr>
          <w:fldChar w:fldCharType="begin"/>
        </w:r>
        <w:r w:rsidR="006F13CF">
          <w:rPr>
            <w:noProof/>
            <w:webHidden/>
          </w:rPr>
          <w:instrText xml:space="preserve"> PAGEREF _Toc392686434 \h </w:instrText>
        </w:r>
        <w:r w:rsidR="006F13CF">
          <w:rPr>
            <w:noProof/>
            <w:webHidden/>
          </w:rPr>
        </w:r>
        <w:r w:rsidR="006F13CF">
          <w:rPr>
            <w:noProof/>
            <w:webHidden/>
          </w:rPr>
          <w:fldChar w:fldCharType="separate"/>
        </w:r>
        <w:r w:rsidR="009A19EB">
          <w:rPr>
            <w:noProof/>
            <w:webHidden/>
          </w:rPr>
          <w:t>37</w:t>
        </w:r>
        <w:r w:rsidR="006F13CF">
          <w:rPr>
            <w:noProof/>
            <w:webHidden/>
          </w:rPr>
          <w:fldChar w:fldCharType="end"/>
        </w:r>
      </w:hyperlink>
    </w:p>
    <w:p w14:paraId="2EBE28C5"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5" w:history="1">
        <w:r w:rsidR="006F13CF" w:rsidRPr="00505234">
          <w:rPr>
            <w:rStyle w:val="Hyperlink"/>
            <w:noProof/>
          </w:rPr>
          <w:t>Table 2.7: Snapshot of SEWB impact indicators by community</w:t>
        </w:r>
        <w:r w:rsidR="006F13CF">
          <w:rPr>
            <w:noProof/>
            <w:webHidden/>
          </w:rPr>
          <w:tab/>
        </w:r>
        <w:r w:rsidR="006F13CF">
          <w:rPr>
            <w:noProof/>
            <w:webHidden/>
          </w:rPr>
          <w:fldChar w:fldCharType="begin"/>
        </w:r>
        <w:r w:rsidR="006F13CF">
          <w:rPr>
            <w:noProof/>
            <w:webHidden/>
          </w:rPr>
          <w:instrText xml:space="preserve"> PAGEREF _Toc392686435 \h </w:instrText>
        </w:r>
        <w:r w:rsidR="006F13CF">
          <w:rPr>
            <w:noProof/>
            <w:webHidden/>
          </w:rPr>
        </w:r>
        <w:r w:rsidR="006F13CF">
          <w:rPr>
            <w:noProof/>
            <w:webHidden/>
          </w:rPr>
          <w:fldChar w:fldCharType="separate"/>
        </w:r>
        <w:r w:rsidR="009A19EB">
          <w:rPr>
            <w:noProof/>
            <w:webHidden/>
          </w:rPr>
          <w:t>44</w:t>
        </w:r>
        <w:r w:rsidR="006F13CF">
          <w:rPr>
            <w:noProof/>
            <w:webHidden/>
          </w:rPr>
          <w:fldChar w:fldCharType="end"/>
        </w:r>
      </w:hyperlink>
    </w:p>
    <w:p w14:paraId="2EBE28C6"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6" w:history="1">
        <w:r w:rsidR="006F13CF" w:rsidRPr="00505234">
          <w:rPr>
            <w:rStyle w:val="Hyperlink"/>
            <w:noProof/>
          </w:rPr>
          <w:t>Table 2.8: Comparison HoNOS first scores WBC and Cairns SEWB team</w:t>
        </w:r>
        <w:r w:rsidR="006F13CF">
          <w:rPr>
            <w:noProof/>
            <w:webHidden/>
          </w:rPr>
          <w:tab/>
        </w:r>
        <w:r w:rsidR="006F13CF">
          <w:rPr>
            <w:noProof/>
            <w:webHidden/>
          </w:rPr>
          <w:fldChar w:fldCharType="begin"/>
        </w:r>
        <w:r w:rsidR="006F13CF">
          <w:rPr>
            <w:noProof/>
            <w:webHidden/>
          </w:rPr>
          <w:instrText xml:space="preserve"> PAGEREF _Toc392686436 \h </w:instrText>
        </w:r>
        <w:r w:rsidR="006F13CF">
          <w:rPr>
            <w:noProof/>
            <w:webHidden/>
          </w:rPr>
        </w:r>
        <w:r w:rsidR="006F13CF">
          <w:rPr>
            <w:noProof/>
            <w:webHidden/>
          </w:rPr>
          <w:fldChar w:fldCharType="separate"/>
        </w:r>
        <w:r w:rsidR="009A19EB">
          <w:rPr>
            <w:noProof/>
            <w:webHidden/>
          </w:rPr>
          <w:t>46</w:t>
        </w:r>
        <w:r w:rsidR="006F13CF">
          <w:rPr>
            <w:noProof/>
            <w:webHidden/>
          </w:rPr>
          <w:fldChar w:fldCharType="end"/>
        </w:r>
      </w:hyperlink>
    </w:p>
    <w:p w14:paraId="2EBE28C7"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7" w:history="1">
        <w:r w:rsidR="006F13CF" w:rsidRPr="00505234">
          <w:rPr>
            <w:rStyle w:val="Hyperlink"/>
            <w:noProof/>
          </w:rPr>
          <w:t>Table 2.9: Number of indicators improving/deteriorating</w:t>
        </w:r>
        <w:r w:rsidR="006F13CF">
          <w:rPr>
            <w:noProof/>
            <w:webHidden/>
          </w:rPr>
          <w:tab/>
        </w:r>
        <w:r w:rsidR="006F13CF">
          <w:rPr>
            <w:noProof/>
            <w:webHidden/>
          </w:rPr>
          <w:fldChar w:fldCharType="begin"/>
        </w:r>
        <w:r w:rsidR="006F13CF">
          <w:rPr>
            <w:noProof/>
            <w:webHidden/>
          </w:rPr>
          <w:instrText xml:space="preserve"> PAGEREF _Toc392686437 \h </w:instrText>
        </w:r>
        <w:r w:rsidR="006F13CF">
          <w:rPr>
            <w:noProof/>
            <w:webHidden/>
          </w:rPr>
        </w:r>
        <w:r w:rsidR="006F13CF">
          <w:rPr>
            <w:noProof/>
            <w:webHidden/>
          </w:rPr>
          <w:fldChar w:fldCharType="separate"/>
        </w:r>
        <w:r w:rsidR="009A19EB">
          <w:rPr>
            <w:noProof/>
            <w:webHidden/>
          </w:rPr>
          <w:t>47</w:t>
        </w:r>
        <w:r w:rsidR="006F13CF">
          <w:rPr>
            <w:noProof/>
            <w:webHidden/>
          </w:rPr>
          <w:fldChar w:fldCharType="end"/>
        </w:r>
      </w:hyperlink>
    </w:p>
    <w:p w14:paraId="2EBE28C8"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8" w:history="1">
        <w:r w:rsidR="006F13CF" w:rsidRPr="00505234">
          <w:rPr>
            <w:rStyle w:val="Hyperlink"/>
            <w:noProof/>
          </w:rPr>
          <w:t>Table 3.1: Number and proportion of all clients and FRC clients completing selective module streams</w:t>
        </w:r>
        <w:r w:rsidR="006F13CF">
          <w:rPr>
            <w:noProof/>
            <w:webHidden/>
          </w:rPr>
          <w:tab/>
        </w:r>
        <w:r w:rsidR="006F13CF">
          <w:rPr>
            <w:noProof/>
            <w:webHidden/>
          </w:rPr>
          <w:fldChar w:fldCharType="begin"/>
        </w:r>
        <w:r w:rsidR="006F13CF">
          <w:rPr>
            <w:noProof/>
            <w:webHidden/>
          </w:rPr>
          <w:instrText xml:space="preserve"> PAGEREF _Toc392686438 \h </w:instrText>
        </w:r>
        <w:r w:rsidR="006F13CF">
          <w:rPr>
            <w:noProof/>
            <w:webHidden/>
          </w:rPr>
        </w:r>
        <w:r w:rsidR="006F13CF">
          <w:rPr>
            <w:noProof/>
            <w:webHidden/>
          </w:rPr>
          <w:fldChar w:fldCharType="separate"/>
        </w:r>
        <w:r w:rsidR="009A19EB">
          <w:rPr>
            <w:noProof/>
            <w:webHidden/>
          </w:rPr>
          <w:t>65</w:t>
        </w:r>
        <w:r w:rsidR="006F13CF">
          <w:rPr>
            <w:noProof/>
            <w:webHidden/>
          </w:rPr>
          <w:fldChar w:fldCharType="end"/>
        </w:r>
      </w:hyperlink>
    </w:p>
    <w:p w14:paraId="2EBE28C9"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9" w:history="1">
        <w:r w:rsidR="006F13CF" w:rsidRPr="00505234">
          <w:rPr>
            <w:rStyle w:val="Hyperlink"/>
            <w:noProof/>
          </w:rPr>
          <w:t>Table 3.2: Original referral sources</w:t>
        </w:r>
        <w:r w:rsidR="006F13CF">
          <w:rPr>
            <w:noProof/>
            <w:webHidden/>
          </w:rPr>
          <w:tab/>
        </w:r>
        <w:r w:rsidR="006F13CF">
          <w:rPr>
            <w:noProof/>
            <w:webHidden/>
          </w:rPr>
          <w:fldChar w:fldCharType="begin"/>
        </w:r>
        <w:r w:rsidR="006F13CF">
          <w:rPr>
            <w:noProof/>
            <w:webHidden/>
          </w:rPr>
          <w:instrText xml:space="preserve"> PAGEREF _Toc392686439 \h </w:instrText>
        </w:r>
        <w:r w:rsidR="006F13CF">
          <w:rPr>
            <w:noProof/>
            <w:webHidden/>
          </w:rPr>
        </w:r>
        <w:r w:rsidR="006F13CF">
          <w:rPr>
            <w:noProof/>
            <w:webHidden/>
          </w:rPr>
          <w:fldChar w:fldCharType="separate"/>
        </w:r>
        <w:r w:rsidR="009A19EB">
          <w:rPr>
            <w:noProof/>
            <w:webHidden/>
          </w:rPr>
          <w:t>71</w:t>
        </w:r>
        <w:r w:rsidR="006F13CF">
          <w:rPr>
            <w:noProof/>
            <w:webHidden/>
          </w:rPr>
          <w:fldChar w:fldCharType="end"/>
        </w:r>
      </w:hyperlink>
    </w:p>
    <w:p w14:paraId="2EBE28CA"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0" w:history="1">
        <w:r w:rsidR="006F13CF" w:rsidRPr="00505234">
          <w:rPr>
            <w:rStyle w:val="Hyperlink"/>
            <w:noProof/>
          </w:rPr>
          <w:t xml:space="preserve">Table 3.3: WBC’s staff by category </w:t>
        </w:r>
        <w:r w:rsidR="006F13CF" w:rsidRPr="00505234">
          <w:rPr>
            <w:rStyle w:val="Hyperlink"/>
            <w:noProof/>
            <w:vertAlign w:val="superscript"/>
          </w:rPr>
          <w:t>1</w:t>
        </w:r>
        <w:r w:rsidR="006F13CF">
          <w:rPr>
            <w:noProof/>
            <w:webHidden/>
          </w:rPr>
          <w:tab/>
        </w:r>
        <w:r w:rsidR="006F13CF">
          <w:rPr>
            <w:noProof/>
            <w:webHidden/>
          </w:rPr>
          <w:fldChar w:fldCharType="begin"/>
        </w:r>
        <w:r w:rsidR="006F13CF">
          <w:rPr>
            <w:noProof/>
            <w:webHidden/>
          </w:rPr>
          <w:instrText xml:space="preserve"> PAGEREF _Toc392686440 \h </w:instrText>
        </w:r>
        <w:r w:rsidR="006F13CF">
          <w:rPr>
            <w:noProof/>
            <w:webHidden/>
          </w:rPr>
        </w:r>
        <w:r w:rsidR="006F13CF">
          <w:rPr>
            <w:noProof/>
            <w:webHidden/>
          </w:rPr>
          <w:fldChar w:fldCharType="separate"/>
        </w:r>
        <w:r w:rsidR="009A19EB">
          <w:rPr>
            <w:noProof/>
            <w:webHidden/>
          </w:rPr>
          <w:t>80</w:t>
        </w:r>
        <w:r w:rsidR="006F13CF">
          <w:rPr>
            <w:noProof/>
            <w:webHidden/>
          </w:rPr>
          <w:fldChar w:fldCharType="end"/>
        </w:r>
      </w:hyperlink>
    </w:p>
    <w:p w14:paraId="2EBE28CB"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1" w:history="1">
        <w:r w:rsidR="006F13CF" w:rsidRPr="00505234">
          <w:rPr>
            <w:rStyle w:val="Hyperlink"/>
            <w:noProof/>
          </w:rPr>
          <w:t>Table 3.4: Indigenous staff activity</w:t>
        </w:r>
        <w:r w:rsidR="006F13CF">
          <w:rPr>
            <w:noProof/>
            <w:webHidden/>
          </w:rPr>
          <w:tab/>
        </w:r>
        <w:r w:rsidR="006F13CF">
          <w:rPr>
            <w:noProof/>
            <w:webHidden/>
          </w:rPr>
          <w:fldChar w:fldCharType="begin"/>
        </w:r>
        <w:r w:rsidR="006F13CF">
          <w:rPr>
            <w:noProof/>
            <w:webHidden/>
          </w:rPr>
          <w:instrText xml:space="preserve"> PAGEREF _Toc392686441 \h </w:instrText>
        </w:r>
        <w:r w:rsidR="006F13CF">
          <w:rPr>
            <w:noProof/>
            <w:webHidden/>
          </w:rPr>
        </w:r>
        <w:r w:rsidR="006F13CF">
          <w:rPr>
            <w:noProof/>
            <w:webHidden/>
          </w:rPr>
          <w:fldChar w:fldCharType="separate"/>
        </w:r>
        <w:r w:rsidR="009A19EB">
          <w:rPr>
            <w:noProof/>
            <w:webHidden/>
          </w:rPr>
          <w:t>82</w:t>
        </w:r>
        <w:r w:rsidR="006F13CF">
          <w:rPr>
            <w:noProof/>
            <w:webHidden/>
          </w:rPr>
          <w:fldChar w:fldCharType="end"/>
        </w:r>
      </w:hyperlink>
    </w:p>
    <w:p w14:paraId="2EBE28CC"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2" w:history="1">
        <w:r w:rsidR="006F13CF" w:rsidRPr="00505234">
          <w:rPr>
            <w:rStyle w:val="Hyperlink"/>
            <w:noProof/>
          </w:rPr>
          <w:t>Table 3.5: WBC operating costs and unit costs</w:t>
        </w:r>
        <w:r w:rsidR="006F13CF">
          <w:rPr>
            <w:noProof/>
            <w:webHidden/>
          </w:rPr>
          <w:tab/>
        </w:r>
        <w:r w:rsidR="006F13CF">
          <w:rPr>
            <w:noProof/>
            <w:webHidden/>
          </w:rPr>
          <w:fldChar w:fldCharType="begin"/>
        </w:r>
        <w:r w:rsidR="006F13CF">
          <w:rPr>
            <w:noProof/>
            <w:webHidden/>
          </w:rPr>
          <w:instrText xml:space="preserve"> PAGEREF _Toc392686442 \h </w:instrText>
        </w:r>
        <w:r w:rsidR="006F13CF">
          <w:rPr>
            <w:noProof/>
            <w:webHidden/>
          </w:rPr>
        </w:r>
        <w:r w:rsidR="006F13CF">
          <w:rPr>
            <w:noProof/>
            <w:webHidden/>
          </w:rPr>
          <w:fldChar w:fldCharType="separate"/>
        </w:r>
        <w:r w:rsidR="009A19EB">
          <w:rPr>
            <w:noProof/>
            <w:webHidden/>
          </w:rPr>
          <w:t>87</w:t>
        </w:r>
        <w:r w:rsidR="006F13CF">
          <w:rPr>
            <w:noProof/>
            <w:webHidden/>
          </w:rPr>
          <w:fldChar w:fldCharType="end"/>
        </w:r>
      </w:hyperlink>
    </w:p>
    <w:p w14:paraId="2EBE28CD" w14:textId="77777777" w:rsidR="006F13CF" w:rsidRDefault="00AA7DC9" w:rsidP="006F13CF">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3" w:history="1">
        <w:r w:rsidR="006F13CF" w:rsidRPr="00505234">
          <w:rPr>
            <w:rStyle w:val="Hyperlink"/>
            <w:noProof/>
          </w:rPr>
          <w:t>Table 4.1: Comparison of what works</w:t>
        </w:r>
        <w:r w:rsidR="006F13CF">
          <w:rPr>
            <w:noProof/>
            <w:webHidden/>
          </w:rPr>
          <w:tab/>
        </w:r>
        <w:r w:rsidR="006F13CF">
          <w:rPr>
            <w:noProof/>
            <w:webHidden/>
          </w:rPr>
          <w:fldChar w:fldCharType="begin"/>
        </w:r>
        <w:r w:rsidR="006F13CF">
          <w:rPr>
            <w:noProof/>
            <w:webHidden/>
          </w:rPr>
          <w:instrText xml:space="preserve"> PAGEREF _Toc392686443 \h </w:instrText>
        </w:r>
        <w:r w:rsidR="006F13CF">
          <w:rPr>
            <w:noProof/>
            <w:webHidden/>
          </w:rPr>
        </w:r>
        <w:r w:rsidR="006F13CF">
          <w:rPr>
            <w:noProof/>
            <w:webHidden/>
          </w:rPr>
          <w:fldChar w:fldCharType="separate"/>
        </w:r>
        <w:r w:rsidR="009A19EB">
          <w:rPr>
            <w:noProof/>
            <w:webHidden/>
          </w:rPr>
          <w:t>97</w:t>
        </w:r>
        <w:r w:rsidR="006F13CF">
          <w:rPr>
            <w:noProof/>
            <w:webHidden/>
          </w:rPr>
          <w:fldChar w:fldCharType="end"/>
        </w:r>
      </w:hyperlink>
    </w:p>
    <w:p w14:paraId="2EBE28CE" w14:textId="77777777" w:rsidR="00797AAF" w:rsidRDefault="005434D7" w:rsidP="00797AAF">
      <w:pPr>
        <w:pStyle w:val="TOC2"/>
      </w:pPr>
      <w:r w:rsidRPr="00797AAF">
        <w:rPr>
          <w:rStyle w:val="Hyperlink"/>
        </w:rPr>
        <w:fldChar w:fldCharType="end"/>
      </w:r>
      <w:r w:rsidR="00797AAF">
        <w:br w:type="page"/>
      </w:r>
    </w:p>
    <w:p w14:paraId="2EBE28CF" w14:textId="77777777" w:rsidR="00797AAF" w:rsidRPr="00797AAF" w:rsidRDefault="00797AAF" w:rsidP="00F90EFD">
      <w:pPr>
        <w:pStyle w:val="ChLetter"/>
        <w:jc w:val="center"/>
      </w:pPr>
      <w:bookmarkStart w:id="9" w:name="_Toc364010437"/>
      <w:bookmarkStart w:id="10" w:name="_Toc364024276"/>
      <w:bookmarkStart w:id="11" w:name="_Toc364024883"/>
      <w:bookmarkStart w:id="12" w:name="_Toc364097181"/>
      <w:bookmarkStart w:id="13" w:name="_Toc372286124"/>
      <w:r>
        <w:lastRenderedPageBreak/>
        <w:t>F</w:t>
      </w:r>
    </w:p>
    <w:p w14:paraId="2EBE28D0" w14:textId="77777777" w:rsidR="009D3059" w:rsidRDefault="009D3059" w:rsidP="00BC0A26">
      <w:pPr>
        <w:pStyle w:val="Heading1"/>
        <w:numPr>
          <w:ilvl w:val="0"/>
          <w:numId w:val="0"/>
        </w:numPr>
        <w:ind w:left="432"/>
      </w:pPr>
      <w:bookmarkStart w:id="14" w:name="_Toc440038416"/>
      <w:r>
        <w:t>Figures</w:t>
      </w:r>
      <w:bookmarkEnd w:id="9"/>
      <w:bookmarkEnd w:id="10"/>
      <w:bookmarkEnd w:id="11"/>
      <w:bookmarkEnd w:id="12"/>
      <w:bookmarkEnd w:id="13"/>
      <w:bookmarkEnd w:id="14"/>
    </w:p>
    <w:p w14:paraId="2EBE28D1" w14:textId="77777777" w:rsidR="00E5334E" w:rsidRDefault="009C4F26"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r w:rsidRPr="00797AAF">
        <w:rPr>
          <w:rStyle w:val="Hyperlink"/>
        </w:rPr>
        <w:fldChar w:fldCharType="begin"/>
      </w:r>
      <w:r w:rsidRPr="00797AAF">
        <w:rPr>
          <w:rStyle w:val="Hyperlink"/>
        </w:rPr>
        <w:instrText xml:space="preserve"> TOC \h \z \t "Caption,Figure Caption" \c </w:instrText>
      </w:r>
      <w:r w:rsidRPr="00797AAF">
        <w:rPr>
          <w:rStyle w:val="Hyperlink"/>
        </w:rPr>
        <w:fldChar w:fldCharType="separate"/>
      </w:r>
      <w:hyperlink w:anchor="_Toc392683515" w:history="1">
        <w:r w:rsidR="00E5334E" w:rsidRPr="00E25373">
          <w:rPr>
            <w:rStyle w:val="Hyperlink"/>
            <w:noProof/>
          </w:rPr>
          <w:t xml:space="preserve">Figure 2.1: Change </w:t>
        </w:r>
        <w:r w:rsidR="00E5334E" w:rsidRPr="00E25373">
          <w:rPr>
            <w:rStyle w:val="Hyperlink"/>
            <w:noProof/>
            <w:lang w:eastAsia="en-AU"/>
          </w:rPr>
          <w:t>in the number of alcohol related issues (n=351)</w:t>
        </w:r>
        <w:r w:rsidR="00E5334E">
          <w:rPr>
            <w:noProof/>
            <w:webHidden/>
          </w:rPr>
          <w:tab/>
        </w:r>
        <w:r w:rsidR="00E5334E">
          <w:rPr>
            <w:noProof/>
            <w:webHidden/>
          </w:rPr>
          <w:fldChar w:fldCharType="begin"/>
        </w:r>
        <w:r w:rsidR="00E5334E">
          <w:rPr>
            <w:noProof/>
            <w:webHidden/>
          </w:rPr>
          <w:instrText xml:space="preserve"> PAGEREF _Toc392683515 \h </w:instrText>
        </w:r>
        <w:r w:rsidR="00E5334E">
          <w:rPr>
            <w:noProof/>
            <w:webHidden/>
          </w:rPr>
        </w:r>
        <w:r w:rsidR="00E5334E">
          <w:rPr>
            <w:noProof/>
            <w:webHidden/>
          </w:rPr>
          <w:fldChar w:fldCharType="separate"/>
        </w:r>
        <w:r w:rsidR="009A19EB">
          <w:rPr>
            <w:noProof/>
            <w:webHidden/>
          </w:rPr>
          <w:t>26</w:t>
        </w:r>
        <w:r w:rsidR="00E5334E">
          <w:rPr>
            <w:noProof/>
            <w:webHidden/>
          </w:rPr>
          <w:fldChar w:fldCharType="end"/>
        </w:r>
      </w:hyperlink>
    </w:p>
    <w:p w14:paraId="2EBE28D2"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16" w:history="1">
        <w:r w:rsidR="00E5334E" w:rsidRPr="00E25373">
          <w:rPr>
            <w:rStyle w:val="Hyperlink"/>
            <w:noProof/>
          </w:rPr>
          <w:t>Figure 2.2: Change in the number of alcohol related issues by WBC</w:t>
        </w:r>
        <w:r w:rsidR="00E5334E">
          <w:rPr>
            <w:noProof/>
            <w:webHidden/>
          </w:rPr>
          <w:tab/>
        </w:r>
        <w:r w:rsidR="00E5334E">
          <w:rPr>
            <w:noProof/>
            <w:webHidden/>
          </w:rPr>
          <w:fldChar w:fldCharType="begin"/>
        </w:r>
        <w:r w:rsidR="00E5334E">
          <w:rPr>
            <w:noProof/>
            <w:webHidden/>
          </w:rPr>
          <w:instrText xml:space="preserve"> PAGEREF _Toc392683516 \h </w:instrText>
        </w:r>
        <w:r w:rsidR="00E5334E">
          <w:rPr>
            <w:noProof/>
            <w:webHidden/>
          </w:rPr>
        </w:r>
        <w:r w:rsidR="00E5334E">
          <w:rPr>
            <w:noProof/>
            <w:webHidden/>
          </w:rPr>
          <w:fldChar w:fldCharType="separate"/>
        </w:r>
        <w:r w:rsidR="009A19EB">
          <w:rPr>
            <w:noProof/>
            <w:webHidden/>
          </w:rPr>
          <w:t>26</w:t>
        </w:r>
        <w:r w:rsidR="00E5334E">
          <w:rPr>
            <w:noProof/>
            <w:webHidden/>
          </w:rPr>
          <w:fldChar w:fldCharType="end"/>
        </w:r>
      </w:hyperlink>
    </w:p>
    <w:p w14:paraId="2EBE28D3"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17" w:history="1">
        <w:r w:rsidR="00E5334E" w:rsidRPr="00E25373">
          <w:rPr>
            <w:rStyle w:val="Hyperlink"/>
            <w:noProof/>
          </w:rPr>
          <w:t xml:space="preserve">Figure 2.3: Change </w:t>
        </w:r>
        <w:r w:rsidR="00E5334E" w:rsidRPr="00E25373">
          <w:rPr>
            <w:rStyle w:val="Hyperlink"/>
            <w:noProof/>
            <w:lang w:eastAsia="en-AU"/>
          </w:rPr>
          <w:t>in the number of other drug related issues (n=351)</w:t>
        </w:r>
        <w:r w:rsidR="00E5334E">
          <w:rPr>
            <w:noProof/>
            <w:webHidden/>
          </w:rPr>
          <w:tab/>
        </w:r>
        <w:r w:rsidR="00E5334E">
          <w:rPr>
            <w:noProof/>
            <w:webHidden/>
          </w:rPr>
          <w:fldChar w:fldCharType="begin"/>
        </w:r>
        <w:r w:rsidR="00E5334E">
          <w:rPr>
            <w:noProof/>
            <w:webHidden/>
          </w:rPr>
          <w:instrText xml:space="preserve"> PAGEREF _Toc392683517 \h </w:instrText>
        </w:r>
        <w:r w:rsidR="00E5334E">
          <w:rPr>
            <w:noProof/>
            <w:webHidden/>
          </w:rPr>
        </w:r>
        <w:r w:rsidR="00E5334E">
          <w:rPr>
            <w:noProof/>
            <w:webHidden/>
          </w:rPr>
          <w:fldChar w:fldCharType="separate"/>
        </w:r>
        <w:r w:rsidR="009A19EB">
          <w:rPr>
            <w:noProof/>
            <w:webHidden/>
          </w:rPr>
          <w:t>28</w:t>
        </w:r>
        <w:r w:rsidR="00E5334E">
          <w:rPr>
            <w:noProof/>
            <w:webHidden/>
          </w:rPr>
          <w:fldChar w:fldCharType="end"/>
        </w:r>
      </w:hyperlink>
    </w:p>
    <w:p w14:paraId="2EBE28D4"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18" w:history="1">
        <w:r w:rsidR="00E5334E" w:rsidRPr="00E25373">
          <w:rPr>
            <w:rStyle w:val="Hyperlink"/>
            <w:noProof/>
          </w:rPr>
          <w:t>Figure 2.4: Change in the number of drug related issues by WBC</w:t>
        </w:r>
        <w:r w:rsidR="00E5334E">
          <w:rPr>
            <w:noProof/>
            <w:webHidden/>
          </w:rPr>
          <w:tab/>
        </w:r>
        <w:r w:rsidR="00E5334E">
          <w:rPr>
            <w:noProof/>
            <w:webHidden/>
          </w:rPr>
          <w:fldChar w:fldCharType="begin"/>
        </w:r>
        <w:r w:rsidR="00E5334E">
          <w:rPr>
            <w:noProof/>
            <w:webHidden/>
          </w:rPr>
          <w:instrText xml:space="preserve"> PAGEREF _Toc392683518 \h </w:instrText>
        </w:r>
        <w:r w:rsidR="00E5334E">
          <w:rPr>
            <w:noProof/>
            <w:webHidden/>
          </w:rPr>
        </w:r>
        <w:r w:rsidR="00E5334E">
          <w:rPr>
            <w:noProof/>
            <w:webHidden/>
          </w:rPr>
          <w:fldChar w:fldCharType="separate"/>
        </w:r>
        <w:r w:rsidR="009A19EB">
          <w:rPr>
            <w:noProof/>
            <w:webHidden/>
          </w:rPr>
          <w:t>29</w:t>
        </w:r>
        <w:r w:rsidR="00E5334E">
          <w:rPr>
            <w:noProof/>
            <w:webHidden/>
          </w:rPr>
          <w:fldChar w:fldCharType="end"/>
        </w:r>
      </w:hyperlink>
    </w:p>
    <w:p w14:paraId="2EBE28D5"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19" w:history="1">
        <w:r w:rsidR="00E5334E" w:rsidRPr="00E25373">
          <w:rPr>
            <w:rStyle w:val="Hyperlink"/>
            <w:noProof/>
          </w:rPr>
          <w:t xml:space="preserve">Figure 2.5: Change </w:t>
        </w:r>
        <w:r w:rsidR="00E5334E" w:rsidRPr="00E25373">
          <w:rPr>
            <w:rStyle w:val="Hyperlink"/>
            <w:noProof/>
            <w:lang w:eastAsia="en-AU"/>
          </w:rPr>
          <w:t>in community safety and security (n=351)</w:t>
        </w:r>
        <w:r w:rsidR="00E5334E">
          <w:rPr>
            <w:noProof/>
            <w:webHidden/>
          </w:rPr>
          <w:tab/>
        </w:r>
        <w:r w:rsidR="00E5334E">
          <w:rPr>
            <w:noProof/>
            <w:webHidden/>
          </w:rPr>
          <w:fldChar w:fldCharType="begin"/>
        </w:r>
        <w:r w:rsidR="00E5334E">
          <w:rPr>
            <w:noProof/>
            <w:webHidden/>
          </w:rPr>
          <w:instrText xml:space="preserve"> PAGEREF _Toc392683519 \h </w:instrText>
        </w:r>
        <w:r w:rsidR="00E5334E">
          <w:rPr>
            <w:noProof/>
            <w:webHidden/>
          </w:rPr>
        </w:r>
        <w:r w:rsidR="00E5334E">
          <w:rPr>
            <w:noProof/>
            <w:webHidden/>
          </w:rPr>
          <w:fldChar w:fldCharType="separate"/>
        </w:r>
        <w:r w:rsidR="009A19EB">
          <w:rPr>
            <w:noProof/>
            <w:webHidden/>
          </w:rPr>
          <w:t>30</w:t>
        </w:r>
        <w:r w:rsidR="00E5334E">
          <w:rPr>
            <w:noProof/>
            <w:webHidden/>
          </w:rPr>
          <w:fldChar w:fldCharType="end"/>
        </w:r>
      </w:hyperlink>
    </w:p>
    <w:p w14:paraId="2EBE28D6"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0" w:history="1">
        <w:r w:rsidR="00E5334E" w:rsidRPr="00E25373">
          <w:rPr>
            <w:rStyle w:val="Hyperlink"/>
            <w:noProof/>
          </w:rPr>
          <w:t>Figure 2.6: Change in community safety by WBC</w:t>
        </w:r>
        <w:r w:rsidR="00E5334E">
          <w:rPr>
            <w:noProof/>
            <w:webHidden/>
          </w:rPr>
          <w:tab/>
        </w:r>
        <w:r w:rsidR="00E5334E">
          <w:rPr>
            <w:noProof/>
            <w:webHidden/>
          </w:rPr>
          <w:fldChar w:fldCharType="begin"/>
        </w:r>
        <w:r w:rsidR="00E5334E">
          <w:rPr>
            <w:noProof/>
            <w:webHidden/>
          </w:rPr>
          <w:instrText xml:space="preserve"> PAGEREF _Toc392683520 \h </w:instrText>
        </w:r>
        <w:r w:rsidR="00E5334E">
          <w:rPr>
            <w:noProof/>
            <w:webHidden/>
          </w:rPr>
        </w:r>
        <w:r w:rsidR="00E5334E">
          <w:rPr>
            <w:noProof/>
            <w:webHidden/>
          </w:rPr>
          <w:fldChar w:fldCharType="separate"/>
        </w:r>
        <w:r w:rsidR="009A19EB">
          <w:rPr>
            <w:noProof/>
            <w:webHidden/>
          </w:rPr>
          <w:t>30</w:t>
        </w:r>
        <w:r w:rsidR="00E5334E">
          <w:rPr>
            <w:noProof/>
            <w:webHidden/>
          </w:rPr>
          <w:fldChar w:fldCharType="end"/>
        </w:r>
      </w:hyperlink>
    </w:p>
    <w:p w14:paraId="2EBE28D7"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1" w:history="1">
        <w:r w:rsidR="00E5334E" w:rsidRPr="00E25373">
          <w:rPr>
            <w:rStyle w:val="Hyperlink"/>
            <w:noProof/>
          </w:rPr>
          <w:t>Figure 2.7: Impact on self (n=239)</w:t>
        </w:r>
        <w:r w:rsidR="00E5334E">
          <w:rPr>
            <w:noProof/>
            <w:webHidden/>
          </w:rPr>
          <w:tab/>
        </w:r>
        <w:r w:rsidR="00E5334E">
          <w:rPr>
            <w:noProof/>
            <w:webHidden/>
          </w:rPr>
          <w:fldChar w:fldCharType="begin"/>
        </w:r>
        <w:r w:rsidR="00E5334E">
          <w:rPr>
            <w:noProof/>
            <w:webHidden/>
          </w:rPr>
          <w:instrText xml:space="preserve"> PAGEREF _Toc392683521 \h </w:instrText>
        </w:r>
        <w:r w:rsidR="00E5334E">
          <w:rPr>
            <w:noProof/>
            <w:webHidden/>
          </w:rPr>
        </w:r>
        <w:r w:rsidR="00E5334E">
          <w:rPr>
            <w:noProof/>
            <w:webHidden/>
          </w:rPr>
          <w:fldChar w:fldCharType="separate"/>
        </w:r>
        <w:r w:rsidR="009A19EB">
          <w:rPr>
            <w:noProof/>
            <w:webHidden/>
          </w:rPr>
          <w:t>38</w:t>
        </w:r>
        <w:r w:rsidR="00E5334E">
          <w:rPr>
            <w:noProof/>
            <w:webHidden/>
          </w:rPr>
          <w:fldChar w:fldCharType="end"/>
        </w:r>
      </w:hyperlink>
    </w:p>
    <w:p w14:paraId="2EBE28D8"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2" w:history="1">
        <w:r w:rsidR="00E5334E" w:rsidRPr="00E25373">
          <w:rPr>
            <w:rStyle w:val="Hyperlink"/>
            <w:noProof/>
          </w:rPr>
          <w:t>Figure 2.8: Impact on self by WBC (n=239)</w:t>
        </w:r>
        <w:r w:rsidR="00E5334E">
          <w:rPr>
            <w:noProof/>
            <w:webHidden/>
          </w:rPr>
          <w:tab/>
        </w:r>
        <w:r w:rsidR="00E5334E">
          <w:rPr>
            <w:noProof/>
            <w:webHidden/>
          </w:rPr>
          <w:fldChar w:fldCharType="begin"/>
        </w:r>
        <w:r w:rsidR="00E5334E">
          <w:rPr>
            <w:noProof/>
            <w:webHidden/>
          </w:rPr>
          <w:instrText xml:space="preserve"> PAGEREF _Toc392683522 \h </w:instrText>
        </w:r>
        <w:r w:rsidR="00E5334E">
          <w:rPr>
            <w:noProof/>
            <w:webHidden/>
          </w:rPr>
        </w:r>
        <w:r w:rsidR="00E5334E">
          <w:rPr>
            <w:noProof/>
            <w:webHidden/>
          </w:rPr>
          <w:fldChar w:fldCharType="separate"/>
        </w:r>
        <w:r w:rsidR="009A19EB">
          <w:rPr>
            <w:noProof/>
            <w:webHidden/>
          </w:rPr>
          <w:t>38</w:t>
        </w:r>
        <w:r w:rsidR="00E5334E">
          <w:rPr>
            <w:noProof/>
            <w:webHidden/>
          </w:rPr>
          <w:fldChar w:fldCharType="end"/>
        </w:r>
      </w:hyperlink>
    </w:p>
    <w:p w14:paraId="2EBE28D9"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3" w:history="1">
        <w:r w:rsidR="00E5334E" w:rsidRPr="00E25373">
          <w:rPr>
            <w:rStyle w:val="Hyperlink"/>
            <w:noProof/>
          </w:rPr>
          <w:t>Figure 2.9: Impact on family or people you know (n=269)</w:t>
        </w:r>
        <w:r w:rsidR="00E5334E">
          <w:rPr>
            <w:noProof/>
            <w:webHidden/>
          </w:rPr>
          <w:tab/>
        </w:r>
        <w:r w:rsidR="00E5334E">
          <w:rPr>
            <w:noProof/>
            <w:webHidden/>
          </w:rPr>
          <w:fldChar w:fldCharType="begin"/>
        </w:r>
        <w:r w:rsidR="00E5334E">
          <w:rPr>
            <w:noProof/>
            <w:webHidden/>
          </w:rPr>
          <w:instrText xml:space="preserve"> PAGEREF _Toc392683523 \h </w:instrText>
        </w:r>
        <w:r w:rsidR="00E5334E">
          <w:rPr>
            <w:noProof/>
            <w:webHidden/>
          </w:rPr>
        </w:r>
        <w:r w:rsidR="00E5334E">
          <w:rPr>
            <w:noProof/>
            <w:webHidden/>
          </w:rPr>
          <w:fldChar w:fldCharType="separate"/>
        </w:r>
        <w:r w:rsidR="009A19EB">
          <w:rPr>
            <w:noProof/>
            <w:webHidden/>
          </w:rPr>
          <w:t>39</w:t>
        </w:r>
        <w:r w:rsidR="00E5334E">
          <w:rPr>
            <w:noProof/>
            <w:webHidden/>
          </w:rPr>
          <w:fldChar w:fldCharType="end"/>
        </w:r>
      </w:hyperlink>
    </w:p>
    <w:p w14:paraId="2EBE28DA"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4" w:history="1">
        <w:r w:rsidR="00E5334E" w:rsidRPr="00E25373">
          <w:rPr>
            <w:rStyle w:val="Hyperlink"/>
            <w:noProof/>
          </w:rPr>
          <w:t>Figure 2.10: Impact on family or people you know by community (n=269)</w:t>
        </w:r>
        <w:r w:rsidR="00E5334E">
          <w:rPr>
            <w:noProof/>
            <w:webHidden/>
          </w:rPr>
          <w:tab/>
        </w:r>
        <w:r w:rsidR="00E5334E">
          <w:rPr>
            <w:noProof/>
            <w:webHidden/>
          </w:rPr>
          <w:fldChar w:fldCharType="begin"/>
        </w:r>
        <w:r w:rsidR="00E5334E">
          <w:rPr>
            <w:noProof/>
            <w:webHidden/>
          </w:rPr>
          <w:instrText xml:space="preserve"> PAGEREF _Toc392683524 \h </w:instrText>
        </w:r>
        <w:r w:rsidR="00E5334E">
          <w:rPr>
            <w:noProof/>
            <w:webHidden/>
          </w:rPr>
        </w:r>
        <w:r w:rsidR="00E5334E">
          <w:rPr>
            <w:noProof/>
            <w:webHidden/>
          </w:rPr>
          <w:fldChar w:fldCharType="separate"/>
        </w:r>
        <w:r w:rsidR="009A19EB">
          <w:rPr>
            <w:noProof/>
            <w:webHidden/>
          </w:rPr>
          <w:t>40</w:t>
        </w:r>
        <w:r w:rsidR="00E5334E">
          <w:rPr>
            <w:noProof/>
            <w:webHidden/>
          </w:rPr>
          <w:fldChar w:fldCharType="end"/>
        </w:r>
      </w:hyperlink>
    </w:p>
    <w:p w14:paraId="2EBE28DB"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5" w:history="1">
        <w:r w:rsidR="00E5334E" w:rsidRPr="00E25373">
          <w:rPr>
            <w:rStyle w:val="Hyperlink"/>
            <w:noProof/>
          </w:rPr>
          <w:t>Figure 2.11: Impact on community (n=351)</w:t>
        </w:r>
        <w:r w:rsidR="00E5334E">
          <w:rPr>
            <w:noProof/>
            <w:webHidden/>
          </w:rPr>
          <w:tab/>
        </w:r>
        <w:r w:rsidR="00E5334E">
          <w:rPr>
            <w:noProof/>
            <w:webHidden/>
          </w:rPr>
          <w:fldChar w:fldCharType="begin"/>
        </w:r>
        <w:r w:rsidR="00E5334E">
          <w:rPr>
            <w:noProof/>
            <w:webHidden/>
          </w:rPr>
          <w:instrText xml:space="preserve"> PAGEREF _Toc392683525 \h </w:instrText>
        </w:r>
        <w:r w:rsidR="00E5334E">
          <w:rPr>
            <w:noProof/>
            <w:webHidden/>
          </w:rPr>
        </w:r>
        <w:r w:rsidR="00E5334E">
          <w:rPr>
            <w:noProof/>
            <w:webHidden/>
          </w:rPr>
          <w:fldChar w:fldCharType="separate"/>
        </w:r>
        <w:r w:rsidR="009A19EB">
          <w:rPr>
            <w:noProof/>
            <w:webHidden/>
          </w:rPr>
          <w:t>41</w:t>
        </w:r>
        <w:r w:rsidR="00E5334E">
          <w:rPr>
            <w:noProof/>
            <w:webHidden/>
          </w:rPr>
          <w:fldChar w:fldCharType="end"/>
        </w:r>
      </w:hyperlink>
    </w:p>
    <w:p w14:paraId="2EBE28DC"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6" w:history="1">
        <w:r w:rsidR="00E5334E" w:rsidRPr="00E25373">
          <w:rPr>
            <w:rStyle w:val="Hyperlink"/>
            <w:noProof/>
          </w:rPr>
          <w:t>Figure 2.12: Impact on community by WBC</w:t>
        </w:r>
        <w:r w:rsidR="00E5334E">
          <w:rPr>
            <w:noProof/>
            <w:webHidden/>
          </w:rPr>
          <w:tab/>
        </w:r>
        <w:r w:rsidR="00E5334E">
          <w:rPr>
            <w:noProof/>
            <w:webHidden/>
          </w:rPr>
          <w:fldChar w:fldCharType="begin"/>
        </w:r>
        <w:r w:rsidR="00E5334E">
          <w:rPr>
            <w:noProof/>
            <w:webHidden/>
          </w:rPr>
          <w:instrText xml:space="preserve"> PAGEREF _Toc392683526 \h </w:instrText>
        </w:r>
        <w:r w:rsidR="00E5334E">
          <w:rPr>
            <w:noProof/>
            <w:webHidden/>
          </w:rPr>
        </w:r>
        <w:r w:rsidR="00E5334E">
          <w:rPr>
            <w:noProof/>
            <w:webHidden/>
          </w:rPr>
          <w:fldChar w:fldCharType="separate"/>
        </w:r>
        <w:r w:rsidR="009A19EB">
          <w:rPr>
            <w:noProof/>
            <w:webHidden/>
          </w:rPr>
          <w:t>41</w:t>
        </w:r>
        <w:r w:rsidR="00E5334E">
          <w:rPr>
            <w:noProof/>
            <w:webHidden/>
          </w:rPr>
          <w:fldChar w:fldCharType="end"/>
        </w:r>
      </w:hyperlink>
    </w:p>
    <w:p w14:paraId="2EBE28DD"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7" w:history="1">
        <w:r w:rsidR="00E5334E" w:rsidRPr="00E25373">
          <w:rPr>
            <w:rStyle w:val="Hyperlink"/>
            <w:noProof/>
          </w:rPr>
          <w:t>Figure 2.13: Change in the community as a whole (n=351)</w:t>
        </w:r>
        <w:r w:rsidR="00E5334E">
          <w:rPr>
            <w:noProof/>
            <w:webHidden/>
          </w:rPr>
          <w:tab/>
        </w:r>
        <w:r w:rsidR="00E5334E">
          <w:rPr>
            <w:noProof/>
            <w:webHidden/>
          </w:rPr>
          <w:fldChar w:fldCharType="begin"/>
        </w:r>
        <w:r w:rsidR="00E5334E">
          <w:rPr>
            <w:noProof/>
            <w:webHidden/>
          </w:rPr>
          <w:instrText xml:space="preserve"> PAGEREF _Toc392683527 \h </w:instrText>
        </w:r>
        <w:r w:rsidR="00E5334E">
          <w:rPr>
            <w:noProof/>
            <w:webHidden/>
          </w:rPr>
        </w:r>
        <w:r w:rsidR="00E5334E">
          <w:rPr>
            <w:noProof/>
            <w:webHidden/>
          </w:rPr>
          <w:fldChar w:fldCharType="separate"/>
        </w:r>
        <w:r w:rsidR="009A19EB">
          <w:rPr>
            <w:noProof/>
            <w:webHidden/>
          </w:rPr>
          <w:t>42</w:t>
        </w:r>
        <w:r w:rsidR="00E5334E">
          <w:rPr>
            <w:noProof/>
            <w:webHidden/>
          </w:rPr>
          <w:fldChar w:fldCharType="end"/>
        </w:r>
      </w:hyperlink>
    </w:p>
    <w:p w14:paraId="2EBE28DE"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8" w:history="1">
        <w:r w:rsidR="00E5334E" w:rsidRPr="00E25373">
          <w:rPr>
            <w:rStyle w:val="Hyperlink"/>
            <w:noProof/>
          </w:rPr>
          <w:t>Figure 2.14:  Change in community as a whole by WBC</w:t>
        </w:r>
        <w:r w:rsidR="00E5334E">
          <w:rPr>
            <w:noProof/>
            <w:webHidden/>
          </w:rPr>
          <w:tab/>
        </w:r>
        <w:r w:rsidR="00E5334E">
          <w:rPr>
            <w:noProof/>
            <w:webHidden/>
          </w:rPr>
          <w:fldChar w:fldCharType="begin"/>
        </w:r>
        <w:r w:rsidR="00E5334E">
          <w:rPr>
            <w:noProof/>
            <w:webHidden/>
          </w:rPr>
          <w:instrText xml:space="preserve"> PAGEREF _Toc392683528 \h </w:instrText>
        </w:r>
        <w:r w:rsidR="00E5334E">
          <w:rPr>
            <w:noProof/>
            <w:webHidden/>
          </w:rPr>
        </w:r>
        <w:r w:rsidR="00E5334E">
          <w:rPr>
            <w:noProof/>
            <w:webHidden/>
          </w:rPr>
          <w:fldChar w:fldCharType="separate"/>
        </w:r>
        <w:r w:rsidR="009A19EB">
          <w:rPr>
            <w:noProof/>
            <w:webHidden/>
          </w:rPr>
          <w:t>42</w:t>
        </w:r>
        <w:r w:rsidR="00E5334E">
          <w:rPr>
            <w:noProof/>
            <w:webHidden/>
          </w:rPr>
          <w:fldChar w:fldCharType="end"/>
        </w:r>
      </w:hyperlink>
    </w:p>
    <w:p w14:paraId="2EBE28DF"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29" w:history="1">
        <w:r w:rsidR="00E5334E" w:rsidRPr="00E25373">
          <w:rPr>
            <w:rStyle w:val="Hyperlink"/>
            <w:noProof/>
          </w:rPr>
          <w:t>Figure 3.1: Service contacts by year all WBCs</w:t>
        </w:r>
        <w:r w:rsidR="00E5334E" w:rsidRPr="00E25373">
          <w:rPr>
            <w:rStyle w:val="Hyperlink"/>
            <w:noProof/>
            <w:vertAlign w:val="superscript"/>
          </w:rPr>
          <w:t>1</w:t>
        </w:r>
        <w:r w:rsidR="00E5334E">
          <w:rPr>
            <w:noProof/>
            <w:webHidden/>
          </w:rPr>
          <w:tab/>
        </w:r>
        <w:r w:rsidR="00E5334E">
          <w:rPr>
            <w:noProof/>
            <w:webHidden/>
          </w:rPr>
          <w:fldChar w:fldCharType="begin"/>
        </w:r>
        <w:r w:rsidR="00E5334E">
          <w:rPr>
            <w:noProof/>
            <w:webHidden/>
          </w:rPr>
          <w:instrText xml:space="preserve"> PAGEREF _Toc392683529 \h </w:instrText>
        </w:r>
        <w:r w:rsidR="00E5334E">
          <w:rPr>
            <w:noProof/>
            <w:webHidden/>
          </w:rPr>
        </w:r>
        <w:r w:rsidR="00E5334E">
          <w:rPr>
            <w:noProof/>
            <w:webHidden/>
          </w:rPr>
          <w:fldChar w:fldCharType="separate"/>
        </w:r>
        <w:r w:rsidR="009A19EB">
          <w:rPr>
            <w:noProof/>
            <w:webHidden/>
          </w:rPr>
          <w:t>58</w:t>
        </w:r>
        <w:r w:rsidR="00E5334E">
          <w:rPr>
            <w:noProof/>
            <w:webHidden/>
          </w:rPr>
          <w:fldChar w:fldCharType="end"/>
        </w:r>
      </w:hyperlink>
    </w:p>
    <w:p w14:paraId="2EBE28E0"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0" w:history="1">
        <w:r w:rsidR="00E5334E" w:rsidRPr="00E25373">
          <w:rPr>
            <w:rStyle w:val="Hyperlink"/>
            <w:noProof/>
          </w:rPr>
          <w:t>Figure 3.2: Actual service contacts by year per WBC</w:t>
        </w:r>
        <w:r w:rsidR="00E5334E">
          <w:rPr>
            <w:noProof/>
            <w:webHidden/>
          </w:rPr>
          <w:tab/>
        </w:r>
        <w:r w:rsidR="00E5334E">
          <w:rPr>
            <w:noProof/>
            <w:webHidden/>
          </w:rPr>
          <w:fldChar w:fldCharType="begin"/>
        </w:r>
        <w:r w:rsidR="00E5334E">
          <w:rPr>
            <w:noProof/>
            <w:webHidden/>
          </w:rPr>
          <w:instrText xml:space="preserve"> PAGEREF _Toc392683530 \h </w:instrText>
        </w:r>
        <w:r w:rsidR="00E5334E">
          <w:rPr>
            <w:noProof/>
            <w:webHidden/>
          </w:rPr>
        </w:r>
        <w:r w:rsidR="00E5334E">
          <w:rPr>
            <w:noProof/>
            <w:webHidden/>
          </w:rPr>
          <w:fldChar w:fldCharType="separate"/>
        </w:r>
        <w:r w:rsidR="009A19EB">
          <w:rPr>
            <w:noProof/>
            <w:webHidden/>
          </w:rPr>
          <w:t>58</w:t>
        </w:r>
        <w:r w:rsidR="00E5334E">
          <w:rPr>
            <w:noProof/>
            <w:webHidden/>
          </w:rPr>
          <w:fldChar w:fldCharType="end"/>
        </w:r>
      </w:hyperlink>
    </w:p>
    <w:p w14:paraId="2EBE28E1"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1" w:history="1">
        <w:r w:rsidR="00E5334E" w:rsidRPr="00E25373">
          <w:rPr>
            <w:rStyle w:val="Hyperlink"/>
            <w:noProof/>
          </w:rPr>
          <w:t>Figure 3.3: Group activity – events, attendees and attendees per event – Jan- Jun 13, Jul – Dec 13</w:t>
        </w:r>
        <w:r w:rsidR="00E5334E">
          <w:rPr>
            <w:noProof/>
            <w:webHidden/>
          </w:rPr>
          <w:tab/>
        </w:r>
        <w:r w:rsidR="00E5334E">
          <w:rPr>
            <w:noProof/>
            <w:webHidden/>
          </w:rPr>
          <w:fldChar w:fldCharType="begin"/>
        </w:r>
        <w:r w:rsidR="00E5334E">
          <w:rPr>
            <w:noProof/>
            <w:webHidden/>
          </w:rPr>
          <w:instrText xml:space="preserve"> PAGEREF _Toc392683531 \h </w:instrText>
        </w:r>
        <w:r w:rsidR="00E5334E">
          <w:rPr>
            <w:noProof/>
            <w:webHidden/>
          </w:rPr>
        </w:r>
        <w:r w:rsidR="00E5334E">
          <w:rPr>
            <w:noProof/>
            <w:webHidden/>
          </w:rPr>
          <w:fldChar w:fldCharType="separate"/>
        </w:r>
        <w:r w:rsidR="009A19EB">
          <w:rPr>
            <w:noProof/>
            <w:webHidden/>
          </w:rPr>
          <w:t>59</w:t>
        </w:r>
        <w:r w:rsidR="00E5334E">
          <w:rPr>
            <w:noProof/>
            <w:webHidden/>
          </w:rPr>
          <w:fldChar w:fldCharType="end"/>
        </w:r>
      </w:hyperlink>
    </w:p>
    <w:p w14:paraId="2EBE28E2"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2" w:history="1">
        <w:r w:rsidR="00E5334E" w:rsidRPr="00E25373">
          <w:rPr>
            <w:rStyle w:val="Hyperlink"/>
            <w:noProof/>
          </w:rPr>
          <w:t>Figure 3.4: Diagnosed assessment issue category</w:t>
        </w:r>
        <w:r w:rsidR="00E5334E">
          <w:rPr>
            <w:noProof/>
            <w:webHidden/>
          </w:rPr>
          <w:tab/>
        </w:r>
        <w:r w:rsidR="00E5334E">
          <w:rPr>
            <w:noProof/>
            <w:webHidden/>
          </w:rPr>
          <w:fldChar w:fldCharType="begin"/>
        </w:r>
        <w:r w:rsidR="00E5334E">
          <w:rPr>
            <w:noProof/>
            <w:webHidden/>
          </w:rPr>
          <w:instrText xml:space="preserve"> PAGEREF _Toc392683532 \h </w:instrText>
        </w:r>
        <w:r w:rsidR="00E5334E">
          <w:rPr>
            <w:noProof/>
            <w:webHidden/>
          </w:rPr>
        </w:r>
        <w:r w:rsidR="00E5334E">
          <w:rPr>
            <w:noProof/>
            <w:webHidden/>
          </w:rPr>
          <w:fldChar w:fldCharType="separate"/>
        </w:r>
        <w:r w:rsidR="009A19EB">
          <w:rPr>
            <w:noProof/>
            <w:webHidden/>
          </w:rPr>
          <w:t>60</w:t>
        </w:r>
        <w:r w:rsidR="00E5334E">
          <w:rPr>
            <w:noProof/>
            <w:webHidden/>
          </w:rPr>
          <w:fldChar w:fldCharType="end"/>
        </w:r>
      </w:hyperlink>
    </w:p>
    <w:p w14:paraId="2EBE28E3"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3" w:history="1">
        <w:r w:rsidR="00E5334E" w:rsidRPr="00E25373">
          <w:rPr>
            <w:rStyle w:val="Hyperlink"/>
            <w:noProof/>
          </w:rPr>
          <w:t>Figure 3.5: Comparison of diagnosis of diagnosed assessment issue categories between WBCs</w:t>
        </w:r>
        <w:r w:rsidR="00E5334E">
          <w:rPr>
            <w:noProof/>
            <w:webHidden/>
          </w:rPr>
          <w:tab/>
        </w:r>
        <w:r w:rsidR="00E5334E">
          <w:rPr>
            <w:noProof/>
            <w:webHidden/>
          </w:rPr>
          <w:fldChar w:fldCharType="begin"/>
        </w:r>
        <w:r w:rsidR="00E5334E">
          <w:rPr>
            <w:noProof/>
            <w:webHidden/>
          </w:rPr>
          <w:instrText xml:space="preserve"> PAGEREF _Toc392683533 \h </w:instrText>
        </w:r>
        <w:r w:rsidR="00E5334E">
          <w:rPr>
            <w:noProof/>
            <w:webHidden/>
          </w:rPr>
        </w:r>
        <w:r w:rsidR="00E5334E">
          <w:rPr>
            <w:noProof/>
            <w:webHidden/>
          </w:rPr>
          <w:fldChar w:fldCharType="separate"/>
        </w:r>
        <w:r w:rsidR="009A19EB">
          <w:rPr>
            <w:noProof/>
            <w:webHidden/>
          </w:rPr>
          <w:t>61</w:t>
        </w:r>
        <w:r w:rsidR="00E5334E">
          <w:rPr>
            <w:noProof/>
            <w:webHidden/>
          </w:rPr>
          <w:fldChar w:fldCharType="end"/>
        </w:r>
      </w:hyperlink>
    </w:p>
    <w:p w14:paraId="2EBE28E4"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4" w:history="1">
        <w:r w:rsidR="00E5334E" w:rsidRPr="00E25373">
          <w:rPr>
            <w:rStyle w:val="Hyperlink"/>
            <w:noProof/>
          </w:rPr>
          <w:t>Figure 3.6: Reason for presentation all clients versus FRC clients (percentages)</w:t>
        </w:r>
        <w:r w:rsidR="00E5334E">
          <w:rPr>
            <w:noProof/>
            <w:webHidden/>
          </w:rPr>
          <w:tab/>
        </w:r>
        <w:r w:rsidR="00E5334E">
          <w:rPr>
            <w:noProof/>
            <w:webHidden/>
          </w:rPr>
          <w:fldChar w:fldCharType="begin"/>
        </w:r>
        <w:r w:rsidR="00E5334E">
          <w:rPr>
            <w:noProof/>
            <w:webHidden/>
          </w:rPr>
          <w:instrText xml:space="preserve"> PAGEREF _Toc392683534 \h </w:instrText>
        </w:r>
        <w:r w:rsidR="00E5334E">
          <w:rPr>
            <w:noProof/>
            <w:webHidden/>
          </w:rPr>
        </w:r>
        <w:r w:rsidR="00E5334E">
          <w:rPr>
            <w:noProof/>
            <w:webHidden/>
          </w:rPr>
          <w:fldChar w:fldCharType="separate"/>
        </w:r>
        <w:r w:rsidR="009A19EB">
          <w:rPr>
            <w:noProof/>
            <w:webHidden/>
          </w:rPr>
          <w:t>61</w:t>
        </w:r>
        <w:r w:rsidR="00E5334E">
          <w:rPr>
            <w:noProof/>
            <w:webHidden/>
          </w:rPr>
          <w:fldChar w:fldCharType="end"/>
        </w:r>
      </w:hyperlink>
    </w:p>
    <w:p w14:paraId="2EBE28E5"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5" w:history="1">
        <w:r w:rsidR="00E5334E" w:rsidRPr="00E25373">
          <w:rPr>
            <w:rStyle w:val="Hyperlink"/>
            <w:noProof/>
          </w:rPr>
          <w:t>Figure 3.7: Reasons for presentation – WBC comparison</w:t>
        </w:r>
        <w:r w:rsidR="00E5334E">
          <w:rPr>
            <w:noProof/>
            <w:webHidden/>
          </w:rPr>
          <w:tab/>
        </w:r>
        <w:r w:rsidR="00E5334E">
          <w:rPr>
            <w:noProof/>
            <w:webHidden/>
          </w:rPr>
          <w:fldChar w:fldCharType="begin"/>
        </w:r>
        <w:r w:rsidR="00E5334E">
          <w:rPr>
            <w:noProof/>
            <w:webHidden/>
          </w:rPr>
          <w:instrText xml:space="preserve"> PAGEREF _Toc392683535 \h </w:instrText>
        </w:r>
        <w:r w:rsidR="00E5334E">
          <w:rPr>
            <w:noProof/>
            <w:webHidden/>
          </w:rPr>
        </w:r>
        <w:r w:rsidR="00E5334E">
          <w:rPr>
            <w:noProof/>
            <w:webHidden/>
          </w:rPr>
          <w:fldChar w:fldCharType="separate"/>
        </w:r>
        <w:r w:rsidR="009A19EB">
          <w:rPr>
            <w:noProof/>
            <w:webHidden/>
          </w:rPr>
          <w:t>62</w:t>
        </w:r>
        <w:r w:rsidR="00E5334E">
          <w:rPr>
            <w:noProof/>
            <w:webHidden/>
          </w:rPr>
          <w:fldChar w:fldCharType="end"/>
        </w:r>
      </w:hyperlink>
    </w:p>
    <w:p w14:paraId="2EBE28E6"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7" w:history="1">
        <w:r w:rsidR="00E5334E" w:rsidRPr="00E25373">
          <w:rPr>
            <w:rStyle w:val="Hyperlink"/>
            <w:noProof/>
          </w:rPr>
          <w:t>Figure 3.8: FRC referrals to WBC per the FRC</w:t>
        </w:r>
        <w:r w:rsidR="00E5334E">
          <w:rPr>
            <w:noProof/>
            <w:webHidden/>
          </w:rPr>
          <w:tab/>
        </w:r>
        <w:r w:rsidR="00E5334E">
          <w:rPr>
            <w:noProof/>
            <w:webHidden/>
          </w:rPr>
          <w:fldChar w:fldCharType="begin"/>
        </w:r>
        <w:r w:rsidR="00E5334E">
          <w:rPr>
            <w:noProof/>
            <w:webHidden/>
          </w:rPr>
          <w:instrText xml:space="preserve"> PAGEREF _Toc392683537 \h </w:instrText>
        </w:r>
        <w:r w:rsidR="00E5334E">
          <w:rPr>
            <w:noProof/>
            <w:webHidden/>
          </w:rPr>
        </w:r>
        <w:r w:rsidR="00E5334E">
          <w:rPr>
            <w:noProof/>
            <w:webHidden/>
          </w:rPr>
          <w:fldChar w:fldCharType="separate"/>
        </w:r>
        <w:r w:rsidR="009A19EB">
          <w:rPr>
            <w:noProof/>
            <w:webHidden/>
          </w:rPr>
          <w:t>72</w:t>
        </w:r>
        <w:r w:rsidR="00E5334E">
          <w:rPr>
            <w:noProof/>
            <w:webHidden/>
          </w:rPr>
          <w:fldChar w:fldCharType="end"/>
        </w:r>
      </w:hyperlink>
    </w:p>
    <w:p w14:paraId="2EBE28E7"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8" w:history="1">
        <w:r w:rsidR="00E5334E" w:rsidRPr="00E25373">
          <w:rPr>
            <w:rStyle w:val="Hyperlink"/>
            <w:noProof/>
          </w:rPr>
          <w:t>Figure 3.9: Community understanding of the WBC (n=351)</w:t>
        </w:r>
        <w:r w:rsidR="00E5334E">
          <w:rPr>
            <w:noProof/>
            <w:webHidden/>
          </w:rPr>
          <w:tab/>
        </w:r>
        <w:r w:rsidR="00E5334E">
          <w:rPr>
            <w:noProof/>
            <w:webHidden/>
          </w:rPr>
          <w:fldChar w:fldCharType="begin"/>
        </w:r>
        <w:r w:rsidR="00E5334E">
          <w:rPr>
            <w:noProof/>
            <w:webHidden/>
          </w:rPr>
          <w:instrText xml:space="preserve"> PAGEREF _Toc392683538 \h </w:instrText>
        </w:r>
        <w:r w:rsidR="00E5334E">
          <w:rPr>
            <w:noProof/>
            <w:webHidden/>
          </w:rPr>
        </w:r>
        <w:r w:rsidR="00E5334E">
          <w:rPr>
            <w:noProof/>
            <w:webHidden/>
          </w:rPr>
          <w:fldChar w:fldCharType="separate"/>
        </w:r>
        <w:r w:rsidR="009A19EB">
          <w:rPr>
            <w:noProof/>
            <w:webHidden/>
          </w:rPr>
          <w:t>78</w:t>
        </w:r>
        <w:r w:rsidR="00E5334E">
          <w:rPr>
            <w:noProof/>
            <w:webHidden/>
          </w:rPr>
          <w:fldChar w:fldCharType="end"/>
        </w:r>
      </w:hyperlink>
    </w:p>
    <w:p w14:paraId="2EBE28E8"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39" w:history="1">
        <w:r w:rsidR="00E5334E" w:rsidRPr="00E25373">
          <w:rPr>
            <w:rStyle w:val="Hyperlink"/>
            <w:noProof/>
          </w:rPr>
          <w:t>Figure 3.10:</w:t>
        </w:r>
        <w:r w:rsidR="00E5334E" w:rsidRPr="00E25373">
          <w:rPr>
            <w:rStyle w:val="Hyperlink"/>
            <w:noProof/>
            <w:lang w:eastAsia="x-none"/>
          </w:rPr>
          <w:t xml:space="preserve"> Client perspective on cultural safety (n=47)</w:t>
        </w:r>
        <w:r w:rsidR="00E5334E">
          <w:rPr>
            <w:noProof/>
            <w:webHidden/>
          </w:rPr>
          <w:tab/>
        </w:r>
        <w:r w:rsidR="00E5334E">
          <w:rPr>
            <w:noProof/>
            <w:webHidden/>
          </w:rPr>
          <w:fldChar w:fldCharType="begin"/>
        </w:r>
        <w:r w:rsidR="00E5334E">
          <w:rPr>
            <w:noProof/>
            <w:webHidden/>
          </w:rPr>
          <w:instrText xml:space="preserve"> PAGEREF _Toc392683539 \h </w:instrText>
        </w:r>
        <w:r w:rsidR="00E5334E">
          <w:rPr>
            <w:noProof/>
            <w:webHidden/>
          </w:rPr>
        </w:r>
        <w:r w:rsidR="00E5334E">
          <w:rPr>
            <w:noProof/>
            <w:webHidden/>
          </w:rPr>
          <w:fldChar w:fldCharType="separate"/>
        </w:r>
        <w:r w:rsidR="009A19EB">
          <w:rPr>
            <w:noProof/>
            <w:webHidden/>
          </w:rPr>
          <w:t>79</w:t>
        </w:r>
        <w:r w:rsidR="00E5334E">
          <w:rPr>
            <w:noProof/>
            <w:webHidden/>
          </w:rPr>
          <w:fldChar w:fldCharType="end"/>
        </w:r>
      </w:hyperlink>
    </w:p>
    <w:p w14:paraId="2EBE28E9"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40" w:history="1">
        <w:r w:rsidR="00E5334E" w:rsidRPr="00E25373">
          <w:rPr>
            <w:rStyle w:val="Hyperlink"/>
            <w:noProof/>
          </w:rPr>
          <w:t>Figure 4.1: Services community members found must helpful (n=351)</w:t>
        </w:r>
        <w:r w:rsidR="00E5334E">
          <w:rPr>
            <w:noProof/>
            <w:webHidden/>
          </w:rPr>
          <w:tab/>
        </w:r>
        <w:r w:rsidR="00E5334E">
          <w:rPr>
            <w:noProof/>
            <w:webHidden/>
          </w:rPr>
          <w:fldChar w:fldCharType="begin"/>
        </w:r>
        <w:r w:rsidR="00E5334E">
          <w:rPr>
            <w:noProof/>
            <w:webHidden/>
          </w:rPr>
          <w:instrText xml:space="preserve"> PAGEREF _Toc392683540 \h </w:instrText>
        </w:r>
        <w:r w:rsidR="00E5334E">
          <w:rPr>
            <w:noProof/>
            <w:webHidden/>
          </w:rPr>
        </w:r>
        <w:r w:rsidR="00E5334E">
          <w:rPr>
            <w:noProof/>
            <w:webHidden/>
          </w:rPr>
          <w:fldChar w:fldCharType="separate"/>
        </w:r>
        <w:r w:rsidR="009A19EB">
          <w:rPr>
            <w:noProof/>
            <w:webHidden/>
          </w:rPr>
          <w:t>96</w:t>
        </w:r>
        <w:r w:rsidR="00E5334E">
          <w:rPr>
            <w:noProof/>
            <w:webHidden/>
          </w:rPr>
          <w:fldChar w:fldCharType="end"/>
        </w:r>
      </w:hyperlink>
    </w:p>
    <w:p w14:paraId="2EBE28EA" w14:textId="77777777" w:rsidR="00E5334E" w:rsidRDefault="00AA7DC9" w:rsidP="00E5334E">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3541" w:history="1">
        <w:r w:rsidR="00E5334E" w:rsidRPr="00E25373">
          <w:rPr>
            <w:rStyle w:val="Hyperlink"/>
            <w:noProof/>
          </w:rPr>
          <w:t>Figure 4.2: Services community members found most useful by WBC</w:t>
        </w:r>
        <w:r w:rsidR="00E5334E">
          <w:rPr>
            <w:noProof/>
            <w:webHidden/>
          </w:rPr>
          <w:tab/>
        </w:r>
        <w:r w:rsidR="00E5334E">
          <w:rPr>
            <w:noProof/>
            <w:webHidden/>
          </w:rPr>
          <w:fldChar w:fldCharType="begin"/>
        </w:r>
        <w:r w:rsidR="00E5334E">
          <w:rPr>
            <w:noProof/>
            <w:webHidden/>
          </w:rPr>
          <w:instrText xml:space="preserve"> PAGEREF _Toc392683541 \h </w:instrText>
        </w:r>
        <w:r w:rsidR="00E5334E">
          <w:rPr>
            <w:noProof/>
            <w:webHidden/>
          </w:rPr>
        </w:r>
        <w:r w:rsidR="00E5334E">
          <w:rPr>
            <w:noProof/>
            <w:webHidden/>
          </w:rPr>
          <w:fldChar w:fldCharType="separate"/>
        </w:r>
        <w:r w:rsidR="009A19EB">
          <w:rPr>
            <w:noProof/>
            <w:webHidden/>
          </w:rPr>
          <w:t>96</w:t>
        </w:r>
        <w:r w:rsidR="00E5334E">
          <w:rPr>
            <w:noProof/>
            <w:webHidden/>
          </w:rPr>
          <w:fldChar w:fldCharType="end"/>
        </w:r>
      </w:hyperlink>
    </w:p>
    <w:p w14:paraId="2EBE28EB" w14:textId="77777777" w:rsidR="00B5186E" w:rsidRPr="005434D7" w:rsidRDefault="009C4F26" w:rsidP="00797AAF">
      <w:pPr>
        <w:pStyle w:val="TOC2"/>
        <w:rPr>
          <w:rStyle w:val="Hyperlink"/>
        </w:rPr>
      </w:pPr>
      <w:r w:rsidRPr="00797AAF">
        <w:rPr>
          <w:rStyle w:val="Hyperlink"/>
        </w:rPr>
        <w:fldChar w:fldCharType="end"/>
      </w:r>
    </w:p>
    <w:p w14:paraId="2EBE28EC" w14:textId="77777777" w:rsidR="005434D7" w:rsidRPr="005434D7" w:rsidRDefault="005434D7" w:rsidP="009D3059">
      <w:pPr>
        <w:pStyle w:val="TableofFigures"/>
        <w:tabs>
          <w:tab w:val="right" w:leader="dot" w:pos="9061"/>
        </w:tabs>
        <w:rPr>
          <w:rStyle w:val="Hyperlink"/>
          <w:noProof/>
        </w:rPr>
      </w:pPr>
    </w:p>
    <w:p w14:paraId="2EBE28ED" w14:textId="77777777" w:rsidR="00BE4A83" w:rsidRPr="00836F95" w:rsidRDefault="00836F95" w:rsidP="008F677F">
      <w:pPr>
        <w:pStyle w:val="ChLetter"/>
      </w:pPr>
      <w:bookmarkStart w:id="15" w:name="_Toc339015560"/>
      <w:r>
        <w:lastRenderedPageBreak/>
        <w:t>A</w:t>
      </w:r>
    </w:p>
    <w:p w14:paraId="2EBE28EE" w14:textId="77777777" w:rsidR="001C6EE6" w:rsidRDefault="00F90EFD" w:rsidP="00BC0A26">
      <w:pPr>
        <w:pStyle w:val="Heading1"/>
        <w:numPr>
          <w:ilvl w:val="0"/>
          <w:numId w:val="0"/>
        </w:numPr>
        <w:ind w:left="432"/>
      </w:pPr>
      <w:bookmarkStart w:id="16" w:name="_Toc440038417"/>
      <w:bookmarkEnd w:id="15"/>
      <w:r>
        <w:t>A</w:t>
      </w:r>
      <w:r w:rsidR="00836F95">
        <w:t>bbreviations</w:t>
      </w:r>
      <w:bookmarkEnd w:id="16"/>
    </w:p>
    <w:tbl>
      <w:tblPr>
        <w:tblW w:w="9180" w:type="dxa"/>
        <w:tblLook w:val="04A0" w:firstRow="1" w:lastRow="0" w:firstColumn="1" w:lastColumn="0" w:noHBand="0" w:noVBand="1"/>
        <w:tblDescription w:val="Abbreviations table list acroymn and their meanings om tje We;;bomg Cemtres Final Evaluation Report."/>
      </w:tblPr>
      <w:tblGrid>
        <w:gridCol w:w="1390"/>
        <w:gridCol w:w="3396"/>
        <w:gridCol w:w="1418"/>
        <w:gridCol w:w="2976"/>
      </w:tblGrid>
      <w:tr w:rsidR="00492F91" w:rsidRPr="001C6EE6" w14:paraId="0CE65676"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1CCD44F7" w14:textId="01BE5B42" w:rsidR="00492F91" w:rsidRPr="00492F91" w:rsidRDefault="00492F91" w:rsidP="00492F91">
            <w:pPr>
              <w:pStyle w:val="TableText"/>
              <w:framePr w:wrap="around"/>
              <w:rPr>
                <w:b/>
              </w:rPr>
            </w:pPr>
            <w:r w:rsidRPr="00492F91">
              <w:rPr>
                <w:b/>
              </w:rPr>
              <w:t xml:space="preserve">Abbreviation </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09DB86DC" w14:textId="54257CFC" w:rsidR="00492F91" w:rsidRPr="00492F91" w:rsidRDefault="00492F91" w:rsidP="00492F91">
            <w:pPr>
              <w:pStyle w:val="TableText"/>
              <w:framePr w:wrap="around"/>
              <w:rPr>
                <w:b/>
              </w:rPr>
            </w:pPr>
            <w:r w:rsidRPr="00492F91">
              <w:rPr>
                <w:b/>
              </w:rPr>
              <w:t>Description</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45D15234" w14:textId="76A3B3A0" w:rsidR="00492F91" w:rsidRPr="00492F91" w:rsidRDefault="00492F91" w:rsidP="00492F91">
            <w:pPr>
              <w:pStyle w:val="TableText"/>
              <w:framePr w:wrap="around"/>
              <w:rPr>
                <w:b/>
              </w:rPr>
            </w:pPr>
            <w:r w:rsidRPr="00492F91">
              <w:rPr>
                <w:b/>
              </w:rPr>
              <w:t>Abbreviation</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0A4B7C25" w14:textId="7FD2FBEE" w:rsidR="00492F91" w:rsidRPr="00492F91" w:rsidRDefault="00492F91" w:rsidP="00492F91">
            <w:pPr>
              <w:pStyle w:val="TableText"/>
              <w:framePr w:wrap="around"/>
              <w:rPr>
                <w:b/>
              </w:rPr>
            </w:pPr>
            <w:r w:rsidRPr="00492F91">
              <w:rPr>
                <w:b/>
              </w:rPr>
              <w:t>Description</w:t>
            </w:r>
          </w:p>
        </w:tc>
      </w:tr>
    </w:tbl>
    <w:tbl>
      <w:tblPr>
        <w:tblW w:w="9180" w:type="dxa"/>
        <w:tblLook w:val="04A0" w:firstRow="1" w:lastRow="0" w:firstColumn="1" w:lastColumn="0" w:noHBand="0" w:noVBand="1"/>
        <w:tblDescription w:val="Abbreviations table list acroymn and their meanings om tje We;;bomg Cemtres Final Evaluation Report."/>
      </w:tblPr>
      <w:tblGrid>
        <w:gridCol w:w="1390"/>
        <w:gridCol w:w="3396"/>
        <w:gridCol w:w="1418"/>
        <w:gridCol w:w="2976"/>
      </w:tblGrid>
      <w:tr w:rsidR="00F43AB0" w:rsidRPr="001C6EE6" w14:paraId="2EBE28F3"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8EF" w14:textId="77777777" w:rsidR="00F43AB0" w:rsidRPr="001C6EE6" w:rsidRDefault="00F43AB0" w:rsidP="00CF218E">
            <w:pPr>
              <w:spacing w:before="60" w:after="120"/>
              <w:rPr>
                <w:sz w:val="18"/>
                <w:szCs w:val="18"/>
              </w:rPr>
            </w:pPr>
            <w:r>
              <w:rPr>
                <w:sz w:val="18"/>
                <w:szCs w:val="18"/>
              </w:rPr>
              <w:t>ABS</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8F0" w14:textId="77777777" w:rsidR="00F43AB0" w:rsidRPr="001C6EE6" w:rsidRDefault="00F43AB0" w:rsidP="00CF218E">
            <w:pPr>
              <w:spacing w:before="60" w:after="120"/>
              <w:rPr>
                <w:sz w:val="18"/>
                <w:szCs w:val="18"/>
              </w:rPr>
            </w:pPr>
            <w:r>
              <w:rPr>
                <w:sz w:val="18"/>
                <w:szCs w:val="18"/>
              </w:rPr>
              <w:t>Australian Bureau of Statistics</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8F1" w14:textId="77777777" w:rsidR="00F43AB0" w:rsidRPr="001C6EE6" w:rsidRDefault="00F43AB0" w:rsidP="00CD1EAF">
            <w:pPr>
              <w:spacing w:before="60" w:after="120"/>
              <w:rPr>
                <w:sz w:val="18"/>
                <w:szCs w:val="18"/>
              </w:rPr>
            </w:pPr>
            <w:r w:rsidRPr="001C6EE6">
              <w:rPr>
                <w:sz w:val="18"/>
                <w:szCs w:val="18"/>
              </w:rPr>
              <w:t>HoNOS</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8F2" w14:textId="77777777" w:rsidR="00F43AB0" w:rsidRPr="001C6EE6" w:rsidRDefault="00F43AB0" w:rsidP="00CD1EAF">
            <w:pPr>
              <w:spacing w:before="60" w:after="120"/>
              <w:rPr>
                <w:sz w:val="18"/>
                <w:szCs w:val="18"/>
              </w:rPr>
            </w:pPr>
            <w:r w:rsidRPr="001C6EE6">
              <w:rPr>
                <w:sz w:val="18"/>
                <w:szCs w:val="18"/>
              </w:rPr>
              <w:t>Health of the Nation Outcome Scales</w:t>
            </w:r>
          </w:p>
        </w:tc>
      </w:tr>
      <w:tr w:rsidR="00F43AB0" w:rsidRPr="001C6EE6" w14:paraId="2EBE28F8"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8F4" w14:textId="77777777" w:rsidR="00F43AB0" w:rsidRPr="001C6EE6" w:rsidRDefault="00F43AB0" w:rsidP="00CF218E">
            <w:pPr>
              <w:spacing w:before="60" w:after="120"/>
              <w:rPr>
                <w:sz w:val="18"/>
                <w:szCs w:val="18"/>
              </w:rPr>
            </w:pPr>
            <w:r>
              <w:rPr>
                <w:sz w:val="18"/>
                <w:szCs w:val="18"/>
              </w:rPr>
              <w:t>AOD</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8F5" w14:textId="77777777" w:rsidR="00F43AB0" w:rsidRPr="001C6EE6" w:rsidRDefault="00F43AB0" w:rsidP="00CF218E">
            <w:pPr>
              <w:spacing w:before="60" w:after="120"/>
              <w:rPr>
                <w:sz w:val="18"/>
                <w:szCs w:val="18"/>
              </w:rPr>
            </w:pPr>
            <w:r>
              <w:rPr>
                <w:sz w:val="18"/>
                <w:szCs w:val="18"/>
              </w:rPr>
              <w:t xml:space="preserve">Alcohol and other drugs </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8F6" w14:textId="77777777" w:rsidR="00F43AB0" w:rsidRPr="001C6EE6" w:rsidRDefault="00F43AB0" w:rsidP="00CD1EAF">
            <w:pPr>
              <w:spacing w:before="60" w:after="120"/>
              <w:rPr>
                <w:sz w:val="18"/>
                <w:szCs w:val="18"/>
              </w:rPr>
            </w:pPr>
            <w:r w:rsidRPr="001C6EE6">
              <w:rPr>
                <w:sz w:val="18"/>
                <w:szCs w:val="18"/>
              </w:rPr>
              <w:t>IRIS</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8F7" w14:textId="77777777" w:rsidR="00F43AB0" w:rsidRPr="001C6EE6" w:rsidRDefault="00F43AB0" w:rsidP="00CD1EAF">
            <w:pPr>
              <w:spacing w:before="60" w:after="120"/>
              <w:rPr>
                <w:sz w:val="18"/>
                <w:szCs w:val="18"/>
              </w:rPr>
            </w:pPr>
            <w:r w:rsidRPr="001C6EE6">
              <w:rPr>
                <w:sz w:val="18"/>
                <w:szCs w:val="18"/>
              </w:rPr>
              <w:t>The Indigenous Risk Impact Screen</w:t>
            </w:r>
          </w:p>
        </w:tc>
      </w:tr>
      <w:tr w:rsidR="00F43AB0" w:rsidRPr="001C6EE6" w14:paraId="2EBE28FD"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8F9" w14:textId="77777777" w:rsidR="00F43AB0" w:rsidRPr="001C6EE6" w:rsidRDefault="00F43AB0" w:rsidP="00CF218E">
            <w:pPr>
              <w:spacing w:before="60" w:after="120"/>
              <w:rPr>
                <w:sz w:val="18"/>
                <w:szCs w:val="18"/>
              </w:rPr>
            </w:pPr>
            <w:r w:rsidRPr="001C6EE6">
              <w:rPr>
                <w:sz w:val="18"/>
                <w:szCs w:val="18"/>
              </w:rPr>
              <w:t>ATODS</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8FA" w14:textId="77777777" w:rsidR="00F43AB0" w:rsidRPr="001C6EE6" w:rsidRDefault="00F43AB0" w:rsidP="00CF218E">
            <w:pPr>
              <w:spacing w:before="60" w:after="120"/>
              <w:rPr>
                <w:sz w:val="18"/>
                <w:szCs w:val="18"/>
              </w:rPr>
            </w:pPr>
            <w:r w:rsidRPr="001C6EE6">
              <w:rPr>
                <w:sz w:val="18"/>
                <w:szCs w:val="18"/>
              </w:rPr>
              <w:t>Alcohol Tobacco and Other Drug Services</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8FB" w14:textId="77777777" w:rsidR="00F43AB0" w:rsidRPr="001C6EE6" w:rsidRDefault="00F43AB0" w:rsidP="00CD1EAF">
            <w:pPr>
              <w:spacing w:before="60" w:after="120"/>
              <w:rPr>
                <w:sz w:val="18"/>
                <w:szCs w:val="18"/>
              </w:rPr>
            </w:pPr>
            <w:r w:rsidRPr="001C6EE6">
              <w:rPr>
                <w:sz w:val="18"/>
                <w:szCs w:val="18"/>
              </w:rPr>
              <w:t>ISO</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8FC" w14:textId="77777777" w:rsidR="00F43AB0" w:rsidRPr="001C6EE6" w:rsidRDefault="00F43AB0" w:rsidP="00CD1EAF">
            <w:pPr>
              <w:spacing w:before="60" w:after="120"/>
              <w:rPr>
                <w:sz w:val="18"/>
                <w:szCs w:val="18"/>
              </w:rPr>
            </w:pPr>
            <w:r w:rsidRPr="001C6EE6">
              <w:rPr>
                <w:sz w:val="18"/>
                <w:szCs w:val="18"/>
              </w:rPr>
              <w:t>International Organisation for Standardisation</w:t>
            </w:r>
          </w:p>
        </w:tc>
      </w:tr>
      <w:tr w:rsidR="00F43AB0" w:rsidRPr="001C6EE6" w14:paraId="2EBE2902" w14:textId="77777777" w:rsidTr="00F43AB0">
        <w:trPr>
          <w:trHeight w:val="445"/>
        </w:trPr>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8FE" w14:textId="77777777" w:rsidR="00F43AB0" w:rsidRPr="001C6EE6" w:rsidRDefault="00F43AB0" w:rsidP="00CF218E">
            <w:pPr>
              <w:spacing w:before="60" w:after="120"/>
              <w:rPr>
                <w:bCs/>
                <w:color w:val="auto"/>
                <w:sz w:val="18"/>
                <w:szCs w:val="18"/>
              </w:rPr>
            </w:pPr>
            <w:r>
              <w:rPr>
                <w:bCs/>
                <w:color w:val="auto"/>
                <w:sz w:val="18"/>
                <w:szCs w:val="18"/>
              </w:rPr>
              <w:t>ATSIHS</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8FF" w14:textId="77777777" w:rsidR="00F43AB0" w:rsidRPr="002A575D" w:rsidRDefault="00F43AB0" w:rsidP="00CF218E">
            <w:pPr>
              <w:pStyle w:val="Default"/>
              <w:jc w:val="both"/>
              <w:rPr>
                <w:rFonts w:ascii="Segoe UI" w:hAnsi="Segoe UI" w:cs="Times New Roman"/>
                <w:bCs/>
                <w:color w:val="auto"/>
                <w:sz w:val="18"/>
                <w:szCs w:val="18"/>
                <w:lang w:eastAsia="en-US"/>
              </w:rPr>
            </w:pPr>
            <w:r w:rsidRPr="002A575D">
              <w:rPr>
                <w:rFonts w:ascii="Segoe UI" w:hAnsi="Segoe UI" w:cs="Times New Roman"/>
                <w:bCs/>
                <w:color w:val="auto"/>
                <w:sz w:val="18"/>
                <w:szCs w:val="18"/>
                <w:lang w:val="en-US" w:eastAsia="en-US"/>
              </w:rPr>
              <w:t>Australian Aboriginal and Torres Strait Islander Health Survey</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00" w14:textId="77777777" w:rsidR="00F43AB0" w:rsidRPr="001C6EE6" w:rsidRDefault="00F43AB0" w:rsidP="00CD1EAF">
            <w:pPr>
              <w:spacing w:before="60" w:after="120"/>
              <w:rPr>
                <w:sz w:val="18"/>
                <w:szCs w:val="18"/>
              </w:rPr>
            </w:pPr>
            <w:r w:rsidRPr="001C6EE6">
              <w:rPr>
                <w:sz w:val="18"/>
                <w:szCs w:val="18"/>
              </w:rPr>
              <w:t>LAG</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01" w14:textId="77777777" w:rsidR="00F43AB0" w:rsidRPr="001C6EE6" w:rsidRDefault="00F43AB0" w:rsidP="00CD1EAF">
            <w:pPr>
              <w:spacing w:before="60" w:after="120"/>
              <w:rPr>
                <w:sz w:val="18"/>
                <w:szCs w:val="18"/>
              </w:rPr>
            </w:pPr>
            <w:r w:rsidRPr="001C6EE6">
              <w:rPr>
                <w:sz w:val="18"/>
                <w:szCs w:val="18"/>
              </w:rPr>
              <w:t>Local Advisory Group</w:t>
            </w:r>
          </w:p>
        </w:tc>
      </w:tr>
      <w:tr w:rsidR="00F43AB0" w:rsidRPr="001C6EE6" w14:paraId="2EBE2907" w14:textId="77777777" w:rsidTr="00F43AB0">
        <w:trPr>
          <w:trHeight w:val="445"/>
        </w:trPr>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03" w14:textId="77777777" w:rsidR="00F43AB0" w:rsidRPr="001C6EE6" w:rsidRDefault="00F43AB0" w:rsidP="00CF218E">
            <w:pPr>
              <w:spacing w:before="60" w:after="120"/>
              <w:rPr>
                <w:sz w:val="18"/>
                <w:szCs w:val="18"/>
              </w:rPr>
            </w:pPr>
            <w:r w:rsidRPr="001C6EE6">
              <w:rPr>
                <w:bCs/>
                <w:color w:val="auto"/>
                <w:sz w:val="18"/>
                <w:szCs w:val="18"/>
              </w:rPr>
              <w:t>AUDIT</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04" w14:textId="77777777" w:rsidR="00F43AB0" w:rsidRPr="001C6EE6" w:rsidRDefault="00F43AB0" w:rsidP="00CF218E">
            <w:pPr>
              <w:pStyle w:val="Default"/>
              <w:jc w:val="both"/>
              <w:rPr>
                <w:rFonts w:ascii="Segoe UI" w:hAnsi="Segoe UI"/>
                <w:bCs/>
                <w:color w:val="auto"/>
                <w:sz w:val="18"/>
                <w:szCs w:val="18"/>
              </w:rPr>
            </w:pPr>
            <w:r w:rsidRPr="001C6EE6">
              <w:rPr>
                <w:rFonts w:ascii="Segoe UI" w:hAnsi="Segoe UI" w:cs="Times New Roman"/>
                <w:bCs/>
                <w:color w:val="auto"/>
                <w:sz w:val="18"/>
                <w:szCs w:val="18"/>
                <w:lang w:eastAsia="en-US"/>
              </w:rPr>
              <w:t>Alcohol Use Disorders Identification Test</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05" w14:textId="77777777" w:rsidR="00F43AB0" w:rsidRPr="001C6EE6" w:rsidRDefault="00F43AB0" w:rsidP="00CD1EAF">
            <w:pPr>
              <w:spacing w:before="60" w:after="120"/>
              <w:rPr>
                <w:sz w:val="18"/>
                <w:szCs w:val="18"/>
              </w:rPr>
            </w:pPr>
            <w:r w:rsidRPr="001C6EE6">
              <w:rPr>
                <w:sz w:val="18"/>
                <w:szCs w:val="18"/>
              </w:rPr>
              <w:t>MH</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06" w14:textId="77777777" w:rsidR="00F43AB0" w:rsidRPr="001C6EE6" w:rsidRDefault="00F43AB0" w:rsidP="00CD1EAF">
            <w:pPr>
              <w:spacing w:before="60" w:after="120"/>
              <w:rPr>
                <w:sz w:val="18"/>
                <w:szCs w:val="18"/>
              </w:rPr>
            </w:pPr>
            <w:r w:rsidRPr="001C6EE6">
              <w:rPr>
                <w:sz w:val="18"/>
                <w:szCs w:val="18"/>
              </w:rPr>
              <w:t>Mental Health</w:t>
            </w:r>
          </w:p>
        </w:tc>
      </w:tr>
      <w:tr w:rsidR="00F43AB0" w:rsidRPr="001C6EE6" w14:paraId="2EBE290C"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08" w14:textId="77777777" w:rsidR="00F43AB0" w:rsidRPr="001C6EE6" w:rsidRDefault="00F43AB0" w:rsidP="00CF218E">
            <w:pPr>
              <w:spacing w:before="60" w:after="120"/>
              <w:rPr>
                <w:sz w:val="18"/>
                <w:szCs w:val="18"/>
              </w:rPr>
            </w:pPr>
            <w:r w:rsidRPr="002A575D">
              <w:rPr>
                <w:sz w:val="18"/>
                <w:szCs w:val="18"/>
                <w:lang w:val="en-US"/>
              </w:rPr>
              <w:t>COAG</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09" w14:textId="77777777" w:rsidR="00F43AB0" w:rsidRPr="001C6EE6" w:rsidRDefault="00F43AB0" w:rsidP="00CF218E">
            <w:pPr>
              <w:spacing w:before="60" w:after="120"/>
              <w:rPr>
                <w:sz w:val="18"/>
                <w:szCs w:val="18"/>
              </w:rPr>
            </w:pPr>
            <w:r>
              <w:rPr>
                <w:sz w:val="18"/>
                <w:szCs w:val="18"/>
              </w:rPr>
              <w:t>Council of Australian Governments</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0A" w14:textId="77777777" w:rsidR="00F43AB0" w:rsidRPr="001C6EE6" w:rsidRDefault="00F43AB0" w:rsidP="00CD1EAF">
            <w:pPr>
              <w:spacing w:before="60" w:after="120"/>
              <w:rPr>
                <w:sz w:val="18"/>
                <w:szCs w:val="18"/>
              </w:rPr>
            </w:pPr>
            <w:r w:rsidRPr="001C6EE6">
              <w:rPr>
                <w:sz w:val="18"/>
                <w:szCs w:val="18"/>
              </w:rPr>
              <w:t>MH &amp; ATODS</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0B" w14:textId="77777777" w:rsidR="00F43AB0" w:rsidRPr="001C6EE6" w:rsidRDefault="00F43AB0" w:rsidP="00CD1EAF">
            <w:pPr>
              <w:spacing w:before="60" w:after="120"/>
              <w:rPr>
                <w:rFonts w:ascii="Century Gothic" w:hAnsi="Century Gothic"/>
                <w:b/>
                <w:sz w:val="18"/>
                <w:szCs w:val="18"/>
              </w:rPr>
            </w:pPr>
            <w:r w:rsidRPr="001C6EE6">
              <w:rPr>
                <w:sz w:val="18"/>
                <w:szCs w:val="18"/>
              </w:rPr>
              <w:t>Mental Health and Alcohol Tobacco and Other Drug Services</w:t>
            </w:r>
            <w:r w:rsidRPr="001C6EE6" w:rsidDel="009E1068">
              <w:rPr>
                <w:sz w:val="18"/>
                <w:szCs w:val="18"/>
              </w:rPr>
              <w:t xml:space="preserve"> </w:t>
            </w:r>
          </w:p>
        </w:tc>
      </w:tr>
      <w:tr w:rsidR="00F43AB0" w:rsidRPr="001C6EE6" w14:paraId="2EBE2911"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0D" w14:textId="77777777" w:rsidR="00F43AB0" w:rsidRPr="001C6EE6" w:rsidRDefault="00F43AB0" w:rsidP="00CF218E">
            <w:pPr>
              <w:spacing w:before="60" w:after="120"/>
              <w:rPr>
                <w:sz w:val="18"/>
                <w:szCs w:val="18"/>
              </w:rPr>
            </w:pPr>
            <w:r w:rsidRPr="001C6EE6">
              <w:rPr>
                <w:sz w:val="18"/>
                <w:szCs w:val="18"/>
              </w:rPr>
              <w:t>CYHHS</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0E" w14:textId="77777777" w:rsidR="00F43AB0" w:rsidRPr="001C6EE6" w:rsidRDefault="00F43AB0" w:rsidP="00CF218E">
            <w:pPr>
              <w:spacing w:before="60" w:after="120"/>
              <w:rPr>
                <w:sz w:val="18"/>
                <w:szCs w:val="18"/>
              </w:rPr>
            </w:pPr>
            <w:r w:rsidRPr="001C6EE6">
              <w:rPr>
                <w:sz w:val="18"/>
                <w:szCs w:val="18"/>
              </w:rPr>
              <w:t>Cape York Hospital and Health Service</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0F" w14:textId="77777777" w:rsidR="00F43AB0" w:rsidRPr="001C6EE6" w:rsidRDefault="00F43AB0" w:rsidP="00CD1EAF">
            <w:pPr>
              <w:spacing w:before="60" w:after="120"/>
              <w:rPr>
                <w:sz w:val="18"/>
                <w:szCs w:val="18"/>
              </w:rPr>
            </w:pPr>
            <w:r w:rsidRPr="001C6EE6">
              <w:rPr>
                <w:sz w:val="18"/>
                <w:szCs w:val="18"/>
              </w:rPr>
              <w:t>MMEx</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10" w14:textId="77777777" w:rsidR="00F43AB0" w:rsidRPr="001C6EE6" w:rsidRDefault="00F43AB0" w:rsidP="00CD1EAF">
            <w:pPr>
              <w:spacing w:before="60" w:after="120"/>
              <w:rPr>
                <w:sz w:val="18"/>
                <w:szCs w:val="18"/>
              </w:rPr>
            </w:pPr>
            <w:r w:rsidRPr="001C6EE6">
              <w:rPr>
                <w:sz w:val="18"/>
                <w:szCs w:val="18"/>
              </w:rPr>
              <w:t>Health client record system</w:t>
            </w:r>
          </w:p>
        </w:tc>
      </w:tr>
      <w:tr w:rsidR="00F43AB0" w:rsidRPr="001C6EE6" w14:paraId="2EBE2916"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12" w14:textId="77777777" w:rsidR="00F43AB0" w:rsidRPr="001C6EE6" w:rsidRDefault="00F43AB0" w:rsidP="00CF218E">
            <w:pPr>
              <w:spacing w:before="60" w:after="120"/>
              <w:rPr>
                <w:sz w:val="18"/>
                <w:szCs w:val="18"/>
              </w:rPr>
            </w:pPr>
            <w:r w:rsidRPr="001C6EE6">
              <w:rPr>
                <w:sz w:val="18"/>
                <w:szCs w:val="18"/>
              </w:rPr>
              <w:t>CYP</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13" w14:textId="77777777" w:rsidR="00F43AB0" w:rsidRPr="001C6EE6" w:rsidRDefault="00F43AB0" w:rsidP="00CF218E">
            <w:pPr>
              <w:spacing w:before="60" w:after="120"/>
              <w:rPr>
                <w:sz w:val="18"/>
                <w:szCs w:val="18"/>
              </w:rPr>
            </w:pPr>
            <w:r w:rsidRPr="001C6EE6">
              <w:rPr>
                <w:sz w:val="18"/>
                <w:szCs w:val="18"/>
              </w:rPr>
              <w:t>Cape York Partnerships</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14" w14:textId="77777777" w:rsidR="00F43AB0" w:rsidRPr="001C6EE6" w:rsidRDefault="00F43AB0" w:rsidP="00CD1EAF">
            <w:pPr>
              <w:spacing w:before="60" w:after="120"/>
              <w:rPr>
                <w:sz w:val="18"/>
                <w:szCs w:val="18"/>
              </w:rPr>
            </w:pPr>
            <w:r w:rsidRPr="001C6EE6">
              <w:rPr>
                <w:sz w:val="18"/>
                <w:szCs w:val="18"/>
              </w:rPr>
              <w:t>PCYC</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15" w14:textId="77777777" w:rsidR="00F43AB0" w:rsidRPr="001C6EE6" w:rsidRDefault="00F43AB0" w:rsidP="00CD1EAF">
            <w:pPr>
              <w:spacing w:before="60" w:after="120"/>
              <w:rPr>
                <w:sz w:val="18"/>
                <w:szCs w:val="18"/>
              </w:rPr>
            </w:pPr>
            <w:r w:rsidRPr="001C6EE6">
              <w:rPr>
                <w:sz w:val="18"/>
                <w:szCs w:val="18"/>
              </w:rPr>
              <w:t>Police and Citizens Youth Club</w:t>
            </w:r>
          </w:p>
        </w:tc>
      </w:tr>
      <w:tr w:rsidR="00F43AB0" w:rsidRPr="001C6EE6" w14:paraId="2EBE291B"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17" w14:textId="77777777" w:rsidR="00F43AB0" w:rsidRPr="001C6EE6" w:rsidRDefault="00F43AB0" w:rsidP="00CF218E">
            <w:pPr>
              <w:spacing w:before="60" w:after="120"/>
              <w:rPr>
                <w:sz w:val="18"/>
                <w:szCs w:val="18"/>
              </w:rPr>
            </w:pPr>
            <w:r w:rsidRPr="001C6EE6">
              <w:rPr>
                <w:sz w:val="18"/>
                <w:szCs w:val="18"/>
              </w:rPr>
              <w:t>CYWR</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18" w14:textId="77777777" w:rsidR="00F43AB0" w:rsidRPr="001C6EE6" w:rsidRDefault="00F43AB0" w:rsidP="00CF218E">
            <w:pPr>
              <w:spacing w:before="60" w:after="120"/>
              <w:rPr>
                <w:sz w:val="18"/>
                <w:szCs w:val="18"/>
              </w:rPr>
            </w:pPr>
            <w:r w:rsidRPr="001C6EE6">
              <w:rPr>
                <w:sz w:val="18"/>
                <w:szCs w:val="18"/>
              </w:rPr>
              <w:t>Cape York Welfare Reform</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19" w14:textId="77777777" w:rsidR="00F43AB0" w:rsidRPr="001C6EE6" w:rsidRDefault="00F43AB0" w:rsidP="00CD1EAF">
            <w:pPr>
              <w:spacing w:before="60" w:after="120"/>
              <w:rPr>
                <w:sz w:val="18"/>
                <w:szCs w:val="18"/>
              </w:rPr>
            </w:pPr>
            <w:r w:rsidRPr="001C6EE6">
              <w:rPr>
                <w:sz w:val="18"/>
                <w:szCs w:val="18"/>
              </w:rPr>
              <w:t>PIR</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1A" w14:textId="77777777" w:rsidR="00F43AB0" w:rsidRPr="001C6EE6" w:rsidRDefault="00F43AB0" w:rsidP="00CD1EAF">
            <w:pPr>
              <w:spacing w:before="60" w:after="120"/>
              <w:rPr>
                <w:sz w:val="18"/>
                <w:szCs w:val="18"/>
              </w:rPr>
            </w:pPr>
            <w:r w:rsidRPr="001C6EE6">
              <w:rPr>
                <w:sz w:val="18"/>
                <w:szCs w:val="18"/>
              </w:rPr>
              <w:t>Post implementation review</w:t>
            </w:r>
          </w:p>
        </w:tc>
      </w:tr>
      <w:tr w:rsidR="00F43AB0" w:rsidRPr="001C6EE6" w14:paraId="2EBE2920"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1C" w14:textId="77777777" w:rsidR="00F43AB0" w:rsidRPr="001C6EE6" w:rsidRDefault="00F43AB0" w:rsidP="00CF218E">
            <w:pPr>
              <w:spacing w:before="60" w:after="120"/>
              <w:rPr>
                <w:sz w:val="18"/>
                <w:szCs w:val="18"/>
              </w:rPr>
            </w:pPr>
            <w:r w:rsidRPr="001C6EE6">
              <w:rPr>
                <w:sz w:val="18"/>
                <w:szCs w:val="18"/>
              </w:rPr>
              <w:t>D&amp;A</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1D" w14:textId="77777777" w:rsidR="00F43AB0" w:rsidRPr="001C6EE6" w:rsidRDefault="00F43AB0" w:rsidP="00CF218E">
            <w:pPr>
              <w:spacing w:before="60" w:after="120"/>
              <w:rPr>
                <w:sz w:val="18"/>
                <w:szCs w:val="18"/>
              </w:rPr>
            </w:pPr>
            <w:r w:rsidRPr="001C6EE6">
              <w:rPr>
                <w:sz w:val="18"/>
                <w:szCs w:val="18"/>
              </w:rPr>
              <w:t>Drug and Alcohol</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1E" w14:textId="77777777" w:rsidR="00F43AB0" w:rsidRPr="001C6EE6" w:rsidRDefault="00F43AB0" w:rsidP="00CD1EAF">
            <w:pPr>
              <w:spacing w:before="60" w:after="120"/>
              <w:rPr>
                <w:sz w:val="18"/>
                <w:szCs w:val="18"/>
              </w:rPr>
            </w:pPr>
            <w:r w:rsidRPr="00291A60">
              <w:rPr>
                <w:sz w:val="18"/>
                <w:szCs w:val="18"/>
              </w:rPr>
              <w:t>QAIHC</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1F" w14:textId="77777777" w:rsidR="00F43AB0" w:rsidRPr="001C6EE6" w:rsidRDefault="00F43AB0" w:rsidP="00CD1EAF">
            <w:pPr>
              <w:rPr>
                <w:sz w:val="18"/>
                <w:szCs w:val="18"/>
                <w:lang w:eastAsia="en-AU"/>
              </w:rPr>
            </w:pPr>
            <w:r w:rsidRPr="00291A60">
              <w:rPr>
                <w:sz w:val="18"/>
                <w:szCs w:val="18"/>
                <w:lang w:eastAsia="en-AU"/>
              </w:rPr>
              <w:t xml:space="preserve">Queensland Aboriginal and Islander Health Council </w:t>
            </w:r>
          </w:p>
        </w:tc>
      </w:tr>
      <w:tr w:rsidR="00F43AB0" w:rsidRPr="001C6EE6" w14:paraId="2EBE2925"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21" w14:textId="77777777" w:rsidR="00F43AB0" w:rsidRPr="001C6EE6" w:rsidRDefault="00F43AB0" w:rsidP="00CF218E">
            <w:pPr>
              <w:spacing w:before="60" w:after="120"/>
              <w:rPr>
                <w:sz w:val="18"/>
                <w:szCs w:val="18"/>
              </w:rPr>
            </w:pPr>
            <w:r w:rsidRPr="001C6EE6">
              <w:rPr>
                <w:sz w:val="18"/>
                <w:szCs w:val="18"/>
              </w:rPr>
              <w:t>DoH</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22" w14:textId="77777777" w:rsidR="00F43AB0" w:rsidRPr="001C6EE6" w:rsidRDefault="00F43AB0" w:rsidP="00CF218E">
            <w:pPr>
              <w:spacing w:before="60" w:after="120"/>
              <w:rPr>
                <w:sz w:val="18"/>
                <w:szCs w:val="18"/>
              </w:rPr>
            </w:pPr>
            <w:r>
              <w:rPr>
                <w:sz w:val="18"/>
                <w:szCs w:val="18"/>
              </w:rPr>
              <w:t>Department of Health  (formerly Department of Health and Ageing)</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23" w14:textId="77777777" w:rsidR="00F43AB0" w:rsidRPr="001C6EE6" w:rsidRDefault="00F43AB0" w:rsidP="00CD1EAF">
            <w:pPr>
              <w:spacing w:before="60" w:after="120"/>
              <w:rPr>
                <w:sz w:val="18"/>
                <w:szCs w:val="18"/>
              </w:rPr>
            </w:pPr>
            <w:r w:rsidRPr="001C6EE6">
              <w:rPr>
                <w:sz w:val="18"/>
                <w:szCs w:val="18"/>
              </w:rPr>
              <w:t>QH</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24" w14:textId="77777777" w:rsidR="00F43AB0" w:rsidRPr="001C6EE6" w:rsidRDefault="00F43AB0" w:rsidP="00CD1EAF">
            <w:pPr>
              <w:spacing w:before="60" w:after="120"/>
              <w:rPr>
                <w:sz w:val="18"/>
                <w:szCs w:val="18"/>
              </w:rPr>
            </w:pPr>
            <w:r w:rsidRPr="001C6EE6">
              <w:rPr>
                <w:sz w:val="18"/>
                <w:szCs w:val="18"/>
              </w:rPr>
              <w:t>Queensland Health</w:t>
            </w:r>
          </w:p>
        </w:tc>
      </w:tr>
      <w:tr w:rsidR="00F43AB0" w:rsidRPr="001C6EE6" w14:paraId="2EBE292A"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26" w14:textId="77777777" w:rsidR="00F43AB0" w:rsidRPr="001C6EE6" w:rsidRDefault="00F43AB0" w:rsidP="00CF218E">
            <w:pPr>
              <w:spacing w:before="60" w:after="120"/>
              <w:rPr>
                <w:sz w:val="18"/>
                <w:szCs w:val="18"/>
              </w:rPr>
            </w:pPr>
            <w:r w:rsidRPr="001C6EE6">
              <w:rPr>
                <w:sz w:val="18"/>
                <w:szCs w:val="18"/>
              </w:rPr>
              <w:t>FRC</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27" w14:textId="77777777" w:rsidR="00F43AB0" w:rsidRPr="001C6EE6" w:rsidRDefault="00F43AB0" w:rsidP="00CF218E">
            <w:pPr>
              <w:spacing w:before="60" w:after="120"/>
              <w:rPr>
                <w:sz w:val="18"/>
                <w:szCs w:val="18"/>
              </w:rPr>
            </w:pPr>
            <w:r w:rsidRPr="001C6EE6">
              <w:rPr>
                <w:sz w:val="18"/>
                <w:szCs w:val="18"/>
              </w:rPr>
              <w:t>Family Responsibilities Commission</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28" w14:textId="77777777" w:rsidR="00F43AB0" w:rsidRPr="001C6EE6" w:rsidRDefault="00F43AB0" w:rsidP="00CD1EAF">
            <w:pPr>
              <w:spacing w:before="60" w:after="120"/>
              <w:rPr>
                <w:sz w:val="18"/>
                <w:szCs w:val="18"/>
              </w:rPr>
            </w:pPr>
            <w:r w:rsidRPr="001C6EE6">
              <w:rPr>
                <w:sz w:val="18"/>
                <w:szCs w:val="18"/>
              </w:rPr>
              <w:t>RFDS</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29" w14:textId="77777777" w:rsidR="00F43AB0" w:rsidRPr="001C6EE6" w:rsidRDefault="00F43AB0" w:rsidP="00CD1EAF">
            <w:pPr>
              <w:spacing w:before="60" w:after="120"/>
              <w:rPr>
                <w:sz w:val="18"/>
                <w:szCs w:val="18"/>
              </w:rPr>
            </w:pPr>
            <w:r w:rsidRPr="001C6EE6">
              <w:rPr>
                <w:sz w:val="18"/>
                <w:szCs w:val="18"/>
              </w:rPr>
              <w:t>Royal Flying Doctor Service</w:t>
            </w:r>
          </w:p>
        </w:tc>
      </w:tr>
      <w:tr w:rsidR="00F43AB0" w:rsidRPr="001C6EE6" w14:paraId="2EBE292F"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2B" w14:textId="77777777" w:rsidR="00F43AB0" w:rsidRPr="001C6EE6" w:rsidRDefault="00F43AB0" w:rsidP="00CF218E">
            <w:pPr>
              <w:spacing w:before="60" w:after="120"/>
              <w:rPr>
                <w:sz w:val="18"/>
                <w:szCs w:val="18"/>
              </w:rPr>
            </w:pPr>
            <w:r w:rsidRPr="001C6EE6">
              <w:rPr>
                <w:sz w:val="18"/>
                <w:szCs w:val="18"/>
              </w:rPr>
              <w:t>FTE</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2C" w14:textId="77777777" w:rsidR="00F43AB0" w:rsidRPr="001C6EE6" w:rsidRDefault="00F43AB0" w:rsidP="00CF218E">
            <w:pPr>
              <w:spacing w:before="60" w:after="120"/>
              <w:rPr>
                <w:sz w:val="18"/>
                <w:szCs w:val="18"/>
              </w:rPr>
            </w:pPr>
            <w:r w:rsidRPr="001C6EE6">
              <w:rPr>
                <w:sz w:val="18"/>
                <w:szCs w:val="18"/>
              </w:rPr>
              <w:t>Full-time equivalent</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2D" w14:textId="77777777" w:rsidR="00F43AB0" w:rsidRPr="001C6EE6" w:rsidRDefault="00F43AB0" w:rsidP="00CD1EAF">
            <w:pPr>
              <w:spacing w:before="60" w:after="120"/>
              <w:rPr>
                <w:sz w:val="18"/>
                <w:szCs w:val="18"/>
              </w:rPr>
            </w:pPr>
            <w:r>
              <w:rPr>
                <w:sz w:val="18"/>
                <w:szCs w:val="18"/>
              </w:rPr>
              <w:t>SDOT</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2E" w14:textId="77777777" w:rsidR="00F43AB0" w:rsidRPr="001C6EE6" w:rsidRDefault="00F43AB0" w:rsidP="00CD1EAF">
            <w:pPr>
              <w:spacing w:before="60" w:after="120"/>
              <w:rPr>
                <w:sz w:val="18"/>
                <w:szCs w:val="18"/>
              </w:rPr>
            </w:pPr>
            <w:r>
              <w:rPr>
                <w:sz w:val="18"/>
                <w:szCs w:val="18"/>
              </w:rPr>
              <w:t>Single Desk Officer Trial</w:t>
            </w:r>
          </w:p>
        </w:tc>
      </w:tr>
      <w:tr w:rsidR="00F43AB0" w:rsidRPr="001C6EE6" w14:paraId="2EBE2934"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30" w14:textId="77777777" w:rsidR="00F43AB0" w:rsidRPr="001C6EE6" w:rsidRDefault="00F43AB0" w:rsidP="00CF218E">
            <w:pPr>
              <w:spacing w:before="60" w:after="120"/>
              <w:rPr>
                <w:sz w:val="18"/>
                <w:szCs w:val="18"/>
              </w:rPr>
            </w:pPr>
            <w:r w:rsidRPr="001C6EE6">
              <w:rPr>
                <w:sz w:val="18"/>
                <w:szCs w:val="18"/>
              </w:rPr>
              <w:t>GEM</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31" w14:textId="77777777" w:rsidR="00F43AB0" w:rsidRPr="001C6EE6" w:rsidRDefault="00F43AB0" w:rsidP="00CF218E">
            <w:pPr>
              <w:spacing w:before="60" w:after="120"/>
              <w:rPr>
                <w:sz w:val="18"/>
                <w:szCs w:val="18"/>
              </w:rPr>
            </w:pPr>
            <w:r w:rsidRPr="001C6EE6">
              <w:rPr>
                <w:sz w:val="18"/>
                <w:szCs w:val="18"/>
              </w:rPr>
              <w:t xml:space="preserve">Growth and Empowerment measure </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32" w14:textId="77777777" w:rsidR="00F43AB0" w:rsidRPr="001C6EE6" w:rsidRDefault="00F43AB0" w:rsidP="00CD1EAF">
            <w:pPr>
              <w:spacing w:before="60" w:after="120"/>
              <w:rPr>
                <w:sz w:val="18"/>
                <w:szCs w:val="18"/>
              </w:rPr>
            </w:pPr>
            <w:r w:rsidRPr="001C6EE6">
              <w:rPr>
                <w:sz w:val="18"/>
                <w:szCs w:val="18"/>
              </w:rPr>
              <w:t>SEWB</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33" w14:textId="77777777" w:rsidR="00F43AB0" w:rsidRPr="001C6EE6" w:rsidRDefault="00F43AB0" w:rsidP="00CD1EAF">
            <w:pPr>
              <w:spacing w:before="60" w:after="120"/>
              <w:rPr>
                <w:sz w:val="18"/>
                <w:szCs w:val="18"/>
              </w:rPr>
            </w:pPr>
            <w:r w:rsidRPr="001C6EE6">
              <w:rPr>
                <w:sz w:val="18"/>
                <w:szCs w:val="18"/>
              </w:rPr>
              <w:t>Social and emotional well being</w:t>
            </w:r>
          </w:p>
        </w:tc>
      </w:tr>
      <w:tr w:rsidR="00F43AB0" w:rsidRPr="001C6EE6" w14:paraId="2EBE2939"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35" w14:textId="77777777" w:rsidR="00F43AB0" w:rsidRPr="001C6EE6" w:rsidRDefault="00F43AB0" w:rsidP="00CF218E">
            <w:pPr>
              <w:spacing w:before="60" w:after="120"/>
              <w:rPr>
                <w:sz w:val="18"/>
                <w:szCs w:val="18"/>
              </w:rPr>
            </w:pPr>
            <w:r>
              <w:rPr>
                <w:sz w:val="18"/>
                <w:szCs w:val="18"/>
              </w:rPr>
              <w:t>HAT</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36" w14:textId="77777777" w:rsidR="00F43AB0" w:rsidRPr="001C6EE6" w:rsidRDefault="00F43AB0" w:rsidP="00447E79">
            <w:pPr>
              <w:spacing w:before="60" w:after="120"/>
              <w:rPr>
                <w:sz w:val="18"/>
                <w:szCs w:val="18"/>
              </w:rPr>
            </w:pPr>
            <w:r>
              <w:rPr>
                <w:sz w:val="18"/>
                <w:szCs w:val="18"/>
              </w:rPr>
              <w:t>Health action teams (Apu</w:t>
            </w:r>
            <w:r w:rsidR="00447E79">
              <w:rPr>
                <w:sz w:val="18"/>
                <w:szCs w:val="18"/>
              </w:rPr>
              <w:t>n</w:t>
            </w:r>
            <w:r>
              <w:rPr>
                <w:sz w:val="18"/>
                <w:szCs w:val="18"/>
              </w:rPr>
              <w:t>ipima)</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37" w14:textId="77777777" w:rsidR="00F43AB0" w:rsidRPr="001C6EE6" w:rsidRDefault="00F43AB0" w:rsidP="00CD1EAF">
            <w:pPr>
              <w:spacing w:before="60" w:after="120"/>
              <w:rPr>
                <w:sz w:val="18"/>
                <w:szCs w:val="18"/>
              </w:rPr>
            </w:pPr>
            <w:r w:rsidRPr="001C6EE6">
              <w:rPr>
                <w:sz w:val="18"/>
                <w:szCs w:val="18"/>
              </w:rPr>
              <w:t>WBC</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38" w14:textId="77777777" w:rsidR="00F43AB0" w:rsidRPr="001C6EE6" w:rsidRDefault="00F43AB0" w:rsidP="00CD1EAF">
            <w:pPr>
              <w:spacing w:before="60" w:after="120"/>
              <w:rPr>
                <w:sz w:val="18"/>
                <w:szCs w:val="18"/>
              </w:rPr>
            </w:pPr>
            <w:r w:rsidRPr="001C6EE6">
              <w:rPr>
                <w:sz w:val="18"/>
                <w:szCs w:val="18"/>
              </w:rPr>
              <w:t>Wellbeing Centre</w:t>
            </w:r>
          </w:p>
        </w:tc>
      </w:tr>
      <w:tr w:rsidR="00F43AB0" w:rsidRPr="001C6EE6" w14:paraId="2EBE293E" w14:textId="77777777" w:rsidTr="00F43AB0">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2EBE293A" w14:textId="77777777" w:rsidR="00F43AB0" w:rsidRPr="001C6EE6" w:rsidRDefault="00F43AB0" w:rsidP="00CD1EAF">
            <w:pPr>
              <w:spacing w:before="60" w:after="120"/>
              <w:rPr>
                <w:sz w:val="18"/>
                <w:szCs w:val="18"/>
              </w:rPr>
            </w:pPr>
            <w:r w:rsidRPr="001C6EE6">
              <w:rPr>
                <w:sz w:val="18"/>
                <w:szCs w:val="18"/>
              </w:rPr>
              <w:t>HOI</w:t>
            </w:r>
          </w:p>
        </w:tc>
        <w:tc>
          <w:tcPr>
            <w:tcW w:w="3396" w:type="dxa"/>
            <w:tcBorders>
              <w:top w:val="single" w:sz="4" w:space="0" w:color="FFFFFF"/>
              <w:left w:val="single" w:sz="4" w:space="0" w:color="FFFFFF"/>
              <w:bottom w:val="single" w:sz="4" w:space="0" w:color="FFFFFF"/>
              <w:right w:val="single" w:sz="4" w:space="0" w:color="FFFFFF"/>
            </w:tcBorders>
            <w:shd w:val="clear" w:color="auto" w:fill="F2F2F2"/>
          </w:tcPr>
          <w:p w14:paraId="2EBE293B" w14:textId="77777777" w:rsidR="00F43AB0" w:rsidRPr="001C6EE6" w:rsidRDefault="00F43AB0" w:rsidP="00CD1EAF">
            <w:pPr>
              <w:spacing w:before="60" w:after="120"/>
              <w:rPr>
                <w:sz w:val="18"/>
                <w:szCs w:val="18"/>
              </w:rPr>
            </w:pPr>
            <w:r w:rsidRPr="001C6EE6">
              <w:rPr>
                <w:sz w:val="18"/>
                <w:szCs w:val="18"/>
              </w:rPr>
              <w:t>Health Outcomes International</w:t>
            </w:r>
          </w:p>
        </w:tc>
        <w:tc>
          <w:tcPr>
            <w:tcW w:w="1418"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tcPr>
          <w:p w14:paraId="2EBE293C" w14:textId="77777777" w:rsidR="00F43AB0" w:rsidRPr="001C6EE6" w:rsidRDefault="00F43AB0" w:rsidP="00CD1EAF">
            <w:pPr>
              <w:spacing w:before="60" w:after="120"/>
              <w:rPr>
                <w:sz w:val="18"/>
                <w:szCs w:val="18"/>
              </w:rPr>
            </w:pPr>
            <w:r w:rsidRPr="001C6EE6">
              <w:rPr>
                <w:sz w:val="18"/>
                <w:szCs w:val="18"/>
              </w:rPr>
              <w:t>YOTEM</w:t>
            </w:r>
          </w:p>
        </w:tc>
        <w:tc>
          <w:tcPr>
            <w:tcW w:w="2976" w:type="dxa"/>
            <w:tcBorders>
              <w:top w:val="single" w:sz="4" w:space="0" w:color="FFFFFF"/>
              <w:left w:val="single" w:sz="4" w:space="0" w:color="FFFFFF"/>
              <w:bottom w:val="single" w:sz="4" w:space="0" w:color="FFFFFF"/>
              <w:right w:val="single" w:sz="4" w:space="0" w:color="FFFFFF"/>
            </w:tcBorders>
            <w:shd w:val="clear" w:color="auto" w:fill="F2F2F2"/>
          </w:tcPr>
          <w:p w14:paraId="2EBE293D" w14:textId="77777777" w:rsidR="00F43AB0" w:rsidRPr="001C6EE6" w:rsidRDefault="00F43AB0" w:rsidP="00CD1EAF">
            <w:pPr>
              <w:spacing w:before="60" w:after="120"/>
              <w:rPr>
                <w:sz w:val="18"/>
                <w:szCs w:val="18"/>
              </w:rPr>
            </w:pPr>
            <w:r w:rsidRPr="001C6EE6">
              <w:rPr>
                <w:sz w:val="18"/>
                <w:szCs w:val="18"/>
              </w:rPr>
              <w:t>The RFDS client data system</w:t>
            </w:r>
          </w:p>
        </w:tc>
      </w:tr>
    </w:tbl>
    <w:p w14:paraId="2EBE293F" w14:textId="77777777" w:rsidR="001C6EE6" w:rsidRDefault="001C6EE6" w:rsidP="001C6EE6">
      <w:pPr>
        <w:jc w:val="right"/>
        <w:sectPr w:rsidR="001C6EE6" w:rsidSect="00C74D33">
          <w:headerReference w:type="default" r:id="rId14"/>
          <w:footerReference w:type="default" r:id="rId15"/>
          <w:pgSz w:w="11907" w:h="16840" w:code="9"/>
          <w:pgMar w:top="1559" w:right="1418" w:bottom="1418" w:left="1418" w:header="709" w:footer="590" w:gutter="0"/>
          <w:pgNumType w:fmt="lowerRoman" w:start="1"/>
          <w:cols w:space="708"/>
          <w:docGrid w:linePitch="360"/>
        </w:sectPr>
      </w:pPr>
    </w:p>
    <w:p w14:paraId="2EBE2940" w14:textId="77777777" w:rsidR="00F35B24" w:rsidRPr="00673136" w:rsidRDefault="00F35B24" w:rsidP="008F677F">
      <w:pPr>
        <w:pStyle w:val="ChLetter"/>
      </w:pPr>
      <w:bookmarkStart w:id="17" w:name="_Toc309303854"/>
      <w:r w:rsidRPr="00F35B24">
        <w:lastRenderedPageBreak/>
        <w:t>E</w:t>
      </w:r>
      <w:bookmarkEnd w:id="17"/>
    </w:p>
    <w:p w14:paraId="2EBE2941" w14:textId="77777777" w:rsidR="0032524F" w:rsidRDefault="00327344" w:rsidP="00BC0A26">
      <w:pPr>
        <w:pStyle w:val="Heading1"/>
        <w:numPr>
          <w:ilvl w:val="0"/>
          <w:numId w:val="0"/>
        </w:numPr>
        <w:ind w:left="432"/>
      </w:pPr>
      <w:bookmarkStart w:id="18" w:name="_Toc440038418"/>
      <w:r w:rsidRPr="00A4139D">
        <w:t>Executive Summary</w:t>
      </w:r>
      <w:bookmarkEnd w:id="18"/>
    </w:p>
    <w:p w14:paraId="2EBE2942" w14:textId="77777777" w:rsidR="00A4139D" w:rsidRPr="00A4139D" w:rsidRDefault="00A4139D" w:rsidP="00A4139D">
      <w:pPr>
        <w:pStyle w:val="ES1"/>
        <w:spacing w:before="0"/>
      </w:pPr>
      <w:bookmarkStart w:id="19" w:name="_Toc440038419"/>
      <w:r w:rsidRPr="00A4139D">
        <w:t>Introduction</w:t>
      </w:r>
      <w:bookmarkEnd w:id="19"/>
    </w:p>
    <w:p w14:paraId="2EBE2943" w14:textId="77777777" w:rsidR="00A4139D" w:rsidRPr="00A4139D" w:rsidRDefault="00A4139D" w:rsidP="00BC0A26">
      <w:pPr>
        <w:pStyle w:val="ES3"/>
      </w:pPr>
      <w:r w:rsidRPr="00A4139D">
        <w:t>Background</w:t>
      </w:r>
    </w:p>
    <w:p w14:paraId="2EBE2944" w14:textId="77777777" w:rsidR="00A4139D" w:rsidRPr="00A4139D" w:rsidRDefault="00A4139D" w:rsidP="00A4139D">
      <w:pPr>
        <w:rPr>
          <w:rFonts w:cs="Segoe UI"/>
        </w:rPr>
      </w:pPr>
      <w:r w:rsidRPr="00A4139D">
        <w:t>The Cape York Wellbeing Centres (WBCs), jointly funded by the Australian</w:t>
      </w:r>
      <w:r w:rsidR="00355340">
        <w:t xml:space="preserve"> (78%)</w:t>
      </w:r>
      <w:r w:rsidRPr="00A4139D">
        <w:t xml:space="preserve"> and Queensland Governments</w:t>
      </w:r>
      <w:r w:rsidR="00355340">
        <w:t xml:space="preserve"> (22%)</w:t>
      </w:r>
      <w:r w:rsidRPr="00A4139D">
        <w:t>, were established to meet the broad social and emotional wellbeing (SEWB) needs of the communities of Aurukun, Coen, Hopevale and Mossman Gorge</w:t>
      </w:r>
      <w:r w:rsidR="007B64C5">
        <w:t xml:space="preserve"> (combined population 2815)</w:t>
      </w:r>
      <w:r w:rsidRPr="00A4139D">
        <w:t xml:space="preserve">. </w:t>
      </w:r>
      <w:r w:rsidRPr="00A4139D">
        <w:rPr>
          <w:rFonts w:cs="Segoe UI"/>
        </w:rPr>
        <w:t>WBCs were to deliver a new and unique integrated, community based and culturally appropriate social health service with a focus on drug and alcohol, gambling, family violence, general counselling and mental health. In relation to mental health, the visiting specialist mental health services of Queensland Health would continue to provide services and work in an integrated way with WBC clinical staff and counsellors. Additionally, the WBCs were to collaborate with the full range of relevant agencies in the community in order to facilitate improved SEWB outcomes.</w:t>
      </w:r>
    </w:p>
    <w:p w14:paraId="2EBE2945" w14:textId="623D3DD4" w:rsidR="00A4139D" w:rsidRPr="00A4139D" w:rsidRDefault="00A4139D" w:rsidP="00A4139D">
      <w:pPr>
        <w:spacing w:after="120"/>
      </w:pPr>
      <w:r w:rsidRPr="00A4139D">
        <w:t>While not initiated to support the Cape York Welfare Reform (CYWR) exclusively, the WBCs were intended to contribute to the change in behavioural and social norms as an enabler and significant support service to the Reform strategy and in particular the Family Resp</w:t>
      </w:r>
      <w:r w:rsidR="00017D0F">
        <w:t xml:space="preserve">onsibilities Commission (FRC). </w:t>
      </w:r>
      <w:r w:rsidRPr="00A4139D">
        <w:t>The Royal Flying Doctors Service (RFDS) was contracted as an interim auspice to operate the WBCs with a view to transitioning to a community‐controlled arrangement over time.  Local Advisory Groups (LAGs) were established in each community to partner with the RFDS to ensure active community participation in the recruitment, planning, development and monitoring of WBC service delivery. The WBCs have been fully operational for approximately 5 years.</w:t>
      </w:r>
      <w:r w:rsidR="00017D0F">
        <w:t xml:space="preserve"> </w:t>
      </w:r>
      <w:r w:rsidR="00017D0F" w:rsidRPr="00DE047C">
        <w:rPr>
          <w:color w:val="1F497D" w:themeColor="text2"/>
        </w:rPr>
        <w:t>[</w:t>
      </w:r>
      <w:hyperlink w:anchor="_Cape_York_Wellbeing" w:history="1">
        <w:r w:rsidR="00017D0F" w:rsidRPr="00DE047C">
          <w:rPr>
            <w:rStyle w:val="Hyperlink"/>
          </w:rPr>
          <w:t>Section 1.5</w:t>
        </w:r>
      </w:hyperlink>
      <w:r w:rsidR="00017D0F" w:rsidRPr="00DE047C">
        <w:rPr>
          <w:color w:val="1F497D" w:themeColor="text2"/>
        </w:rPr>
        <w:t>]</w:t>
      </w:r>
    </w:p>
    <w:p w14:paraId="2EBE2946" w14:textId="77777777" w:rsidR="00A4139D" w:rsidRPr="00017D0F" w:rsidRDefault="00A4139D" w:rsidP="00BC0A26">
      <w:pPr>
        <w:pStyle w:val="ES3"/>
        <w:rPr>
          <w:lang w:val="en-AU"/>
        </w:rPr>
      </w:pPr>
      <w:r w:rsidRPr="00A4139D">
        <w:t>Evaluation aims</w:t>
      </w:r>
    </w:p>
    <w:p w14:paraId="2EBE2947" w14:textId="77777777" w:rsidR="00A4139D" w:rsidRPr="00A4139D" w:rsidRDefault="00A4139D" w:rsidP="00584FEB">
      <w:pPr>
        <w:spacing w:after="0"/>
      </w:pPr>
      <w:r w:rsidRPr="00A4139D">
        <w:t>The Australian Government appointed Health Outcomes International (HOI) to assess the effectiveness of the WBCs in terms of processes implemented and individual and community-wide outcomes achieved to date.  The specific aims of the project were to:</w:t>
      </w:r>
    </w:p>
    <w:p w14:paraId="2EBE2948" w14:textId="77777777" w:rsidR="00A4139D" w:rsidRPr="00A4139D" w:rsidRDefault="00A4139D" w:rsidP="0083588E">
      <w:pPr>
        <w:numPr>
          <w:ilvl w:val="0"/>
          <w:numId w:val="43"/>
        </w:numPr>
        <w:spacing w:before="60" w:after="60"/>
        <w:ind w:left="357" w:hanging="357"/>
      </w:pPr>
      <w:r w:rsidRPr="00A4139D">
        <w:t>Provide evidence on whether the WBCs are being successful in reducing alcohol and substance abuse and its impact on families, safety and community wellbeing in the four communities</w:t>
      </w:r>
    </w:p>
    <w:p w14:paraId="2EBE2949" w14:textId="77777777" w:rsidR="00A4139D" w:rsidRPr="00A4139D" w:rsidRDefault="00A4139D" w:rsidP="0083588E">
      <w:pPr>
        <w:numPr>
          <w:ilvl w:val="0"/>
          <w:numId w:val="43"/>
        </w:numPr>
        <w:spacing w:before="60" w:after="60"/>
        <w:ind w:left="357" w:hanging="357"/>
      </w:pPr>
      <w:r w:rsidRPr="00A4139D">
        <w:t>Provide evidence on whether the WBCs are achieving success in addressing related mental health and social and emotional well‐being issues in each of the four communities</w:t>
      </w:r>
    </w:p>
    <w:p w14:paraId="2EBE294A" w14:textId="77777777" w:rsidR="00A4139D" w:rsidRPr="00A4139D" w:rsidRDefault="00A4139D" w:rsidP="0083588E">
      <w:pPr>
        <w:numPr>
          <w:ilvl w:val="0"/>
          <w:numId w:val="43"/>
        </w:numPr>
        <w:spacing w:before="60" w:after="60"/>
        <w:ind w:left="357" w:hanging="357"/>
      </w:pPr>
      <w:r w:rsidRPr="00A4139D">
        <w:t>Provide evidence on whether the work of the WBCs is contributing to achievement of the Closing the Gap targets, particularly those that relate to the life expectancy gap and mortality</w:t>
      </w:r>
    </w:p>
    <w:p w14:paraId="2EBE294B" w14:textId="77777777" w:rsidR="00A4139D" w:rsidRPr="00A4139D" w:rsidRDefault="00A4139D" w:rsidP="0083588E">
      <w:pPr>
        <w:numPr>
          <w:ilvl w:val="0"/>
          <w:numId w:val="43"/>
        </w:numPr>
        <w:spacing w:before="60" w:after="60"/>
        <w:ind w:left="357" w:hanging="357"/>
      </w:pPr>
      <w:r w:rsidRPr="00A4139D">
        <w:t xml:space="preserve">Identify which prevention, intervention and treatment approaches are successful and the key factors that are contributing to this success </w:t>
      </w:r>
    </w:p>
    <w:p w14:paraId="2EBE294C" w14:textId="05F5514D" w:rsidR="00A4139D" w:rsidRPr="00A4139D" w:rsidRDefault="00A4139D" w:rsidP="0083588E">
      <w:pPr>
        <w:numPr>
          <w:ilvl w:val="0"/>
          <w:numId w:val="43"/>
        </w:numPr>
        <w:spacing w:before="60" w:after="60"/>
        <w:ind w:left="357" w:hanging="357"/>
      </w:pPr>
      <w:r w:rsidRPr="00A4139D">
        <w:t>Recommend any improvements which will enhance health outcomes and contribute to best practice service delivery.</w:t>
      </w:r>
      <w:r w:rsidR="00017D0F">
        <w:t xml:space="preserve"> </w:t>
      </w:r>
      <w:r w:rsidR="00017D0F" w:rsidRPr="00312279">
        <w:rPr>
          <w:color w:val="1F497D" w:themeColor="text2"/>
        </w:rPr>
        <w:t>[</w:t>
      </w:r>
      <w:hyperlink w:anchor="_Evaluation_objectives_and" w:history="1">
        <w:r w:rsidR="00017D0F" w:rsidRPr="00312279">
          <w:rPr>
            <w:rStyle w:val="Hyperlink"/>
          </w:rPr>
          <w:t>Section 1.2</w:t>
        </w:r>
      </w:hyperlink>
      <w:r w:rsidR="00017D0F" w:rsidRPr="00312279">
        <w:rPr>
          <w:color w:val="1F497D" w:themeColor="text2"/>
        </w:rPr>
        <w:t>]</w:t>
      </w:r>
    </w:p>
    <w:p w14:paraId="2EBE294D" w14:textId="77777777" w:rsidR="00A4139D" w:rsidRPr="00A4139D" w:rsidRDefault="00A4139D" w:rsidP="00BC0A26">
      <w:pPr>
        <w:pStyle w:val="ES3"/>
      </w:pPr>
      <w:r w:rsidRPr="00A4139D">
        <w:t>Evaluation methodology</w:t>
      </w:r>
    </w:p>
    <w:p w14:paraId="2EBE294E" w14:textId="34F8FC8E" w:rsidR="00571F84" w:rsidRPr="00312279" w:rsidRDefault="00A4139D" w:rsidP="004C57D1">
      <w:pPr>
        <w:spacing w:after="120"/>
        <w:rPr>
          <w:color w:val="1F497D" w:themeColor="text2"/>
        </w:rPr>
      </w:pPr>
      <w:r w:rsidRPr="00A4139D">
        <w:t xml:space="preserve">The evaluation commenced in July 2012 and was completed in July 2014. An evaluation framework had previously been developed by HOI and approved by the Department of Health. The evaluation process involved: extensive ongoing consultation at the community and regional level with community members, clients, key partners and other relevant stakeholders; collection and analysis of service and outcome data; and review of relevant reports and literature. </w:t>
      </w:r>
      <w:r w:rsidR="00017D0F" w:rsidRPr="00492F91">
        <w:t>[</w:t>
      </w:r>
      <w:hyperlink w:anchor="_Methodology" w:history="1">
        <w:r w:rsidR="00017D0F" w:rsidRPr="00492F91">
          <w:rPr>
            <w:rStyle w:val="Hyperlink"/>
          </w:rPr>
          <w:t>Section 1.</w:t>
        </w:r>
        <w:r w:rsidR="004C57D1" w:rsidRPr="00492F91">
          <w:rPr>
            <w:rStyle w:val="Hyperlink"/>
          </w:rPr>
          <w:t>3</w:t>
        </w:r>
      </w:hyperlink>
      <w:r w:rsidR="00017D0F" w:rsidRPr="00492F91">
        <w:t>]</w:t>
      </w:r>
    </w:p>
    <w:p w14:paraId="2EBE294F" w14:textId="6149C5DF" w:rsidR="004C57D1" w:rsidRPr="00A4139D" w:rsidRDefault="00A4139D" w:rsidP="004C57D1">
      <w:pPr>
        <w:spacing w:after="120"/>
      </w:pPr>
      <w:r w:rsidRPr="00A4139D">
        <w:lastRenderedPageBreak/>
        <w:t>Progressive reporting to the Department and service provider throughout the evaluation facilitated service improvements and strengthening. The final report directly addresses the key objectives of the evaluation. A steering committee and expert reference group were established to oversee the evaluation.</w:t>
      </w:r>
      <w:r w:rsidR="004C57D1">
        <w:t xml:space="preserve"> </w:t>
      </w:r>
      <w:r w:rsidR="004C57D1" w:rsidRPr="00492F91">
        <w:rPr>
          <w:color w:val="1F497D" w:themeColor="text2"/>
          <w:lang w:val="en-GB"/>
        </w:rPr>
        <w:t>[</w:t>
      </w:r>
      <w:hyperlink w:anchor="_Purpose_and_context" w:history="1">
        <w:r w:rsidR="004C57D1" w:rsidRPr="00492F91">
          <w:rPr>
            <w:rStyle w:val="Hyperlink"/>
            <w:lang w:val="en-GB"/>
          </w:rPr>
          <w:t>Section 1.1</w:t>
        </w:r>
      </w:hyperlink>
      <w:r w:rsidR="004C57D1" w:rsidRPr="00492F91">
        <w:rPr>
          <w:color w:val="1F497D" w:themeColor="text2"/>
          <w:lang w:val="en-GB"/>
        </w:rPr>
        <w:t>]</w:t>
      </w:r>
    </w:p>
    <w:p w14:paraId="2EBE2950" w14:textId="77777777" w:rsidR="00A4139D" w:rsidRPr="00A4139D" w:rsidRDefault="00A4139D" w:rsidP="00584FEB">
      <w:pPr>
        <w:pStyle w:val="ES1"/>
        <w:spacing w:before="120"/>
      </w:pPr>
      <w:bookmarkStart w:id="20" w:name="_Toc440038420"/>
      <w:r w:rsidRPr="00A4139D">
        <w:t>Overall assessment</w:t>
      </w:r>
      <w:bookmarkEnd w:id="20"/>
    </w:p>
    <w:p w14:paraId="2EBE2951" w14:textId="77777777" w:rsidR="00A4139D" w:rsidRPr="00A4139D" w:rsidRDefault="00A4139D" w:rsidP="00584FEB">
      <w:pPr>
        <w:spacing w:before="120" w:after="120"/>
      </w:pPr>
      <w:r w:rsidRPr="00A4139D">
        <w:t>The evaluation assessed the effectiveness of the WBCs in terms of processes implemented and individual and community-wide outcomes achieved to date.</w:t>
      </w:r>
    </w:p>
    <w:p w14:paraId="2EBE2952" w14:textId="77777777" w:rsidR="00A4139D" w:rsidRPr="00A4139D" w:rsidRDefault="00A4139D" w:rsidP="00BC0A26">
      <w:pPr>
        <w:pStyle w:val="ES3"/>
      </w:pPr>
      <w:r w:rsidRPr="00A4139D">
        <w:t>Context</w:t>
      </w:r>
    </w:p>
    <w:p w14:paraId="2EBE2953" w14:textId="13B81FE6" w:rsidR="00A4139D" w:rsidRPr="00A4139D" w:rsidRDefault="00A4139D" w:rsidP="00A4139D">
      <w:pPr>
        <w:spacing w:after="120"/>
        <w:contextualSpacing/>
      </w:pPr>
      <w:r w:rsidRPr="00A4139D">
        <w:rPr>
          <w:lang w:val="en-GB"/>
        </w:rPr>
        <w:t>When considering the impact of the WBCs, as noted in the</w:t>
      </w:r>
      <w:r w:rsidR="00867B11">
        <w:rPr>
          <w:lang w:val="en-GB"/>
        </w:rPr>
        <w:t xml:space="preserve"> independent Cape York Welfare Reform</w:t>
      </w:r>
      <w:r w:rsidRPr="00A4139D">
        <w:rPr>
          <w:lang w:val="en-GB"/>
        </w:rPr>
        <w:t xml:space="preserve"> </w:t>
      </w:r>
      <w:r w:rsidR="00867B11">
        <w:rPr>
          <w:lang w:val="en-GB"/>
        </w:rPr>
        <w:t>(</w:t>
      </w:r>
      <w:r w:rsidRPr="00A4139D">
        <w:rPr>
          <w:lang w:val="en-GB"/>
        </w:rPr>
        <w:t>CYWR</w:t>
      </w:r>
      <w:r w:rsidR="00867B11">
        <w:rPr>
          <w:lang w:val="en-GB"/>
        </w:rPr>
        <w:t>)</w:t>
      </w:r>
      <w:r w:rsidRPr="00A4139D">
        <w:rPr>
          <w:lang w:val="en-GB"/>
        </w:rPr>
        <w:t xml:space="preserve"> evaluation ‘</w:t>
      </w:r>
      <w:r w:rsidRPr="00A4139D">
        <w:rPr>
          <w:i/>
          <w:lang w:val="en-GB"/>
        </w:rPr>
        <w:t xml:space="preserve">there can be no quick fix to rectify challenges that have been decades in the making.’ </w:t>
      </w:r>
      <w:r w:rsidRPr="00A4139D">
        <w:rPr>
          <w:lang w:val="en-GB"/>
        </w:rPr>
        <w:t>Contextual challenges to achieving significant change include: the recognition that Cape communities were suffering from significant social problems, caused not only by dispossession, racism and systematic and generational abuse, but also a social norms deficit;</w:t>
      </w:r>
      <w:r w:rsidRPr="00A4139D">
        <w:t xml:space="preserve"> </w:t>
      </w:r>
      <w:r w:rsidRPr="00A4139D">
        <w:rPr>
          <w:lang w:val="en-GB"/>
        </w:rPr>
        <w:t>the entrenched disadvantage of Indigenous community members; a</w:t>
      </w:r>
      <w:r w:rsidRPr="00A4139D">
        <w:t xml:space="preserve"> </w:t>
      </w:r>
      <w:r w:rsidRPr="00A4139D">
        <w:rPr>
          <w:lang w:val="en-GB"/>
        </w:rPr>
        <w:t xml:space="preserve">comparatively high burden of psychosis particularly amongst males; and increasing recognition that a compromised neuro-developmental environment significantly effects an </w:t>
      </w:r>
      <w:r w:rsidR="005A04EF">
        <w:rPr>
          <w:lang w:val="en-GB"/>
        </w:rPr>
        <w:t xml:space="preserve">adults’ </w:t>
      </w:r>
      <w:r w:rsidRPr="00A4139D">
        <w:rPr>
          <w:lang w:val="en-GB"/>
        </w:rPr>
        <w:t>general and mental health.</w:t>
      </w:r>
      <w:r w:rsidR="006F13CF">
        <w:rPr>
          <w:lang w:val="en-GB"/>
        </w:rPr>
        <w:t xml:space="preserve"> </w:t>
      </w:r>
      <w:r w:rsidR="006F13CF" w:rsidRPr="00906B1F">
        <w:t>[</w:t>
      </w:r>
      <w:hyperlink w:anchor="_Challenges_in_achieving" w:history="1">
        <w:r w:rsidR="006F13CF" w:rsidRPr="00906B1F">
          <w:rPr>
            <w:rStyle w:val="Hyperlink"/>
          </w:rPr>
          <w:t>Section 2.6</w:t>
        </w:r>
      </w:hyperlink>
      <w:r w:rsidR="006F13CF" w:rsidRPr="00906B1F">
        <w:t>]</w:t>
      </w:r>
    </w:p>
    <w:p w14:paraId="2EBE2954" w14:textId="77777777" w:rsidR="00A4139D" w:rsidRPr="00A4139D" w:rsidRDefault="00A4139D" w:rsidP="00BC0A26">
      <w:pPr>
        <w:pStyle w:val="ES3"/>
      </w:pPr>
      <w:r w:rsidRPr="00A4139D">
        <w:t>Assessment</w:t>
      </w:r>
    </w:p>
    <w:p w14:paraId="2EBE2955" w14:textId="77777777" w:rsidR="00A4139D" w:rsidRPr="00A4139D" w:rsidRDefault="00A4139D" w:rsidP="00A4139D">
      <w:pPr>
        <w:spacing w:before="120" w:after="120"/>
      </w:pPr>
      <w:r w:rsidRPr="00A4139D">
        <w:t xml:space="preserve">The WBCs provided a new, unique and well-resourced approach to the provision of SEWB services that provided a high level of service access and resulted in significant levels of community engagement.  </w:t>
      </w:r>
    </w:p>
    <w:p w14:paraId="2EBE2956" w14:textId="77777777" w:rsidR="00A4139D" w:rsidRPr="00A4139D" w:rsidRDefault="00A4139D" w:rsidP="00A4139D">
      <w:pPr>
        <w:spacing w:before="120" w:after="120"/>
      </w:pPr>
      <w:r w:rsidRPr="00A4139D">
        <w:t xml:space="preserve">The findings indicate that the WBCs are having significant success in helping some individuals through immediate crises and in dealing with their immediate problems and that sustained positive behaviour change is occurring in some clients in relation to alcohol use and cannabis dependency and other social behaviours. </w:t>
      </w:r>
      <w:r w:rsidR="00867B11">
        <w:t>This includes those</w:t>
      </w:r>
      <w:r w:rsidR="00014BD4">
        <w:t xml:space="preserve"> clients referred</w:t>
      </w:r>
      <w:r w:rsidR="00867B11">
        <w:t xml:space="preserve"> by the Family Responsibilities Commission (FRC)</w:t>
      </w:r>
      <w:r w:rsidR="00014BD4">
        <w:t xml:space="preserve">, the single largest referrer to the WBCs. </w:t>
      </w:r>
      <w:r w:rsidRPr="00A4139D">
        <w:t xml:space="preserve"> Furthermore, there is some anecdotal evidence of individual change having a positive effect on some families within the communities. However, with the exception of Coen, individual-level improvements are not translating into sustained, consistent and clearly observable improvements in outcomes at the community level.  Furthermore, unless the number of individuals making behaviour change increases substantially (including the most challenging community members), it is unlikely that sustained significant change will be observable at the community level unless there was another significant positive enabler of change in the communities (e.g. availability of employment).</w:t>
      </w:r>
    </w:p>
    <w:p w14:paraId="2EBE2957" w14:textId="77777777" w:rsidR="00A4139D" w:rsidRPr="00A4139D" w:rsidRDefault="00A4139D" w:rsidP="00A4139D">
      <w:pPr>
        <w:spacing w:after="120"/>
      </w:pPr>
      <w:r w:rsidRPr="00A4139D">
        <w:t>Overall, the level of impact demonstrated over five years from the current service model, (particularly at the community level), does not appear to justify the current level of resourcing over the longer term, not-withstanding the significant contextual i</w:t>
      </w:r>
      <w:r w:rsidR="006F13CF">
        <w:t xml:space="preserve">nfluence described previously. </w:t>
      </w:r>
      <w:r w:rsidRPr="00A4139D">
        <w:t>Embedding and integrating Cape York SEWB services within a primary health care (PHC) setting offers an evidenced base opportunity to improve SEWB outcomes and strengthen service delivery and client referral under a unified governance structure, reducing service duplication and improving performance monitoring.</w:t>
      </w:r>
    </w:p>
    <w:p w14:paraId="2EBE2958" w14:textId="77777777" w:rsidR="00A4139D" w:rsidRPr="00A4139D" w:rsidRDefault="00A4139D" w:rsidP="00A4139D">
      <w:pPr>
        <w:spacing w:before="120" w:after="120"/>
      </w:pPr>
      <w:r w:rsidRPr="00A4139D">
        <w:t xml:space="preserve">To achieve this shift from stand-alone SEWB services to an integrated PHC service, will require the development of a transition plan over the next six months in order for implementation to occur in 2015/16. </w:t>
      </w:r>
      <w:r w:rsidRPr="00B86E8A">
        <w:t>Relevant components of the plan will need to be tailored to the specific communities</w:t>
      </w:r>
      <w:r w:rsidR="00014BD4" w:rsidRPr="00B86E8A">
        <w:t xml:space="preserve"> including taking account of referrals from the ongoing FRC</w:t>
      </w:r>
      <w:r w:rsidRPr="00B86E8A">
        <w:t>.</w:t>
      </w:r>
    </w:p>
    <w:p w14:paraId="2EBE2959" w14:textId="77777777" w:rsidR="00A4139D" w:rsidRPr="00A4139D" w:rsidRDefault="00FE2793" w:rsidP="00584FEB">
      <w:pPr>
        <w:pStyle w:val="ES1"/>
        <w:spacing w:before="0"/>
      </w:pPr>
      <w:bookmarkStart w:id="21" w:name="_Toc440038421"/>
      <w:r>
        <w:t xml:space="preserve">Specific </w:t>
      </w:r>
      <w:r>
        <w:rPr>
          <w:lang w:val="en-AU"/>
        </w:rPr>
        <w:t>f</w:t>
      </w:r>
      <w:r w:rsidR="00A4139D" w:rsidRPr="00A4139D">
        <w:t>indings</w:t>
      </w:r>
      <w:bookmarkEnd w:id="21"/>
    </w:p>
    <w:p w14:paraId="2EBE295A" w14:textId="1848CEE1" w:rsidR="00A4139D" w:rsidRPr="00A4139D" w:rsidRDefault="00A4139D" w:rsidP="00584FEB">
      <w:pPr>
        <w:spacing w:after="120"/>
      </w:pPr>
      <w:r w:rsidRPr="00A4139D">
        <w:t>Specific fi</w:t>
      </w:r>
      <w:r w:rsidR="00312279">
        <w:t>ndings from the evaluation are:</w:t>
      </w:r>
    </w:p>
    <w:p w14:paraId="2EBE295B" w14:textId="77777777" w:rsidR="00447E79" w:rsidRDefault="00A4139D" w:rsidP="00447E79">
      <w:r w:rsidRPr="00E43FA6">
        <w:rPr>
          <w:rStyle w:val="Strong"/>
        </w:rPr>
        <w:t>Review finding #1:</w:t>
      </w:r>
      <w:r w:rsidRPr="00A4139D">
        <w:t xml:space="preserve"> The WBCs are having a clinically and statistically significant effect on their clients in reducing the level of risky drinking and the level of cannabis dependency.</w:t>
      </w:r>
    </w:p>
    <w:p w14:paraId="2EBE295C" w14:textId="6A4A43BE" w:rsidR="00A4139D" w:rsidRPr="00A4139D" w:rsidRDefault="00A4139D" w:rsidP="00447E79">
      <w:r w:rsidRPr="00A4139D">
        <w:lastRenderedPageBreak/>
        <w:t>Specifically the Alcohol Screen (AUDIT) mean score reduced by 10% (effect size change – small), the cannabis related Severity Dependence Scale (SDS) mean score reduced by 8% (effect size change – small), and the Indigenous Risk Impact Screen (IRIS) mean reduced by 8% (effect size change – small to medium).</w:t>
      </w:r>
      <w:r w:rsidR="00832BA7">
        <w:t xml:space="preserve"> </w:t>
      </w:r>
      <w:r w:rsidR="00832BA7" w:rsidRPr="00906B1F">
        <w:rPr>
          <w:color w:val="1F497D" w:themeColor="text2"/>
          <w:lang w:val="en-GB"/>
        </w:rPr>
        <w:t>[</w:t>
      </w:r>
      <w:hyperlink w:anchor="_Alcohol_and_substance" w:history="1">
        <w:r w:rsidR="00832BA7" w:rsidRPr="00906B1F">
          <w:rPr>
            <w:rStyle w:val="Hyperlink"/>
            <w:lang w:val="en-GB"/>
          </w:rPr>
          <w:t>Section 2.2</w:t>
        </w:r>
      </w:hyperlink>
      <w:r w:rsidR="00832BA7" w:rsidRPr="00906B1F">
        <w:rPr>
          <w:color w:val="1F497D" w:themeColor="text2"/>
          <w:lang w:val="en-GB"/>
        </w:rPr>
        <w:t>]</w:t>
      </w:r>
    </w:p>
    <w:p w14:paraId="2EBE295D" w14:textId="12E80FB9" w:rsidR="00A4139D" w:rsidRPr="00A4139D" w:rsidRDefault="00A4139D" w:rsidP="00447E79">
      <w:pPr>
        <w:spacing w:before="120" w:after="120"/>
      </w:pPr>
      <w:r w:rsidRPr="00E43FA6">
        <w:rPr>
          <w:rStyle w:val="Strong"/>
        </w:rPr>
        <w:t>Review finding #2:</w:t>
      </w:r>
      <w:r w:rsidRPr="00A4139D">
        <w:t xml:space="preserve"> In relation to mental health the WBCs  are having a clinically and statistically significant positive effect on their clients. Specifically the Kessler Psychological Distress Scale (K10) mean score </w:t>
      </w:r>
      <w:r w:rsidR="00304712">
        <w:t xml:space="preserve">for Coen and Hopevale </w:t>
      </w:r>
      <w:r w:rsidRPr="00A4139D">
        <w:t xml:space="preserve">reduced by </w:t>
      </w:r>
      <w:r w:rsidR="00304712">
        <w:t>8.</w:t>
      </w:r>
      <w:r w:rsidRPr="00A4139D">
        <w:t>9</w:t>
      </w:r>
      <w:r w:rsidR="00304712">
        <w:t>6</w:t>
      </w:r>
      <w:r w:rsidRPr="00A4139D">
        <w:t>% (effect size change - medium) and the Health of the Nation Outcome Scale (HoNOS) mean score</w:t>
      </w:r>
      <w:r w:rsidR="00867B11">
        <w:t xml:space="preserve"> of health and social functioning</w:t>
      </w:r>
      <w:r w:rsidRPr="00A4139D">
        <w:t xml:space="preserve"> reduced by 5% (effect size change - medium), excluding Aurukun.  One reason for the lack of improvement in Aurukun is likely to be the broader community environment (there have been a number of major community-wide incidents in the last couple of years) which in turn has a di</w:t>
      </w:r>
      <w:r w:rsidR="00906B1F">
        <w:t>sruptive impact on individuals.</w:t>
      </w:r>
    </w:p>
    <w:p w14:paraId="2EBE295E" w14:textId="378501FF" w:rsidR="00832BA7" w:rsidRPr="00A4139D" w:rsidRDefault="00A4139D" w:rsidP="00447E79">
      <w:r w:rsidRPr="00A4139D">
        <w:t>Achieving successful longer term behaviour change is occurring in some clients and helping to transform their lives. However this is not the norm.</w:t>
      </w:r>
      <w:r w:rsidR="00832BA7">
        <w:t xml:space="preserve"> </w:t>
      </w:r>
      <w:r w:rsidR="00832BA7" w:rsidRPr="00906B1F">
        <w:rPr>
          <w:color w:val="1F497D" w:themeColor="text2"/>
          <w:lang w:val="en-GB"/>
        </w:rPr>
        <w:t>[</w:t>
      </w:r>
      <w:hyperlink w:anchor="_Mental_health_and" w:history="1">
        <w:r w:rsidR="00832BA7" w:rsidRPr="00906B1F">
          <w:rPr>
            <w:rStyle w:val="Hyperlink"/>
            <w:lang w:val="en-GB"/>
          </w:rPr>
          <w:t>Section 2.3</w:t>
        </w:r>
      </w:hyperlink>
      <w:r w:rsidR="00832BA7" w:rsidRPr="00906B1F">
        <w:rPr>
          <w:color w:val="1F497D" w:themeColor="text2"/>
          <w:lang w:val="en-GB"/>
        </w:rPr>
        <w:t>]</w:t>
      </w:r>
    </w:p>
    <w:p w14:paraId="2EBE295F" w14:textId="384FBC77" w:rsidR="00017D0F" w:rsidRPr="00195D94" w:rsidRDefault="00A4139D" w:rsidP="00447E79">
      <w:pPr>
        <w:spacing w:before="120" w:after="120"/>
        <w:rPr>
          <w:color w:val="000000" w:themeColor="text1"/>
        </w:rPr>
      </w:pPr>
      <w:r w:rsidRPr="00E43FA6">
        <w:rPr>
          <w:rStyle w:val="Strong"/>
        </w:rPr>
        <w:t>Review finding #3:</w:t>
      </w:r>
      <w:r w:rsidRPr="00A4139D">
        <w:t xml:space="preserve"> With the exception of Coen, individual-level improvements are not translating into sustained, consistent and clearly observable improvements in outcomes at the community level. The community level changes can be summarised as follows:</w:t>
      </w:r>
      <w:r w:rsidR="00017D0F" w:rsidRPr="00017D0F">
        <w:rPr>
          <w:b/>
          <w:color w:val="1F497D" w:themeColor="text2"/>
          <w:lang w:val="en-GB"/>
        </w:rPr>
        <w:t xml:space="preserve"> </w:t>
      </w:r>
      <w:r w:rsidR="00017D0F" w:rsidRPr="00906B1F">
        <w:rPr>
          <w:color w:val="1F497D" w:themeColor="text2"/>
          <w:lang w:val="en-GB"/>
        </w:rPr>
        <w:t>[</w:t>
      </w:r>
      <w:hyperlink w:anchor="_Alcohol_and_substance" w:history="1">
        <w:r w:rsidR="00017D0F" w:rsidRPr="00906B1F">
          <w:rPr>
            <w:rStyle w:val="Hyperlink"/>
            <w:lang w:val="en-GB"/>
          </w:rPr>
          <w:t>Sections 2.2</w:t>
        </w:r>
      </w:hyperlink>
      <w:r w:rsidR="00017D0F" w:rsidRPr="00906B1F">
        <w:rPr>
          <w:color w:val="1F497D" w:themeColor="text2"/>
          <w:lang w:val="en-GB"/>
        </w:rPr>
        <w:t xml:space="preserve"> and </w:t>
      </w:r>
      <w:hyperlink w:anchor="_Mental_health_and" w:history="1">
        <w:r w:rsidR="00017D0F" w:rsidRPr="00906B1F">
          <w:rPr>
            <w:rStyle w:val="Hyperlink"/>
            <w:lang w:val="en-GB"/>
          </w:rPr>
          <w:t>2.3</w:t>
        </w:r>
      </w:hyperlink>
      <w:r w:rsidR="00017D0F" w:rsidRPr="00906B1F">
        <w:rPr>
          <w:color w:val="1F497D" w:themeColor="text2"/>
          <w:lang w:val="en-GB"/>
        </w:rPr>
        <w:t>]</w:t>
      </w:r>
      <w:r w:rsidR="00195D94" w:rsidRPr="00906B1F">
        <w:rPr>
          <w:color w:val="1F497D" w:themeColor="text2"/>
          <w:lang w:val="en-GB"/>
        </w:rPr>
        <w:t xml:space="preserve"> </w:t>
      </w:r>
      <w:r w:rsidR="00195D94" w:rsidRPr="00195D94">
        <w:rPr>
          <w:color w:val="000000" w:themeColor="text1"/>
          <w:lang w:val="en-GB"/>
        </w:rPr>
        <w:t xml:space="preserve">However, it should be noted that these </w:t>
      </w:r>
      <w:r w:rsidR="00195D94">
        <w:rPr>
          <w:color w:val="000000" w:themeColor="text1"/>
          <w:lang w:val="en-GB"/>
        </w:rPr>
        <w:t xml:space="preserve">issues </w:t>
      </w:r>
      <w:r w:rsidR="00195D94" w:rsidRPr="00195D94">
        <w:rPr>
          <w:color w:val="000000" w:themeColor="text1"/>
          <w:lang w:val="en-GB"/>
        </w:rPr>
        <w:t xml:space="preserve">are not the sole remit of the WBCs and other </w:t>
      </w:r>
      <w:r w:rsidR="00B8665D">
        <w:rPr>
          <w:color w:val="000000" w:themeColor="text1"/>
          <w:lang w:val="en-GB"/>
        </w:rPr>
        <w:t xml:space="preserve">welfare reform </w:t>
      </w:r>
      <w:r w:rsidR="00195D94" w:rsidRPr="00195D94">
        <w:rPr>
          <w:color w:val="000000" w:themeColor="text1"/>
          <w:lang w:val="en-GB"/>
        </w:rPr>
        <w:t xml:space="preserve">programs have also had </w:t>
      </w:r>
      <w:r w:rsidR="00B8665D">
        <w:rPr>
          <w:color w:val="000000" w:themeColor="text1"/>
          <w:lang w:val="en-GB"/>
        </w:rPr>
        <w:t xml:space="preserve">challenges realising change </w:t>
      </w:r>
      <w:r w:rsidR="00195D94" w:rsidRPr="00195D94">
        <w:rPr>
          <w:color w:val="000000" w:themeColor="text1"/>
          <w:lang w:val="en-GB"/>
        </w:rPr>
        <w:t>in these areas.</w:t>
      </w:r>
    </w:p>
    <w:tbl>
      <w:tblPr>
        <w:tblW w:w="93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Community ratings of the Cape York Communities as a result of the implementation of the Wellbeing Centres"/>
        <w:tblDescription w:val="The table below provides the outcomes in relation to alcohol related issues, drug related issues, community safety, and a rating of the community as a place to live since the establishment of the Wellbeing Centres.  The table displays the four communities of Arukun, Coen, Hopevale and Mossman Gorge across the first row and the four issues down the first column with the ratings for each filling out the table. &#10;The Arukun community rated alcohol related issues as the same or worse, drug related issues as worse, community safety as the same and the community as a place to live as the same of marginally better. &#10;The Coen community rated alcohol related issues as improved, drug related issues as the same or marginally worse, community safety as improved and the community as a place to live as better.&#10;The Hopevale community rated alcohol related issues as the same, drug related issues as the same or marginally worse, community safety as the same and the community as a place to live as the same or marginally better. &#10;The Mossman Gorge community rated alcohol related issues as the same, drug related issues as the same, community safety issues as improved and the community as a place to live as the same or marginally better.&#10;"/>
      </w:tblPr>
      <w:tblGrid>
        <w:gridCol w:w="1681"/>
        <w:gridCol w:w="1945"/>
        <w:gridCol w:w="1840"/>
        <w:gridCol w:w="1922"/>
        <w:gridCol w:w="1918"/>
      </w:tblGrid>
      <w:tr w:rsidR="00A4139D" w:rsidRPr="00A4139D" w14:paraId="2EBE2965" w14:textId="77777777" w:rsidTr="00A4139D">
        <w:trPr>
          <w:trHeight w:val="397"/>
          <w:jc w:val="center"/>
        </w:trPr>
        <w:tc>
          <w:tcPr>
            <w:tcW w:w="1681" w:type="dxa"/>
            <w:tcBorders>
              <w:bottom w:val="single" w:sz="4" w:space="0" w:color="FFFFFF"/>
            </w:tcBorders>
            <w:shd w:val="clear" w:color="auto" w:fill="B8CCE4"/>
          </w:tcPr>
          <w:p w14:paraId="2EBE2960" w14:textId="77777777" w:rsidR="00A4139D" w:rsidRPr="00A4139D" w:rsidRDefault="00A4139D" w:rsidP="00A4139D">
            <w:pPr>
              <w:jc w:val="left"/>
              <w:rPr>
                <w:rFonts w:ascii="Tahoma" w:hAnsi="Tahoma" w:cs="Segoe UI"/>
                <w:sz w:val="16"/>
                <w:szCs w:val="16"/>
              </w:rPr>
            </w:pPr>
          </w:p>
        </w:tc>
        <w:tc>
          <w:tcPr>
            <w:tcW w:w="1945" w:type="dxa"/>
            <w:shd w:val="clear" w:color="auto" w:fill="B8CCE4"/>
          </w:tcPr>
          <w:p w14:paraId="2EBE2961" w14:textId="77777777" w:rsidR="00A4139D" w:rsidRPr="00A4139D" w:rsidRDefault="00A4139D" w:rsidP="00A4139D">
            <w:pPr>
              <w:jc w:val="center"/>
              <w:rPr>
                <w:rFonts w:ascii="Tahoma" w:hAnsi="Tahoma" w:cs="Segoe UI"/>
                <w:b/>
                <w:sz w:val="16"/>
                <w:szCs w:val="16"/>
              </w:rPr>
            </w:pPr>
            <w:r w:rsidRPr="00A4139D">
              <w:rPr>
                <w:rFonts w:ascii="Tahoma" w:hAnsi="Tahoma" w:cs="Segoe UI"/>
                <w:b/>
                <w:sz w:val="16"/>
                <w:szCs w:val="16"/>
              </w:rPr>
              <w:t>Aurukun</w:t>
            </w:r>
          </w:p>
        </w:tc>
        <w:tc>
          <w:tcPr>
            <w:tcW w:w="1840" w:type="dxa"/>
            <w:shd w:val="clear" w:color="auto" w:fill="B8CCE4"/>
          </w:tcPr>
          <w:p w14:paraId="2EBE2962" w14:textId="77777777" w:rsidR="00A4139D" w:rsidRPr="00A4139D" w:rsidRDefault="00A4139D" w:rsidP="00A4139D">
            <w:pPr>
              <w:jc w:val="center"/>
              <w:rPr>
                <w:rFonts w:ascii="Tahoma" w:hAnsi="Tahoma" w:cs="Segoe UI"/>
                <w:b/>
                <w:sz w:val="16"/>
                <w:szCs w:val="16"/>
              </w:rPr>
            </w:pPr>
            <w:r w:rsidRPr="00A4139D">
              <w:rPr>
                <w:rFonts w:ascii="Tahoma" w:hAnsi="Tahoma" w:cs="Segoe UI"/>
                <w:b/>
                <w:sz w:val="16"/>
                <w:szCs w:val="16"/>
              </w:rPr>
              <w:t>Coen</w:t>
            </w:r>
          </w:p>
        </w:tc>
        <w:tc>
          <w:tcPr>
            <w:tcW w:w="1922" w:type="dxa"/>
            <w:shd w:val="clear" w:color="auto" w:fill="B8CCE4"/>
          </w:tcPr>
          <w:p w14:paraId="2EBE2963" w14:textId="77777777" w:rsidR="00A4139D" w:rsidRPr="00A4139D" w:rsidRDefault="00A4139D" w:rsidP="00A4139D">
            <w:pPr>
              <w:jc w:val="center"/>
              <w:rPr>
                <w:rFonts w:ascii="Tahoma" w:hAnsi="Tahoma" w:cs="Segoe UI"/>
                <w:b/>
                <w:sz w:val="16"/>
                <w:szCs w:val="16"/>
              </w:rPr>
            </w:pPr>
            <w:r w:rsidRPr="00A4139D">
              <w:rPr>
                <w:rFonts w:ascii="Tahoma" w:hAnsi="Tahoma" w:cs="Segoe UI"/>
                <w:b/>
                <w:sz w:val="16"/>
                <w:szCs w:val="16"/>
              </w:rPr>
              <w:t>Hopevale</w:t>
            </w:r>
          </w:p>
        </w:tc>
        <w:tc>
          <w:tcPr>
            <w:tcW w:w="1918" w:type="dxa"/>
            <w:shd w:val="clear" w:color="auto" w:fill="B8CCE4"/>
          </w:tcPr>
          <w:p w14:paraId="2EBE2964" w14:textId="77777777" w:rsidR="00A4139D" w:rsidRPr="00A4139D" w:rsidRDefault="00A4139D" w:rsidP="00A4139D">
            <w:pPr>
              <w:jc w:val="center"/>
              <w:rPr>
                <w:rFonts w:ascii="Tahoma" w:hAnsi="Tahoma" w:cs="Segoe UI"/>
                <w:b/>
                <w:sz w:val="16"/>
                <w:szCs w:val="16"/>
              </w:rPr>
            </w:pPr>
            <w:r w:rsidRPr="00A4139D">
              <w:rPr>
                <w:rFonts w:ascii="Tahoma" w:hAnsi="Tahoma" w:cs="Segoe UI"/>
                <w:b/>
                <w:sz w:val="16"/>
                <w:szCs w:val="16"/>
              </w:rPr>
              <w:t>Mossman Gorge</w:t>
            </w:r>
          </w:p>
        </w:tc>
      </w:tr>
      <w:tr w:rsidR="00A4139D" w:rsidRPr="00A4139D" w14:paraId="2EBE296B" w14:textId="77777777" w:rsidTr="00A4139D">
        <w:trPr>
          <w:trHeight w:val="564"/>
          <w:jc w:val="center"/>
        </w:trPr>
        <w:tc>
          <w:tcPr>
            <w:tcW w:w="1681" w:type="dxa"/>
            <w:shd w:val="clear" w:color="auto" w:fill="DBE5F1"/>
          </w:tcPr>
          <w:p w14:paraId="2EBE2966" w14:textId="77777777" w:rsidR="00A4139D" w:rsidRPr="00A4139D" w:rsidRDefault="00A4139D" w:rsidP="00A4139D">
            <w:pPr>
              <w:jc w:val="left"/>
              <w:rPr>
                <w:rFonts w:cs="Segoe UI"/>
                <w:b/>
                <w:sz w:val="16"/>
                <w:szCs w:val="16"/>
              </w:rPr>
            </w:pPr>
            <w:r w:rsidRPr="00A4139D">
              <w:rPr>
                <w:rFonts w:cs="Segoe UI"/>
                <w:b/>
                <w:sz w:val="16"/>
                <w:szCs w:val="16"/>
              </w:rPr>
              <w:t>Alcohol related issue</w:t>
            </w:r>
          </w:p>
        </w:tc>
        <w:tc>
          <w:tcPr>
            <w:tcW w:w="1945" w:type="dxa"/>
            <w:shd w:val="clear" w:color="auto" w:fill="D9D9D9"/>
          </w:tcPr>
          <w:p w14:paraId="2EBE2967" w14:textId="77777777" w:rsidR="00A4139D" w:rsidRPr="00A4139D" w:rsidRDefault="00A4139D" w:rsidP="00A4139D">
            <w:pPr>
              <w:jc w:val="center"/>
              <w:rPr>
                <w:rFonts w:cs="Segoe UI"/>
                <w:sz w:val="16"/>
                <w:szCs w:val="16"/>
              </w:rPr>
            </w:pPr>
            <w:r w:rsidRPr="00A4139D">
              <w:rPr>
                <w:rFonts w:cs="Segoe UI"/>
                <w:sz w:val="16"/>
                <w:szCs w:val="16"/>
              </w:rPr>
              <w:t>Same or worse</w:t>
            </w:r>
          </w:p>
        </w:tc>
        <w:tc>
          <w:tcPr>
            <w:tcW w:w="1840" w:type="dxa"/>
            <w:shd w:val="clear" w:color="auto" w:fill="D9D9D9"/>
          </w:tcPr>
          <w:p w14:paraId="2EBE2968" w14:textId="77777777" w:rsidR="00A4139D" w:rsidRPr="00A4139D" w:rsidRDefault="00A4139D" w:rsidP="00A4139D">
            <w:pPr>
              <w:jc w:val="center"/>
              <w:rPr>
                <w:rFonts w:cs="Segoe UI"/>
                <w:sz w:val="16"/>
                <w:szCs w:val="16"/>
              </w:rPr>
            </w:pPr>
            <w:r w:rsidRPr="00A4139D">
              <w:rPr>
                <w:rFonts w:cs="Segoe UI"/>
                <w:sz w:val="16"/>
                <w:szCs w:val="16"/>
              </w:rPr>
              <w:t>Improved</w:t>
            </w:r>
          </w:p>
        </w:tc>
        <w:tc>
          <w:tcPr>
            <w:tcW w:w="1922" w:type="dxa"/>
            <w:shd w:val="clear" w:color="auto" w:fill="D9D9D9"/>
          </w:tcPr>
          <w:p w14:paraId="2EBE2969" w14:textId="77777777" w:rsidR="00A4139D" w:rsidRPr="00A4139D" w:rsidRDefault="00A4139D" w:rsidP="00A4139D">
            <w:pPr>
              <w:jc w:val="center"/>
              <w:rPr>
                <w:rFonts w:cs="Segoe UI"/>
                <w:sz w:val="16"/>
                <w:szCs w:val="16"/>
              </w:rPr>
            </w:pPr>
            <w:r w:rsidRPr="00A4139D">
              <w:rPr>
                <w:rFonts w:cs="Segoe UI"/>
                <w:sz w:val="16"/>
                <w:szCs w:val="16"/>
              </w:rPr>
              <w:t>Same</w:t>
            </w:r>
          </w:p>
        </w:tc>
        <w:tc>
          <w:tcPr>
            <w:tcW w:w="1918" w:type="dxa"/>
            <w:shd w:val="clear" w:color="auto" w:fill="D9D9D9"/>
          </w:tcPr>
          <w:p w14:paraId="2EBE296A" w14:textId="77777777" w:rsidR="00A4139D" w:rsidRPr="00A4139D" w:rsidRDefault="00A4139D" w:rsidP="00A4139D">
            <w:pPr>
              <w:jc w:val="center"/>
              <w:rPr>
                <w:rFonts w:cs="Segoe UI"/>
                <w:sz w:val="16"/>
                <w:szCs w:val="16"/>
              </w:rPr>
            </w:pPr>
            <w:r w:rsidRPr="00A4139D">
              <w:rPr>
                <w:rFonts w:cs="Segoe UI"/>
                <w:sz w:val="16"/>
                <w:szCs w:val="16"/>
              </w:rPr>
              <w:t>Same</w:t>
            </w:r>
          </w:p>
        </w:tc>
      </w:tr>
      <w:tr w:rsidR="00A4139D" w:rsidRPr="00A4139D" w14:paraId="2EBE2971" w14:textId="77777777" w:rsidTr="00A4139D">
        <w:trPr>
          <w:trHeight w:val="397"/>
          <w:jc w:val="center"/>
        </w:trPr>
        <w:tc>
          <w:tcPr>
            <w:tcW w:w="1681" w:type="dxa"/>
            <w:shd w:val="clear" w:color="auto" w:fill="DBE5F1"/>
          </w:tcPr>
          <w:p w14:paraId="2EBE296C" w14:textId="77777777" w:rsidR="00A4139D" w:rsidRPr="00A4139D" w:rsidRDefault="00A4139D" w:rsidP="00A4139D">
            <w:pPr>
              <w:jc w:val="left"/>
              <w:rPr>
                <w:rFonts w:cs="Segoe UI"/>
                <w:b/>
                <w:sz w:val="16"/>
                <w:szCs w:val="16"/>
              </w:rPr>
            </w:pPr>
            <w:r w:rsidRPr="00A4139D">
              <w:rPr>
                <w:rFonts w:cs="Segoe UI"/>
                <w:b/>
                <w:sz w:val="16"/>
                <w:szCs w:val="16"/>
              </w:rPr>
              <w:t>Drug related issues</w:t>
            </w:r>
          </w:p>
        </w:tc>
        <w:tc>
          <w:tcPr>
            <w:tcW w:w="1945" w:type="dxa"/>
            <w:shd w:val="clear" w:color="auto" w:fill="D9D9D9"/>
          </w:tcPr>
          <w:p w14:paraId="2EBE296D" w14:textId="77777777" w:rsidR="00A4139D" w:rsidRPr="00A4139D" w:rsidRDefault="00A4139D" w:rsidP="00A4139D">
            <w:pPr>
              <w:jc w:val="center"/>
              <w:rPr>
                <w:rFonts w:cs="Segoe UI"/>
                <w:sz w:val="16"/>
                <w:szCs w:val="16"/>
              </w:rPr>
            </w:pPr>
            <w:r w:rsidRPr="00A4139D">
              <w:rPr>
                <w:rFonts w:cs="Segoe UI"/>
                <w:sz w:val="16"/>
                <w:szCs w:val="16"/>
              </w:rPr>
              <w:t>Worse</w:t>
            </w:r>
          </w:p>
        </w:tc>
        <w:tc>
          <w:tcPr>
            <w:tcW w:w="1840" w:type="dxa"/>
            <w:shd w:val="clear" w:color="auto" w:fill="D9D9D9"/>
          </w:tcPr>
          <w:p w14:paraId="2EBE296E" w14:textId="77777777" w:rsidR="00A4139D" w:rsidRPr="00A4139D" w:rsidRDefault="00A4139D" w:rsidP="00A4139D">
            <w:pPr>
              <w:jc w:val="center"/>
              <w:rPr>
                <w:rFonts w:cs="Segoe UI"/>
                <w:sz w:val="16"/>
                <w:szCs w:val="16"/>
              </w:rPr>
            </w:pPr>
            <w:r w:rsidRPr="00A4139D">
              <w:rPr>
                <w:rFonts w:cs="Segoe UI"/>
                <w:sz w:val="16"/>
                <w:szCs w:val="16"/>
              </w:rPr>
              <w:t>Same/marginally worse</w:t>
            </w:r>
          </w:p>
        </w:tc>
        <w:tc>
          <w:tcPr>
            <w:tcW w:w="1922" w:type="dxa"/>
            <w:shd w:val="clear" w:color="auto" w:fill="D9D9D9"/>
          </w:tcPr>
          <w:p w14:paraId="2EBE296F" w14:textId="77777777" w:rsidR="00A4139D" w:rsidRPr="00A4139D" w:rsidRDefault="00A4139D" w:rsidP="00A4139D">
            <w:pPr>
              <w:jc w:val="center"/>
              <w:rPr>
                <w:rFonts w:cs="Segoe UI"/>
                <w:sz w:val="16"/>
                <w:szCs w:val="16"/>
              </w:rPr>
            </w:pPr>
            <w:r w:rsidRPr="00A4139D">
              <w:rPr>
                <w:rFonts w:cs="Segoe UI"/>
                <w:sz w:val="16"/>
                <w:szCs w:val="16"/>
              </w:rPr>
              <w:t>Same/marginally worse</w:t>
            </w:r>
          </w:p>
        </w:tc>
        <w:tc>
          <w:tcPr>
            <w:tcW w:w="1918" w:type="dxa"/>
            <w:shd w:val="clear" w:color="auto" w:fill="D9D9D9"/>
          </w:tcPr>
          <w:p w14:paraId="2EBE2970" w14:textId="77777777" w:rsidR="00A4139D" w:rsidRPr="00A4139D" w:rsidRDefault="00A4139D" w:rsidP="00A4139D">
            <w:pPr>
              <w:jc w:val="center"/>
              <w:rPr>
                <w:rFonts w:cs="Segoe UI"/>
                <w:sz w:val="16"/>
                <w:szCs w:val="16"/>
              </w:rPr>
            </w:pPr>
            <w:r w:rsidRPr="00A4139D">
              <w:rPr>
                <w:rFonts w:cs="Segoe UI"/>
                <w:sz w:val="16"/>
                <w:szCs w:val="16"/>
              </w:rPr>
              <w:t>Same</w:t>
            </w:r>
          </w:p>
        </w:tc>
      </w:tr>
      <w:tr w:rsidR="00A4139D" w:rsidRPr="00A4139D" w14:paraId="2EBE2977" w14:textId="77777777" w:rsidTr="00A4139D">
        <w:trPr>
          <w:trHeight w:val="397"/>
          <w:jc w:val="center"/>
        </w:trPr>
        <w:tc>
          <w:tcPr>
            <w:tcW w:w="1681" w:type="dxa"/>
            <w:shd w:val="clear" w:color="auto" w:fill="DBE5F1"/>
          </w:tcPr>
          <w:p w14:paraId="2EBE2972" w14:textId="77777777" w:rsidR="00A4139D" w:rsidRPr="00A4139D" w:rsidRDefault="00A4139D" w:rsidP="00A4139D">
            <w:pPr>
              <w:jc w:val="left"/>
              <w:rPr>
                <w:rFonts w:cs="Segoe UI"/>
                <w:b/>
                <w:sz w:val="16"/>
                <w:szCs w:val="16"/>
              </w:rPr>
            </w:pPr>
            <w:r w:rsidRPr="00A4139D">
              <w:rPr>
                <w:rFonts w:cs="Segoe UI"/>
                <w:b/>
                <w:sz w:val="16"/>
                <w:szCs w:val="16"/>
              </w:rPr>
              <w:t>Community safety</w:t>
            </w:r>
          </w:p>
        </w:tc>
        <w:tc>
          <w:tcPr>
            <w:tcW w:w="1945" w:type="dxa"/>
            <w:shd w:val="clear" w:color="auto" w:fill="D9D9D9"/>
          </w:tcPr>
          <w:p w14:paraId="2EBE2973" w14:textId="77777777" w:rsidR="00A4139D" w:rsidRPr="00A4139D" w:rsidRDefault="00A4139D" w:rsidP="00A4139D">
            <w:pPr>
              <w:jc w:val="center"/>
              <w:rPr>
                <w:rFonts w:cs="Segoe UI"/>
                <w:sz w:val="16"/>
                <w:szCs w:val="16"/>
              </w:rPr>
            </w:pPr>
            <w:r w:rsidRPr="00A4139D">
              <w:rPr>
                <w:rFonts w:cs="Segoe UI"/>
                <w:sz w:val="16"/>
                <w:szCs w:val="16"/>
              </w:rPr>
              <w:t>Same</w:t>
            </w:r>
          </w:p>
        </w:tc>
        <w:tc>
          <w:tcPr>
            <w:tcW w:w="1840" w:type="dxa"/>
            <w:shd w:val="clear" w:color="auto" w:fill="D9D9D9"/>
          </w:tcPr>
          <w:p w14:paraId="2EBE2974" w14:textId="77777777" w:rsidR="00A4139D" w:rsidRPr="00A4139D" w:rsidRDefault="00A4139D" w:rsidP="00A4139D">
            <w:pPr>
              <w:jc w:val="center"/>
              <w:rPr>
                <w:rFonts w:cs="Segoe UI"/>
                <w:sz w:val="16"/>
                <w:szCs w:val="16"/>
              </w:rPr>
            </w:pPr>
            <w:r w:rsidRPr="00A4139D">
              <w:rPr>
                <w:rFonts w:cs="Segoe UI"/>
                <w:sz w:val="16"/>
                <w:szCs w:val="16"/>
              </w:rPr>
              <w:t>Improved</w:t>
            </w:r>
          </w:p>
        </w:tc>
        <w:tc>
          <w:tcPr>
            <w:tcW w:w="1922" w:type="dxa"/>
            <w:shd w:val="clear" w:color="auto" w:fill="D9D9D9"/>
          </w:tcPr>
          <w:p w14:paraId="2EBE2975" w14:textId="77777777" w:rsidR="00A4139D" w:rsidRPr="00A4139D" w:rsidRDefault="00A4139D" w:rsidP="00A4139D">
            <w:pPr>
              <w:jc w:val="center"/>
              <w:rPr>
                <w:rFonts w:cs="Segoe UI"/>
                <w:sz w:val="16"/>
                <w:szCs w:val="16"/>
              </w:rPr>
            </w:pPr>
            <w:r w:rsidRPr="00A4139D">
              <w:rPr>
                <w:rFonts w:cs="Segoe UI"/>
                <w:sz w:val="16"/>
                <w:szCs w:val="16"/>
              </w:rPr>
              <w:t>Same</w:t>
            </w:r>
          </w:p>
        </w:tc>
        <w:tc>
          <w:tcPr>
            <w:tcW w:w="1918" w:type="dxa"/>
            <w:shd w:val="clear" w:color="auto" w:fill="D9D9D9"/>
          </w:tcPr>
          <w:p w14:paraId="2EBE2976" w14:textId="77777777" w:rsidR="00A4139D" w:rsidRPr="00A4139D" w:rsidRDefault="00A4139D" w:rsidP="00A4139D">
            <w:pPr>
              <w:jc w:val="center"/>
              <w:rPr>
                <w:rFonts w:cs="Segoe UI"/>
                <w:sz w:val="16"/>
                <w:szCs w:val="16"/>
              </w:rPr>
            </w:pPr>
            <w:r w:rsidRPr="00A4139D">
              <w:rPr>
                <w:rFonts w:cs="Segoe UI"/>
                <w:sz w:val="16"/>
                <w:szCs w:val="16"/>
              </w:rPr>
              <w:t>Improved</w:t>
            </w:r>
          </w:p>
        </w:tc>
      </w:tr>
      <w:tr w:rsidR="00A4139D" w:rsidRPr="00A4139D" w14:paraId="2EBE297D" w14:textId="77777777" w:rsidTr="00A4139D">
        <w:trPr>
          <w:trHeight w:val="397"/>
          <w:jc w:val="center"/>
        </w:trPr>
        <w:tc>
          <w:tcPr>
            <w:tcW w:w="1681" w:type="dxa"/>
            <w:shd w:val="clear" w:color="auto" w:fill="DBE5F1"/>
          </w:tcPr>
          <w:p w14:paraId="2EBE2978" w14:textId="77777777" w:rsidR="00A4139D" w:rsidRPr="00A4139D" w:rsidRDefault="00A4139D" w:rsidP="00A4139D">
            <w:pPr>
              <w:jc w:val="left"/>
              <w:rPr>
                <w:rFonts w:cs="Segoe UI"/>
                <w:b/>
                <w:sz w:val="16"/>
                <w:szCs w:val="16"/>
              </w:rPr>
            </w:pPr>
            <w:r w:rsidRPr="00A4139D">
              <w:rPr>
                <w:rFonts w:cs="Segoe UI"/>
                <w:b/>
                <w:sz w:val="16"/>
                <w:szCs w:val="16"/>
              </w:rPr>
              <w:t xml:space="preserve">As a place to live </w:t>
            </w:r>
          </w:p>
        </w:tc>
        <w:tc>
          <w:tcPr>
            <w:tcW w:w="1945" w:type="dxa"/>
            <w:shd w:val="clear" w:color="auto" w:fill="D9D9D9"/>
          </w:tcPr>
          <w:p w14:paraId="2EBE2979" w14:textId="77777777" w:rsidR="00A4139D" w:rsidRPr="00A4139D" w:rsidRDefault="00A4139D" w:rsidP="00A4139D">
            <w:pPr>
              <w:jc w:val="center"/>
              <w:rPr>
                <w:rFonts w:cs="Segoe UI"/>
                <w:sz w:val="16"/>
                <w:szCs w:val="16"/>
              </w:rPr>
            </w:pPr>
            <w:r w:rsidRPr="00A4139D">
              <w:rPr>
                <w:rFonts w:cs="Segoe UI"/>
                <w:sz w:val="16"/>
                <w:szCs w:val="16"/>
              </w:rPr>
              <w:t>Same/marginally better</w:t>
            </w:r>
          </w:p>
        </w:tc>
        <w:tc>
          <w:tcPr>
            <w:tcW w:w="1840" w:type="dxa"/>
            <w:shd w:val="clear" w:color="auto" w:fill="D9D9D9"/>
          </w:tcPr>
          <w:p w14:paraId="2EBE297A" w14:textId="77777777" w:rsidR="00A4139D" w:rsidRPr="00A4139D" w:rsidRDefault="00A4139D" w:rsidP="00A4139D">
            <w:pPr>
              <w:jc w:val="center"/>
              <w:rPr>
                <w:rFonts w:cs="Segoe UI"/>
                <w:sz w:val="16"/>
                <w:szCs w:val="16"/>
              </w:rPr>
            </w:pPr>
            <w:r w:rsidRPr="00A4139D">
              <w:rPr>
                <w:rFonts w:cs="Segoe UI"/>
                <w:sz w:val="16"/>
                <w:szCs w:val="16"/>
              </w:rPr>
              <w:t>Better</w:t>
            </w:r>
          </w:p>
        </w:tc>
        <w:tc>
          <w:tcPr>
            <w:tcW w:w="1922" w:type="dxa"/>
            <w:shd w:val="clear" w:color="auto" w:fill="D9D9D9"/>
          </w:tcPr>
          <w:p w14:paraId="2EBE297B" w14:textId="77777777" w:rsidR="00A4139D" w:rsidRPr="00A4139D" w:rsidRDefault="00A4139D" w:rsidP="00A4139D">
            <w:pPr>
              <w:jc w:val="center"/>
              <w:rPr>
                <w:rFonts w:cs="Segoe UI"/>
                <w:sz w:val="16"/>
                <w:szCs w:val="16"/>
              </w:rPr>
            </w:pPr>
            <w:r w:rsidRPr="00A4139D">
              <w:rPr>
                <w:rFonts w:cs="Segoe UI"/>
                <w:sz w:val="16"/>
                <w:szCs w:val="16"/>
              </w:rPr>
              <w:t>Same/marginally better</w:t>
            </w:r>
          </w:p>
        </w:tc>
        <w:tc>
          <w:tcPr>
            <w:tcW w:w="1918" w:type="dxa"/>
            <w:shd w:val="clear" w:color="auto" w:fill="D9D9D9"/>
          </w:tcPr>
          <w:p w14:paraId="2EBE297C" w14:textId="77777777" w:rsidR="00A4139D" w:rsidRPr="00A4139D" w:rsidRDefault="00A4139D" w:rsidP="00A4139D">
            <w:pPr>
              <w:jc w:val="center"/>
              <w:rPr>
                <w:rFonts w:cs="Segoe UI"/>
                <w:sz w:val="16"/>
                <w:szCs w:val="16"/>
              </w:rPr>
            </w:pPr>
            <w:r w:rsidRPr="00A4139D">
              <w:rPr>
                <w:rFonts w:cs="Segoe UI"/>
                <w:sz w:val="16"/>
                <w:szCs w:val="16"/>
              </w:rPr>
              <w:t>Same/marginally better</w:t>
            </w:r>
          </w:p>
        </w:tc>
      </w:tr>
    </w:tbl>
    <w:p w14:paraId="2EBE297E" w14:textId="5B94AB7E" w:rsidR="00A4139D" w:rsidRDefault="00A4139D" w:rsidP="00447E79">
      <w:pPr>
        <w:spacing w:before="240"/>
        <w:rPr>
          <w:b/>
          <w:color w:val="1F497D" w:themeColor="text2"/>
          <w:lang w:val="en-GB"/>
        </w:rPr>
      </w:pPr>
      <w:r w:rsidRPr="00E43FA6">
        <w:rPr>
          <w:rStyle w:val="Strong"/>
        </w:rPr>
        <w:t>Review finding #4:</w:t>
      </w:r>
      <w:r w:rsidRPr="00A4139D">
        <w:rPr>
          <w:b/>
        </w:rPr>
        <w:t xml:space="preserve"> </w:t>
      </w:r>
      <w:r w:rsidRPr="00A4139D">
        <w:t xml:space="preserve">In relation to Closing </w:t>
      </w:r>
      <w:r w:rsidRPr="00A4139D">
        <w:rPr>
          <w:lang w:eastAsia="x-none"/>
        </w:rPr>
        <w:t>the Gap targets, given there are multiple factors impacting upon life expectancy and mortality, and the long lead time required to observe change, as anticipated there is no direct evidence that the WBCs have contributed to observable changes in the life expectancy and mortality gaps to date</w:t>
      </w:r>
      <w:r w:rsidR="00832BA7" w:rsidRPr="00A4139D">
        <w:t>.</w:t>
      </w:r>
      <w:r w:rsidR="00832BA7">
        <w:t xml:space="preserve"> </w:t>
      </w:r>
      <w:r w:rsidR="00832BA7" w:rsidRPr="00906B1F">
        <w:rPr>
          <w:color w:val="1F497D" w:themeColor="text2"/>
          <w:lang w:val="en-GB"/>
        </w:rPr>
        <w:t>[</w:t>
      </w:r>
      <w:hyperlink w:anchor="_Closing_the_Gap" w:history="1">
        <w:r w:rsidR="00832BA7" w:rsidRPr="00906B1F">
          <w:rPr>
            <w:rStyle w:val="Hyperlink"/>
            <w:lang w:val="en-GB"/>
          </w:rPr>
          <w:t>Section 2.7</w:t>
        </w:r>
      </w:hyperlink>
      <w:r w:rsidR="00832BA7" w:rsidRPr="00906B1F">
        <w:rPr>
          <w:color w:val="1F497D" w:themeColor="text2"/>
          <w:lang w:val="en-GB"/>
        </w:rPr>
        <w:t>]</w:t>
      </w:r>
    </w:p>
    <w:p w14:paraId="2EBE297F" w14:textId="77777777" w:rsidR="00842F31" w:rsidRDefault="0009590A" w:rsidP="0009590A">
      <w:pPr>
        <w:spacing w:before="120" w:after="120"/>
        <w:rPr>
          <w:lang w:eastAsia="x-none"/>
        </w:rPr>
      </w:pPr>
      <w:r w:rsidRPr="00E43FA6">
        <w:rPr>
          <w:rStyle w:val="Strong"/>
        </w:rPr>
        <w:t>Review finding #5:</w:t>
      </w:r>
      <w:r w:rsidRPr="00A4139D">
        <w:rPr>
          <w:b/>
        </w:rPr>
        <w:t xml:space="preserve"> </w:t>
      </w:r>
      <w:r w:rsidR="001C69DF" w:rsidRPr="001C69DF">
        <w:rPr>
          <w:lang w:eastAsia="x-none"/>
        </w:rPr>
        <w:t>The WBCs have to a large extent been able to enhance the delivery of other services at the local level through collaboration with partner agencies.</w:t>
      </w:r>
    </w:p>
    <w:p w14:paraId="2EBE2980" w14:textId="5118F97A" w:rsidR="0009590A" w:rsidRPr="00906B1F" w:rsidRDefault="001C69DF" w:rsidP="0009590A">
      <w:pPr>
        <w:spacing w:before="120" w:after="120"/>
        <w:rPr>
          <w:color w:val="1F497D" w:themeColor="text2"/>
          <w:lang w:val="en-GB"/>
        </w:rPr>
      </w:pPr>
      <w:r w:rsidRPr="001C69DF">
        <w:rPr>
          <w:lang w:eastAsia="x-none"/>
        </w:rPr>
        <w:t>Of significance, regular meeting</w:t>
      </w:r>
      <w:r>
        <w:rPr>
          <w:lang w:eastAsia="x-none"/>
        </w:rPr>
        <w:t>s and collaboration between child safet</w:t>
      </w:r>
      <w:r w:rsidRPr="001C69DF">
        <w:rPr>
          <w:lang w:eastAsia="x-none"/>
        </w:rPr>
        <w:t>y services and WBC</w:t>
      </w:r>
      <w:r>
        <w:rPr>
          <w:lang w:eastAsia="x-none"/>
        </w:rPr>
        <w:t xml:space="preserve"> </w:t>
      </w:r>
      <w:r w:rsidRPr="001C69DF">
        <w:rPr>
          <w:lang w:eastAsia="x-none"/>
        </w:rPr>
        <w:t>s</w:t>
      </w:r>
      <w:r>
        <w:rPr>
          <w:lang w:eastAsia="x-none"/>
        </w:rPr>
        <w:t>taff</w:t>
      </w:r>
      <w:r w:rsidRPr="001C69DF">
        <w:rPr>
          <w:lang w:eastAsia="x-none"/>
        </w:rPr>
        <w:t xml:space="preserve"> to discuss common</w:t>
      </w:r>
      <w:r>
        <w:rPr>
          <w:lang w:eastAsia="x-none"/>
        </w:rPr>
        <w:t xml:space="preserve"> clients</w:t>
      </w:r>
      <w:r w:rsidRPr="001C69DF">
        <w:rPr>
          <w:lang w:eastAsia="x-none"/>
        </w:rPr>
        <w:t xml:space="preserve"> and support case management has contributed to </w:t>
      </w:r>
      <w:r w:rsidRPr="00966D33">
        <w:rPr>
          <w:lang w:eastAsia="x-none"/>
        </w:rPr>
        <w:t>preventing separations and</w:t>
      </w:r>
      <w:r>
        <w:rPr>
          <w:lang w:eastAsia="x-none"/>
        </w:rPr>
        <w:t>/</w:t>
      </w:r>
      <w:r w:rsidRPr="00966D33">
        <w:rPr>
          <w:lang w:eastAsia="x-none"/>
        </w:rPr>
        <w:t xml:space="preserve">or facilitating reunifications </w:t>
      </w:r>
      <w:r w:rsidR="005D458C">
        <w:rPr>
          <w:lang w:eastAsia="x-none"/>
        </w:rPr>
        <w:t xml:space="preserve">that </w:t>
      </w:r>
      <w:r>
        <w:rPr>
          <w:lang w:eastAsia="x-none"/>
        </w:rPr>
        <w:t>child safety services advise have not previously been achieved.</w:t>
      </w:r>
      <w:r w:rsidR="0076138D">
        <w:rPr>
          <w:lang w:eastAsia="x-none"/>
        </w:rPr>
        <w:t xml:space="preserve"> </w:t>
      </w:r>
      <w:r w:rsidR="0076138D" w:rsidRPr="00C843BD">
        <w:rPr>
          <w:lang w:eastAsia="x-none"/>
        </w:rPr>
        <w:t xml:space="preserve">This is a very significant achievement and </w:t>
      </w:r>
      <w:r w:rsidR="0076138D" w:rsidRPr="0076138D">
        <w:rPr>
          <w:lang w:eastAsia="x-none"/>
        </w:rPr>
        <w:t>it is proposed</w:t>
      </w:r>
      <w:r w:rsidR="0076138D" w:rsidRPr="00C843BD">
        <w:rPr>
          <w:lang w:eastAsia="x-none"/>
        </w:rPr>
        <w:t xml:space="preserve"> that any future SEWB service model should include extensive collaboration with Child Safety.</w:t>
      </w:r>
      <w:r w:rsidR="0009590A">
        <w:t xml:space="preserve"> </w:t>
      </w:r>
      <w:r w:rsidR="0009590A" w:rsidRPr="00906B1F">
        <w:rPr>
          <w:color w:val="1F497D" w:themeColor="text2"/>
          <w:lang w:val="en-GB"/>
        </w:rPr>
        <w:t>[</w:t>
      </w:r>
      <w:hyperlink w:anchor="_Partnership_effectiveness" w:history="1">
        <w:r w:rsidR="0009590A" w:rsidRPr="00906B1F">
          <w:rPr>
            <w:rStyle w:val="Hyperlink"/>
            <w:lang w:val="en-GB"/>
          </w:rPr>
          <w:t xml:space="preserve">Section </w:t>
        </w:r>
        <w:r w:rsidRPr="00906B1F">
          <w:rPr>
            <w:rStyle w:val="Hyperlink"/>
            <w:lang w:val="en-GB"/>
          </w:rPr>
          <w:t>3.6.1</w:t>
        </w:r>
      </w:hyperlink>
      <w:r w:rsidR="0009590A" w:rsidRPr="00906B1F">
        <w:rPr>
          <w:color w:val="1F497D" w:themeColor="text2"/>
          <w:lang w:val="en-GB"/>
        </w:rPr>
        <w:t>]</w:t>
      </w:r>
    </w:p>
    <w:p w14:paraId="2EBE2981" w14:textId="4DD585D8" w:rsidR="00842F31" w:rsidRPr="00773170" w:rsidRDefault="00842F31" w:rsidP="00447E79">
      <w:pPr>
        <w:rPr>
          <w:color w:val="1F497D" w:themeColor="text2"/>
          <w:lang w:val="en-GB"/>
        </w:rPr>
      </w:pPr>
      <w:r w:rsidRPr="00842F31">
        <w:rPr>
          <w:lang w:eastAsia="x-none"/>
        </w:rPr>
        <w:t xml:space="preserve">The partnership between the WBC and the FRC has developed and improved over time having commenced </w:t>
      </w:r>
      <w:r>
        <w:rPr>
          <w:lang w:eastAsia="x-none"/>
        </w:rPr>
        <w:t>from a relatively poor starting point due to some lack in clarity of WBC role and differing</w:t>
      </w:r>
      <w:r>
        <w:t xml:space="preserve"> service expectations. However, it is reasonable to conclude that the WBCs are fundamental to the FRC as a point of referral and hence the future availability of SEWB services where the FRC are operational will be important in any future service delivery decisions. </w:t>
      </w:r>
      <w:r w:rsidRPr="00773170">
        <w:rPr>
          <w:color w:val="1F497D" w:themeColor="text2"/>
          <w:lang w:val="en-GB"/>
        </w:rPr>
        <w:t>[</w:t>
      </w:r>
      <w:hyperlink w:anchor="_Partnership_effectiveness" w:history="1">
        <w:r w:rsidR="00773170" w:rsidRPr="00906B1F">
          <w:rPr>
            <w:rStyle w:val="Hyperlink"/>
            <w:lang w:val="en-GB"/>
          </w:rPr>
          <w:t>Section 3.6.1</w:t>
        </w:r>
      </w:hyperlink>
      <w:r w:rsidRPr="00773170">
        <w:rPr>
          <w:color w:val="1F497D" w:themeColor="text2"/>
          <w:lang w:val="en-GB"/>
        </w:rPr>
        <w:t>]</w:t>
      </w:r>
    </w:p>
    <w:p w14:paraId="2EBE2982" w14:textId="16AB9CC1" w:rsidR="00832BA7" w:rsidRPr="00A4139D" w:rsidRDefault="00A4139D" w:rsidP="00447E79">
      <w:pPr>
        <w:rPr>
          <w:b/>
        </w:rPr>
      </w:pPr>
      <w:r w:rsidRPr="00E43FA6">
        <w:rPr>
          <w:rStyle w:val="Strong"/>
        </w:rPr>
        <w:lastRenderedPageBreak/>
        <w:t>Review finding #</w:t>
      </w:r>
      <w:r w:rsidR="0076138D" w:rsidRPr="00E43FA6">
        <w:rPr>
          <w:rStyle w:val="Strong"/>
        </w:rPr>
        <w:t>6</w:t>
      </w:r>
      <w:r w:rsidR="00E43FA6" w:rsidRPr="00E43FA6">
        <w:rPr>
          <w:rStyle w:val="Strong"/>
        </w:rPr>
        <w:t>:</w:t>
      </w:r>
      <w:r w:rsidRPr="00A4139D">
        <w:rPr>
          <w:b/>
        </w:rPr>
        <w:t xml:space="preserve"> </w:t>
      </w:r>
      <w:r w:rsidR="00017D0F">
        <w:t>The WBCs provide</w:t>
      </w:r>
      <w:r w:rsidRPr="00A4139D">
        <w:t xml:space="preserve"> a new and unique approach to the provision of SEWB services. </w:t>
      </w:r>
      <w:r w:rsidR="00017D0F">
        <w:rPr>
          <w:lang w:eastAsia="en-AU"/>
        </w:rPr>
        <w:t>E</w:t>
      </w:r>
      <w:r w:rsidRPr="00A4139D">
        <w:rPr>
          <w:lang w:eastAsia="en-AU"/>
        </w:rPr>
        <w:t>ach WBC is addressing the range of service expectations of the community and other stakeholders relatively well</w:t>
      </w:r>
      <w:r w:rsidRPr="00A4139D">
        <w:t xml:space="preserve">. </w:t>
      </w:r>
      <w:r w:rsidRPr="00A4139D">
        <w:rPr>
          <w:lang w:eastAsia="x-none"/>
        </w:rPr>
        <w:t xml:space="preserve">What is unique about the WBC is that it allows for SEWB services (including mental health and drug and alcohol services) to be provided in </w:t>
      </w:r>
      <w:r w:rsidRPr="00A4139D">
        <w:t>combination seamlessly.</w:t>
      </w:r>
      <w:r w:rsidR="00832BA7">
        <w:t xml:space="preserve"> </w:t>
      </w:r>
      <w:r w:rsidR="00832BA7" w:rsidRPr="00773170">
        <w:rPr>
          <w:color w:val="1F497D" w:themeColor="text2"/>
          <w:lang w:val="en-GB"/>
        </w:rPr>
        <w:t>[</w:t>
      </w:r>
      <w:hyperlink w:anchor="_Summary_of_findings" w:history="1">
        <w:r w:rsidR="00832BA7" w:rsidRPr="00773170">
          <w:rPr>
            <w:rStyle w:val="Hyperlink"/>
            <w:lang w:val="en-GB"/>
          </w:rPr>
          <w:t>Section 3.17</w:t>
        </w:r>
      </w:hyperlink>
      <w:r w:rsidR="00832BA7" w:rsidRPr="00773170">
        <w:rPr>
          <w:color w:val="1F497D" w:themeColor="text2"/>
          <w:lang w:val="en-GB"/>
        </w:rPr>
        <w:t>]</w:t>
      </w:r>
    </w:p>
    <w:p w14:paraId="2EBE2983" w14:textId="44706307" w:rsidR="00832BA7" w:rsidRPr="00A4139D" w:rsidRDefault="0076138D" w:rsidP="00447E79">
      <w:r w:rsidRPr="00E43FA6">
        <w:rPr>
          <w:rStyle w:val="Strong"/>
        </w:rPr>
        <w:t>Review finding #7</w:t>
      </w:r>
      <w:r w:rsidR="00A4139D" w:rsidRPr="00E43FA6">
        <w:rPr>
          <w:rStyle w:val="Strong"/>
        </w:rPr>
        <w:t>:</w:t>
      </w:r>
      <w:r w:rsidR="00A4139D" w:rsidRPr="00A4139D">
        <w:t xml:space="preserve"> </w:t>
      </w:r>
      <w:r w:rsidR="00A4139D" w:rsidRPr="00A4139D">
        <w:rPr>
          <w:lang w:eastAsia="en-AU"/>
        </w:rPr>
        <w:t>Service access to SEWB services is greatly enhanced in WBC communities when contrasted to other communities in Cape York</w:t>
      </w:r>
      <w:r w:rsidR="00A4139D" w:rsidRPr="00A4139D">
        <w:t>. Overall, 48% of the entire community, 57% of the adult community (&gt;19 years) and 26% of the population &lt;20 years are currently, or have been, WBC clients.</w:t>
      </w:r>
      <w:r w:rsidR="00A4139D">
        <w:t xml:space="preserve"> </w:t>
      </w:r>
      <w:r w:rsidR="00A4139D" w:rsidRPr="00A4139D">
        <w:t xml:space="preserve">Violence (21%), mental health (21%), alcohol (20%) and welfare/other support (16%) together make up 78% of the diagnosed assessment issue categories (the primary issue for the client). Many clients have multiple issues. </w:t>
      </w:r>
      <w:r w:rsidR="00832BA7" w:rsidRPr="00773170">
        <w:rPr>
          <w:color w:val="1F497D" w:themeColor="text2"/>
          <w:lang w:val="en-GB"/>
        </w:rPr>
        <w:t>[</w:t>
      </w:r>
      <w:hyperlink w:anchor="_Service_activity_and" w:history="1">
        <w:r w:rsidR="00832BA7" w:rsidRPr="00773170">
          <w:rPr>
            <w:rStyle w:val="Hyperlink"/>
            <w:lang w:val="en-GB"/>
          </w:rPr>
          <w:t>Sections 3.4</w:t>
        </w:r>
      </w:hyperlink>
      <w:r w:rsidR="00832BA7" w:rsidRPr="00773170">
        <w:rPr>
          <w:color w:val="1F497D" w:themeColor="text2"/>
          <w:lang w:val="en-GB"/>
        </w:rPr>
        <w:t xml:space="preserve"> and </w:t>
      </w:r>
      <w:hyperlink w:anchor="_Summary_of_findings" w:history="1">
        <w:r w:rsidR="00832BA7" w:rsidRPr="00773170">
          <w:rPr>
            <w:rStyle w:val="Hyperlink"/>
            <w:lang w:val="en-GB"/>
          </w:rPr>
          <w:t>3.17</w:t>
        </w:r>
      </w:hyperlink>
      <w:r w:rsidR="00832BA7" w:rsidRPr="00773170">
        <w:rPr>
          <w:color w:val="1F497D" w:themeColor="text2"/>
          <w:lang w:val="en-GB"/>
        </w:rPr>
        <w:t>]</w:t>
      </w:r>
    </w:p>
    <w:p w14:paraId="2EBE2984" w14:textId="77777777" w:rsidR="00A4139D" w:rsidRPr="00A4139D" w:rsidRDefault="0076138D" w:rsidP="00A4139D">
      <w:pPr>
        <w:spacing w:after="120"/>
      </w:pPr>
      <w:r w:rsidRPr="00E43FA6">
        <w:rPr>
          <w:rStyle w:val="Strong"/>
        </w:rPr>
        <w:t>Review finding #8</w:t>
      </w:r>
      <w:r w:rsidR="00A4139D" w:rsidRPr="00E43FA6">
        <w:rPr>
          <w:rStyle w:val="Strong"/>
        </w:rPr>
        <w:t>:</w:t>
      </w:r>
      <w:r w:rsidR="00A4139D" w:rsidRPr="00A4139D">
        <w:t xml:space="preserve"> The key success factors for the WBCs have included: the level of integration between the core areas of activity (i.e. counselling, drop-in and groups); capacity to work with clients across a wide range of issues that impact upon SEWB; drop-in element; recognition that it takes time for staff to establish relationships; ability to be a key point of contact and referral; capacity to work with non-voluntary </w:t>
      </w:r>
      <w:r w:rsidR="00F07415">
        <w:t xml:space="preserve">(FRC) </w:t>
      </w:r>
      <w:r w:rsidR="00A4139D" w:rsidRPr="00A4139D">
        <w:t>referred clients; development of effective partnerships</w:t>
      </w:r>
      <w:r w:rsidR="00276A6F">
        <w:t xml:space="preserve"> in many cases</w:t>
      </w:r>
      <w:r w:rsidR="00A4139D" w:rsidRPr="00A4139D">
        <w:t>; employment and provision of appropriate levels of training and support for local indigenous staff; recruiting the right non- indigenous staff; and allowing flexibility to respond to local issues and needs.</w:t>
      </w:r>
    </w:p>
    <w:p w14:paraId="2EBE2985" w14:textId="1C3782D8" w:rsidR="00A4139D" w:rsidRPr="00A4139D" w:rsidRDefault="00A4139D" w:rsidP="00447E79">
      <w:pPr>
        <w:rPr>
          <w:lang w:eastAsia="en-AU"/>
        </w:rPr>
      </w:pPr>
      <w:r w:rsidRPr="00A4139D">
        <w:t>Key challenges have included:</w:t>
      </w:r>
      <w:r w:rsidRPr="00A4139D">
        <w:rPr>
          <w:lang w:eastAsia="en-AU"/>
        </w:rPr>
        <w:t xml:space="preserve"> successfully obtaining structured community input on an ongoing basis, a problem shared with other agencies; capacity building efforts in underpinning a longer term intention of community control (which to date have not been successful); and building successful working relationships with the FRC (noting substantial improvements in the last 12 to 18 months).</w:t>
      </w:r>
      <w:r w:rsidR="00832BA7">
        <w:rPr>
          <w:lang w:eastAsia="en-AU"/>
        </w:rPr>
        <w:t xml:space="preserve"> </w:t>
      </w:r>
      <w:r w:rsidR="00832BA7" w:rsidRPr="00312279">
        <w:rPr>
          <w:color w:val="1F497D" w:themeColor="text2"/>
          <w:lang w:val="en-GB"/>
        </w:rPr>
        <w:t>[</w:t>
      </w:r>
      <w:hyperlink w:anchor="_Key_success_factors" w:history="1">
        <w:r w:rsidR="00832BA7" w:rsidRPr="00312279">
          <w:rPr>
            <w:rStyle w:val="Hyperlink"/>
            <w:lang w:val="en-GB"/>
          </w:rPr>
          <w:t>Section 4.2</w:t>
        </w:r>
      </w:hyperlink>
      <w:r w:rsidR="00832BA7" w:rsidRPr="00312279">
        <w:rPr>
          <w:color w:val="1F497D" w:themeColor="text2"/>
          <w:lang w:val="en-GB"/>
        </w:rPr>
        <w:t>]</w:t>
      </w:r>
    </w:p>
    <w:p w14:paraId="2EBE2986" w14:textId="19021B25" w:rsidR="00A4139D" w:rsidRPr="00A4139D" w:rsidRDefault="0076138D" w:rsidP="00447E79">
      <w:r w:rsidRPr="00E43FA6">
        <w:rPr>
          <w:rStyle w:val="Strong"/>
        </w:rPr>
        <w:t>Review finding #9</w:t>
      </w:r>
      <w:r w:rsidR="00A4139D" w:rsidRPr="00E43FA6">
        <w:rPr>
          <w:rStyle w:val="Strong"/>
        </w:rPr>
        <w:t>:</w:t>
      </w:r>
      <w:r w:rsidR="00A4139D" w:rsidRPr="00A4139D">
        <w:t xml:space="preserve"> The current service model is resource intensive and therefore could not feasibly be replicated in the numerous Indigenous communities across Australia who might require SEWB services.</w:t>
      </w:r>
      <w:r w:rsidR="00017D0F">
        <w:t xml:space="preserve"> </w:t>
      </w:r>
      <w:r w:rsidR="00017D0F" w:rsidRPr="00312279">
        <w:rPr>
          <w:color w:val="1F497D" w:themeColor="text2"/>
          <w:lang w:val="en-GB"/>
        </w:rPr>
        <w:t>[</w:t>
      </w:r>
      <w:hyperlink w:anchor="_What_has_been" w:history="1">
        <w:r w:rsidR="00312279" w:rsidRPr="00773170">
          <w:rPr>
            <w:rStyle w:val="Hyperlink"/>
            <w:lang w:val="en-GB"/>
          </w:rPr>
          <w:t>Section 5.1</w:t>
        </w:r>
      </w:hyperlink>
      <w:r w:rsidR="00017D0F" w:rsidRPr="00312279">
        <w:rPr>
          <w:color w:val="1F497D" w:themeColor="text2"/>
          <w:lang w:val="en-GB"/>
        </w:rPr>
        <w:t>]</w:t>
      </w:r>
    </w:p>
    <w:p w14:paraId="2EBE2987" w14:textId="3F84ABB5" w:rsidR="00017D0F" w:rsidRPr="00A4139D" w:rsidRDefault="0076138D" w:rsidP="00447E79">
      <w:r w:rsidRPr="00E43FA6">
        <w:rPr>
          <w:rStyle w:val="Strong"/>
        </w:rPr>
        <w:t>Review finding #10</w:t>
      </w:r>
      <w:r w:rsidR="00A4139D" w:rsidRPr="00E43FA6">
        <w:rPr>
          <w:rStyle w:val="Strong"/>
        </w:rPr>
        <w:t>:</w:t>
      </w:r>
      <w:r w:rsidR="00A4139D" w:rsidRPr="00A4139D">
        <w:t xml:space="preserve"> Based on the level of impact demonstrated over five years, the Cape York SEWB model does not appear to justify the current level of resourcing over the longer term.</w:t>
      </w:r>
      <w:r w:rsidR="00017D0F">
        <w:t xml:space="preserve"> </w:t>
      </w:r>
      <w:r w:rsidR="00017D0F" w:rsidRPr="00773170">
        <w:rPr>
          <w:color w:val="1F497D" w:themeColor="text2"/>
          <w:lang w:val="en-GB"/>
        </w:rPr>
        <w:t>[</w:t>
      </w:r>
      <w:hyperlink w:anchor="_What_has_been" w:history="1">
        <w:r w:rsidR="00017D0F" w:rsidRPr="00773170">
          <w:rPr>
            <w:rStyle w:val="Hyperlink"/>
            <w:lang w:val="en-GB"/>
          </w:rPr>
          <w:t>Section 5.1</w:t>
        </w:r>
      </w:hyperlink>
      <w:r w:rsidR="00017D0F" w:rsidRPr="00773170">
        <w:rPr>
          <w:color w:val="1F497D" w:themeColor="text2"/>
          <w:lang w:val="en-GB"/>
        </w:rPr>
        <w:t>]</w:t>
      </w:r>
    </w:p>
    <w:p w14:paraId="2EBE2988" w14:textId="77777777" w:rsidR="00A4139D" w:rsidRPr="00A4139D" w:rsidRDefault="00A4139D" w:rsidP="00584FEB">
      <w:pPr>
        <w:spacing w:after="60"/>
        <w:rPr>
          <w:lang w:eastAsia="x-none"/>
        </w:rPr>
      </w:pPr>
      <w:r w:rsidRPr="00E43FA6">
        <w:rPr>
          <w:rStyle w:val="Strong"/>
        </w:rPr>
        <w:t>Review finding #1</w:t>
      </w:r>
      <w:r w:rsidR="0076138D" w:rsidRPr="00E43FA6">
        <w:rPr>
          <w:rStyle w:val="Strong"/>
        </w:rPr>
        <w:t>1</w:t>
      </w:r>
      <w:r w:rsidRPr="00E43FA6">
        <w:rPr>
          <w:rStyle w:val="Strong"/>
        </w:rPr>
        <w:t>:</w:t>
      </w:r>
      <w:r w:rsidRPr="00A4139D">
        <w:t xml:space="preserve"> </w:t>
      </w:r>
      <w:r w:rsidRPr="00A4139D">
        <w:rPr>
          <w:lang w:eastAsia="x-none"/>
        </w:rPr>
        <w:t>There is a wide body of literature highlighting the link between SEWB and physical health and the need for health services to continue to work towards embedding SEWB into all aspects of PHC. It is also reported by the World Health Organisation to be the only sustainable option in the long term.</w:t>
      </w:r>
    </w:p>
    <w:p w14:paraId="2EBE2989" w14:textId="4717E327" w:rsidR="00A4139D" w:rsidRPr="00A4139D" w:rsidRDefault="00A4139D" w:rsidP="00447E79">
      <w:pPr>
        <w:rPr>
          <w:lang w:eastAsia="x-none"/>
        </w:rPr>
      </w:pPr>
      <w:r w:rsidRPr="00A4139D">
        <w:rPr>
          <w:lang w:eastAsia="x-none"/>
        </w:rPr>
        <w:t>If the integration of SEWB services is accompanied by a strengthening of the skill and knowledge of all PHC practitioners in SEWB issues, and a building of their capacity to assess, provide brief interventions, refer and coordinate (i.e. provide holistic health and wellbeing interventions), it is likely to significantly strengthen PHC delivery and enhance outcomes for clients.</w:t>
      </w:r>
      <w:r w:rsidR="00017D0F">
        <w:rPr>
          <w:lang w:eastAsia="x-none"/>
        </w:rPr>
        <w:t xml:space="preserve"> </w:t>
      </w:r>
      <w:r w:rsidR="00017D0F" w:rsidRPr="00773170">
        <w:rPr>
          <w:color w:val="1F497D" w:themeColor="text2"/>
          <w:lang w:val="en-GB"/>
        </w:rPr>
        <w:t>[</w:t>
      </w:r>
      <w:hyperlink w:anchor="_What_are_the" w:history="1">
        <w:r w:rsidR="00017D0F" w:rsidRPr="00773170">
          <w:rPr>
            <w:rStyle w:val="Hyperlink"/>
            <w:lang w:val="en-GB"/>
          </w:rPr>
          <w:t>Section 5.2</w:t>
        </w:r>
      </w:hyperlink>
      <w:r w:rsidR="00017D0F" w:rsidRPr="00773170">
        <w:rPr>
          <w:color w:val="1F497D" w:themeColor="text2"/>
          <w:lang w:val="en-GB"/>
        </w:rPr>
        <w:t>]</w:t>
      </w:r>
    </w:p>
    <w:p w14:paraId="2EBE298A" w14:textId="6478E982" w:rsidR="00A4139D" w:rsidRPr="00A4139D" w:rsidRDefault="00A4139D" w:rsidP="00447E79">
      <w:r w:rsidRPr="00E43FA6">
        <w:rPr>
          <w:rStyle w:val="Strong"/>
        </w:rPr>
        <w:t>Review finding #1</w:t>
      </w:r>
      <w:r w:rsidR="0076138D" w:rsidRPr="00E43FA6">
        <w:rPr>
          <w:rStyle w:val="Strong"/>
        </w:rPr>
        <w:t>2</w:t>
      </w:r>
      <w:r w:rsidRPr="00E43FA6">
        <w:rPr>
          <w:rStyle w:val="Strong"/>
        </w:rPr>
        <w:t>:</w:t>
      </w:r>
      <w:r w:rsidRPr="00A4139D">
        <w:t xml:space="preserve"> Integration of the existing WBC functions within a PHC setting could potentially reduce service duplication and fragmentation, improve secondary referral pathways and improve client outcomes.</w:t>
      </w:r>
      <w:r w:rsidR="00017D0F">
        <w:rPr>
          <w:lang w:eastAsia="x-none"/>
        </w:rPr>
        <w:t xml:space="preserve"> </w:t>
      </w:r>
      <w:r w:rsidR="00017D0F" w:rsidRPr="00773170">
        <w:rPr>
          <w:color w:val="1F497D" w:themeColor="text2"/>
          <w:lang w:val="en-GB"/>
        </w:rPr>
        <w:t>[</w:t>
      </w:r>
      <w:hyperlink w:anchor="_What_are_the" w:history="1">
        <w:r w:rsidR="00773170" w:rsidRPr="00773170">
          <w:rPr>
            <w:rStyle w:val="Hyperlink"/>
            <w:lang w:val="en-GB"/>
          </w:rPr>
          <w:t>Section 5.2</w:t>
        </w:r>
      </w:hyperlink>
      <w:r w:rsidR="00017D0F" w:rsidRPr="00773170">
        <w:rPr>
          <w:color w:val="1F497D" w:themeColor="text2"/>
          <w:lang w:val="en-GB"/>
        </w:rPr>
        <w:t>]</w:t>
      </w:r>
    </w:p>
    <w:p w14:paraId="2EBE298B" w14:textId="27B60494" w:rsidR="00017D0F" w:rsidRPr="00A4139D" w:rsidRDefault="00A4139D" w:rsidP="00447E79">
      <w:r w:rsidRPr="00E43FA6">
        <w:rPr>
          <w:rStyle w:val="Strong"/>
        </w:rPr>
        <w:t>Review finding #1</w:t>
      </w:r>
      <w:r w:rsidR="0076138D" w:rsidRPr="00E43FA6">
        <w:rPr>
          <w:rStyle w:val="Strong"/>
        </w:rPr>
        <w:t>3</w:t>
      </w:r>
      <w:r w:rsidRPr="00E43FA6">
        <w:rPr>
          <w:rStyle w:val="Strong"/>
        </w:rPr>
        <w:t>:</w:t>
      </w:r>
      <w:r w:rsidRPr="00A4139D">
        <w:t xml:space="preserve"> Prior to rolling out SEWB services in a community, a needs assessment should be undertaken to assess the appropriate mix of individual therapeutic counselling and support, drop-in/safe place, groups and community development that are required and how these services may best be ‘positioned’, targeted and implemented in the context of the particular community (i.e. where centred, what is already available, existing service providers, community need and community commitment). </w:t>
      </w:r>
      <w:r w:rsidR="00017D0F" w:rsidRPr="00773170">
        <w:rPr>
          <w:color w:val="1F497D" w:themeColor="text2"/>
          <w:lang w:val="en-GB"/>
        </w:rPr>
        <w:t>[</w:t>
      </w:r>
      <w:hyperlink w:anchor="_Rolling_out_SEWB" w:history="1">
        <w:r w:rsidR="00017D0F" w:rsidRPr="00773170">
          <w:rPr>
            <w:rStyle w:val="Hyperlink"/>
            <w:lang w:val="en-GB"/>
          </w:rPr>
          <w:t>Section 5.3</w:t>
        </w:r>
      </w:hyperlink>
      <w:r w:rsidR="00017D0F" w:rsidRPr="00773170">
        <w:rPr>
          <w:color w:val="1F497D" w:themeColor="text2"/>
          <w:lang w:val="en-GB"/>
        </w:rPr>
        <w:t>]</w:t>
      </w:r>
    </w:p>
    <w:p w14:paraId="2EBE298C" w14:textId="77777777" w:rsidR="00A4139D" w:rsidRPr="00A4139D" w:rsidRDefault="00550500" w:rsidP="00A4139D">
      <w:pPr>
        <w:spacing w:after="120"/>
      </w:pPr>
      <w:r>
        <w:lastRenderedPageBreak/>
        <w:t>Given the significant contextual challenges faced by each of the communities and their influence on achieving individual and community change, it is considered that there should be a focus on children and young people to enable generational change. A</w:t>
      </w:r>
      <w:r w:rsidR="00A4139D" w:rsidRPr="00A4139D">
        <w:t xml:space="preserve">n example of a specific response to a particular SEWB need is the recently commenced Intensive Youth Support Program that is being trialled in Aurukun with 14 extremely challenging youth. Consensus of partners is that this is a critical issue for the wellbeing of the individuals, their families and also the community and is showing early signs of promising results. </w:t>
      </w:r>
    </w:p>
    <w:p w14:paraId="2EBE298D" w14:textId="1E73E36F" w:rsidR="00A4139D" w:rsidRPr="00A4139D" w:rsidRDefault="00A4139D" w:rsidP="00584FEB">
      <w:pPr>
        <w:pStyle w:val="ES1"/>
        <w:spacing w:before="0"/>
      </w:pPr>
      <w:bookmarkStart w:id="22" w:name="_Toc440038422"/>
      <w:r w:rsidRPr="00A4139D">
        <w:t>Recommendations</w:t>
      </w:r>
      <w:bookmarkEnd w:id="22"/>
    </w:p>
    <w:p w14:paraId="2EBE298E" w14:textId="77777777" w:rsidR="00A4139D" w:rsidRPr="00A4139D" w:rsidRDefault="00A4139D" w:rsidP="00A4139D">
      <w:pPr>
        <w:spacing w:before="120" w:after="120"/>
        <w:rPr>
          <w:lang w:eastAsia="x-none"/>
        </w:rPr>
      </w:pPr>
      <w:r w:rsidRPr="00A4139D">
        <w:rPr>
          <w:lang w:eastAsia="x-none"/>
        </w:rPr>
        <w:t xml:space="preserve">The following recommendations arise from the key findings: </w:t>
      </w:r>
    </w:p>
    <w:p w14:paraId="2EBE298F" w14:textId="77777777" w:rsidR="00A4139D" w:rsidRPr="00A4139D" w:rsidRDefault="00A4139D" w:rsidP="00447E79">
      <w:pPr>
        <w:rPr>
          <w:lang w:eastAsia="x-none"/>
        </w:rPr>
      </w:pPr>
      <w:r w:rsidRPr="00E43FA6">
        <w:rPr>
          <w:rStyle w:val="Strong"/>
        </w:rPr>
        <w:t>Recommendation 1:</w:t>
      </w:r>
      <w:r w:rsidRPr="00A4139D">
        <w:rPr>
          <w:b/>
          <w:lang w:eastAsia="x-none"/>
        </w:rPr>
        <w:t xml:space="preserve"> </w:t>
      </w:r>
      <w:r w:rsidRPr="00A4139D">
        <w:rPr>
          <w:lang w:eastAsia="x-none"/>
        </w:rPr>
        <w:t xml:space="preserve">On a national basis the direction of policy and implementation should be focused on the integration of </w:t>
      </w:r>
      <w:r w:rsidRPr="00A4139D">
        <w:t>SEWB</w:t>
      </w:r>
      <w:r w:rsidRPr="00A4139D">
        <w:rPr>
          <w:lang w:eastAsia="x-none"/>
        </w:rPr>
        <w:t xml:space="preserve"> services within PHC, ideally under community control and with the level of resourcing aligned to the level of identified community need.</w:t>
      </w:r>
    </w:p>
    <w:p w14:paraId="2EBE2990" w14:textId="676EA656" w:rsidR="00A4139D" w:rsidRPr="00A4139D" w:rsidRDefault="00A4139D" w:rsidP="00447E79">
      <w:r w:rsidRPr="00A4139D">
        <w:rPr>
          <w:lang w:eastAsia="x-none"/>
        </w:rPr>
        <w:t>[Note: There is evidence that community control of service delivery to Indigenous communities realises improved outcomes. Consideration does need to be given to the level (e.g. local, regional) at which services can be most appropriately managed and where there is a community controlled organisation with a proven capacity to deliver health related services.]</w:t>
      </w:r>
      <w:r w:rsidR="00773170">
        <w:rPr>
          <w:lang w:eastAsia="x-none"/>
        </w:rPr>
        <w:t xml:space="preserve"> </w:t>
      </w:r>
      <w:r w:rsidR="00017D0F" w:rsidRPr="00773170">
        <w:rPr>
          <w:color w:val="1F497D" w:themeColor="text2"/>
          <w:lang w:val="en-GB"/>
        </w:rPr>
        <w:t>[</w:t>
      </w:r>
      <w:hyperlink w:anchor="_What_are_the" w:history="1">
        <w:r w:rsidR="00017D0F" w:rsidRPr="00773170">
          <w:rPr>
            <w:rStyle w:val="Hyperlink"/>
            <w:lang w:val="en-GB"/>
          </w:rPr>
          <w:t>Section 5.2</w:t>
        </w:r>
      </w:hyperlink>
      <w:r w:rsidR="00017D0F" w:rsidRPr="00773170">
        <w:rPr>
          <w:color w:val="1F497D" w:themeColor="text2"/>
          <w:lang w:val="en-GB"/>
        </w:rPr>
        <w:t>]</w:t>
      </w:r>
    </w:p>
    <w:p w14:paraId="2EBE2991" w14:textId="2C96F04F" w:rsidR="00A4139D" w:rsidRDefault="00A4139D" w:rsidP="00447E79">
      <w:pPr>
        <w:rPr>
          <w:b/>
          <w:color w:val="1F497D" w:themeColor="text2"/>
          <w:lang w:val="en-GB"/>
        </w:rPr>
      </w:pPr>
      <w:r w:rsidRPr="00E43FA6">
        <w:rPr>
          <w:rStyle w:val="Strong"/>
        </w:rPr>
        <w:t>Recommendation 2:</w:t>
      </w:r>
      <w:r w:rsidRPr="00A4139D">
        <w:t xml:space="preserve"> That the WBCs no longer be funded as stand-alone services and that the WBC functions be transitioned into a comprehensive PHC service setting. To support this, a transition plan should be developed in the next six months, to facilitate implementation in 2015/16. Communities and key partners will need to be consulted during the development of the transition plan and the role of the Queensland Health clinics in Aurukun, Coen, and Hope Vale will need to be determined given a greater focus on managing </w:t>
      </w:r>
      <w:r w:rsidRPr="00A4139D">
        <w:rPr>
          <w:lang w:eastAsia="x-none"/>
        </w:rPr>
        <w:t>emergency</w:t>
      </w:r>
      <w:r w:rsidRPr="00A4139D">
        <w:t xml:space="preserve"> and acute issues.</w:t>
      </w:r>
      <w:r w:rsidR="00B8665D">
        <w:t xml:space="preserve"> </w:t>
      </w:r>
      <w:r w:rsidRPr="00A4139D">
        <w:t>Key factors to be considered in transition planning and which are more fully outlined in the report include items such as governance, service mix, workforce planning, funding and phasing</w:t>
      </w:r>
      <w:r w:rsidR="00B8665D">
        <w:t>-</w:t>
      </w:r>
      <w:r w:rsidRPr="00A4139D">
        <w:t xml:space="preserve">in different approaches for each WBC. </w:t>
      </w:r>
      <w:r w:rsidR="00017D0F" w:rsidRPr="00773170">
        <w:rPr>
          <w:color w:val="1F497D" w:themeColor="text2"/>
          <w:lang w:val="en-GB"/>
        </w:rPr>
        <w:t>[</w:t>
      </w:r>
      <w:hyperlink w:anchor="_Where_to_from" w:history="1">
        <w:r w:rsidR="00017D0F" w:rsidRPr="00773170">
          <w:rPr>
            <w:rStyle w:val="Hyperlink"/>
            <w:lang w:val="en-GB"/>
          </w:rPr>
          <w:t>Section 5.4</w:t>
        </w:r>
      </w:hyperlink>
      <w:r w:rsidR="00017D0F" w:rsidRPr="00773170">
        <w:rPr>
          <w:color w:val="1F497D" w:themeColor="text2"/>
          <w:lang w:val="en-GB"/>
        </w:rPr>
        <w:t>]</w:t>
      </w:r>
    </w:p>
    <w:p w14:paraId="2EBE2993" w14:textId="77777777" w:rsidR="006B4C1F" w:rsidRDefault="006B4C1F" w:rsidP="00773170">
      <w:pPr>
        <w:pStyle w:val="ChLetter"/>
        <w:pageBreakBefore/>
      </w:pPr>
      <w:r>
        <w:lastRenderedPageBreak/>
        <w:t>O</w:t>
      </w:r>
    </w:p>
    <w:p w14:paraId="2EBE2994" w14:textId="77777777" w:rsidR="006B4C1F" w:rsidRPr="006B4C1F" w:rsidRDefault="006B4C1F" w:rsidP="00BC0A26">
      <w:pPr>
        <w:pStyle w:val="Heading1"/>
        <w:numPr>
          <w:ilvl w:val="0"/>
          <w:numId w:val="0"/>
        </w:numPr>
        <w:ind w:left="432"/>
      </w:pPr>
      <w:bookmarkStart w:id="23" w:name="_Toc440038423"/>
      <w:r>
        <w:t>Opportunities for Improvement</w:t>
      </w:r>
      <w:bookmarkEnd w:id="23"/>
    </w:p>
    <w:p w14:paraId="2EBE2995" w14:textId="77777777" w:rsidR="001A2B6A" w:rsidRDefault="001A2B6A" w:rsidP="001A2B6A">
      <w:pPr>
        <w:rPr>
          <w:lang w:eastAsia="x-none"/>
        </w:rPr>
      </w:pPr>
      <w:r>
        <w:rPr>
          <w:lang w:eastAsia="x-none"/>
        </w:rPr>
        <w:t xml:space="preserve">Whilst it is yet to be determined what form the WBCs will </w:t>
      </w:r>
      <w:r w:rsidR="006B4C1F">
        <w:rPr>
          <w:lang w:eastAsia="x-none"/>
        </w:rPr>
        <w:t>have into the future, the following opportunities for improvement have been determined for the current structure and service model. Some of these will of course be applicable to the delivery of any WBC service model.</w:t>
      </w:r>
    </w:p>
    <w:p w14:paraId="2EBE2996" w14:textId="77777777" w:rsidR="006B4C1F" w:rsidRPr="003F49F0" w:rsidRDefault="006B4C1F" w:rsidP="0083588E">
      <w:pPr>
        <w:pStyle w:val="ListParagraph"/>
        <w:numPr>
          <w:ilvl w:val="0"/>
          <w:numId w:val="39"/>
        </w:numPr>
        <w:spacing w:before="120"/>
        <w:rPr>
          <w:lang w:eastAsia="en-AU"/>
        </w:rPr>
      </w:pPr>
      <w:r w:rsidRPr="00702884">
        <w:rPr>
          <w:b/>
          <w:color w:val="1F497D" w:themeColor="text2"/>
          <w:lang w:eastAsia="en-AU"/>
        </w:rPr>
        <w:t xml:space="preserve">It is </w:t>
      </w:r>
      <w:r>
        <w:rPr>
          <w:b/>
          <w:color w:val="1F497D" w:themeColor="text2"/>
          <w:lang w:eastAsia="en-AU"/>
        </w:rPr>
        <w:t>proposed</w:t>
      </w:r>
      <w:r w:rsidRPr="00702884">
        <w:rPr>
          <w:color w:val="1F497D" w:themeColor="text2"/>
          <w:lang w:eastAsia="en-AU"/>
        </w:rPr>
        <w:t xml:space="preserve"> </w:t>
      </w:r>
      <w:r w:rsidRPr="003F49F0">
        <w:rPr>
          <w:lang w:eastAsia="en-AU"/>
        </w:rPr>
        <w:t>that the service model description be updated in the second half of 2014.</w:t>
      </w:r>
    </w:p>
    <w:p w14:paraId="2EBE2997" w14:textId="77777777" w:rsidR="006B4C1F" w:rsidRPr="003F49F0" w:rsidRDefault="006B4C1F" w:rsidP="006B4C1F">
      <w:pPr>
        <w:spacing w:before="120" w:after="120"/>
        <w:ind w:firstLine="357"/>
        <w:rPr>
          <w:lang w:eastAsia="en-AU"/>
        </w:rPr>
      </w:pPr>
      <w:r w:rsidRPr="003F49F0">
        <w:rPr>
          <w:lang w:eastAsia="en-AU"/>
        </w:rPr>
        <w:t xml:space="preserve">The update should incorporate the </w:t>
      </w:r>
      <w:r>
        <w:rPr>
          <w:lang w:eastAsia="en-AU"/>
        </w:rPr>
        <w:t>following key areas:</w:t>
      </w:r>
      <w:r w:rsidRPr="003F49F0">
        <w:rPr>
          <w:lang w:eastAsia="en-AU"/>
        </w:rPr>
        <w:t xml:space="preserve"> </w:t>
      </w:r>
    </w:p>
    <w:p w14:paraId="2EBE2998" w14:textId="77777777" w:rsidR="006B4C1F" w:rsidRPr="003F49F0" w:rsidRDefault="006B4C1F" w:rsidP="0083588E">
      <w:pPr>
        <w:numPr>
          <w:ilvl w:val="1"/>
          <w:numId w:val="35"/>
        </w:numPr>
        <w:spacing w:before="120" w:after="120"/>
        <w:rPr>
          <w:lang w:eastAsia="en-AU"/>
        </w:rPr>
      </w:pPr>
      <w:r>
        <w:rPr>
          <w:lang w:eastAsia="en-AU"/>
        </w:rPr>
        <w:t>t</w:t>
      </w:r>
      <w:r w:rsidRPr="003F49F0">
        <w:rPr>
          <w:lang w:eastAsia="en-AU"/>
        </w:rPr>
        <w:t>he need for a clear description of the services provided by the WBCs in the mental health and ATODS service lines and the associated interface with Queensland Health</w:t>
      </w:r>
    </w:p>
    <w:p w14:paraId="2EBE2999" w14:textId="77777777" w:rsidR="006B4C1F" w:rsidRPr="003F49F0" w:rsidRDefault="006B4C1F" w:rsidP="0083588E">
      <w:pPr>
        <w:numPr>
          <w:ilvl w:val="1"/>
          <w:numId w:val="35"/>
        </w:numPr>
        <w:spacing w:before="120" w:after="120"/>
        <w:rPr>
          <w:lang w:eastAsia="en-AU"/>
        </w:rPr>
      </w:pPr>
      <w:r>
        <w:rPr>
          <w:lang w:eastAsia="en-AU"/>
        </w:rPr>
        <w:t>t</w:t>
      </w:r>
      <w:r w:rsidRPr="003F49F0">
        <w:rPr>
          <w:lang w:eastAsia="en-AU"/>
        </w:rPr>
        <w:t>he need for a clear description of the services provided by the WBCs in relation to FRC clients and how the WBC and FRC can work more closely together to improve outcomes for clients</w:t>
      </w:r>
    </w:p>
    <w:p w14:paraId="2EBE299A" w14:textId="77777777" w:rsidR="006B4C1F" w:rsidRPr="003F49F0" w:rsidRDefault="006B4C1F" w:rsidP="0083588E">
      <w:pPr>
        <w:numPr>
          <w:ilvl w:val="1"/>
          <w:numId w:val="35"/>
        </w:numPr>
        <w:spacing w:before="120" w:after="120"/>
        <w:rPr>
          <w:color w:val="auto"/>
          <w:lang w:eastAsia="en-AU"/>
        </w:rPr>
      </w:pPr>
      <w:r>
        <w:rPr>
          <w:color w:val="auto"/>
          <w:lang w:eastAsia="en-AU"/>
        </w:rPr>
        <w:t>a</w:t>
      </w:r>
      <w:r w:rsidRPr="003F49F0">
        <w:rPr>
          <w:color w:val="auto"/>
          <w:lang w:eastAsia="en-AU"/>
        </w:rPr>
        <w:t>ligned to the above points, the need to clarify how and when modules and specific topics are used and for whom</w:t>
      </w:r>
    </w:p>
    <w:p w14:paraId="2EBE299B" w14:textId="77777777" w:rsidR="006B4C1F" w:rsidRPr="003F49F0" w:rsidRDefault="006B4C1F" w:rsidP="0083588E">
      <w:pPr>
        <w:numPr>
          <w:ilvl w:val="1"/>
          <w:numId w:val="35"/>
        </w:numPr>
        <w:spacing w:before="120" w:after="120"/>
        <w:rPr>
          <w:color w:val="auto"/>
          <w:lang w:eastAsia="en-AU"/>
        </w:rPr>
      </w:pPr>
      <w:r>
        <w:rPr>
          <w:color w:val="auto"/>
          <w:lang w:eastAsia="en-AU"/>
        </w:rPr>
        <w:t>t</w:t>
      </w:r>
      <w:r w:rsidRPr="003F49F0">
        <w:rPr>
          <w:color w:val="auto"/>
          <w:lang w:eastAsia="en-AU"/>
        </w:rPr>
        <w:t>he need to strengthen description of the approach to non SE</w:t>
      </w:r>
      <w:r>
        <w:rPr>
          <w:color w:val="auto"/>
          <w:lang w:eastAsia="en-AU"/>
        </w:rPr>
        <w:t>WB primary health care services</w:t>
      </w:r>
    </w:p>
    <w:p w14:paraId="2EBE299C" w14:textId="77777777" w:rsidR="006B4C1F" w:rsidRDefault="006B4C1F" w:rsidP="0083588E">
      <w:pPr>
        <w:numPr>
          <w:ilvl w:val="1"/>
          <w:numId w:val="35"/>
        </w:numPr>
        <w:spacing w:before="120" w:after="120"/>
        <w:rPr>
          <w:lang w:eastAsia="en-AU"/>
        </w:rPr>
      </w:pPr>
      <w:r>
        <w:rPr>
          <w:lang w:eastAsia="en-AU"/>
        </w:rPr>
        <w:t>t</w:t>
      </w:r>
      <w:r w:rsidRPr="003F49F0">
        <w:rPr>
          <w:lang w:eastAsia="en-AU"/>
        </w:rPr>
        <w:t>he need for a clear description of the skills and qualification required to work in the WBC and associated workforce development strategies.</w:t>
      </w:r>
    </w:p>
    <w:p w14:paraId="2EBE299D" w14:textId="77777777" w:rsidR="00E2055C" w:rsidRDefault="00E2055C" w:rsidP="0083588E">
      <w:pPr>
        <w:pStyle w:val="ListParagraph"/>
        <w:numPr>
          <w:ilvl w:val="0"/>
          <w:numId w:val="39"/>
        </w:numPr>
        <w:rPr>
          <w:lang w:eastAsia="x-none"/>
        </w:rPr>
      </w:pPr>
      <w:r w:rsidRPr="00E2055C">
        <w:rPr>
          <w:b/>
          <w:color w:val="1F497D" w:themeColor="text2"/>
          <w:lang w:eastAsia="x-none"/>
        </w:rPr>
        <w:t>It is proposed</w:t>
      </w:r>
      <w:r>
        <w:rPr>
          <w:lang w:eastAsia="x-none"/>
        </w:rPr>
        <w:t xml:space="preserve"> </w:t>
      </w:r>
      <w:r w:rsidRPr="00F325F6">
        <w:rPr>
          <w:lang w:eastAsia="x-none"/>
        </w:rPr>
        <w:t xml:space="preserve">that </w:t>
      </w:r>
      <w:r>
        <w:rPr>
          <w:lang w:eastAsia="x-none"/>
        </w:rPr>
        <w:t>opportunities for formally integrating welfare and support services into social and emotional wellbeing services including appropriate funding be considered on a community by community basis.</w:t>
      </w:r>
    </w:p>
    <w:p w14:paraId="2EBE299E" w14:textId="77777777" w:rsidR="006B4C1F" w:rsidRDefault="006B4C1F" w:rsidP="0083588E">
      <w:pPr>
        <w:pStyle w:val="ListParagraph"/>
        <w:numPr>
          <w:ilvl w:val="0"/>
          <w:numId w:val="39"/>
        </w:numPr>
        <w:rPr>
          <w:lang w:eastAsia="x-none"/>
        </w:rPr>
      </w:pPr>
      <w:r w:rsidRPr="00ED403F">
        <w:rPr>
          <w:b/>
          <w:color w:val="1F497D" w:themeColor="text2"/>
          <w:lang w:eastAsia="x-none"/>
        </w:rPr>
        <w:t>It is proposed</w:t>
      </w:r>
      <w:r>
        <w:rPr>
          <w:lang w:eastAsia="x-none"/>
        </w:rPr>
        <w:t xml:space="preserve"> </w:t>
      </w:r>
      <w:r w:rsidRPr="00F325F6">
        <w:rPr>
          <w:lang w:eastAsia="x-none"/>
        </w:rPr>
        <w:t>that the RFDS continue to focus effort on integrating non</w:t>
      </w:r>
      <w:r>
        <w:rPr>
          <w:lang w:eastAsia="x-none"/>
        </w:rPr>
        <w:t>-</w:t>
      </w:r>
      <w:r w:rsidRPr="00F325F6">
        <w:rPr>
          <w:lang w:eastAsia="x-none"/>
        </w:rPr>
        <w:t xml:space="preserve">SEWB primary health care into its service. The RFDS </w:t>
      </w:r>
      <w:r>
        <w:rPr>
          <w:lang w:eastAsia="x-none"/>
        </w:rPr>
        <w:t>should continue</w:t>
      </w:r>
      <w:r w:rsidRPr="00F325F6">
        <w:rPr>
          <w:lang w:eastAsia="x-none"/>
        </w:rPr>
        <w:t xml:space="preserve"> to work in conjunction with Apunipima and the local clinic in WBC communities </w:t>
      </w:r>
      <w:r>
        <w:rPr>
          <w:lang w:eastAsia="x-none"/>
        </w:rPr>
        <w:t xml:space="preserve">to further integrate SEWB and Non-SEWB services </w:t>
      </w:r>
      <w:r w:rsidRPr="00F325F6">
        <w:rPr>
          <w:lang w:eastAsia="x-none"/>
        </w:rPr>
        <w:t>(in the case of Apunipima as part of that organisations strategy to embed a SEWB approach across their family and community centred primary health care model</w:t>
      </w:r>
      <w:r>
        <w:rPr>
          <w:lang w:eastAsia="x-none"/>
        </w:rPr>
        <w:t>).</w:t>
      </w:r>
    </w:p>
    <w:p w14:paraId="2EBE299F" w14:textId="77777777" w:rsidR="006B4C1F" w:rsidRDefault="006B4C1F" w:rsidP="0083588E">
      <w:pPr>
        <w:pStyle w:val="ListParagraph"/>
        <w:numPr>
          <w:ilvl w:val="0"/>
          <w:numId w:val="39"/>
        </w:numPr>
        <w:rPr>
          <w:lang w:eastAsia="x-none"/>
        </w:rPr>
      </w:pPr>
      <w:r w:rsidRPr="00ED403F">
        <w:rPr>
          <w:b/>
          <w:color w:val="1F497D" w:themeColor="text2"/>
          <w:lang w:eastAsia="x-none"/>
        </w:rPr>
        <w:t>It is proposed</w:t>
      </w:r>
      <w:r w:rsidRPr="00C843BD">
        <w:rPr>
          <w:lang w:eastAsia="x-none"/>
        </w:rPr>
        <w:t xml:space="preserve"> that any future SEWB service model should include extensive collaboration with Child Safety</w:t>
      </w:r>
      <w:r>
        <w:rPr>
          <w:lang w:eastAsia="x-none"/>
        </w:rPr>
        <w:t xml:space="preserve"> given the contribution the WBC has been able to make in relation to Child S</w:t>
      </w:r>
      <w:r w:rsidRPr="00966D33">
        <w:rPr>
          <w:lang w:eastAsia="x-none"/>
        </w:rPr>
        <w:t>afety preventing separations and</w:t>
      </w:r>
      <w:r>
        <w:rPr>
          <w:lang w:eastAsia="x-none"/>
        </w:rPr>
        <w:t>/</w:t>
      </w:r>
      <w:r w:rsidRPr="00966D33">
        <w:rPr>
          <w:lang w:eastAsia="x-none"/>
        </w:rPr>
        <w:t xml:space="preserve">or facilitating reunifications not previously achieved. </w:t>
      </w:r>
    </w:p>
    <w:p w14:paraId="2EBE29A0" w14:textId="6C0B429B" w:rsidR="006B4C1F" w:rsidRPr="00856469" w:rsidRDefault="006B4C1F" w:rsidP="0083588E">
      <w:pPr>
        <w:pStyle w:val="ListParagraph"/>
        <w:numPr>
          <w:ilvl w:val="0"/>
          <w:numId w:val="39"/>
        </w:numPr>
        <w:spacing w:before="120"/>
        <w:rPr>
          <w:color w:val="auto"/>
          <w:lang w:eastAsia="en-AU"/>
        </w:rPr>
      </w:pPr>
      <w:r w:rsidRPr="00702884">
        <w:rPr>
          <w:b/>
          <w:color w:val="1F497D" w:themeColor="text2"/>
          <w:lang w:eastAsia="x-none"/>
        </w:rPr>
        <w:t xml:space="preserve">It is </w:t>
      </w:r>
      <w:r>
        <w:rPr>
          <w:b/>
          <w:color w:val="1F497D" w:themeColor="text2"/>
          <w:lang w:eastAsia="x-none"/>
        </w:rPr>
        <w:t>proposed</w:t>
      </w:r>
      <w:r w:rsidRPr="00702884">
        <w:rPr>
          <w:b/>
          <w:color w:val="1F497D" w:themeColor="text2"/>
          <w:lang w:eastAsia="x-none"/>
        </w:rPr>
        <w:t xml:space="preserve"> </w:t>
      </w:r>
      <w:r>
        <w:rPr>
          <w:lang w:eastAsia="x-none"/>
        </w:rPr>
        <w:t xml:space="preserve">that the RFDS develop a service agreement with CYHHS - Mental Health </w:t>
      </w:r>
      <w:r w:rsidRPr="00856469">
        <w:rPr>
          <w:color w:val="auto"/>
          <w:lang w:eastAsia="en-AU"/>
        </w:rPr>
        <w:t xml:space="preserve">and a memorandum of understanding with FRC, which provides an appropriate level of detail as to how </w:t>
      </w:r>
      <w:r>
        <w:rPr>
          <w:color w:val="auto"/>
          <w:lang w:eastAsia="en-AU"/>
        </w:rPr>
        <w:t>the organisations</w:t>
      </w:r>
      <w:r w:rsidRPr="00856469">
        <w:rPr>
          <w:color w:val="auto"/>
          <w:lang w:eastAsia="en-AU"/>
        </w:rPr>
        <w:t xml:space="preserve"> will work in partnership to strengthen the management of clients and enhance the </w:t>
      </w:r>
      <w:r w:rsidR="00773170">
        <w:rPr>
          <w:color w:val="auto"/>
          <w:lang w:eastAsia="en-AU"/>
        </w:rPr>
        <w:t>effectiveness of both services.</w:t>
      </w:r>
    </w:p>
    <w:p w14:paraId="2EBE29A1" w14:textId="09C82307" w:rsidR="006B4C1F" w:rsidRDefault="006B4C1F" w:rsidP="006B4C1F">
      <w:pPr>
        <w:spacing w:before="120" w:after="120"/>
        <w:ind w:left="360"/>
        <w:rPr>
          <w:lang w:eastAsia="x-none"/>
        </w:rPr>
      </w:pPr>
      <w:r>
        <w:rPr>
          <w:lang w:eastAsia="x-none"/>
        </w:rPr>
        <w:t xml:space="preserve">In the case of </w:t>
      </w:r>
      <w:r w:rsidRPr="007D25DE">
        <w:rPr>
          <w:lang w:eastAsia="x-none"/>
        </w:rPr>
        <w:t>CYHHS - Mental Health</w:t>
      </w:r>
      <w:r>
        <w:rPr>
          <w:lang w:eastAsia="x-none"/>
        </w:rPr>
        <w:t>, this will strengthen the service model by clarifying the service interface in relation to roles and responsibilities for joint client management, how information is shared and conducting joint case reviews. Aligned with this is the need for more transparency in relation to how the WBCs manage their clients. This would build on the service flo</w:t>
      </w:r>
      <w:r w:rsidR="00773170">
        <w:rPr>
          <w:lang w:eastAsia="x-none"/>
        </w:rPr>
        <w:t>wchart that has been developed.</w:t>
      </w:r>
    </w:p>
    <w:p w14:paraId="2EBE29A3" w14:textId="29FC98E3" w:rsidR="006B4C1F" w:rsidRDefault="006B4C1F" w:rsidP="006B4C1F">
      <w:pPr>
        <w:spacing w:before="120" w:after="120"/>
        <w:ind w:left="360"/>
        <w:rPr>
          <w:color w:val="auto"/>
          <w:lang w:eastAsia="en-AU"/>
        </w:rPr>
      </w:pPr>
      <w:r>
        <w:rPr>
          <w:color w:val="auto"/>
          <w:lang w:eastAsia="en-AU"/>
        </w:rPr>
        <w:t xml:space="preserve">In the case of the FRC, the current </w:t>
      </w:r>
      <w:r w:rsidRPr="001A4850">
        <w:rPr>
          <w:color w:val="auto"/>
          <w:lang w:eastAsia="en-AU"/>
        </w:rPr>
        <w:t>strategy</w:t>
      </w:r>
      <w:r>
        <w:rPr>
          <w:color w:val="auto"/>
          <w:lang w:eastAsia="en-AU"/>
        </w:rPr>
        <w:t xml:space="preserve"> being </w:t>
      </w:r>
      <w:r w:rsidRPr="001A4850">
        <w:rPr>
          <w:color w:val="auto"/>
          <w:lang w:eastAsia="en-AU"/>
        </w:rPr>
        <w:t>trialled at Aurukun includes: the development of a memorandum of understanding; providing the FRC access to the RFDS client information system; the RFDS to a</w:t>
      </w:r>
      <w:r>
        <w:rPr>
          <w:color w:val="auto"/>
          <w:lang w:eastAsia="en-AU"/>
        </w:rPr>
        <w:t xml:space="preserve">ttend FRC case conferences; </w:t>
      </w:r>
      <w:r w:rsidRPr="001A4850">
        <w:rPr>
          <w:color w:val="auto"/>
          <w:lang w:eastAsia="en-AU"/>
        </w:rPr>
        <w:t xml:space="preserve">the RFDS regular summary report </w:t>
      </w:r>
      <w:r>
        <w:rPr>
          <w:color w:val="auto"/>
          <w:lang w:eastAsia="en-AU"/>
        </w:rPr>
        <w:t>including</w:t>
      </w:r>
      <w:r w:rsidRPr="001A4850">
        <w:rPr>
          <w:color w:val="auto"/>
          <w:lang w:eastAsia="en-AU"/>
        </w:rPr>
        <w:t xml:space="preserve"> more </w:t>
      </w:r>
      <w:r w:rsidRPr="001A4850">
        <w:rPr>
          <w:color w:val="auto"/>
          <w:lang w:eastAsia="en-AU"/>
        </w:rPr>
        <w:lastRenderedPageBreak/>
        <w:t>feedback in relation to a client’s progress</w:t>
      </w:r>
      <w:r>
        <w:rPr>
          <w:color w:val="auto"/>
          <w:lang w:eastAsia="en-AU"/>
        </w:rPr>
        <w:t xml:space="preserve"> and engagement issues (above what has been agreed previously); and using a shared data system to track client progress</w:t>
      </w:r>
      <w:r w:rsidR="00773170">
        <w:rPr>
          <w:color w:val="auto"/>
          <w:lang w:eastAsia="en-AU"/>
        </w:rPr>
        <w:t>.</w:t>
      </w:r>
    </w:p>
    <w:p w14:paraId="2EBE29A4" w14:textId="77777777" w:rsidR="006B4C1F" w:rsidRDefault="006B4C1F" w:rsidP="0083588E">
      <w:pPr>
        <w:pStyle w:val="ListParagraph"/>
        <w:numPr>
          <w:ilvl w:val="0"/>
          <w:numId w:val="39"/>
        </w:numPr>
        <w:spacing w:before="120"/>
      </w:pPr>
      <w:r w:rsidRPr="00702884">
        <w:rPr>
          <w:b/>
          <w:color w:val="1F497D" w:themeColor="text2"/>
        </w:rPr>
        <w:t xml:space="preserve">It is </w:t>
      </w:r>
      <w:r>
        <w:rPr>
          <w:b/>
          <w:color w:val="1F497D" w:themeColor="text2"/>
        </w:rPr>
        <w:t>proposed</w:t>
      </w:r>
      <w:r w:rsidRPr="00702884">
        <w:rPr>
          <w:color w:val="1F497D" w:themeColor="text2"/>
        </w:rPr>
        <w:t xml:space="preserve"> </w:t>
      </w:r>
      <w:r>
        <w:t>that a joint agency/community approach to obtaining more structured community input into social services/primary health care specifically that is unique to each community be established.</w:t>
      </w:r>
    </w:p>
    <w:p w14:paraId="2EBE29A5" w14:textId="77777777" w:rsidR="006B4C1F" w:rsidRDefault="006B4C1F" w:rsidP="006B4C1F">
      <w:pPr>
        <w:spacing w:before="120" w:after="120"/>
        <w:ind w:left="360"/>
      </w:pPr>
      <w:r>
        <w:t>It is proposed that the interagency meetings in each community be the vehicle for ‘kick-starting’ this process. In establishing a joint approach the following principles should apply:</w:t>
      </w:r>
    </w:p>
    <w:p w14:paraId="2EBE29A6" w14:textId="77777777" w:rsidR="006B4C1F" w:rsidRDefault="006B4C1F" w:rsidP="0083588E">
      <w:pPr>
        <w:pStyle w:val="ListParagraph"/>
        <w:numPr>
          <w:ilvl w:val="1"/>
          <w:numId w:val="36"/>
        </w:numPr>
        <w:spacing w:after="60"/>
        <w:ind w:left="1077" w:hanging="357"/>
      </w:pPr>
      <w:r>
        <w:t>Community members should be paid appropriately for their participation.</w:t>
      </w:r>
    </w:p>
    <w:p w14:paraId="2EBE29A7" w14:textId="77777777" w:rsidR="006B4C1F" w:rsidRDefault="006B4C1F" w:rsidP="0083588E">
      <w:pPr>
        <w:pStyle w:val="ListParagraph"/>
        <w:numPr>
          <w:ilvl w:val="1"/>
          <w:numId w:val="36"/>
        </w:numPr>
        <w:spacing w:after="60"/>
        <w:ind w:left="1077" w:hanging="357"/>
      </w:pPr>
      <w:r>
        <w:t>Membership should be clear and determined locally.</w:t>
      </w:r>
    </w:p>
    <w:p w14:paraId="2EBE29A8" w14:textId="77777777" w:rsidR="006B4C1F" w:rsidRDefault="006B4C1F" w:rsidP="0083588E">
      <w:pPr>
        <w:pStyle w:val="ListParagraph"/>
        <w:numPr>
          <w:ilvl w:val="1"/>
          <w:numId w:val="36"/>
        </w:numPr>
        <w:spacing w:after="60"/>
        <w:ind w:left="1077" w:hanging="357"/>
      </w:pPr>
      <w:r>
        <w:t>The chairman of the group should be determined locally but joint chairs (one agency, one community member) would be ideal.</w:t>
      </w:r>
    </w:p>
    <w:p w14:paraId="2EBE29A9" w14:textId="77777777" w:rsidR="006B4C1F" w:rsidRDefault="006B4C1F" w:rsidP="0083588E">
      <w:pPr>
        <w:pStyle w:val="ListParagraph"/>
        <w:numPr>
          <w:ilvl w:val="1"/>
          <w:numId w:val="36"/>
        </w:numPr>
      </w:pPr>
      <w:r>
        <w:t>The role of the group should focus on:</w:t>
      </w:r>
    </w:p>
    <w:p w14:paraId="2EBE29AA" w14:textId="45CE6337" w:rsidR="006B4C1F" w:rsidRDefault="00773170" w:rsidP="0083588E">
      <w:pPr>
        <w:pStyle w:val="ListParagraph"/>
        <w:numPr>
          <w:ilvl w:val="2"/>
          <w:numId w:val="37"/>
        </w:numPr>
      </w:pPr>
      <w:r>
        <w:t>needs identification</w:t>
      </w:r>
    </w:p>
    <w:p w14:paraId="2EBE29AB" w14:textId="77777777" w:rsidR="006B4C1F" w:rsidRDefault="006B4C1F" w:rsidP="0083588E">
      <w:pPr>
        <w:pStyle w:val="ListParagraph"/>
        <w:numPr>
          <w:ilvl w:val="2"/>
          <w:numId w:val="37"/>
        </w:numPr>
      </w:pPr>
      <w:r>
        <w:t>developing appropriate responses</w:t>
      </w:r>
    </w:p>
    <w:p w14:paraId="2EBE29AC" w14:textId="77777777" w:rsidR="006B4C1F" w:rsidRDefault="006B4C1F" w:rsidP="0083588E">
      <w:pPr>
        <w:pStyle w:val="ListParagraph"/>
        <w:numPr>
          <w:ilvl w:val="2"/>
          <w:numId w:val="37"/>
        </w:numPr>
      </w:pPr>
      <w:r>
        <w:t>monitoring results</w:t>
      </w:r>
    </w:p>
    <w:p w14:paraId="2EBE29AD" w14:textId="77777777" w:rsidR="006B4C1F" w:rsidRDefault="006B4C1F" w:rsidP="0083588E">
      <w:pPr>
        <w:pStyle w:val="ListParagraph"/>
        <w:numPr>
          <w:ilvl w:val="2"/>
          <w:numId w:val="37"/>
        </w:numPr>
      </w:pPr>
      <w:r>
        <w:t>providing feedback on service performance</w:t>
      </w:r>
    </w:p>
    <w:p w14:paraId="2EBE29AE" w14:textId="77777777" w:rsidR="006B4C1F" w:rsidRDefault="006B4C1F" w:rsidP="0083588E">
      <w:pPr>
        <w:pStyle w:val="ListParagraph"/>
        <w:numPr>
          <w:ilvl w:val="1"/>
          <w:numId w:val="38"/>
        </w:numPr>
        <w:spacing w:after="60"/>
        <w:ind w:left="1077" w:hanging="357"/>
      </w:pPr>
      <w:r>
        <w:t>The group should have a clear (funded) support structure.</w:t>
      </w:r>
    </w:p>
    <w:p w14:paraId="2EBE29AF" w14:textId="77777777" w:rsidR="006B4C1F" w:rsidRDefault="006B4C1F" w:rsidP="0083588E">
      <w:pPr>
        <w:pStyle w:val="ListParagraph"/>
        <w:numPr>
          <w:ilvl w:val="1"/>
          <w:numId w:val="38"/>
        </w:numPr>
        <w:spacing w:after="60"/>
        <w:ind w:left="1077" w:hanging="357"/>
      </w:pPr>
      <w:r>
        <w:t>The group should have clear reporting and accountability lines.</w:t>
      </w:r>
    </w:p>
    <w:p w14:paraId="2EBE29B0" w14:textId="77777777" w:rsidR="006B4C1F" w:rsidRDefault="006B4C1F" w:rsidP="0083588E">
      <w:pPr>
        <w:pStyle w:val="ListParagraph"/>
        <w:numPr>
          <w:ilvl w:val="1"/>
          <w:numId w:val="38"/>
        </w:numPr>
        <w:spacing w:after="60"/>
        <w:ind w:left="1077" w:hanging="357"/>
      </w:pPr>
      <w:r>
        <w:t>Meetings should not be too frequent, for example bimonthly initially then quarterly.</w:t>
      </w:r>
    </w:p>
    <w:p w14:paraId="2EBE29B1" w14:textId="77777777" w:rsidR="006B4C1F" w:rsidRDefault="006B4C1F" w:rsidP="0083588E">
      <w:pPr>
        <w:pStyle w:val="ListParagraph"/>
        <w:numPr>
          <w:ilvl w:val="1"/>
          <w:numId w:val="38"/>
        </w:numPr>
        <w:spacing w:after="60"/>
        <w:ind w:left="1077" w:hanging="357"/>
      </w:pPr>
      <w:r>
        <w:t>Funders will need to accept that this approach is suitable in the context of governance requirements for specific programs.</w:t>
      </w:r>
    </w:p>
    <w:p w14:paraId="2EBE29B2" w14:textId="77777777" w:rsidR="006B4C1F" w:rsidRDefault="006B4C1F" w:rsidP="0083588E">
      <w:pPr>
        <w:pStyle w:val="ListParagraph"/>
        <w:numPr>
          <w:ilvl w:val="0"/>
          <w:numId w:val="39"/>
        </w:numPr>
        <w:spacing w:before="120"/>
        <w:ind w:left="357"/>
        <w:rPr>
          <w:lang w:eastAsia="x-none"/>
        </w:rPr>
      </w:pPr>
      <w:r w:rsidRPr="00702884">
        <w:rPr>
          <w:b/>
          <w:color w:val="1F497D" w:themeColor="text2"/>
          <w:lang w:eastAsia="x-none"/>
        </w:rPr>
        <w:t xml:space="preserve">It is </w:t>
      </w:r>
      <w:r>
        <w:rPr>
          <w:b/>
          <w:color w:val="1F497D" w:themeColor="text2"/>
          <w:lang w:eastAsia="x-none"/>
        </w:rPr>
        <w:t>proposed</w:t>
      </w:r>
      <w:r w:rsidRPr="00702884">
        <w:rPr>
          <w:color w:val="1F497D" w:themeColor="text2"/>
          <w:lang w:eastAsia="x-none"/>
        </w:rPr>
        <w:t xml:space="preserve"> </w:t>
      </w:r>
      <w:r>
        <w:rPr>
          <w:lang w:eastAsia="x-none"/>
        </w:rPr>
        <w:t xml:space="preserve">that the WBC develop </w:t>
      </w:r>
      <w:r w:rsidRPr="00FC2428">
        <w:rPr>
          <w:lang w:eastAsia="x-none"/>
        </w:rPr>
        <w:t>specific materials promoting the WBC service</w:t>
      </w:r>
      <w:r>
        <w:rPr>
          <w:lang w:eastAsia="x-none"/>
        </w:rPr>
        <w:t>. This could be done after the service model is updated.</w:t>
      </w:r>
    </w:p>
    <w:p w14:paraId="2EBE29B3" w14:textId="77777777" w:rsidR="006B4C1F" w:rsidRDefault="006B4C1F" w:rsidP="0083588E">
      <w:pPr>
        <w:pStyle w:val="ListParagraph"/>
        <w:numPr>
          <w:ilvl w:val="0"/>
          <w:numId w:val="39"/>
        </w:numPr>
        <w:spacing w:before="120"/>
        <w:ind w:left="357"/>
        <w:rPr>
          <w:lang w:eastAsia="x-none"/>
        </w:rPr>
      </w:pPr>
      <w:r w:rsidRPr="00702884">
        <w:rPr>
          <w:b/>
          <w:color w:val="1F497D" w:themeColor="text2"/>
          <w:lang w:eastAsia="x-none"/>
        </w:rPr>
        <w:t xml:space="preserve">It is </w:t>
      </w:r>
      <w:r>
        <w:rPr>
          <w:b/>
          <w:color w:val="1F497D" w:themeColor="text2"/>
          <w:lang w:eastAsia="x-none"/>
        </w:rPr>
        <w:t>proposed</w:t>
      </w:r>
      <w:r w:rsidRPr="00702884">
        <w:rPr>
          <w:color w:val="1F497D" w:themeColor="text2"/>
          <w:lang w:eastAsia="x-none"/>
        </w:rPr>
        <w:t xml:space="preserve"> </w:t>
      </w:r>
      <w:r>
        <w:rPr>
          <w:lang w:eastAsia="x-none"/>
        </w:rPr>
        <w:t>that the WBCs establish therapeutic discussion groups to analyse and discuss experiences and results achieved with particular therapies and approaches.</w:t>
      </w:r>
    </w:p>
    <w:p w14:paraId="2EBE29B4" w14:textId="77777777" w:rsidR="006B4C1F" w:rsidRPr="000440ED" w:rsidRDefault="006B4C1F" w:rsidP="006B4C1F">
      <w:pPr>
        <w:pStyle w:val="ListParagraph"/>
        <w:spacing w:before="120"/>
        <w:ind w:left="357"/>
        <w:rPr>
          <w:lang w:eastAsia="x-none"/>
        </w:rPr>
      </w:pPr>
      <w:r w:rsidRPr="000440ED">
        <w:rPr>
          <w:lang w:eastAsia="x-none"/>
        </w:rPr>
        <w:t>This will be facilitated by information now able to be provided by the upgraded client information system.</w:t>
      </w:r>
    </w:p>
    <w:p w14:paraId="2EBE29B5" w14:textId="33034FD7" w:rsidR="006B4C1F" w:rsidRDefault="006B4C1F" w:rsidP="0083588E">
      <w:pPr>
        <w:pStyle w:val="ListParagraph"/>
        <w:numPr>
          <w:ilvl w:val="0"/>
          <w:numId w:val="39"/>
        </w:numPr>
        <w:spacing w:before="120"/>
        <w:ind w:left="357"/>
      </w:pPr>
      <w:r w:rsidRPr="00702884">
        <w:rPr>
          <w:b/>
          <w:color w:val="1F497D" w:themeColor="text2"/>
        </w:rPr>
        <w:t xml:space="preserve">It is </w:t>
      </w:r>
      <w:r>
        <w:rPr>
          <w:b/>
          <w:color w:val="1F497D" w:themeColor="text2"/>
        </w:rPr>
        <w:t>proposed</w:t>
      </w:r>
      <w:r w:rsidRPr="00702884">
        <w:rPr>
          <w:b/>
          <w:color w:val="1F497D" w:themeColor="text2"/>
        </w:rPr>
        <w:t xml:space="preserve"> </w:t>
      </w:r>
      <w:r w:rsidRPr="00A11764">
        <w:t>that</w:t>
      </w:r>
      <w:r>
        <w:t xml:space="preserve"> </w:t>
      </w:r>
      <w:r w:rsidRPr="00FC4EA8">
        <w:t xml:space="preserve">the SDOT continue to June 2015 as per the </w:t>
      </w:r>
      <w:r>
        <w:t xml:space="preserve">current </w:t>
      </w:r>
      <w:r w:rsidRPr="00FC4EA8">
        <w:t>agreement.</w:t>
      </w:r>
    </w:p>
    <w:p w14:paraId="2EBE29B6" w14:textId="77777777" w:rsidR="006B4C1F" w:rsidRDefault="006B4C1F" w:rsidP="006B4C1F">
      <w:pPr>
        <w:pStyle w:val="ListParagraph"/>
        <w:spacing w:before="120"/>
        <w:ind w:left="357"/>
      </w:pPr>
      <w:r w:rsidRPr="000B70F6">
        <w:t>HOI is aware of</w:t>
      </w:r>
      <w:r>
        <w:t xml:space="preserve"> the Australian Government </w:t>
      </w:r>
      <w:r w:rsidRPr="000B70F6">
        <w:t>Machinery of Government changes that will impact upon the source of funding streams for the WBC</w:t>
      </w:r>
      <w:r>
        <w:t xml:space="preserve">. </w:t>
      </w:r>
      <w:r w:rsidRPr="000B70F6">
        <w:t xml:space="preserve">The SDOT has improved service outcomes indirectly, and significantly enhanced service responsiveness and service integration, while from the RFDS perspective at least, maintaining integrity of existing relevant program and financial accountability requirements. </w:t>
      </w:r>
      <w:r>
        <w:t>Any cessation of the agreement would limit the RFDS capacity to respond to emerging or changing community needs.</w:t>
      </w:r>
    </w:p>
    <w:p w14:paraId="2EBE29B7" w14:textId="77777777" w:rsidR="006B4C1F" w:rsidRPr="00AD0398" w:rsidRDefault="006B4C1F" w:rsidP="0083588E">
      <w:pPr>
        <w:pStyle w:val="ListParagraph"/>
        <w:numPr>
          <w:ilvl w:val="0"/>
          <w:numId w:val="39"/>
        </w:numPr>
        <w:spacing w:before="120"/>
        <w:ind w:left="357"/>
        <w:rPr>
          <w:lang w:eastAsia="x-none"/>
        </w:rPr>
      </w:pPr>
      <w:r w:rsidRPr="00702884">
        <w:rPr>
          <w:b/>
          <w:color w:val="1F497D" w:themeColor="text2"/>
          <w:lang w:eastAsia="x-none"/>
        </w:rPr>
        <w:t xml:space="preserve">It is </w:t>
      </w:r>
      <w:r>
        <w:rPr>
          <w:b/>
          <w:color w:val="1F497D" w:themeColor="text2"/>
          <w:lang w:eastAsia="x-none"/>
        </w:rPr>
        <w:t>proposed</w:t>
      </w:r>
      <w:r w:rsidRPr="00702884">
        <w:rPr>
          <w:color w:val="1F497D" w:themeColor="text2"/>
          <w:lang w:eastAsia="x-none"/>
        </w:rPr>
        <w:t xml:space="preserve"> </w:t>
      </w:r>
      <w:r w:rsidRPr="00AD0398">
        <w:rPr>
          <w:lang w:eastAsia="x-none"/>
        </w:rPr>
        <w:t>that HoNOS, K</w:t>
      </w:r>
      <w:r>
        <w:rPr>
          <w:lang w:eastAsia="x-none"/>
        </w:rPr>
        <w:t>5</w:t>
      </w:r>
      <w:r w:rsidRPr="00AD0398">
        <w:rPr>
          <w:lang w:eastAsia="x-none"/>
        </w:rPr>
        <w:t>, AUDIT</w:t>
      </w:r>
      <w:r>
        <w:rPr>
          <w:lang w:eastAsia="x-none"/>
        </w:rPr>
        <w:t xml:space="preserve"> C</w:t>
      </w:r>
      <w:r w:rsidRPr="00AD0398">
        <w:rPr>
          <w:lang w:eastAsia="x-none"/>
        </w:rPr>
        <w:t xml:space="preserve"> and SDS (in relation to a person’s cannabis usage and associated risk factors) be utilised on an ongoing basis. It is considered this combination of tools best represents the key foci of the WBCs (i.e. mental health, SEWB and drug and alcohol).</w:t>
      </w:r>
    </w:p>
    <w:p w14:paraId="2EBE29B8" w14:textId="77777777" w:rsidR="006B4C1F" w:rsidRDefault="006B4C1F" w:rsidP="006B4C1F">
      <w:pPr>
        <w:spacing w:before="120" w:after="120"/>
        <w:ind w:left="357"/>
        <w:rPr>
          <w:lang w:eastAsia="x-none"/>
        </w:rPr>
      </w:pPr>
      <w:r w:rsidRPr="00AD0398">
        <w:rPr>
          <w:lang w:eastAsia="x-none"/>
        </w:rPr>
        <w:t>The evaluators consider that the number of outcome indicators collected and reported systematically should be minimised to reduce the burden on clinical staff in a challenging service environment.</w:t>
      </w:r>
    </w:p>
    <w:p w14:paraId="2EBE29B9" w14:textId="77777777" w:rsidR="006B4C1F" w:rsidRPr="00AD0398" w:rsidRDefault="006B4C1F" w:rsidP="006B4C1F">
      <w:pPr>
        <w:spacing w:before="120" w:after="120"/>
        <w:ind w:left="357"/>
        <w:rPr>
          <w:lang w:eastAsia="x-none"/>
        </w:rPr>
      </w:pPr>
      <w:r w:rsidRPr="00AD0398">
        <w:rPr>
          <w:lang w:eastAsia="x-none"/>
        </w:rPr>
        <w:t xml:space="preserve">The HONOS has generally adequate validity and reliability. It has been thoroughly evaluated and extensively used across a range of populations (incl. Indigenous Australians and mental health </w:t>
      </w:r>
      <w:r w:rsidRPr="00AD0398">
        <w:rPr>
          <w:lang w:eastAsia="x-none"/>
        </w:rPr>
        <w:lastRenderedPageBreak/>
        <w:t>clients)</w:t>
      </w:r>
      <w:r>
        <w:rPr>
          <w:lang w:eastAsia="x-none"/>
        </w:rPr>
        <w:t>.</w:t>
      </w:r>
      <w:r w:rsidRPr="00AD0398">
        <w:rPr>
          <w:vertAlign w:val="superscript"/>
          <w:lang w:eastAsia="x-none"/>
        </w:rPr>
        <w:footnoteReference w:id="1"/>
      </w:r>
      <w:r w:rsidRPr="00AD0398">
        <w:rPr>
          <w:lang w:eastAsia="x-none"/>
        </w:rPr>
        <w:t xml:space="preserve"> The AUDIT is widely used and is the preferred tool of the Australian Government for funded alcohol and other drug services. There is concern about utility in Indigenous populations and the AUDIT–C has been developed which could be used.</w:t>
      </w:r>
    </w:p>
    <w:p w14:paraId="2EBE29BA" w14:textId="60FDAC9E" w:rsidR="006B4C1F" w:rsidRPr="00AD0398" w:rsidRDefault="006B4C1F" w:rsidP="006B4C1F">
      <w:pPr>
        <w:spacing w:after="120"/>
        <w:ind w:left="357"/>
        <w:rPr>
          <w:lang w:eastAsia="x-none"/>
        </w:rPr>
      </w:pPr>
      <w:r w:rsidRPr="00AD0398">
        <w:rPr>
          <w:lang w:eastAsia="x-none"/>
        </w:rPr>
        <w:t>The K10 is widely accepted, validated and used nationally</w:t>
      </w:r>
      <w:r>
        <w:rPr>
          <w:lang w:eastAsia="x-none"/>
        </w:rPr>
        <w:t xml:space="preserve"> and the K5 is used in Australia for Indigenous populations by the Australian Bureau of Statistics and the Australian Institute of Health and Welfare. </w:t>
      </w:r>
      <w:r w:rsidRPr="00AD0398">
        <w:rPr>
          <w:lang w:eastAsia="x-none"/>
        </w:rPr>
        <w:t>The SDS has generally adequate psychometrics and can be utilised for a range of substances</w:t>
      </w:r>
      <w:r>
        <w:rPr>
          <w:lang w:eastAsia="x-none"/>
        </w:rPr>
        <w:t>.</w:t>
      </w:r>
      <w:r w:rsidRPr="00AD0398">
        <w:rPr>
          <w:vertAlign w:val="superscript"/>
          <w:lang w:eastAsia="x-none"/>
        </w:rPr>
        <w:footnoteReference w:id="2"/>
      </w:r>
    </w:p>
    <w:p w14:paraId="2EBE29BB" w14:textId="77777777" w:rsidR="006B4C1F" w:rsidRPr="00773170" w:rsidRDefault="006B4C1F" w:rsidP="006B4C1F">
      <w:pPr>
        <w:spacing w:after="120"/>
        <w:ind w:left="357"/>
      </w:pPr>
      <w:r w:rsidRPr="00AD0398">
        <w:rPr>
          <w:lang w:eastAsia="x-none"/>
        </w:rPr>
        <w:t>The Indigenous Risk Impact Screen (IRIS) has a high degree of convergence with the K10 and the AUDIT and should not be required as an outcome tool</w:t>
      </w:r>
      <w:r w:rsidRPr="00773170">
        <w:t>.</w:t>
      </w:r>
    </w:p>
    <w:p w14:paraId="2EBE29BD" w14:textId="77777777" w:rsidR="00B6173F" w:rsidRDefault="008F677F" w:rsidP="00834F5A">
      <w:pPr>
        <w:pStyle w:val="ChLetter"/>
        <w:pageBreakBefore/>
      </w:pPr>
      <w:r>
        <w:lastRenderedPageBreak/>
        <w:t>1</w:t>
      </w:r>
    </w:p>
    <w:p w14:paraId="2EBE29BE" w14:textId="77777777" w:rsidR="003F3589" w:rsidRPr="008F677F" w:rsidRDefault="003F3589" w:rsidP="0053019D">
      <w:pPr>
        <w:pStyle w:val="Heading1"/>
      </w:pPr>
      <w:bookmarkStart w:id="24" w:name="_Toc440038424"/>
      <w:r w:rsidRPr="0053019D">
        <w:t>Introduction</w:t>
      </w:r>
      <w:bookmarkEnd w:id="24"/>
    </w:p>
    <w:p w14:paraId="2EBE29BF" w14:textId="77777777" w:rsidR="007E2E6D" w:rsidRPr="00C14CE5" w:rsidRDefault="007E2E6D" w:rsidP="007E2E6D">
      <w:r w:rsidRPr="00F6777F">
        <w:t xml:space="preserve">This chapter sets out the purpose </w:t>
      </w:r>
      <w:r>
        <w:t xml:space="preserve">and context </w:t>
      </w:r>
      <w:r w:rsidRPr="00F6777F">
        <w:t xml:space="preserve">of the </w:t>
      </w:r>
      <w:r>
        <w:t>Final</w:t>
      </w:r>
      <w:r w:rsidRPr="00F6777F">
        <w:t xml:space="preserve"> Evaluation Report, the </w:t>
      </w:r>
      <w:r>
        <w:t xml:space="preserve">evaluation </w:t>
      </w:r>
      <w:r w:rsidRPr="00F6777F">
        <w:t>methodology</w:t>
      </w:r>
      <w:r>
        <w:t xml:space="preserve"> including the limitations, the structure of this report and some background to the establishment of the Cape York Wellbeing Centres (WBCs).</w:t>
      </w:r>
    </w:p>
    <w:p w14:paraId="2EBE29C0" w14:textId="77777777" w:rsidR="007E2E6D" w:rsidRDefault="007E2E6D" w:rsidP="00492F91">
      <w:pPr>
        <w:pStyle w:val="Heading2"/>
        <w:rPr>
          <w:lang w:val="en-AU"/>
        </w:rPr>
      </w:pPr>
      <w:bookmarkStart w:id="25" w:name="_Purpose_and_context"/>
      <w:bookmarkStart w:id="26" w:name="_Toc338852106"/>
      <w:bookmarkStart w:id="27" w:name="_Toc338876306"/>
      <w:bookmarkStart w:id="28" w:name="_Toc338937697"/>
      <w:bookmarkStart w:id="29" w:name="_Toc339461197"/>
      <w:bookmarkStart w:id="30" w:name="_Toc355880480"/>
      <w:bookmarkStart w:id="31" w:name="_Toc440038425"/>
      <w:bookmarkEnd w:id="25"/>
      <w:r w:rsidRPr="00C14CE5">
        <w:t xml:space="preserve">Purpose </w:t>
      </w:r>
      <w:r>
        <w:t xml:space="preserve">and context </w:t>
      </w:r>
      <w:r w:rsidRPr="00C14CE5">
        <w:t xml:space="preserve">of </w:t>
      </w:r>
      <w:r>
        <w:t xml:space="preserve">this </w:t>
      </w:r>
      <w:r w:rsidRPr="00C14CE5">
        <w:t>report</w:t>
      </w:r>
      <w:bookmarkEnd w:id="26"/>
      <w:bookmarkEnd w:id="27"/>
      <w:bookmarkEnd w:id="28"/>
      <w:bookmarkEnd w:id="29"/>
      <w:bookmarkEnd w:id="30"/>
      <w:bookmarkEnd w:id="31"/>
    </w:p>
    <w:p w14:paraId="2EBE29C1" w14:textId="77777777" w:rsidR="007E2E6D" w:rsidRDefault="007E2E6D" w:rsidP="007E2E6D">
      <w:pPr>
        <w:rPr>
          <w:lang w:eastAsia="x-none"/>
        </w:rPr>
      </w:pPr>
      <w:r w:rsidRPr="00F33D6B">
        <w:rPr>
          <w:lang w:eastAsia="x-none"/>
        </w:rPr>
        <w:t>This report</w:t>
      </w:r>
      <w:r>
        <w:rPr>
          <w:lang w:eastAsia="x-none"/>
        </w:rPr>
        <w:t xml:space="preserve"> (the fifth evaluation report)</w:t>
      </w:r>
      <w:r w:rsidRPr="00F33D6B">
        <w:rPr>
          <w:lang w:eastAsia="x-none"/>
        </w:rPr>
        <w:t xml:space="preserve"> aims to provide a summary of the effectiveness of the WBCs in terms of processes implemented and outcomes achieved to date in accordanc</w:t>
      </w:r>
      <w:r>
        <w:rPr>
          <w:lang w:eastAsia="x-none"/>
        </w:rPr>
        <w:t xml:space="preserve">e with the evaluation framework and key evaluation objectives. </w:t>
      </w:r>
    </w:p>
    <w:p w14:paraId="2EBE29C2" w14:textId="7AE66217" w:rsidR="003B2254" w:rsidRPr="003B2254" w:rsidRDefault="00505D6E" w:rsidP="00505D6E">
      <w:pPr>
        <w:pStyle w:val="Caption"/>
      </w:pPr>
      <w:bookmarkStart w:id="32" w:name="_Toc392686426"/>
      <w:r>
        <w:t xml:space="preserve">Table </w:t>
      </w:r>
      <w:r w:rsidR="00AA7DC9">
        <w:fldChar w:fldCharType="begin"/>
      </w:r>
      <w:r w:rsidR="00AA7DC9">
        <w:instrText xml:space="preserve"> STYLEREF 1 \s </w:instrText>
      </w:r>
      <w:r w:rsidR="00AA7DC9">
        <w:fldChar w:fldCharType="separate"/>
      </w:r>
      <w:r w:rsidR="00AA7DC9">
        <w:rPr>
          <w:noProof/>
        </w:rPr>
        <w:t>1</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1</w:t>
      </w:r>
      <w:r w:rsidR="00AA7DC9">
        <w:fldChar w:fldCharType="end"/>
      </w:r>
      <w:r>
        <w:t xml:space="preserve">: </w:t>
      </w:r>
      <w:r w:rsidRPr="003B2254">
        <w:t>Sequence and purpose of evaluation reports</w:t>
      </w:r>
      <w:bookmarkEnd w:id="32"/>
    </w:p>
    <w:tbl>
      <w:tblPr>
        <w:tblStyle w:val="Hoi2"/>
        <w:tblW w:w="0" w:type="auto"/>
        <w:jc w:val="center"/>
        <w:tblLook w:val="04A0" w:firstRow="1" w:lastRow="0" w:firstColumn="1" w:lastColumn="0" w:noHBand="0" w:noVBand="1"/>
        <w:tblCaption w:val="Table 1.1: Sequence and purpose of evaluation reports"/>
        <w:tblDescription w:val="Table 1.1 shows a timeline of the progress of the report and what the focus of each step in the report is.  Column 1 displays the Month and year for each milestone in the report timeline, cloumn 2 shows the report milestones and column 3 shows the focus of each milestone. "/>
      </w:tblPr>
      <w:tblGrid>
        <w:gridCol w:w="1413"/>
        <w:gridCol w:w="3099"/>
        <w:gridCol w:w="4775"/>
      </w:tblGrid>
      <w:tr w:rsidR="007E2E6D" w:rsidRPr="00E179E7" w14:paraId="2EBE29C6" w14:textId="77777777" w:rsidTr="00377FC2">
        <w:trPr>
          <w:cnfStyle w:val="100000000000" w:firstRow="1" w:lastRow="0" w:firstColumn="0" w:lastColumn="0" w:oddVBand="0" w:evenVBand="0" w:oddHBand="0" w:evenHBand="0" w:firstRowFirstColumn="0" w:firstRowLastColumn="0" w:lastRowFirstColumn="0" w:lastRowLastColumn="0"/>
          <w:tblHeader/>
          <w:jc w:val="center"/>
        </w:trPr>
        <w:tc>
          <w:tcPr>
            <w:tcW w:w="1418" w:type="dxa"/>
          </w:tcPr>
          <w:p w14:paraId="2EBE29C3" w14:textId="77777777" w:rsidR="007E2E6D" w:rsidRPr="00E179E7" w:rsidRDefault="007E2E6D" w:rsidP="00C85AE1">
            <w:pPr>
              <w:rPr>
                <w:rFonts w:ascii="Segoe UI" w:hAnsi="Segoe UI" w:cs="Segoe UI"/>
                <w:b/>
                <w:sz w:val="18"/>
                <w:szCs w:val="18"/>
              </w:rPr>
            </w:pPr>
            <w:r w:rsidRPr="00E179E7">
              <w:rPr>
                <w:rFonts w:ascii="Segoe UI" w:hAnsi="Segoe UI" w:cs="Segoe UI"/>
                <w:b/>
                <w:sz w:val="18"/>
                <w:szCs w:val="18"/>
              </w:rPr>
              <w:t>Date</w:t>
            </w:r>
          </w:p>
        </w:tc>
        <w:tc>
          <w:tcPr>
            <w:tcW w:w="3119" w:type="dxa"/>
          </w:tcPr>
          <w:p w14:paraId="2EBE29C4" w14:textId="77777777" w:rsidR="007E2E6D" w:rsidRPr="00E179E7" w:rsidRDefault="007E2E6D" w:rsidP="00C85AE1">
            <w:pPr>
              <w:rPr>
                <w:rFonts w:ascii="Segoe UI" w:hAnsi="Segoe UI" w:cs="Segoe UI"/>
                <w:b/>
                <w:sz w:val="18"/>
                <w:szCs w:val="18"/>
              </w:rPr>
            </w:pPr>
            <w:r w:rsidRPr="00E179E7">
              <w:rPr>
                <w:rFonts w:ascii="Segoe UI" w:hAnsi="Segoe UI" w:cs="Segoe UI"/>
                <w:b/>
                <w:sz w:val="18"/>
                <w:szCs w:val="18"/>
              </w:rPr>
              <w:t>Report</w:t>
            </w:r>
          </w:p>
        </w:tc>
        <w:tc>
          <w:tcPr>
            <w:tcW w:w="4819" w:type="dxa"/>
          </w:tcPr>
          <w:p w14:paraId="2EBE29C5" w14:textId="77777777" w:rsidR="007E2E6D" w:rsidRPr="00E179E7" w:rsidRDefault="007E2E6D" w:rsidP="00C85AE1">
            <w:pPr>
              <w:rPr>
                <w:rFonts w:ascii="Segoe UI" w:hAnsi="Segoe UI" w:cs="Segoe UI"/>
                <w:b/>
                <w:sz w:val="18"/>
                <w:szCs w:val="18"/>
              </w:rPr>
            </w:pPr>
            <w:r w:rsidRPr="00E179E7">
              <w:rPr>
                <w:rFonts w:ascii="Segoe UI" w:hAnsi="Segoe UI" w:cs="Segoe UI"/>
                <w:b/>
                <w:sz w:val="18"/>
                <w:szCs w:val="18"/>
              </w:rPr>
              <w:t>Focus</w:t>
            </w:r>
          </w:p>
        </w:tc>
      </w:tr>
      <w:tr w:rsidR="007E2E6D" w:rsidRPr="00E179E7" w14:paraId="2EBE29CA" w14:textId="77777777" w:rsidTr="007A62D6">
        <w:trPr>
          <w:jc w:val="center"/>
        </w:trPr>
        <w:tc>
          <w:tcPr>
            <w:tcW w:w="1418" w:type="dxa"/>
            <w:shd w:val="clear" w:color="auto" w:fill="F2F2F2" w:themeFill="background1" w:themeFillShade="F2"/>
          </w:tcPr>
          <w:p w14:paraId="2EBE29C7" w14:textId="77777777" w:rsidR="007E2E6D" w:rsidRPr="00E179E7" w:rsidRDefault="007E2E6D" w:rsidP="00C85AE1">
            <w:pPr>
              <w:rPr>
                <w:rFonts w:cs="Segoe UI"/>
                <w:sz w:val="18"/>
                <w:szCs w:val="18"/>
                <w:lang w:eastAsia="x-none"/>
              </w:rPr>
            </w:pPr>
            <w:r w:rsidRPr="00E179E7">
              <w:rPr>
                <w:rFonts w:cs="Segoe UI"/>
                <w:sz w:val="18"/>
                <w:szCs w:val="18"/>
                <w:lang w:eastAsia="x-none"/>
              </w:rPr>
              <w:t>July 2012</w:t>
            </w:r>
          </w:p>
        </w:tc>
        <w:tc>
          <w:tcPr>
            <w:tcW w:w="3119" w:type="dxa"/>
            <w:shd w:val="clear" w:color="auto" w:fill="F2F2F2" w:themeFill="background1" w:themeFillShade="F2"/>
          </w:tcPr>
          <w:p w14:paraId="2EBE29C8" w14:textId="77777777" w:rsidR="007E2E6D" w:rsidRPr="00E179E7" w:rsidRDefault="007E2E6D" w:rsidP="00C85AE1">
            <w:pPr>
              <w:rPr>
                <w:rFonts w:cs="Segoe UI"/>
                <w:sz w:val="18"/>
                <w:szCs w:val="18"/>
                <w:lang w:eastAsia="x-none"/>
              </w:rPr>
            </w:pPr>
            <w:r w:rsidRPr="00E179E7">
              <w:rPr>
                <w:rFonts w:cs="Segoe UI"/>
                <w:sz w:val="18"/>
                <w:szCs w:val="18"/>
                <w:lang w:eastAsia="x-none"/>
              </w:rPr>
              <w:t>Evaluation framework and ethics approval</w:t>
            </w:r>
          </w:p>
        </w:tc>
        <w:tc>
          <w:tcPr>
            <w:tcW w:w="4819" w:type="dxa"/>
            <w:shd w:val="clear" w:color="auto" w:fill="F2F2F2" w:themeFill="background1" w:themeFillShade="F2"/>
          </w:tcPr>
          <w:p w14:paraId="2EBE29C9" w14:textId="77777777" w:rsidR="007E2E6D" w:rsidRPr="00E179E7" w:rsidRDefault="007E2E6D" w:rsidP="00C85AE1">
            <w:pPr>
              <w:rPr>
                <w:rFonts w:cs="Segoe UI"/>
                <w:sz w:val="18"/>
                <w:szCs w:val="18"/>
                <w:lang w:eastAsia="x-none"/>
              </w:rPr>
            </w:pPr>
            <w:r w:rsidRPr="00E179E7">
              <w:rPr>
                <w:rFonts w:cs="Segoe UI"/>
                <w:sz w:val="18"/>
                <w:szCs w:val="18"/>
                <w:lang w:eastAsia="x-none"/>
              </w:rPr>
              <w:t>Development of evaluation framework in conjunction with a wide range of stakeholders</w:t>
            </w:r>
          </w:p>
        </w:tc>
      </w:tr>
      <w:tr w:rsidR="007E2E6D" w:rsidRPr="00E179E7" w14:paraId="2EBE29CE" w14:textId="77777777" w:rsidTr="007A62D6">
        <w:trPr>
          <w:jc w:val="center"/>
        </w:trPr>
        <w:tc>
          <w:tcPr>
            <w:tcW w:w="1418" w:type="dxa"/>
            <w:shd w:val="clear" w:color="auto" w:fill="F2F2F2" w:themeFill="background1" w:themeFillShade="F2"/>
          </w:tcPr>
          <w:p w14:paraId="2EBE29CB" w14:textId="77777777" w:rsidR="007E2E6D" w:rsidRPr="00E179E7" w:rsidRDefault="007E2E6D" w:rsidP="00C85AE1">
            <w:pPr>
              <w:rPr>
                <w:rFonts w:cs="Segoe UI"/>
                <w:sz w:val="18"/>
                <w:szCs w:val="18"/>
                <w:lang w:eastAsia="x-none"/>
              </w:rPr>
            </w:pPr>
            <w:r w:rsidRPr="00E179E7">
              <w:rPr>
                <w:rFonts w:cs="Segoe UI"/>
                <w:sz w:val="18"/>
                <w:szCs w:val="18"/>
                <w:lang w:eastAsia="x-none"/>
              </w:rPr>
              <w:t>November 2012</w:t>
            </w:r>
          </w:p>
        </w:tc>
        <w:tc>
          <w:tcPr>
            <w:tcW w:w="3119" w:type="dxa"/>
            <w:shd w:val="clear" w:color="auto" w:fill="F2F2F2" w:themeFill="background1" w:themeFillShade="F2"/>
          </w:tcPr>
          <w:p w14:paraId="2EBE29CC" w14:textId="77777777" w:rsidR="007E2E6D" w:rsidRPr="00E179E7" w:rsidRDefault="007E2E6D" w:rsidP="00C85AE1">
            <w:pPr>
              <w:rPr>
                <w:rFonts w:cs="Segoe UI"/>
                <w:sz w:val="18"/>
                <w:szCs w:val="18"/>
              </w:rPr>
            </w:pPr>
            <w:r w:rsidRPr="00E179E7">
              <w:rPr>
                <w:rFonts w:cs="Segoe UI"/>
                <w:sz w:val="18"/>
                <w:szCs w:val="18"/>
                <w:lang w:eastAsia="x-none"/>
              </w:rPr>
              <w:t xml:space="preserve">Post Implementation Review (PIR) Report </w:t>
            </w:r>
          </w:p>
        </w:tc>
        <w:tc>
          <w:tcPr>
            <w:tcW w:w="4819" w:type="dxa"/>
            <w:shd w:val="clear" w:color="auto" w:fill="F2F2F2" w:themeFill="background1" w:themeFillShade="F2"/>
          </w:tcPr>
          <w:p w14:paraId="2EBE29CD" w14:textId="77777777" w:rsidR="007E2E6D" w:rsidRPr="00E179E7" w:rsidRDefault="007E2E6D" w:rsidP="00C85AE1">
            <w:pPr>
              <w:rPr>
                <w:rFonts w:cs="Segoe UI"/>
                <w:sz w:val="18"/>
                <w:szCs w:val="18"/>
                <w:lang w:eastAsia="x-none"/>
              </w:rPr>
            </w:pPr>
            <w:r w:rsidRPr="00E179E7">
              <w:rPr>
                <w:rFonts w:cs="Segoe UI"/>
                <w:sz w:val="18"/>
                <w:szCs w:val="18"/>
                <w:lang w:eastAsia="x-none"/>
              </w:rPr>
              <w:t>An analysis of currently available service data and management feedback focusing on processes</w:t>
            </w:r>
          </w:p>
        </w:tc>
      </w:tr>
      <w:tr w:rsidR="007E2E6D" w:rsidRPr="00E179E7" w14:paraId="2EBE29D2" w14:textId="77777777" w:rsidTr="007A62D6">
        <w:trPr>
          <w:jc w:val="center"/>
        </w:trPr>
        <w:tc>
          <w:tcPr>
            <w:tcW w:w="1418" w:type="dxa"/>
            <w:shd w:val="clear" w:color="auto" w:fill="F2F2F2" w:themeFill="background1" w:themeFillShade="F2"/>
          </w:tcPr>
          <w:p w14:paraId="2EBE29CF" w14:textId="77777777" w:rsidR="007E2E6D" w:rsidRPr="00E179E7" w:rsidRDefault="007E2E6D" w:rsidP="00C85AE1">
            <w:pPr>
              <w:rPr>
                <w:rFonts w:cs="Segoe UI"/>
                <w:sz w:val="18"/>
                <w:szCs w:val="18"/>
              </w:rPr>
            </w:pPr>
            <w:r w:rsidRPr="00E179E7">
              <w:rPr>
                <w:rFonts w:cs="Segoe UI"/>
                <w:sz w:val="18"/>
                <w:szCs w:val="18"/>
              </w:rPr>
              <w:t>April 2013</w:t>
            </w:r>
          </w:p>
        </w:tc>
        <w:tc>
          <w:tcPr>
            <w:tcW w:w="3119" w:type="dxa"/>
            <w:shd w:val="clear" w:color="auto" w:fill="F2F2F2" w:themeFill="background1" w:themeFillShade="F2"/>
          </w:tcPr>
          <w:p w14:paraId="2EBE29D0" w14:textId="77777777" w:rsidR="007E2E6D" w:rsidRPr="00E179E7" w:rsidRDefault="007E2E6D" w:rsidP="00C85AE1">
            <w:pPr>
              <w:rPr>
                <w:rFonts w:cs="Segoe UI"/>
                <w:sz w:val="18"/>
                <w:szCs w:val="18"/>
              </w:rPr>
            </w:pPr>
            <w:r w:rsidRPr="00E179E7">
              <w:rPr>
                <w:rFonts w:cs="Segoe UI"/>
                <w:sz w:val="18"/>
                <w:szCs w:val="18"/>
                <w:lang w:eastAsia="x-none"/>
              </w:rPr>
              <w:t>Phase One Evaluation Report</w:t>
            </w:r>
          </w:p>
        </w:tc>
        <w:tc>
          <w:tcPr>
            <w:tcW w:w="4819" w:type="dxa"/>
            <w:shd w:val="clear" w:color="auto" w:fill="F2F2F2" w:themeFill="background1" w:themeFillShade="F2"/>
          </w:tcPr>
          <w:p w14:paraId="2EBE29D1" w14:textId="77777777" w:rsidR="007E2E6D" w:rsidRPr="00E179E7" w:rsidRDefault="007E2E6D" w:rsidP="00C85AE1">
            <w:pPr>
              <w:rPr>
                <w:rFonts w:cs="Segoe UI"/>
                <w:sz w:val="18"/>
                <w:szCs w:val="18"/>
              </w:rPr>
            </w:pPr>
            <w:r w:rsidRPr="00E179E7">
              <w:rPr>
                <w:rFonts w:cs="Segoe UI"/>
                <w:sz w:val="18"/>
                <w:szCs w:val="18"/>
              </w:rPr>
              <w:t>Effectiveness of the WBCs in terms of processes implemented and a preliminary analysis of outcomes based on client and community interviews</w:t>
            </w:r>
          </w:p>
        </w:tc>
      </w:tr>
      <w:tr w:rsidR="007E2E6D" w:rsidRPr="00E179E7" w14:paraId="2EBE29D6" w14:textId="77777777" w:rsidTr="007A62D6">
        <w:trPr>
          <w:jc w:val="center"/>
        </w:trPr>
        <w:tc>
          <w:tcPr>
            <w:tcW w:w="1418" w:type="dxa"/>
            <w:shd w:val="clear" w:color="auto" w:fill="F2F2F2" w:themeFill="background1" w:themeFillShade="F2"/>
          </w:tcPr>
          <w:p w14:paraId="2EBE29D3" w14:textId="77777777" w:rsidR="007E2E6D" w:rsidRPr="00E179E7" w:rsidRDefault="007E2E6D" w:rsidP="00C85AE1">
            <w:pPr>
              <w:rPr>
                <w:rFonts w:cs="Segoe UI"/>
                <w:sz w:val="18"/>
                <w:szCs w:val="18"/>
              </w:rPr>
            </w:pPr>
            <w:r w:rsidRPr="00E179E7">
              <w:rPr>
                <w:rFonts w:cs="Segoe UI"/>
                <w:sz w:val="18"/>
                <w:szCs w:val="18"/>
              </w:rPr>
              <w:t>October 2013</w:t>
            </w:r>
          </w:p>
        </w:tc>
        <w:tc>
          <w:tcPr>
            <w:tcW w:w="3119" w:type="dxa"/>
            <w:shd w:val="clear" w:color="auto" w:fill="F2F2F2" w:themeFill="background1" w:themeFillShade="F2"/>
          </w:tcPr>
          <w:p w14:paraId="2EBE29D4" w14:textId="77777777" w:rsidR="007E2E6D" w:rsidRPr="00E179E7" w:rsidRDefault="007E2E6D" w:rsidP="00C85AE1">
            <w:pPr>
              <w:rPr>
                <w:rFonts w:cs="Segoe UI"/>
                <w:sz w:val="18"/>
                <w:szCs w:val="18"/>
              </w:rPr>
            </w:pPr>
            <w:r w:rsidRPr="00E179E7">
              <w:rPr>
                <w:rFonts w:cs="Segoe UI"/>
                <w:sz w:val="18"/>
                <w:szCs w:val="18"/>
              </w:rPr>
              <w:t xml:space="preserve">Interim </w:t>
            </w:r>
            <w:r w:rsidR="00D74EF9">
              <w:rPr>
                <w:rFonts w:cs="Segoe UI"/>
                <w:sz w:val="18"/>
                <w:szCs w:val="18"/>
              </w:rPr>
              <w:t>D</w:t>
            </w:r>
            <w:r w:rsidRPr="00E179E7">
              <w:rPr>
                <w:rFonts w:cs="Segoe UI"/>
                <w:sz w:val="18"/>
                <w:szCs w:val="18"/>
              </w:rPr>
              <w:t xml:space="preserve">ata </w:t>
            </w:r>
            <w:r w:rsidR="00D74EF9">
              <w:rPr>
                <w:rFonts w:cs="Segoe UI"/>
                <w:sz w:val="18"/>
                <w:szCs w:val="18"/>
              </w:rPr>
              <w:t>R</w:t>
            </w:r>
            <w:r w:rsidRPr="00E179E7">
              <w:rPr>
                <w:rFonts w:cs="Segoe UI"/>
                <w:sz w:val="18"/>
                <w:szCs w:val="18"/>
              </w:rPr>
              <w:t>eport</w:t>
            </w:r>
          </w:p>
        </w:tc>
        <w:tc>
          <w:tcPr>
            <w:tcW w:w="4819" w:type="dxa"/>
            <w:shd w:val="clear" w:color="auto" w:fill="F2F2F2" w:themeFill="background1" w:themeFillShade="F2"/>
          </w:tcPr>
          <w:p w14:paraId="2EBE29D5" w14:textId="77777777" w:rsidR="007E2E6D" w:rsidRPr="00E179E7" w:rsidRDefault="007E2E6D" w:rsidP="00C85AE1">
            <w:pPr>
              <w:rPr>
                <w:rFonts w:cs="Segoe UI"/>
                <w:sz w:val="18"/>
                <w:szCs w:val="18"/>
              </w:rPr>
            </w:pPr>
            <w:r w:rsidRPr="00E179E7">
              <w:rPr>
                <w:rFonts w:cs="Segoe UI"/>
                <w:sz w:val="18"/>
                <w:szCs w:val="18"/>
              </w:rPr>
              <w:t xml:space="preserve">Presentation and analysis of available of available service and preliminary outcome data </w:t>
            </w:r>
          </w:p>
        </w:tc>
      </w:tr>
      <w:tr w:rsidR="007E2E6D" w:rsidRPr="00E179E7" w14:paraId="2EBE29DA" w14:textId="77777777" w:rsidTr="007A62D6">
        <w:trPr>
          <w:jc w:val="center"/>
        </w:trPr>
        <w:tc>
          <w:tcPr>
            <w:tcW w:w="1418" w:type="dxa"/>
            <w:shd w:val="clear" w:color="auto" w:fill="F2F2F2" w:themeFill="background1" w:themeFillShade="F2"/>
          </w:tcPr>
          <w:p w14:paraId="2EBE29D7" w14:textId="77777777" w:rsidR="007E2E6D" w:rsidRPr="00E179E7" w:rsidRDefault="007E2E6D" w:rsidP="00C85AE1">
            <w:pPr>
              <w:rPr>
                <w:rFonts w:cs="Segoe UI"/>
                <w:sz w:val="18"/>
                <w:szCs w:val="18"/>
              </w:rPr>
            </w:pPr>
            <w:r w:rsidRPr="00E179E7">
              <w:rPr>
                <w:rFonts w:cs="Segoe UI"/>
                <w:sz w:val="18"/>
                <w:szCs w:val="18"/>
              </w:rPr>
              <w:t>January 201</w:t>
            </w:r>
            <w:r w:rsidR="00D74EF9">
              <w:rPr>
                <w:rFonts w:cs="Segoe UI"/>
                <w:sz w:val="18"/>
                <w:szCs w:val="18"/>
              </w:rPr>
              <w:t>4</w:t>
            </w:r>
          </w:p>
        </w:tc>
        <w:tc>
          <w:tcPr>
            <w:tcW w:w="3119" w:type="dxa"/>
            <w:shd w:val="clear" w:color="auto" w:fill="F2F2F2" w:themeFill="background1" w:themeFillShade="F2"/>
          </w:tcPr>
          <w:p w14:paraId="2EBE29D8" w14:textId="77777777" w:rsidR="007E2E6D" w:rsidRPr="00E179E7" w:rsidRDefault="007E2E6D" w:rsidP="00C85AE1">
            <w:pPr>
              <w:rPr>
                <w:rFonts w:cs="Segoe UI"/>
                <w:sz w:val="18"/>
                <w:szCs w:val="18"/>
              </w:rPr>
            </w:pPr>
            <w:r w:rsidRPr="00E179E7">
              <w:rPr>
                <w:rFonts w:cs="Segoe UI"/>
                <w:sz w:val="18"/>
                <w:szCs w:val="18"/>
                <w:lang w:eastAsia="x-none"/>
              </w:rPr>
              <w:t>Phase Two Evaluation Report</w:t>
            </w:r>
          </w:p>
        </w:tc>
        <w:tc>
          <w:tcPr>
            <w:tcW w:w="4819" w:type="dxa"/>
            <w:shd w:val="clear" w:color="auto" w:fill="F2F2F2" w:themeFill="background1" w:themeFillShade="F2"/>
          </w:tcPr>
          <w:p w14:paraId="2EBE29D9" w14:textId="77777777" w:rsidR="007E2E6D" w:rsidRPr="00E179E7" w:rsidRDefault="007E2E6D" w:rsidP="00C85AE1">
            <w:pPr>
              <w:rPr>
                <w:rFonts w:cs="Segoe UI"/>
                <w:sz w:val="18"/>
                <w:szCs w:val="18"/>
              </w:rPr>
            </w:pPr>
            <w:r w:rsidRPr="00E179E7">
              <w:rPr>
                <w:rFonts w:cs="Segoe UI"/>
                <w:sz w:val="18"/>
                <w:szCs w:val="18"/>
              </w:rPr>
              <w:t>Focus on the effectiveness and outcomes based on all available qualitative and quantitative information incorporating additional outcome data and information from further client and community consultations</w:t>
            </w:r>
          </w:p>
        </w:tc>
      </w:tr>
      <w:tr w:rsidR="007E2E6D" w:rsidRPr="00E179E7" w14:paraId="2EBE29DE" w14:textId="77777777" w:rsidTr="007A62D6">
        <w:trPr>
          <w:jc w:val="center"/>
        </w:trPr>
        <w:tc>
          <w:tcPr>
            <w:tcW w:w="1418" w:type="dxa"/>
            <w:shd w:val="clear" w:color="auto" w:fill="F2F2F2" w:themeFill="background1" w:themeFillShade="F2"/>
          </w:tcPr>
          <w:p w14:paraId="2EBE29DB" w14:textId="77777777" w:rsidR="007E2E6D" w:rsidRPr="00E179E7" w:rsidRDefault="007E2E6D" w:rsidP="00C85AE1">
            <w:pPr>
              <w:rPr>
                <w:rFonts w:cs="Segoe UI"/>
                <w:sz w:val="18"/>
                <w:szCs w:val="18"/>
              </w:rPr>
            </w:pPr>
            <w:r w:rsidRPr="00E179E7">
              <w:rPr>
                <w:rFonts w:cs="Segoe UI"/>
                <w:sz w:val="18"/>
                <w:szCs w:val="18"/>
              </w:rPr>
              <w:t>May 2014</w:t>
            </w:r>
          </w:p>
        </w:tc>
        <w:tc>
          <w:tcPr>
            <w:tcW w:w="3119" w:type="dxa"/>
            <w:shd w:val="clear" w:color="auto" w:fill="F2F2F2" w:themeFill="background1" w:themeFillShade="F2"/>
          </w:tcPr>
          <w:p w14:paraId="2EBE29DC" w14:textId="77777777" w:rsidR="007E2E6D" w:rsidRPr="00E179E7" w:rsidRDefault="007E2E6D" w:rsidP="00C85AE1">
            <w:pPr>
              <w:rPr>
                <w:rFonts w:cs="Segoe UI"/>
                <w:sz w:val="18"/>
                <w:szCs w:val="18"/>
                <w:lang w:eastAsia="x-none"/>
              </w:rPr>
            </w:pPr>
            <w:r w:rsidRPr="00E179E7">
              <w:rPr>
                <w:rFonts w:cs="Segoe UI"/>
                <w:sz w:val="18"/>
                <w:szCs w:val="18"/>
                <w:lang w:eastAsia="x-none"/>
              </w:rPr>
              <w:t>Draft final evaluation report</w:t>
            </w:r>
          </w:p>
        </w:tc>
        <w:tc>
          <w:tcPr>
            <w:tcW w:w="4819" w:type="dxa"/>
            <w:shd w:val="clear" w:color="auto" w:fill="F2F2F2" w:themeFill="background1" w:themeFillShade="F2"/>
          </w:tcPr>
          <w:p w14:paraId="2EBE29DD" w14:textId="77777777" w:rsidR="007E2E6D" w:rsidRPr="00E179E7" w:rsidRDefault="007E2E6D" w:rsidP="00C85AE1">
            <w:pPr>
              <w:rPr>
                <w:rFonts w:cs="Segoe UI"/>
                <w:sz w:val="18"/>
                <w:szCs w:val="18"/>
              </w:rPr>
            </w:pPr>
            <w:r w:rsidRPr="00E179E7">
              <w:rPr>
                <w:rFonts w:cs="Segoe UI"/>
                <w:sz w:val="18"/>
                <w:szCs w:val="18"/>
              </w:rPr>
              <w:t xml:space="preserve">Summative, effectiveness and outcome focused </w:t>
            </w:r>
          </w:p>
        </w:tc>
      </w:tr>
    </w:tbl>
    <w:p w14:paraId="2EBE29DF" w14:textId="17D75053" w:rsidR="00F73C59" w:rsidRDefault="003916A6" w:rsidP="00195D94">
      <w:pPr>
        <w:spacing w:before="240"/>
      </w:pPr>
      <w:r>
        <w:t xml:space="preserve">It is important to note that the recommendations in this report and highlighted in the executive summary are focused on the key strategic recommendations. In addition a number of opportunities for improvement which are more operationally focused have been identified in the context of ongoing provision of the current service model. These are highlighted throughout the report and aggregated and presented in </w:t>
      </w:r>
      <w:hyperlink w:anchor="_Opportunities_for_improvement" w:history="1">
        <w:r w:rsidRPr="00312279">
          <w:rPr>
            <w:rStyle w:val="Hyperlink"/>
          </w:rPr>
          <w:t>Section 4.3</w:t>
        </w:r>
      </w:hyperlink>
      <w:r>
        <w:t xml:space="preserve"> Opportunities </w:t>
      </w:r>
      <w:r w:rsidR="00B8665D">
        <w:t>f</w:t>
      </w:r>
      <w:r>
        <w:t>or Improvement.</w:t>
      </w:r>
    </w:p>
    <w:p w14:paraId="2EBE29E1" w14:textId="77777777" w:rsidR="007E2E6D" w:rsidRDefault="007E2E6D" w:rsidP="0083588E">
      <w:pPr>
        <w:pStyle w:val="Heading2"/>
        <w:numPr>
          <w:ilvl w:val="1"/>
          <w:numId w:val="46"/>
        </w:numPr>
        <w:ind w:hanging="792"/>
      </w:pPr>
      <w:bookmarkStart w:id="33" w:name="_Evaluation_objectives_and"/>
      <w:bookmarkStart w:id="34" w:name="_Toc440038426"/>
      <w:bookmarkEnd w:id="33"/>
      <w:r>
        <w:rPr>
          <w:lang w:val="en-AU"/>
        </w:rPr>
        <w:t>E</w:t>
      </w:r>
      <w:r>
        <w:t>valuation objectives and key questions</w:t>
      </w:r>
      <w:bookmarkEnd w:id="34"/>
    </w:p>
    <w:p w14:paraId="2EBE29E2" w14:textId="77777777" w:rsidR="007E2E6D" w:rsidRPr="009028DB" w:rsidRDefault="007E2E6D" w:rsidP="007E2E6D">
      <w:pPr>
        <w:rPr>
          <w:lang w:eastAsia="x-none"/>
        </w:rPr>
      </w:pPr>
      <w:r>
        <w:rPr>
          <w:lang w:eastAsia="x-none"/>
        </w:rPr>
        <w:t>The key objectives for the evaluation were:</w:t>
      </w:r>
    </w:p>
    <w:p w14:paraId="2EBE29E3" w14:textId="77777777" w:rsidR="007E2E6D" w:rsidRPr="009028DB" w:rsidRDefault="00C56FF7" w:rsidP="0083588E">
      <w:pPr>
        <w:numPr>
          <w:ilvl w:val="0"/>
          <w:numId w:val="8"/>
        </w:numPr>
        <w:spacing w:before="120" w:after="120"/>
        <w:rPr>
          <w:color w:val="auto"/>
          <w:lang w:eastAsia="x-none"/>
        </w:rPr>
      </w:pPr>
      <w:r>
        <w:rPr>
          <w:color w:val="auto"/>
          <w:lang w:eastAsia="x-none"/>
        </w:rPr>
        <w:lastRenderedPageBreak/>
        <w:t>P</w:t>
      </w:r>
      <w:r w:rsidR="007E2E6D" w:rsidRPr="009028DB">
        <w:rPr>
          <w:color w:val="auto"/>
          <w:lang w:eastAsia="x-none"/>
        </w:rPr>
        <w:t>roviding evidence on whether the WBCs are being successful in reducing alcohol and substance abuse and its impact on families, safety and community wellbeing in the four Cape York communities</w:t>
      </w:r>
    </w:p>
    <w:p w14:paraId="2EBE29E4" w14:textId="77777777" w:rsidR="007E2E6D" w:rsidRPr="009028DB" w:rsidRDefault="00C56FF7" w:rsidP="0083588E">
      <w:pPr>
        <w:numPr>
          <w:ilvl w:val="0"/>
          <w:numId w:val="8"/>
        </w:numPr>
        <w:spacing w:before="120" w:after="120"/>
        <w:rPr>
          <w:color w:val="auto"/>
          <w:lang w:eastAsia="x-none"/>
        </w:rPr>
      </w:pPr>
      <w:r>
        <w:rPr>
          <w:color w:val="auto"/>
          <w:lang w:eastAsia="x-none"/>
        </w:rPr>
        <w:t>P</w:t>
      </w:r>
      <w:r w:rsidR="007E2E6D" w:rsidRPr="009028DB">
        <w:rPr>
          <w:color w:val="auto"/>
          <w:lang w:eastAsia="x-none"/>
        </w:rPr>
        <w:t>roviding evidence on whether the WBCs are achieving success in addressing related mental health and social and emotional well‐being issues in each of the four Cape York communities</w:t>
      </w:r>
    </w:p>
    <w:p w14:paraId="2EBE29E5" w14:textId="77777777" w:rsidR="007E2E6D" w:rsidRPr="009028DB" w:rsidRDefault="00C56FF7" w:rsidP="0083588E">
      <w:pPr>
        <w:numPr>
          <w:ilvl w:val="0"/>
          <w:numId w:val="8"/>
        </w:numPr>
        <w:spacing w:before="120" w:after="120"/>
        <w:ind w:left="357" w:hanging="357"/>
        <w:rPr>
          <w:color w:val="auto"/>
          <w:lang w:eastAsia="x-none"/>
        </w:rPr>
      </w:pPr>
      <w:r>
        <w:rPr>
          <w:color w:val="auto"/>
          <w:lang w:eastAsia="x-none"/>
        </w:rPr>
        <w:t>P</w:t>
      </w:r>
      <w:r w:rsidR="007E2E6D" w:rsidRPr="009028DB">
        <w:rPr>
          <w:color w:val="auto"/>
          <w:lang w:eastAsia="x-none"/>
        </w:rPr>
        <w:t>roviding evidence on whether the work of the WBCs is contributing to achievement of the Closing the Gap targets, particularly those that relate to the life expectancy gap and mortality</w:t>
      </w:r>
    </w:p>
    <w:p w14:paraId="2EBE29E6" w14:textId="77777777" w:rsidR="007E2E6D" w:rsidRPr="009028DB" w:rsidRDefault="00C56FF7" w:rsidP="0083588E">
      <w:pPr>
        <w:numPr>
          <w:ilvl w:val="0"/>
          <w:numId w:val="8"/>
        </w:numPr>
        <w:spacing w:before="120" w:after="120"/>
        <w:ind w:left="357" w:hanging="357"/>
        <w:rPr>
          <w:color w:val="auto"/>
          <w:lang w:eastAsia="x-none"/>
        </w:rPr>
      </w:pPr>
      <w:r>
        <w:rPr>
          <w:color w:val="auto"/>
          <w:lang w:eastAsia="x-none"/>
        </w:rPr>
        <w:t>I</w:t>
      </w:r>
      <w:r w:rsidR="007E2E6D" w:rsidRPr="009028DB">
        <w:rPr>
          <w:color w:val="auto"/>
          <w:lang w:eastAsia="x-none"/>
        </w:rPr>
        <w:t>dentifying which prevention, intervention and treatment approaches are successful and the key factors (such as clinical tools, delivery approaches, governance arrangements etc) that are contributing to this success</w:t>
      </w:r>
    </w:p>
    <w:p w14:paraId="2EBE29E7" w14:textId="77777777" w:rsidR="007E2E6D" w:rsidRPr="00787454" w:rsidRDefault="00C56FF7" w:rsidP="0083588E">
      <w:pPr>
        <w:numPr>
          <w:ilvl w:val="0"/>
          <w:numId w:val="8"/>
        </w:numPr>
        <w:spacing w:before="120" w:after="120"/>
        <w:rPr>
          <w:rFonts w:eastAsia="Times New Roman" w:cs="Segoe UI"/>
          <w:szCs w:val="24"/>
        </w:rPr>
      </w:pPr>
      <w:r>
        <w:rPr>
          <w:color w:val="auto"/>
          <w:lang w:eastAsia="x-none"/>
        </w:rPr>
        <w:t>R</w:t>
      </w:r>
      <w:r w:rsidR="007E2E6D" w:rsidRPr="009028DB">
        <w:rPr>
          <w:color w:val="auto"/>
          <w:lang w:eastAsia="x-none"/>
        </w:rPr>
        <w:t>ecommending any improvements which will enhance health outcomes and contribute to best practice service</w:t>
      </w:r>
      <w:r w:rsidR="007E2E6D" w:rsidRPr="00787454">
        <w:rPr>
          <w:rFonts w:eastAsia="Times New Roman" w:cs="Segoe UI"/>
          <w:szCs w:val="24"/>
        </w:rPr>
        <w:t xml:space="preserve"> delivery.</w:t>
      </w:r>
    </w:p>
    <w:p w14:paraId="2EBE29E8" w14:textId="77777777" w:rsidR="007E2E6D" w:rsidRDefault="007E2E6D" w:rsidP="004D5208">
      <w:pPr>
        <w:spacing w:before="240"/>
        <w:rPr>
          <w:rFonts w:cs="Segoe UI"/>
          <w:color w:val="auto"/>
          <w:szCs w:val="20"/>
        </w:rPr>
      </w:pPr>
      <w:r>
        <w:rPr>
          <w:rFonts w:cs="Segoe UI"/>
          <w:color w:val="auto"/>
          <w:szCs w:val="20"/>
        </w:rPr>
        <w:t>T</w:t>
      </w:r>
      <w:r w:rsidRPr="00C14CE5">
        <w:rPr>
          <w:rFonts w:cs="Segoe UI"/>
          <w:color w:val="auto"/>
          <w:szCs w:val="20"/>
        </w:rPr>
        <w:t xml:space="preserve">he key evaluation </w:t>
      </w:r>
      <w:r>
        <w:rPr>
          <w:rFonts w:cs="Segoe UI"/>
          <w:color w:val="auto"/>
          <w:szCs w:val="20"/>
        </w:rPr>
        <w:t xml:space="preserve">domains and </w:t>
      </w:r>
      <w:r w:rsidRPr="00C14CE5">
        <w:rPr>
          <w:rFonts w:cs="Segoe UI"/>
          <w:color w:val="auto"/>
          <w:szCs w:val="20"/>
        </w:rPr>
        <w:t xml:space="preserve">questions developed </w:t>
      </w:r>
      <w:r>
        <w:rPr>
          <w:rFonts w:cs="Segoe UI"/>
          <w:color w:val="auto"/>
          <w:szCs w:val="20"/>
        </w:rPr>
        <w:t xml:space="preserve">in the evaluation framework </w:t>
      </w:r>
      <w:r w:rsidRPr="00C14CE5">
        <w:rPr>
          <w:rFonts w:cs="Segoe UI"/>
          <w:color w:val="auto"/>
          <w:szCs w:val="20"/>
        </w:rPr>
        <w:t>to addres</w:t>
      </w:r>
      <w:r>
        <w:rPr>
          <w:rFonts w:cs="Segoe UI"/>
          <w:color w:val="auto"/>
          <w:szCs w:val="20"/>
        </w:rPr>
        <w:t xml:space="preserve">s the evaluation as a whole are set out in </w:t>
      </w:r>
      <w:r w:rsidR="003B2254">
        <w:rPr>
          <w:rFonts w:cs="Segoe UI"/>
          <w:color w:val="auto"/>
          <w:szCs w:val="20"/>
        </w:rPr>
        <w:fldChar w:fldCharType="begin"/>
      </w:r>
      <w:r w:rsidR="003B2254">
        <w:rPr>
          <w:rFonts w:cs="Segoe UI"/>
          <w:color w:val="auto"/>
          <w:szCs w:val="20"/>
        </w:rPr>
        <w:instrText xml:space="preserve"> REF _Ref387392396 \h </w:instrText>
      </w:r>
      <w:r w:rsidR="003B2254">
        <w:rPr>
          <w:rFonts w:cs="Segoe UI"/>
          <w:color w:val="auto"/>
          <w:szCs w:val="20"/>
        </w:rPr>
      </w:r>
      <w:r w:rsidR="003B2254">
        <w:rPr>
          <w:rFonts w:cs="Segoe UI"/>
          <w:color w:val="auto"/>
          <w:szCs w:val="20"/>
        </w:rPr>
        <w:fldChar w:fldCharType="separate"/>
      </w:r>
      <w:r w:rsidR="009A19EB">
        <w:t xml:space="preserve">Table </w:t>
      </w:r>
      <w:r w:rsidR="009A19EB">
        <w:rPr>
          <w:noProof/>
        </w:rPr>
        <w:t>1</w:t>
      </w:r>
      <w:r w:rsidR="009A19EB">
        <w:t>.</w:t>
      </w:r>
      <w:r w:rsidR="009A19EB">
        <w:rPr>
          <w:noProof/>
        </w:rPr>
        <w:t>2</w:t>
      </w:r>
      <w:r w:rsidR="003B2254">
        <w:rPr>
          <w:rFonts w:cs="Segoe UI"/>
          <w:color w:val="auto"/>
          <w:szCs w:val="20"/>
        </w:rPr>
        <w:fldChar w:fldCharType="end"/>
      </w:r>
      <w:r w:rsidR="00272437">
        <w:rPr>
          <w:rFonts w:cs="Segoe UI"/>
          <w:color w:val="auto"/>
          <w:szCs w:val="20"/>
        </w:rPr>
        <w:t>.</w:t>
      </w:r>
    </w:p>
    <w:p w14:paraId="2EBE29E9" w14:textId="3B944241" w:rsidR="003B2254" w:rsidRPr="003B2254" w:rsidRDefault="00505D6E" w:rsidP="00505D6E">
      <w:pPr>
        <w:pStyle w:val="Caption"/>
      </w:pPr>
      <w:bookmarkStart w:id="35" w:name="_Toc392686427"/>
      <w:bookmarkStart w:id="36" w:name="_Ref387392396"/>
      <w:bookmarkEnd w:id="36"/>
      <w:r>
        <w:t xml:space="preserve">Table </w:t>
      </w:r>
      <w:r w:rsidR="00AA7DC9">
        <w:fldChar w:fldCharType="begin"/>
      </w:r>
      <w:r w:rsidR="00AA7DC9">
        <w:instrText xml:space="preserve"> STYLEREF 1 \s </w:instrText>
      </w:r>
      <w:r w:rsidR="00AA7DC9">
        <w:fldChar w:fldCharType="separate"/>
      </w:r>
      <w:r w:rsidR="00AA7DC9">
        <w:rPr>
          <w:noProof/>
        </w:rPr>
        <w:t>1</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2</w:t>
      </w:r>
      <w:r w:rsidR="00AA7DC9">
        <w:fldChar w:fldCharType="end"/>
      </w:r>
      <w:r>
        <w:t xml:space="preserve">: </w:t>
      </w:r>
      <w:r w:rsidR="003B2254">
        <w:t>Key evaluation questions by domain</w:t>
      </w:r>
      <w:bookmarkEnd w:id="35"/>
    </w:p>
    <w:tbl>
      <w:tblPr>
        <w:tblW w:w="977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2: Key evaluation questions by domain"/>
        <w:tblDescription w:val="Table 1.2 consists of two columns, with the first column listing the Domain and the second column listing the Key Evaluation Questions that were analysed.  The six Domains are Outcome, Service model, Service management, Community management, Community engagement, Partnerships and Value for money/Program expansion."/>
      </w:tblPr>
      <w:tblGrid>
        <w:gridCol w:w="1818"/>
        <w:gridCol w:w="7961"/>
      </w:tblGrid>
      <w:tr w:rsidR="007E2E6D" w:rsidRPr="00C14CE5" w14:paraId="2EBE29EC" w14:textId="77777777" w:rsidTr="00C85AE1">
        <w:trPr>
          <w:cantSplit/>
          <w:tblHeader/>
          <w:jc w:val="center"/>
        </w:trPr>
        <w:tc>
          <w:tcPr>
            <w:tcW w:w="1818" w:type="dxa"/>
            <w:shd w:val="clear" w:color="auto" w:fill="95B3D7"/>
          </w:tcPr>
          <w:p w14:paraId="2EBE29EA"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t xml:space="preserve">Domain </w:t>
            </w:r>
          </w:p>
        </w:tc>
        <w:tc>
          <w:tcPr>
            <w:tcW w:w="7961" w:type="dxa"/>
            <w:shd w:val="clear" w:color="auto" w:fill="95B3D7"/>
          </w:tcPr>
          <w:p w14:paraId="2EBE29EB" w14:textId="77777777" w:rsidR="007E2E6D" w:rsidRPr="003014A5" w:rsidRDefault="007E2E6D" w:rsidP="00C85AE1">
            <w:pPr>
              <w:tabs>
                <w:tab w:val="left" w:pos="356"/>
              </w:tabs>
              <w:autoSpaceDE w:val="0"/>
              <w:autoSpaceDN w:val="0"/>
              <w:adjustRightInd w:val="0"/>
              <w:spacing w:before="120" w:after="120"/>
              <w:jc w:val="center"/>
              <w:rPr>
                <w:rFonts w:cs="Segoe UI"/>
                <w:b/>
                <w:color w:val="auto"/>
                <w:sz w:val="18"/>
                <w:szCs w:val="18"/>
                <w:lang w:eastAsia="en-AU"/>
              </w:rPr>
            </w:pPr>
            <w:r w:rsidRPr="003014A5">
              <w:rPr>
                <w:rFonts w:cs="Segoe UI"/>
                <w:b/>
                <w:color w:val="auto"/>
                <w:sz w:val="18"/>
                <w:szCs w:val="18"/>
                <w:lang w:eastAsia="en-AU"/>
              </w:rPr>
              <w:t>Key Evaluation Questions</w:t>
            </w:r>
          </w:p>
        </w:tc>
      </w:tr>
      <w:tr w:rsidR="007E2E6D" w:rsidRPr="00C14CE5" w14:paraId="2EBE29F1" w14:textId="77777777" w:rsidTr="00C85AE1">
        <w:trPr>
          <w:cantSplit/>
          <w:jc w:val="center"/>
        </w:trPr>
        <w:tc>
          <w:tcPr>
            <w:tcW w:w="1818" w:type="dxa"/>
            <w:shd w:val="clear" w:color="auto" w:fill="D9D9D9"/>
          </w:tcPr>
          <w:p w14:paraId="2EBE29ED"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t xml:space="preserve">Outcome </w:t>
            </w:r>
          </w:p>
        </w:tc>
        <w:tc>
          <w:tcPr>
            <w:tcW w:w="7961" w:type="dxa"/>
            <w:shd w:val="clear" w:color="auto" w:fill="F2F2F2"/>
          </w:tcPr>
          <w:p w14:paraId="2EBE29EE" w14:textId="77777777" w:rsidR="007E2E6D" w:rsidRPr="003014A5" w:rsidRDefault="007E2E6D" w:rsidP="00C85AE1">
            <w:pPr>
              <w:spacing w:before="120" w:after="120"/>
              <w:rPr>
                <w:sz w:val="18"/>
                <w:szCs w:val="18"/>
              </w:rPr>
            </w:pPr>
            <w:r w:rsidRPr="003014A5">
              <w:rPr>
                <w:sz w:val="18"/>
                <w:szCs w:val="18"/>
              </w:rPr>
              <w:t xml:space="preserve">The key outcome hypotheses listed in the evaluation framework are to be tested. The overarching outcome evaluation questions are: </w:t>
            </w:r>
          </w:p>
          <w:p w14:paraId="2EBE29EF"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What outcomes are being achieved, for what groups and why and at what cost?</w:t>
            </w:r>
          </w:p>
          <w:p w14:paraId="2EBE29F0"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What are the contexts, mechanisms and treatment methods that bring rise to positive client outcomes?</w:t>
            </w:r>
          </w:p>
        </w:tc>
      </w:tr>
      <w:tr w:rsidR="007E2E6D" w:rsidRPr="00C14CE5" w14:paraId="2EBE29F8" w14:textId="77777777" w:rsidTr="00C85AE1">
        <w:trPr>
          <w:cantSplit/>
          <w:jc w:val="center"/>
        </w:trPr>
        <w:tc>
          <w:tcPr>
            <w:tcW w:w="1818" w:type="dxa"/>
            <w:shd w:val="clear" w:color="auto" w:fill="D9D9D9"/>
          </w:tcPr>
          <w:p w14:paraId="2EBE29F2"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t>Service model</w:t>
            </w:r>
          </w:p>
        </w:tc>
        <w:tc>
          <w:tcPr>
            <w:tcW w:w="7961" w:type="dxa"/>
            <w:shd w:val="clear" w:color="auto" w:fill="F2F2F2"/>
          </w:tcPr>
          <w:p w14:paraId="2EBE29F3"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Has a service model been documented that aligns with the key service elements and is in alignment with the program theory? Do staff understand the service model?</w:t>
            </w:r>
          </w:p>
          <w:p w14:paraId="2EBE29F4"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Has the service model as agreed been implemented? If not what are the variations and what was the rationale for any change?</w:t>
            </w:r>
          </w:p>
          <w:p w14:paraId="2EBE29F5"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Is the service model and treatment method(s), as has been implemented, motivating individuals to change and contributing to enhanced individual, family and community functioning and wellbeing? If so how and if not, why not?</w:t>
            </w:r>
          </w:p>
          <w:p w14:paraId="2EBE29F6"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 xml:space="preserve">How should the service model be changed to enhance its contribution to individuals, families and </w:t>
            </w:r>
            <w:r>
              <w:rPr>
                <w:sz w:val="18"/>
                <w:szCs w:val="18"/>
              </w:rPr>
              <w:t>communities</w:t>
            </w:r>
            <w:r w:rsidRPr="003014A5">
              <w:rPr>
                <w:sz w:val="18"/>
                <w:szCs w:val="18"/>
              </w:rPr>
              <w:t xml:space="preserve"> functioning and wellbeing?</w:t>
            </w:r>
          </w:p>
          <w:p w14:paraId="2EBE29F7"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 xml:space="preserve">Has the service model resulted in better access to services than in other comparable </w:t>
            </w:r>
            <w:r>
              <w:rPr>
                <w:sz w:val="18"/>
                <w:szCs w:val="18"/>
              </w:rPr>
              <w:t>communities</w:t>
            </w:r>
            <w:r w:rsidRPr="003014A5">
              <w:rPr>
                <w:sz w:val="18"/>
                <w:szCs w:val="18"/>
              </w:rPr>
              <w:t xml:space="preserve"> and how does the service profile and approach compare?</w:t>
            </w:r>
          </w:p>
        </w:tc>
      </w:tr>
      <w:tr w:rsidR="007E2E6D" w:rsidRPr="00C14CE5" w14:paraId="2EBE29FD" w14:textId="77777777" w:rsidTr="00C85AE1">
        <w:trPr>
          <w:cantSplit/>
          <w:jc w:val="center"/>
        </w:trPr>
        <w:tc>
          <w:tcPr>
            <w:tcW w:w="1818" w:type="dxa"/>
            <w:shd w:val="clear" w:color="auto" w:fill="D9D9D9"/>
          </w:tcPr>
          <w:p w14:paraId="2EBE29F9"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t>Service management</w:t>
            </w:r>
          </w:p>
        </w:tc>
        <w:tc>
          <w:tcPr>
            <w:tcW w:w="7961" w:type="dxa"/>
            <w:shd w:val="clear" w:color="auto" w:fill="F2F2F2"/>
          </w:tcPr>
          <w:p w14:paraId="2EBE29FA"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Are the processes, systems, structures and people (i.e. the service management) facilitating the efficient and effective delivery of the WBC service model? If so, how and if not, why not?</w:t>
            </w:r>
          </w:p>
          <w:p w14:paraId="2EBE29FB"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How should the service management be changed to enhance its contribution to indi</w:t>
            </w:r>
            <w:r>
              <w:rPr>
                <w:sz w:val="18"/>
                <w:szCs w:val="18"/>
              </w:rPr>
              <w:t>viduals, families and communities</w:t>
            </w:r>
            <w:r w:rsidRPr="003014A5">
              <w:rPr>
                <w:sz w:val="18"/>
                <w:szCs w:val="18"/>
              </w:rPr>
              <w:t xml:space="preserve"> functioning and wellbeing?</w:t>
            </w:r>
          </w:p>
          <w:p w14:paraId="2EBE29FC"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Have community capacity building efforts been effective in underpinning a longer term enhancement of community control?</w:t>
            </w:r>
          </w:p>
        </w:tc>
      </w:tr>
      <w:tr w:rsidR="007E2E6D" w:rsidRPr="00C14CE5" w14:paraId="2EBE2A01" w14:textId="77777777" w:rsidTr="00C85AE1">
        <w:trPr>
          <w:cantSplit/>
          <w:jc w:val="center"/>
        </w:trPr>
        <w:tc>
          <w:tcPr>
            <w:tcW w:w="1818" w:type="dxa"/>
            <w:shd w:val="clear" w:color="auto" w:fill="D9D9D9"/>
          </w:tcPr>
          <w:p w14:paraId="2EBE29FE"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lastRenderedPageBreak/>
              <w:t xml:space="preserve">Community engagement </w:t>
            </w:r>
          </w:p>
        </w:tc>
        <w:tc>
          <w:tcPr>
            <w:tcW w:w="7961" w:type="dxa"/>
            <w:shd w:val="clear" w:color="auto" w:fill="F2F2F2"/>
          </w:tcPr>
          <w:p w14:paraId="2EBE29FF"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Is the WBC effectively engaging the community? If so, what has or is working and why, and what has not worked and why?</w:t>
            </w:r>
          </w:p>
          <w:p w14:paraId="2EBE2A00"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How could community engagement be improved to enhance the WBC’s contribution to indivi</w:t>
            </w:r>
            <w:r>
              <w:rPr>
                <w:sz w:val="18"/>
                <w:szCs w:val="18"/>
              </w:rPr>
              <w:t>duals, families and community</w:t>
            </w:r>
            <w:r w:rsidRPr="003014A5">
              <w:rPr>
                <w:sz w:val="18"/>
                <w:szCs w:val="18"/>
              </w:rPr>
              <w:t xml:space="preserve"> functioning and wellbeing?</w:t>
            </w:r>
          </w:p>
        </w:tc>
      </w:tr>
      <w:tr w:rsidR="007E2E6D" w:rsidRPr="00C14CE5" w14:paraId="2EBE2A05" w14:textId="77777777" w:rsidTr="00C85AE1">
        <w:trPr>
          <w:cantSplit/>
          <w:jc w:val="center"/>
        </w:trPr>
        <w:tc>
          <w:tcPr>
            <w:tcW w:w="1818" w:type="dxa"/>
            <w:shd w:val="clear" w:color="auto" w:fill="D9D9D9"/>
          </w:tcPr>
          <w:p w14:paraId="2EBE2A02"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t xml:space="preserve">Partnerships  </w:t>
            </w:r>
          </w:p>
        </w:tc>
        <w:tc>
          <w:tcPr>
            <w:tcW w:w="7961" w:type="dxa"/>
            <w:shd w:val="clear" w:color="auto" w:fill="F2F2F2"/>
          </w:tcPr>
          <w:p w14:paraId="2EBE2A03"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Is the WBC establishing effective partnerships of the type required with respective partner stakeholders? If so, what has worked or is working and why, and what has not worked or is not working and why?</w:t>
            </w:r>
          </w:p>
          <w:p w14:paraId="2EBE2A04"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 xml:space="preserve">How could partnerships be strengthened to enhance the WBC’s contribution to individuals, families and </w:t>
            </w:r>
            <w:r>
              <w:rPr>
                <w:sz w:val="18"/>
                <w:szCs w:val="18"/>
              </w:rPr>
              <w:t>community</w:t>
            </w:r>
            <w:r w:rsidRPr="003014A5">
              <w:rPr>
                <w:sz w:val="18"/>
                <w:szCs w:val="18"/>
              </w:rPr>
              <w:t xml:space="preserve"> functioning and wellbeing?</w:t>
            </w:r>
          </w:p>
        </w:tc>
      </w:tr>
      <w:tr w:rsidR="007E2E6D" w:rsidRPr="00C14CE5" w14:paraId="2EBE2A0A" w14:textId="77777777" w:rsidTr="00C85AE1">
        <w:trPr>
          <w:cantSplit/>
          <w:jc w:val="center"/>
        </w:trPr>
        <w:tc>
          <w:tcPr>
            <w:tcW w:w="1818" w:type="dxa"/>
            <w:shd w:val="clear" w:color="auto" w:fill="D9D9D9"/>
          </w:tcPr>
          <w:p w14:paraId="2EBE2A06" w14:textId="77777777" w:rsidR="007E2E6D" w:rsidRPr="003014A5" w:rsidRDefault="007E2E6D" w:rsidP="00C85AE1">
            <w:pPr>
              <w:spacing w:before="120" w:after="120"/>
              <w:jc w:val="left"/>
              <w:rPr>
                <w:rFonts w:cs="Segoe UI"/>
                <w:b/>
                <w:color w:val="auto"/>
                <w:sz w:val="18"/>
                <w:szCs w:val="18"/>
              </w:rPr>
            </w:pPr>
            <w:r w:rsidRPr="003014A5">
              <w:rPr>
                <w:rFonts w:cs="Segoe UI"/>
                <w:b/>
                <w:color w:val="auto"/>
                <w:sz w:val="18"/>
                <w:szCs w:val="18"/>
              </w:rPr>
              <w:t xml:space="preserve">Value for money/program expansion  </w:t>
            </w:r>
          </w:p>
        </w:tc>
        <w:tc>
          <w:tcPr>
            <w:tcW w:w="7961" w:type="dxa"/>
            <w:shd w:val="clear" w:color="auto" w:fill="F2F2F2"/>
          </w:tcPr>
          <w:p w14:paraId="2EBE2A07"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 xml:space="preserve">Is the model that has been adopted for the WBC appropriate or the preferred option for any roll out? If not what could be considered for roll out? If this was the preferred model, what are the feasibility issues with respect to rolling out the model to other </w:t>
            </w:r>
            <w:r>
              <w:rPr>
                <w:sz w:val="18"/>
                <w:szCs w:val="18"/>
              </w:rPr>
              <w:t>communities</w:t>
            </w:r>
            <w:r w:rsidRPr="003014A5">
              <w:rPr>
                <w:sz w:val="18"/>
                <w:szCs w:val="18"/>
              </w:rPr>
              <w:t>?</w:t>
            </w:r>
          </w:p>
          <w:p w14:paraId="2EBE2A08"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What are the critical success factors that would need to be included in any subsequent plan to roll out the model elsewhere</w:t>
            </w:r>
          </w:p>
          <w:p w14:paraId="2EBE2A09" w14:textId="77777777" w:rsidR="007E2E6D" w:rsidRPr="003014A5" w:rsidRDefault="007E2E6D" w:rsidP="0083588E">
            <w:pPr>
              <w:numPr>
                <w:ilvl w:val="0"/>
                <w:numId w:val="6"/>
              </w:numPr>
              <w:spacing w:before="120" w:after="120"/>
              <w:ind w:left="247" w:hanging="247"/>
              <w:rPr>
                <w:sz w:val="18"/>
                <w:szCs w:val="18"/>
              </w:rPr>
            </w:pPr>
            <w:r w:rsidRPr="003014A5">
              <w:rPr>
                <w:sz w:val="18"/>
                <w:szCs w:val="18"/>
              </w:rPr>
              <w:t xml:space="preserve">What are the barriers to effective implementation that would need to be addressed in any planned roll out? </w:t>
            </w:r>
          </w:p>
        </w:tc>
      </w:tr>
    </w:tbl>
    <w:p w14:paraId="2EBE2A0B" w14:textId="77777777" w:rsidR="007E2E6D" w:rsidRPr="0083588E" w:rsidRDefault="007E2E6D" w:rsidP="0083588E">
      <w:pPr>
        <w:pStyle w:val="Heading2"/>
        <w:numPr>
          <w:ilvl w:val="1"/>
          <w:numId w:val="49"/>
        </w:numPr>
        <w:rPr>
          <w:lang w:val="en-AU"/>
        </w:rPr>
      </w:pPr>
      <w:bookmarkStart w:id="37" w:name="_Methodology"/>
      <w:bookmarkStart w:id="38" w:name="_Toc338852107"/>
      <w:bookmarkStart w:id="39" w:name="_Toc338876307"/>
      <w:bookmarkStart w:id="40" w:name="_Toc338937698"/>
      <w:bookmarkStart w:id="41" w:name="_Toc339461198"/>
      <w:bookmarkStart w:id="42" w:name="_Toc355880481"/>
      <w:bookmarkStart w:id="43" w:name="_Toc440038427"/>
      <w:bookmarkEnd w:id="37"/>
      <w:r w:rsidRPr="00C14CE5">
        <w:t>Methodology</w:t>
      </w:r>
      <w:bookmarkEnd w:id="38"/>
      <w:bookmarkEnd w:id="39"/>
      <w:bookmarkEnd w:id="40"/>
      <w:bookmarkEnd w:id="41"/>
      <w:bookmarkEnd w:id="42"/>
      <w:bookmarkEnd w:id="43"/>
    </w:p>
    <w:p w14:paraId="2EBE2A0C" w14:textId="77777777" w:rsidR="007E2E6D" w:rsidRDefault="007E2E6D" w:rsidP="007E2E6D">
      <w:r>
        <w:t>Phase One of the evaluation involved development of the evaluation framework. The framework was developed after extensive consultation with community and non-community based stakeholders and incorporated a stakeholder workshop to present a draft evaluation framework and obtain final feedback.</w:t>
      </w:r>
    </w:p>
    <w:p w14:paraId="2EBE2A0D" w14:textId="77777777" w:rsidR="00BC0A26" w:rsidRPr="00BC0A26" w:rsidRDefault="00995725" w:rsidP="00BC0A26">
      <w:r>
        <w:t>Phase Two involved undertaking the evaluation</w:t>
      </w:r>
      <w:r w:rsidR="00000A4D">
        <w:t xml:space="preserve"> in accordance with the methodology discussed below</w:t>
      </w:r>
      <w:r w:rsidR="007E2E6D" w:rsidRPr="00F12B71">
        <w:t>.</w:t>
      </w:r>
    </w:p>
    <w:p w14:paraId="2EBE2A0E" w14:textId="77777777" w:rsidR="007E2E6D" w:rsidRDefault="007E2E6D" w:rsidP="00BC0A26">
      <w:pPr>
        <w:pStyle w:val="Heading3"/>
      </w:pPr>
      <w:r>
        <w:t>Methodology</w:t>
      </w:r>
    </w:p>
    <w:p w14:paraId="2EBE2A0F" w14:textId="77777777" w:rsidR="007E2E6D" w:rsidRPr="00C14CE5" w:rsidRDefault="007E2E6D" w:rsidP="007E2E6D">
      <w:r w:rsidRPr="00C14CE5">
        <w:t xml:space="preserve">The methodology utilised for </w:t>
      </w:r>
      <w:r>
        <w:t>inform</w:t>
      </w:r>
      <w:r w:rsidRPr="00C14CE5">
        <w:t>ing the</w:t>
      </w:r>
      <w:r>
        <w:t xml:space="preserve"> evaluation </w:t>
      </w:r>
      <w:r w:rsidRPr="00C14CE5">
        <w:t>included:</w:t>
      </w:r>
    </w:p>
    <w:p w14:paraId="2EBE2A10" w14:textId="77777777" w:rsidR="007E2E6D" w:rsidRDefault="007E2E6D" w:rsidP="0083588E">
      <w:pPr>
        <w:numPr>
          <w:ilvl w:val="0"/>
          <w:numId w:val="31"/>
        </w:numPr>
        <w:spacing w:before="120" w:after="120"/>
      </w:pPr>
      <w:r>
        <w:t>Obtaining ethics approval from the, Cairns and Hinterland, Cape York, Torres Strait and Northern Peninsular Hospital and Health Services Human Research Ethics Committee and Site Specific Assessment and approval from Cape York Hospital and Health Service (CYYHS)</w:t>
      </w:r>
    </w:p>
    <w:p w14:paraId="2EBE2A11" w14:textId="77777777" w:rsidR="007E2E6D" w:rsidRDefault="007E2E6D" w:rsidP="0083588E">
      <w:pPr>
        <w:numPr>
          <w:ilvl w:val="0"/>
          <w:numId w:val="31"/>
        </w:numPr>
        <w:spacing w:before="120" w:after="120"/>
      </w:pPr>
      <w:r w:rsidRPr="00C14CE5">
        <w:t>Developing and circulating a consultation framework consistent with the evaluation framework</w:t>
      </w:r>
    </w:p>
    <w:p w14:paraId="2EBE2A12" w14:textId="77777777" w:rsidR="007E2E6D" w:rsidRDefault="007E2E6D" w:rsidP="0083588E">
      <w:pPr>
        <w:numPr>
          <w:ilvl w:val="0"/>
          <w:numId w:val="31"/>
        </w:numPr>
        <w:spacing w:before="120" w:after="120"/>
      </w:pPr>
      <w:r>
        <w:t>Conducting three rounds of site visits (February/March 2013, September 2013 and March/April 2014, to all four WBC communities and consulting with:</w:t>
      </w:r>
    </w:p>
    <w:p w14:paraId="2EBE2A13" w14:textId="77777777" w:rsidR="007E2E6D" w:rsidRDefault="001B1EA0" w:rsidP="0083588E">
      <w:pPr>
        <w:numPr>
          <w:ilvl w:val="1"/>
          <w:numId w:val="31"/>
        </w:numPr>
        <w:spacing w:before="120" w:after="120"/>
      </w:pPr>
      <w:r>
        <w:t>T</w:t>
      </w:r>
      <w:r w:rsidR="007E2E6D" w:rsidRPr="00C14CE5">
        <w:t>he RFDS management team</w:t>
      </w:r>
      <w:r w:rsidR="007E2E6D">
        <w:t xml:space="preserve"> and staff</w:t>
      </w:r>
      <w:r w:rsidR="007E2E6D" w:rsidRPr="00C14CE5">
        <w:t xml:space="preserve"> responsible for the delivery and operation of the WBCs</w:t>
      </w:r>
      <w:r w:rsidR="007E2E6D">
        <w:t xml:space="preserve"> at the local level</w:t>
      </w:r>
    </w:p>
    <w:p w14:paraId="2EBE2A14" w14:textId="77777777" w:rsidR="007E2E6D" w:rsidRDefault="001B1EA0" w:rsidP="0083588E">
      <w:pPr>
        <w:numPr>
          <w:ilvl w:val="1"/>
          <w:numId w:val="31"/>
        </w:numPr>
        <w:spacing w:before="120" w:after="120"/>
      </w:pPr>
      <w:r>
        <w:t>A</w:t>
      </w:r>
      <w:r w:rsidR="007E2E6D">
        <w:t xml:space="preserve"> wide range of partners and other organisational stakeholders</w:t>
      </w:r>
      <w:r w:rsidR="007E2E6D" w:rsidRPr="000033FC">
        <w:t xml:space="preserve"> </w:t>
      </w:r>
      <w:r w:rsidR="007E2E6D">
        <w:t xml:space="preserve">at the community level, for example Queensland Health clinic, Queensland </w:t>
      </w:r>
      <w:r w:rsidR="00995725">
        <w:t>H</w:t>
      </w:r>
      <w:r w:rsidR="007E2E6D">
        <w:t xml:space="preserve">ealth Mental Health </w:t>
      </w:r>
      <w:r w:rsidR="007E2E6D" w:rsidRPr="00C43239">
        <w:t xml:space="preserve">and </w:t>
      </w:r>
      <w:r w:rsidR="007E2E6D" w:rsidRPr="00C43239">
        <w:rPr>
          <w:szCs w:val="20"/>
        </w:rPr>
        <w:t>Alcohol Tobacco and Other Drug Services</w:t>
      </w:r>
      <w:r w:rsidR="007E2E6D" w:rsidRPr="00C43239">
        <w:t xml:space="preserve"> (ATODS staff), Apunipima, FRC Coordinators and available Commissioners, </w:t>
      </w:r>
      <w:r w:rsidR="007E2E6D" w:rsidRPr="00C43239">
        <w:rPr>
          <w:szCs w:val="20"/>
        </w:rPr>
        <w:t xml:space="preserve">Cape York </w:t>
      </w:r>
      <w:r w:rsidR="007E2E6D" w:rsidRPr="00C43239">
        <w:t>Partnerships, Child Safety, Police, Probation and Parole, Local Pro</w:t>
      </w:r>
      <w:r w:rsidR="00782511">
        <w:t>gram Office (refer to Appendix 2</w:t>
      </w:r>
      <w:r w:rsidR="007E2E6D" w:rsidRPr="00C43239">
        <w:t xml:space="preserve"> for details of stakeholders consulted)</w:t>
      </w:r>
    </w:p>
    <w:p w14:paraId="2EBE2A15" w14:textId="77777777" w:rsidR="007E2E6D" w:rsidRDefault="001B1EA0" w:rsidP="0083588E">
      <w:pPr>
        <w:numPr>
          <w:ilvl w:val="1"/>
          <w:numId w:val="31"/>
        </w:numPr>
        <w:spacing w:before="120" w:after="120"/>
      </w:pPr>
      <w:r>
        <w:lastRenderedPageBreak/>
        <w:t>Cli</w:t>
      </w:r>
      <w:r w:rsidR="007E2E6D">
        <w:t>ents of the service who had consented to participate in a more detailed interview and review of their referral status, reason for attendance, services received, impact/outcomes and overall</w:t>
      </w:r>
      <w:r w:rsidR="00272437">
        <w:t xml:space="preserve"> satisfaction with the service</w:t>
      </w:r>
    </w:p>
    <w:p w14:paraId="2EBE2A16" w14:textId="77777777" w:rsidR="007E2E6D" w:rsidRPr="000E154F" w:rsidRDefault="001B1EA0" w:rsidP="0083588E">
      <w:pPr>
        <w:numPr>
          <w:ilvl w:val="1"/>
          <w:numId w:val="31"/>
        </w:numPr>
        <w:spacing w:before="120" w:after="120"/>
      </w:pPr>
      <w:r>
        <w:t>O</w:t>
      </w:r>
      <w:r w:rsidRPr="00C43239">
        <w:t>v</w:t>
      </w:r>
      <w:r w:rsidR="007E2E6D" w:rsidRPr="00C43239">
        <w:t xml:space="preserve">erall </w:t>
      </w:r>
      <w:r w:rsidR="007E2E6D">
        <w:t xml:space="preserve">51 distinct </w:t>
      </w:r>
      <w:r w:rsidR="007E2E6D" w:rsidRPr="00C43239">
        <w:t>clients have been interviewed. Where applicable data presented in this report is based on the total number of clients interviewed.</w:t>
      </w:r>
      <w:r w:rsidR="007E2E6D">
        <w:t xml:space="preserve"> </w:t>
      </w:r>
      <w:r w:rsidR="007E2E6D" w:rsidRPr="000E154F">
        <w:t>Four clients were interviewed in both evaluation rounds and only data from their latest interview has been included in this report.</w:t>
      </w:r>
    </w:p>
    <w:p w14:paraId="2EBE2A17" w14:textId="77777777" w:rsidR="007E2E6D" w:rsidRPr="000E154F" w:rsidRDefault="001B1EA0" w:rsidP="0083588E">
      <w:pPr>
        <w:numPr>
          <w:ilvl w:val="1"/>
          <w:numId w:val="31"/>
        </w:numPr>
        <w:spacing w:before="120" w:after="120"/>
      </w:pPr>
      <w:r>
        <w:t>D</w:t>
      </w:r>
      <w:r w:rsidR="007E2E6D" w:rsidRPr="000E154F">
        <w:t xml:space="preserve">etails of </w:t>
      </w:r>
      <w:r w:rsidR="007E2E6D">
        <w:t xml:space="preserve">the </w:t>
      </w:r>
      <w:r w:rsidR="007E2E6D" w:rsidRPr="000E154F">
        <w:t>clients interviewed included:</w:t>
      </w:r>
    </w:p>
    <w:p w14:paraId="2EBE2A18" w14:textId="77777777" w:rsidR="007E2E6D" w:rsidRPr="000E154F" w:rsidRDefault="007E2E6D" w:rsidP="0083588E">
      <w:pPr>
        <w:numPr>
          <w:ilvl w:val="2"/>
          <w:numId w:val="31"/>
        </w:numPr>
        <w:spacing w:before="120" w:after="120"/>
      </w:pPr>
      <w:r w:rsidRPr="000E154F">
        <w:t>Aurukun - 19, Hopevale - 6, Coen – 11 and Mossman Gorge – 15</w:t>
      </w:r>
    </w:p>
    <w:p w14:paraId="2EBE2A19" w14:textId="77777777" w:rsidR="007E2E6D" w:rsidRPr="000E154F" w:rsidRDefault="007E2E6D" w:rsidP="0083588E">
      <w:pPr>
        <w:numPr>
          <w:ilvl w:val="2"/>
          <w:numId w:val="31"/>
        </w:numPr>
        <w:spacing w:before="120" w:after="120"/>
      </w:pPr>
      <w:r w:rsidRPr="000E154F">
        <w:t>Age ranged from 17 – 69 years with the average age being 38.5 years</w:t>
      </w:r>
    </w:p>
    <w:p w14:paraId="2EBE2A1A" w14:textId="77777777" w:rsidR="007E2E6D" w:rsidRPr="000E154F" w:rsidRDefault="007E2E6D" w:rsidP="0083588E">
      <w:pPr>
        <w:numPr>
          <w:ilvl w:val="2"/>
          <w:numId w:val="31"/>
        </w:numPr>
        <w:spacing w:before="120" w:after="120"/>
      </w:pPr>
      <w:r w:rsidRPr="000E154F">
        <w:t>34 m</w:t>
      </w:r>
      <w:r>
        <w:t>a</w:t>
      </w:r>
      <w:r w:rsidRPr="000E154F">
        <w:t>les and 17 females</w:t>
      </w:r>
    </w:p>
    <w:p w14:paraId="2EBE2A1B" w14:textId="77777777" w:rsidR="007E2E6D" w:rsidRPr="000E154F" w:rsidRDefault="007E2E6D" w:rsidP="0083588E">
      <w:pPr>
        <w:numPr>
          <w:ilvl w:val="2"/>
          <w:numId w:val="31"/>
        </w:numPr>
        <w:spacing w:before="120" w:after="120"/>
      </w:pPr>
      <w:r w:rsidRPr="000E154F">
        <w:t>64% of clients attended regularly or frequently</w:t>
      </w:r>
    </w:p>
    <w:p w14:paraId="2EBE2A1C" w14:textId="77777777" w:rsidR="007E2E6D" w:rsidRPr="009F1CFC" w:rsidRDefault="007E2E6D" w:rsidP="0083588E">
      <w:pPr>
        <w:numPr>
          <w:ilvl w:val="2"/>
          <w:numId w:val="31"/>
        </w:numPr>
        <w:spacing w:before="120" w:after="120"/>
      </w:pPr>
      <w:r w:rsidRPr="009F1CFC">
        <w:t xml:space="preserve">Major reasons for attendance were mental health disorders, alcohol and other drug dependence, anger management/domestic violence and welfare support. A more detailed profile of the clients who were interviewed is contained in Appendix </w:t>
      </w:r>
      <w:r w:rsidR="00782511">
        <w:t>3</w:t>
      </w:r>
      <w:r w:rsidRPr="009F1CFC">
        <w:t>.</w:t>
      </w:r>
    </w:p>
    <w:p w14:paraId="2EBE2A1D" w14:textId="77777777" w:rsidR="007E2E6D" w:rsidRDefault="007E2E6D" w:rsidP="007E2E6D">
      <w:pPr>
        <w:pStyle w:val="Bullet1"/>
        <w:numPr>
          <w:ilvl w:val="0"/>
          <w:numId w:val="0"/>
        </w:numPr>
        <w:ind w:left="680"/>
        <w:rPr>
          <w:lang w:val="en-AU"/>
        </w:rPr>
      </w:pPr>
      <w:r w:rsidRPr="00B26629">
        <w:t xml:space="preserve">Clients were recruited by the local WBC team leaders who were asked to recruit and consent a cross section of clients who presented for different reasons and with varying levels of complexity e.g. </w:t>
      </w:r>
      <w:r>
        <w:t xml:space="preserve">alcohol and or other </w:t>
      </w:r>
      <w:r w:rsidRPr="00B26629">
        <w:t>drug</w:t>
      </w:r>
      <w:r>
        <w:t>s</w:t>
      </w:r>
      <w:r w:rsidRPr="00B26629">
        <w:t xml:space="preserve">, mental health, were both male and female, who were from different age groups, and including some clients who were initially mandated to attend and some who were voluntary attendees.  </w:t>
      </w:r>
    </w:p>
    <w:p w14:paraId="2EBE2A1E" w14:textId="77777777" w:rsidR="007E2E6D" w:rsidRPr="00B25638" w:rsidRDefault="007E2E6D" w:rsidP="007E2E6D">
      <w:pPr>
        <w:pStyle w:val="Bullet1"/>
        <w:numPr>
          <w:ilvl w:val="0"/>
          <w:numId w:val="0"/>
        </w:numPr>
        <w:ind w:left="680"/>
        <w:rPr>
          <w:rFonts w:eastAsia="Calibri"/>
          <w:lang w:val="en-AU"/>
        </w:rPr>
      </w:pPr>
      <w:r w:rsidRPr="00B26629">
        <w:t xml:space="preserve">Clients selected had to have the capacity to consent and their participation was not </w:t>
      </w:r>
      <w:r w:rsidRPr="00B26629">
        <w:rPr>
          <w:rFonts w:eastAsia="Calibri"/>
        </w:rPr>
        <w:t>to present any known risk or be detrimental to the</w:t>
      </w:r>
      <w:r>
        <w:rPr>
          <w:rFonts w:eastAsia="Calibri"/>
          <w:lang w:val="en-AU"/>
        </w:rPr>
        <w:t>m.</w:t>
      </w:r>
      <w:r w:rsidRPr="00B26629">
        <w:rPr>
          <w:rFonts w:eastAsia="Calibri"/>
        </w:rPr>
        <w:t xml:space="preserve"> In addition the client to be interviewed had to be locatable and available on the days the interviews were conducted, which proved challenging</w:t>
      </w:r>
      <w:r>
        <w:rPr>
          <w:rFonts w:eastAsia="Calibri"/>
          <w:lang w:val="en-AU"/>
        </w:rPr>
        <w:t xml:space="preserve"> particularly when trying to conduct repeat interviews</w:t>
      </w:r>
      <w:r w:rsidRPr="00B26629">
        <w:rPr>
          <w:rFonts w:eastAsia="Calibri"/>
        </w:rPr>
        <w:t xml:space="preserve">. </w:t>
      </w:r>
      <w:r>
        <w:rPr>
          <w:rFonts w:eastAsia="Calibri"/>
          <w:lang w:val="en-AU"/>
        </w:rPr>
        <w:t>The aim was also to interview immediate family members or significant others, however, this did not occur for most of the clients we interviewed.</w:t>
      </w:r>
    </w:p>
    <w:p w14:paraId="2EBE2A1F" w14:textId="77777777" w:rsidR="007E2E6D" w:rsidRDefault="007E2E6D" w:rsidP="007E2E6D">
      <w:pPr>
        <w:pStyle w:val="Bullet1"/>
        <w:numPr>
          <w:ilvl w:val="0"/>
          <w:numId w:val="0"/>
        </w:numPr>
        <w:ind w:left="680"/>
        <w:rPr>
          <w:lang w:val="en-AU"/>
        </w:rPr>
      </w:pPr>
      <w:r w:rsidRPr="00395055">
        <w:t xml:space="preserve">Based on the profile of clients interviewed HOI is satisfied that the profile of clients interviewed adequately reflects the broad profile of WBC clients with the exception </w:t>
      </w:r>
      <w:r>
        <w:rPr>
          <w:lang w:val="en-AU"/>
        </w:rPr>
        <w:t xml:space="preserve">of </w:t>
      </w:r>
      <w:r w:rsidRPr="00395055">
        <w:t>young people under the age of 25</w:t>
      </w:r>
      <w:r>
        <w:t>. We interviewed 7 people 25 years of age or younger (14% of those interviewed) compared to the 26</w:t>
      </w:r>
      <w:r w:rsidRPr="00E90478">
        <w:t xml:space="preserve">% of WBC clients who are under the age of </w:t>
      </w:r>
      <w:r w:rsidRPr="00975F5C">
        <w:t>25.</w:t>
      </w:r>
    </w:p>
    <w:p w14:paraId="2EBE2A20" w14:textId="77777777" w:rsidR="00995725" w:rsidRPr="00995725" w:rsidRDefault="00995725" w:rsidP="007E2E6D">
      <w:pPr>
        <w:pStyle w:val="Bullet1"/>
        <w:numPr>
          <w:ilvl w:val="0"/>
          <w:numId w:val="0"/>
        </w:numPr>
        <w:ind w:left="680"/>
        <w:rPr>
          <w:rFonts w:eastAsia="Calibri"/>
          <w:lang w:val="en-AU"/>
        </w:rPr>
      </w:pPr>
      <w:r>
        <w:rPr>
          <w:rFonts w:eastAsia="Calibri"/>
          <w:lang w:val="en-AU"/>
        </w:rPr>
        <w:t>It was not intended that a statistically significant number of clients would be interviewed. The intent was to interview 30 to 50 clients to obtain qualitative information about the services they received and the outcomes achieved. The information obtained was to supplement other data sources to increase confidence in the overall findings</w:t>
      </w:r>
    </w:p>
    <w:p w14:paraId="2EBE2A21" w14:textId="77777777" w:rsidR="007E2E6D" w:rsidRPr="00E90478" w:rsidRDefault="007E2E6D" w:rsidP="0083588E">
      <w:pPr>
        <w:numPr>
          <w:ilvl w:val="1"/>
          <w:numId w:val="31"/>
        </w:numPr>
        <w:spacing w:before="120" w:after="120"/>
      </w:pPr>
      <w:r w:rsidRPr="00E90478">
        <w:t xml:space="preserve">Undertaking a survey with community members. Overall </w:t>
      </w:r>
      <w:r>
        <w:t>351</w:t>
      </w:r>
      <w:r w:rsidRPr="00E90478">
        <w:t xml:space="preserve"> community members have been interviewed </w:t>
      </w:r>
      <w:r>
        <w:t>over the three community visits which exceeds a 95% confidence level</w:t>
      </w:r>
      <w:r w:rsidR="00782511">
        <w:t xml:space="preserve"> based on the combined total adult population</w:t>
      </w:r>
      <w:r>
        <w:t xml:space="preserve">. </w:t>
      </w:r>
      <w:r w:rsidRPr="00E90478">
        <w:t xml:space="preserve">We were satisfied that there was minimal overlap. Of the </w:t>
      </w:r>
      <w:r>
        <w:t>351</w:t>
      </w:r>
      <w:r w:rsidRPr="00E90478">
        <w:t xml:space="preserve"> </w:t>
      </w:r>
      <w:r w:rsidRPr="00E90478">
        <w:rPr>
          <w:lang w:eastAsia="en-AU"/>
        </w:rPr>
        <w:t xml:space="preserve">community members interviewed </w:t>
      </w:r>
      <w:r>
        <w:rPr>
          <w:lang w:eastAsia="en-AU"/>
        </w:rPr>
        <w:t>186 (53%)</w:t>
      </w:r>
      <w:r w:rsidRPr="00E90478">
        <w:rPr>
          <w:lang w:eastAsia="en-AU"/>
        </w:rPr>
        <w:t xml:space="preserve"> were male and </w:t>
      </w:r>
      <w:r>
        <w:rPr>
          <w:lang w:eastAsia="en-AU"/>
        </w:rPr>
        <w:t>165 (47%)</w:t>
      </w:r>
      <w:r w:rsidRPr="00E90478">
        <w:rPr>
          <w:lang w:eastAsia="en-AU"/>
        </w:rPr>
        <w:t xml:space="preserve"> female</w:t>
      </w:r>
      <w:r>
        <w:rPr>
          <w:lang w:eastAsia="en-AU"/>
        </w:rPr>
        <w:t xml:space="preserve"> and a total of 284 (81%) had been to the WBC but not necessarily as clients</w:t>
      </w:r>
      <w:r w:rsidRPr="00E90478">
        <w:rPr>
          <w:lang w:eastAsia="en-AU"/>
        </w:rPr>
        <w:t xml:space="preserve">. We interviewed </w:t>
      </w:r>
      <w:r>
        <w:rPr>
          <w:lang w:eastAsia="en-AU"/>
        </w:rPr>
        <w:t>130</w:t>
      </w:r>
      <w:r w:rsidRPr="00E90478">
        <w:rPr>
          <w:lang w:eastAsia="en-AU"/>
        </w:rPr>
        <w:t xml:space="preserve"> community members in Aurukun, </w:t>
      </w:r>
      <w:r>
        <w:rPr>
          <w:lang w:eastAsia="en-AU"/>
        </w:rPr>
        <w:t>46</w:t>
      </w:r>
      <w:r w:rsidRPr="00E90478">
        <w:rPr>
          <w:lang w:eastAsia="en-AU"/>
        </w:rPr>
        <w:t xml:space="preserve"> in Coen, </w:t>
      </w:r>
      <w:r>
        <w:rPr>
          <w:lang w:eastAsia="en-AU"/>
        </w:rPr>
        <w:t>134</w:t>
      </w:r>
      <w:r w:rsidRPr="00E90478">
        <w:rPr>
          <w:lang w:eastAsia="en-AU"/>
        </w:rPr>
        <w:t xml:space="preserve"> in Hopevale, and </w:t>
      </w:r>
      <w:r>
        <w:rPr>
          <w:lang w:eastAsia="en-AU"/>
        </w:rPr>
        <w:t>41 in Mossman Gorge</w:t>
      </w:r>
      <w:r w:rsidRPr="00E90478">
        <w:rPr>
          <w:lang w:eastAsia="en-AU"/>
        </w:rPr>
        <w:t>.</w:t>
      </w:r>
    </w:p>
    <w:p w14:paraId="2EBE2A22" w14:textId="77777777" w:rsidR="00447E79" w:rsidRDefault="007E2E6D" w:rsidP="007E2E6D">
      <w:pPr>
        <w:spacing w:before="120" w:after="120"/>
        <w:ind w:left="680"/>
      </w:pPr>
      <w:r>
        <w:t>Community members were selected opportunistically by the consulting team with the support of WBC Indigenous, other staff and supportive members of the community. They were chosen because they were available</w:t>
      </w:r>
      <w:r w:rsidR="00782511">
        <w:t>, generally</w:t>
      </w:r>
      <w:r>
        <w:t xml:space="preserve"> in public spaces and were prepared to talk to the consulting team. A number of people were approached who did not want to complete a survey interview. </w:t>
      </w:r>
      <w:r w:rsidR="00782511">
        <w:t>Some p</w:t>
      </w:r>
      <w:r>
        <w:t xml:space="preserve">eople were also interviewed in their own home. HOI considers the mix of males and females interviewed was satisfactory. </w:t>
      </w:r>
    </w:p>
    <w:p w14:paraId="2EBE2A23" w14:textId="77777777" w:rsidR="007E2E6D" w:rsidRPr="0027101F" w:rsidRDefault="007E2E6D" w:rsidP="007E2E6D">
      <w:pPr>
        <w:spacing w:before="120" w:after="120"/>
        <w:ind w:left="680"/>
        <w:rPr>
          <w:color w:val="1F497D" w:themeColor="text2"/>
        </w:rPr>
      </w:pPr>
      <w:r>
        <w:lastRenderedPageBreak/>
        <w:t xml:space="preserve">No </w:t>
      </w:r>
      <w:r w:rsidR="00782511">
        <w:t xml:space="preserve">specific </w:t>
      </w:r>
      <w:r>
        <w:t>record was maintained of people’s ages however based on our records approximately 25% of community members interviewed were younger (say under 30 years) and 25% were older (say greater than 50 years) with 50% being between 30 and 50 years</w:t>
      </w:r>
      <w:r>
        <w:rPr>
          <w:color w:val="1F497D" w:themeColor="text2"/>
        </w:rPr>
        <w:t>.</w:t>
      </w:r>
    </w:p>
    <w:p w14:paraId="2EBE2A24" w14:textId="77777777" w:rsidR="007E2E6D" w:rsidRPr="00E04B19" w:rsidRDefault="007E2E6D" w:rsidP="0083588E">
      <w:pPr>
        <w:numPr>
          <w:ilvl w:val="0"/>
          <w:numId w:val="31"/>
        </w:numPr>
        <w:spacing w:before="120" w:after="120"/>
        <w:rPr>
          <w:szCs w:val="22"/>
        </w:rPr>
      </w:pPr>
      <w:r w:rsidRPr="00CD7135">
        <w:rPr>
          <w:szCs w:val="22"/>
        </w:rPr>
        <w:t>Consulting with key Cairns based stakeholder</w:t>
      </w:r>
      <w:r w:rsidRPr="00951CC7">
        <w:rPr>
          <w:szCs w:val="22"/>
        </w:rPr>
        <w:t>s</w:t>
      </w:r>
      <w:r w:rsidRPr="0040134C">
        <w:rPr>
          <w:szCs w:val="22"/>
        </w:rPr>
        <w:t xml:space="preserve"> including the Family Responsibilities Commission</w:t>
      </w:r>
      <w:r>
        <w:rPr>
          <w:szCs w:val="22"/>
        </w:rPr>
        <w:t xml:space="preserve"> (FRC) and </w:t>
      </w:r>
      <w:r w:rsidRPr="00AA1FDB">
        <w:rPr>
          <w:szCs w:val="22"/>
        </w:rPr>
        <w:t>Queensland Health</w:t>
      </w:r>
      <w:r w:rsidRPr="00CD7135">
        <w:rPr>
          <w:szCs w:val="22"/>
        </w:rPr>
        <w:t>,</w:t>
      </w:r>
      <w:r>
        <w:rPr>
          <w:szCs w:val="22"/>
        </w:rPr>
        <w:t xml:space="preserve"> presenting to and obtaining feedback </w:t>
      </w:r>
      <w:r w:rsidRPr="00E04B19">
        <w:rPr>
          <w:szCs w:val="22"/>
        </w:rPr>
        <w:t>from the Cape York Welfare Reform Trial Advisory Board</w:t>
      </w:r>
      <w:r>
        <w:rPr>
          <w:szCs w:val="22"/>
        </w:rPr>
        <w:t xml:space="preserve"> </w:t>
      </w:r>
      <w:r w:rsidRPr="00E04B19">
        <w:rPr>
          <w:szCs w:val="22"/>
        </w:rPr>
        <w:t>on the Phase One Evaluation Report</w:t>
      </w:r>
      <w:r>
        <w:rPr>
          <w:szCs w:val="22"/>
        </w:rPr>
        <w:t xml:space="preserve"> and conducting a stakeholder workshop (24 March 2014) to present and obtain feedback on the findings from the Phase Two Evaluation Report (refer Appendix </w:t>
      </w:r>
      <w:r w:rsidR="00782511">
        <w:rPr>
          <w:szCs w:val="22"/>
        </w:rPr>
        <w:t>2</w:t>
      </w:r>
      <w:r>
        <w:rPr>
          <w:szCs w:val="22"/>
        </w:rPr>
        <w:t xml:space="preserve"> for stakeholders consulted).</w:t>
      </w:r>
    </w:p>
    <w:p w14:paraId="2EBE2A25" w14:textId="77777777" w:rsidR="007E2E6D" w:rsidRPr="00284B34" w:rsidRDefault="007E2E6D" w:rsidP="0083588E">
      <w:pPr>
        <w:numPr>
          <w:ilvl w:val="0"/>
          <w:numId w:val="31"/>
        </w:numPr>
      </w:pPr>
      <w:r w:rsidRPr="0076130D">
        <w:t xml:space="preserve">Administering a </w:t>
      </w:r>
      <w:r>
        <w:t xml:space="preserve">WBC </w:t>
      </w:r>
      <w:r w:rsidRPr="0076130D">
        <w:t xml:space="preserve">staff survey </w:t>
      </w:r>
      <w:r>
        <w:t xml:space="preserve">for </w:t>
      </w:r>
      <w:r w:rsidRPr="0076130D">
        <w:t xml:space="preserve">both </w:t>
      </w:r>
      <w:r>
        <w:t xml:space="preserve">those working in </w:t>
      </w:r>
      <w:r w:rsidRPr="0076130D">
        <w:t>the</w:t>
      </w:r>
      <w:r>
        <w:t xml:space="preserve"> community </w:t>
      </w:r>
      <w:r w:rsidRPr="0076130D">
        <w:t xml:space="preserve">and at Cairns base. </w:t>
      </w:r>
      <w:r>
        <w:t xml:space="preserve">Fourteen staff </w:t>
      </w:r>
      <w:r w:rsidRPr="0076130D">
        <w:t>responded to the survey, a response rate of</w:t>
      </w:r>
      <w:r>
        <w:t xml:space="preserve"> approximately 45%. (</w:t>
      </w:r>
      <w:r w:rsidRPr="00CE18C5">
        <w:t xml:space="preserve">For a more detailed profile of the </w:t>
      </w:r>
      <w:r>
        <w:t>respondents</w:t>
      </w:r>
      <w:r w:rsidRPr="00CE18C5">
        <w:t xml:space="preserve"> refer </w:t>
      </w:r>
      <w:r w:rsidRPr="00391B80">
        <w:t xml:space="preserve">to </w:t>
      </w:r>
      <w:r w:rsidRPr="00284B34">
        <w:t xml:space="preserve">Appendix </w:t>
      </w:r>
      <w:r w:rsidR="00782511">
        <w:t>4</w:t>
      </w:r>
      <w:r w:rsidRPr="00284B34">
        <w:t>.)</w:t>
      </w:r>
      <w:r w:rsidRPr="00EC40DF">
        <w:t xml:space="preserve"> While staff survey data is informative it cannot be considered definitive given the limited number of responses. It was supplemented by conducting staff and management interviews during comm</w:t>
      </w:r>
      <w:r>
        <w:t>unity visits and at Cairns base.</w:t>
      </w:r>
    </w:p>
    <w:p w14:paraId="2EBE2A26" w14:textId="77777777" w:rsidR="007E2E6D" w:rsidRDefault="007E2E6D" w:rsidP="0083588E">
      <w:pPr>
        <w:numPr>
          <w:ilvl w:val="0"/>
          <w:numId w:val="31"/>
        </w:numPr>
      </w:pPr>
      <w:r>
        <w:t>Analysis of available RFDS service and outcome data including drawing on relevant data presented in the Interim Data Report (October 2013) and subsequent information made available by RFDS.</w:t>
      </w:r>
    </w:p>
    <w:p w14:paraId="2EBE2A27" w14:textId="77777777" w:rsidR="007E2E6D" w:rsidRDefault="007E2E6D" w:rsidP="0083588E">
      <w:pPr>
        <w:numPr>
          <w:ilvl w:val="0"/>
          <w:numId w:val="31"/>
        </w:numPr>
      </w:pPr>
      <w:r>
        <w:t>Analysis of Cape York Hospital and Health Services clinic data in the four WBC communities in relation to presentations related to alcohol, other drugs and assault since 2004/5</w:t>
      </w:r>
      <w:r w:rsidR="00AA51AE">
        <w:t>.</w:t>
      </w:r>
    </w:p>
    <w:p w14:paraId="2EBE2A28" w14:textId="77777777" w:rsidR="007E2E6D" w:rsidRDefault="007E2E6D" w:rsidP="0083588E">
      <w:pPr>
        <w:numPr>
          <w:ilvl w:val="0"/>
          <w:numId w:val="31"/>
        </w:numPr>
      </w:pPr>
      <w:r>
        <w:t xml:space="preserve">A review of the key indicators presented in </w:t>
      </w:r>
      <w:r w:rsidRPr="00C61C8C">
        <w:rPr>
          <w:i/>
        </w:rPr>
        <w:t xml:space="preserve">the Annual Bulletin for Queensland’s Discrete Indigenous </w:t>
      </w:r>
      <w:r>
        <w:rPr>
          <w:i/>
        </w:rPr>
        <w:t>Communities</w:t>
      </w:r>
      <w:r w:rsidRPr="00C61C8C">
        <w:rPr>
          <w:i/>
        </w:rPr>
        <w:t xml:space="preserve">: 2011/12 </w:t>
      </w:r>
      <w:r>
        <w:t>published in April 2013 by the Queensland Government.</w:t>
      </w:r>
    </w:p>
    <w:p w14:paraId="2EBE2A29" w14:textId="77777777" w:rsidR="007E2E6D" w:rsidRPr="005565A9" w:rsidRDefault="007E2E6D" w:rsidP="007E2E6D">
      <w:pPr>
        <w:rPr>
          <w:lang w:eastAsia="x-none"/>
        </w:rPr>
      </w:pPr>
      <w:r w:rsidRPr="005565A9">
        <w:rPr>
          <w:lang w:eastAsia="x-none"/>
        </w:rPr>
        <w:t xml:space="preserve">This report </w:t>
      </w:r>
      <w:r>
        <w:rPr>
          <w:lang w:eastAsia="x-none"/>
        </w:rPr>
        <w:t xml:space="preserve">also </w:t>
      </w:r>
      <w:r w:rsidRPr="005565A9">
        <w:rPr>
          <w:lang w:eastAsia="x-none"/>
        </w:rPr>
        <w:t>makes reference to the Cape York Welfare Reform Evaluation</w:t>
      </w:r>
      <w:r w:rsidR="00126E7F">
        <w:rPr>
          <w:lang w:eastAsia="x-none"/>
        </w:rPr>
        <w:t xml:space="preserve"> (</w:t>
      </w:r>
      <w:r w:rsidRPr="005565A9">
        <w:rPr>
          <w:lang w:eastAsia="x-none"/>
        </w:rPr>
        <w:t>2012</w:t>
      </w:r>
      <w:r w:rsidR="00126E7F">
        <w:rPr>
          <w:lang w:eastAsia="x-none"/>
        </w:rPr>
        <w:t xml:space="preserve">) which was an extensive evaluation commissioned by the Australian Government led by the then Department of Families, Housing, Community Services and Indigenous Affairs. </w:t>
      </w:r>
      <w:r w:rsidRPr="005565A9">
        <w:rPr>
          <w:lang w:eastAsia="x-none"/>
        </w:rPr>
        <w:t xml:space="preserve">The WBCs were not directly included in this evaluation. However, given they were established in part as a key enabling project to support the Cape York Welfare Reform (CYWR) trial and that they were a key referral agency for the FRC, feedback on their role and function including a community perspective </w:t>
      </w:r>
      <w:r>
        <w:rPr>
          <w:lang w:eastAsia="x-none"/>
        </w:rPr>
        <w:t>was</w:t>
      </w:r>
      <w:r w:rsidRPr="005565A9">
        <w:rPr>
          <w:lang w:eastAsia="x-none"/>
        </w:rPr>
        <w:t xml:space="preserve"> included in </w:t>
      </w:r>
      <w:r>
        <w:rPr>
          <w:lang w:eastAsia="x-none"/>
        </w:rPr>
        <w:t>that</w:t>
      </w:r>
      <w:r w:rsidRPr="005565A9">
        <w:rPr>
          <w:lang w:eastAsia="x-none"/>
        </w:rPr>
        <w:t xml:space="preserve"> evaluation. In addition some of the community feedback on the extent of social change is also of relevance to this evaluation.</w:t>
      </w:r>
    </w:p>
    <w:p w14:paraId="2EBE2A2A" w14:textId="77777777" w:rsidR="007E2E6D" w:rsidRPr="00DC186D" w:rsidRDefault="007E2E6D" w:rsidP="00BC0A26">
      <w:pPr>
        <w:pStyle w:val="Heading3"/>
        <w:rPr>
          <w:lang w:val="en-AU"/>
        </w:rPr>
      </w:pPr>
      <w:r>
        <w:rPr>
          <w:lang w:val="en-AU"/>
        </w:rPr>
        <w:t>L</w:t>
      </w:r>
      <w:r w:rsidRPr="00DC186D">
        <w:t>imitations</w:t>
      </w:r>
    </w:p>
    <w:p w14:paraId="2EBE2A2B" w14:textId="77777777" w:rsidR="007E2E6D" w:rsidRDefault="007E2E6D" w:rsidP="007E2E6D">
      <w:pPr>
        <w:spacing w:before="120" w:after="120"/>
      </w:pPr>
      <w:r>
        <w:t>In presenting the findings of these evaluation processes, the following limitations must be taken into consideration:</w:t>
      </w:r>
    </w:p>
    <w:p w14:paraId="2EBE2A2C" w14:textId="77777777" w:rsidR="007E2E6D" w:rsidRDefault="007E2E6D" w:rsidP="00FF37EE">
      <w:pPr>
        <w:pStyle w:val="Heading4"/>
      </w:pPr>
      <w:r>
        <w:t xml:space="preserve">Client interviews </w:t>
      </w:r>
    </w:p>
    <w:p w14:paraId="2EBE2A2D" w14:textId="77777777" w:rsidR="007E2E6D" w:rsidRDefault="007E2E6D" w:rsidP="0083588E">
      <w:pPr>
        <w:numPr>
          <w:ilvl w:val="0"/>
          <w:numId w:val="8"/>
        </w:numPr>
        <w:spacing w:before="120" w:after="120"/>
      </w:pPr>
      <w:r>
        <w:t>The client interview questions were purposefully designed not to ask leading questions, however, there was a necessity on occasion to prompt around specific aspects of the WBCs to facilitate engagement and discussion with local people</w:t>
      </w:r>
      <w:r w:rsidR="00AA51AE">
        <w:t>.</w:t>
      </w:r>
    </w:p>
    <w:p w14:paraId="2EBE2A2E" w14:textId="77777777" w:rsidR="007E2E6D" w:rsidRDefault="007E2E6D" w:rsidP="0083588E">
      <w:pPr>
        <w:numPr>
          <w:ilvl w:val="0"/>
          <w:numId w:val="8"/>
        </w:numPr>
        <w:spacing w:before="120" w:after="120"/>
      </w:pPr>
      <w:r>
        <w:t>There is the possibility that the WBC team leaders may have selected clients who had good outcomes thus biasing the results. It should be noted that this opportunity was limited to the extent that some clients the WBC selected were not available on the interview days and other clients were substituted opportunistically on the day</w:t>
      </w:r>
      <w:r w:rsidR="00AA51AE">
        <w:t>.</w:t>
      </w:r>
    </w:p>
    <w:p w14:paraId="2EBE2A2F" w14:textId="77777777" w:rsidR="007E2E6D" w:rsidRDefault="007E2E6D" w:rsidP="0083588E">
      <w:pPr>
        <w:numPr>
          <w:ilvl w:val="0"/>
          <w:numId w:val="8"/>
        </w:numPr>
        <w:spacing w:before="120" w:after="120"/>
      </w:pPr>
      <w:r>
        <w:t>There is always the possibility that participants will be more positive in their reporting, particularly where they highly value a service and perceive a possible risk to its continuity if negative responses are provided</w:t>
      </w:r>
      <w:r w:rsidR="00AA51AE">
        <w:t>.</w:t>
      </w:r>
    </w:p>
    <w:p w14:paraId="2EBE2A30" w14:textId="77777777" w:rsidR="007E2E6D" w:rsidRDefault="007E2E6D" w:rsidP="00FF37EE">
      <w:pPr>
        <w:pStyle w:val="Heading4"/>
      </w:pPr>
      <w:r>
        <w:lastRenderedPageBreak/>
        <w:t>Community survey</w:t>
      </w:r>
    </w:p>
    <w:p w14:paraId="2EBE2A31" w14:textId="77777777" w:rsidR="007E2E6D" w:rsidRDefault="007E2E6D" w:rsidP="0083588E">
      <w:pPr>
        <w:numPr>
          <w:ilvl w:val="0"/>
          <w:numId w:val="8"/>
        </w:numPr>
        <w:spacing w:before="120" w:after="120"/>
      </w:pPr>
      <w:r>
        <w:t>The community survey questions were purposefully designed not to ask leading questions, however</w:t>
      </w:r>
      <w:r w:rsidR="00782511">
        <w:t xml:space="preserve"> in some cases</w:t>
      </w:r>
      <w:r>
        <w:t>, there was a necessity to prompt around specific aspects of the WBCs to facilitate engagement and discussion with local people</w:t>
      </w:r>
      <w:r w:rsidR="00AA51AE">
        <w:t>.</w:t>
      </w:r>
    </w:p>
    <w:p w14:paraId="2EBE2A32" w14:textId="77777777" w:rsidR="007E2E6D" w:rsidRDefault="007E2E6D" w:rsidP="0083588E">
      <w:pPr>
        <w:numPr>
          <w:ilvl w:val="0"/>
          <w:numId w:val="8"/>
        </w:numPr>
        <w:spacing w:before="120" w:after="120"/>
      </w:pPr>
      <w:r>
        <w:t>There is always the possibility that participants will be more positive in their reporting, particularly where they highly value a service and perceive a possible risk to its continuity if negative responses are provided</w:t>
      </w:r>
      <w:r w:rsidR="00AA51AE">
        <w:t>.</w:t>
      </w:r>
    </w:p>
    <w:p w14:paraId="2EBE2A33" w14:textId="77777777" w:rsidR="007E2E6D" w:rsidRDefault="007E2E6D" w:rsidP="0083588E">
      <w:pPr>
        <w:numPr>
          <w:ilvl w:val="0"/>
          <w:numId w:val="8"/>
        </w:numPr>
        <w:spacing w:before="120" w:after="120"/>
      </w:pPr>
      <w:r>
        <w:t>There were only a limited number of people under the age of 20 who were surveyed so the views of this age group are not adequately reflected in this evaluation report. Note that ethics approval was not sought to consult with people under 18 years of age</w:t>
      </w:r>
      <w:r w:rsidR="00AA51AE">
        <w:t>.</w:t>
      </w:r>
    </w:p>
    <w:p w14:paraId="2EBE2A34" w14:textId="77777777" w:rsidR="007E2E6D" w:rsidRPr="00E7577B" w:rsidRDefault="007E2E6D" w:rsidP="0083588E">
      <w:pPr>
        <w:numPr>
          <w:ilvl w:val="0"/>
          <w:numId w:val="8"/>
        </w:numPr>
        <w:spacing w:before="120" w:after="120"/>
        <w:rPr>
          <w:color w:val="auto"/>
        </w:rPr>
      </w:pPr>
      <w:r w:rsidRPr="00E7577B">
        <w:rPr>
          <w:color w:val="auto"/>
        </w:rPr>
        <w:t>The methodology used to conduct the survey did not ensure the participants were representative of the community.</w:t>
      </w:r>
      <w:r>
        <w:rPr>
          <w:color w:val="auto"/>
        </w:rPr>
        <w:t xml:space="preserve"> Having said this</w:t>
      </w:r>
      <w:r w:rsidR="00995725">
        <w:rPr>
          <w:color w:val="auto"/>
        </w:rPr>
        <w:t>,</w:t>
      </w:r>
      <w:r>
        <w:rPr>
          <w:color w:val="auto"/>
        </w:rPr>
        <w:t xml:space="preserve"> a broad representation of community views was obtained</w:t>
      </w:r>
      <w:r w:rsidRPr="00E7577B">
        <w:rPr>
          <w:color w:val="auto"/>
        </w:rPr>
        <w:t xml:space="preserve"> </w:t>
      </w:r>
      <w:r>
        <w:rPr>
          <w:color w:val="auto"/>
        </w:rPr>
        <w:t>and the results</w:t>
      </w:r>
      <w:r w:rsidRPr="00E7577B">
        <w:rPr>
          <w:color w:val="auto"/>
        </w:rPr>
        <w:t xml:space="preserve"> presented have been used where possible in this report in conjunct</w:t>
      </w:r>
      <w:r>
        <w:rPr>
          <w:color w:val="auto"/>
        </w:rPr>
        <w:t>ion with other lines of enquiry</w:t>
      </w:r>
      <w:r w:rsidRPr="00E7577B">
        <w:rPr>
          <w:color w:val="auto"/>
        </w:rPr>
        <w:t>.</w:t>
      </w:r>
    </w:p>
    <w:p w14:paraId="2EBE2A35" w14:textId="77777777" w:rsidR="007E2E6D" w:rsidRPr="008A0F4F" w:rsidRDefault="007E2E6D" w:rsidP="00FF37EE">
      <w:pPr>
        <w:pStyle w:val="Heading4"/>
      </w:pPr>
      <w:r>
        <w:t>Staff survey</w:t>
      </w:r>
    </w:p>
    <w:p w14:paraId="2EBE2A36" w14:textId="77777777" w:rsidR="007E2E6D" w:rsidRDefault="007E2E6D" w:rsidP="0083588E">
      <w:pPr>
        <w:numPr>
          <w:ilvl w:val="0"/>
          <w:numId w:val="8"/>
        </w:numPr>
        <w:spacing w:before="120" w:after="120"/>
      </w:pPr>
      <w:r>
        <w:t>T</w:t>
      </w:r>
      <w:r w:rsidRPr="00CE18C5">
        <w:t xml:space="preserve">he </w:t>
      </w:r>
      <w:r>
        <w:t xml:space="preserve">staff </w:t>
      </w:r>
      <w:r w:rsidRPr="00CE18C5">
        <w:t>survey response profile provides a good basis for analysis</w:t>
      </w:r>
      <w:r>
        <w:t xml:space="preserve">, however, it must be noted that only half the staff responded and of those </w:t>
      </w:r>
      <w:r w:rsidRPr="00CE18C5">
        <w:t>48% of respondents were working at the WBCs for less than 12 months.</w:t>
      </w:r>
      <w:r>
        <w:t xml:space="preserve"> The survey was supplemented by staff interviews.</w:t>
      </w:r>
    </w:p>
    <w:p w14:paraId="2EBE2A37" w14:textId="77777777" w:rsidR="007E2E6D" w:rsidRPr="00100114" w:rsidRDefault="007E2E6D" w:rsidP="00FF37EE">
      <w:pPr>
        <w:pStyle w:val="Heading4"/>
        <w:rPr>
          <w:lang w:val="en-AU"/>
        </w:rPr>
      </w:pPr>
      <w:r w:rsidRPr="00E27B44">
        <w:t>Outcome data</w:t>
      </w:r>
    </w:p>
    <w:p w14:paraId="2EBE2A38" w14:textId="77777777" w:rsidR="007E2E6D" w:rsidRPr="004E500B" w:rsidRDefault="00656C00" w:rsidP="0083588E">
      <w:pPr>
        <w:numPr>
          <w:ilvl w:val="0"/>
          <w:numId w:val="8"/>
        </w:numPr>
        <w:spacing w:before="120" w:after="120"/>
        <w:rPr>
          <w:color w:val="auto"/>
          <w:lang w:eastAsia="x-none"/>
        </w:rPr>
      </w:pPr>
      <w:r>
        <w:rPr>
          <w:color w:val="auto"/>
          <w:lang w:eastAsia="x-none"/>
        </w:rPr>
        <w:t>Health of the Nation Outcome Scales (</w:t>
      </w:r>
      <w:r w:rsidR="007E2E6D" w:rsidRPr="00E7577B">
        <w:rPr>
          <w:color w:val="auto"/>
          <w:lang w:eastAsia="x-none"/>
        </w:rPr>
        <w:t>HoNOS</w:t>
      </w:r>
      <w:r>
        <w:rPr>
          <w:color w:val="auto"/>
          <w:lang w:eastAsia="x-none"/>
        </w:rPr>
        <w:t>)</w:t>
      </w:r>
      <w:r w:rsidR="007E2E6D" w:rsidRPr="00E7577B">
        <w:rPr>
          <w:color w:val="auto"/>
          <w:lang w:eastAsia="x-none"/>
        </w:rPr>
        <w:t xml:space="preserve"> is being used in the evaluation as it is widely used in Australian mental health services including in Indigenous populations. HoNOS has not been validated for use in Indigenous Australian populations and there are questions in relation to inter-rater reliability. Its use is supported with appropriate training and support for raters (which has occurred at the RFDS) pending the introduction of a more suitable tool </w:t>
      </w:r>
      <w:r w:rsidR="00995725">
        <w:rPr>
          <w:color w:val="auto"/>
          <w:lang w:eastAsia="x-none"/>
        </w:rPr>
        <w:t xml:space="preserve">in the sector </w:t>
      </w:r>
      <w:r w:rsidR="007E2E6D" w:rsidRPr="00E7577B">
        <w:rPr>
          <w:color w:val="auto"/>
          <w:lang w:eastAsia="x-none"/>
        </w:rPr>
        <w:t xml:space="preserve">in the long </w:t>
      </w:r>
      <w:r w:rsidR="0081657B">
        <w:rPr>
          <w:color w:val="auto"/>
          <w:lang w:eastAsia="x-none"/>
        </w:rPr>
        <w:t>term</w:t>
      </w:r>
      <w:r w:rsidR="00A86294">
        <w:rPr>
          <w:color w:val="auto"/>
          <w:lang w:eastAsia="x-none"/>
        </w:rPr>
        <w:t>.</w:t>
      </w:r>
      <w:r w:rsidR="007E2E6D" w:rsidRPr="00E7577B">
        <w:rPr>
          <w:rStyle w:val="FootnoteReference"/>
          <w:color w:val="auto"/>
          <w:lang w:eastAsia="x-none"/>
        </w:rPr>
        <w:footnoteReference w:id="3"/>
      </w:r>
      <w:r w:rsidR="00272437" w:rsidRPr="00272437">
        <w:rPr>
          <w:color w:val="auto"/>
          <w:sz w:val="16"/>
          <w:szCs w:val="16"/>
          <w:vertAlign w:val="superscript"/>
          <w:lang w:eastAsia="x-none"/>
        </w:rPr>
        <w:t xml:space="preserve"> </w:t>
      </w:r>
      <w:r w:rsidR="007E2E6D" w:rsidRPr="00E7577B">
        <w:rPr>
          <w:rStyle w:val="FootnoteReference"/>
          <w:color w:val="auto"/>
          <w:lang w:eastAsia="x-none"/>
        </w:rPr>
        <w:footnoteReference w:id="4"/>
      </w:r>
      <w:r w:rsidR="007E2E6D">
        <w:rPr>
          <w:color w:val="auto"/>
          <w:lang w:eastAsia="x-none"/>
        </w:rPr>
        <w:t xml:space="preserve"> </w:t>
      </w:r>
      <w:r w:rsidR="007E2E6D" w:rsidRPr="004E500B">
        <w:rPr>
          <w:color w:val="auto"/>
        </w:rPr>
        <w:t xml:space="preserve">Systematic collection of the HoNOS and </w:t>
      </w:r>
      <w:r>
        <w:rPr>
          <w:color w:val="auto"/>
        </w:rPr>
        <w:t>Kessler (</w:t>
      </w:r>
      <w:r w:rsidR="007E2E6D" w:rsidRPr="004E500B">
        <w:rPr>
          <w:color w:val="auto"/>
        </w:rPr>
        <w:t>K10</w:t>
      </w:r>
      <w:r>
        <w:rPr>
          <w:color w:val="auto"/>
        </w:rPr>
        <w:t>)</w:t>
      </w:r>
      <w:r w:rsidR="007E2E6D" w:rsidRPr="004E500B">
        <w:rPr>
          <w:color w:val="auto"/>
        </w:rPr>
        <w:t xml:space="preserve"> commenced </w:t>
      </w:r>
      <w:r>
        <w:rPr>
          <w:color w:val="auto"/>
        </w:rPr>
        <w:t xml:space="preserve">in </w:t>
      </w:r>
      <w:r w:rsidR="007E2E6D" w:rsidRPr="004E500B">
        <w:rPr>
          <w:color w:val="auto"/>
        </w:rPr>
        <w:t xml:space="preserve">November 2012. </w:t>
      </w:r>
    </w:p>
    <w:p w14:paraId="2EBE2A39" w14:textId="77777777" w:rsidR="007E2E6D" w:rsidRPr="004E500B" w:rsidRDefault="007E2E6D" w:rsidP="0083588E">
      <w:pPr>
        <w:numPr>
          <w:ilvl w:val="0"/>
          <w:numId w:val="8"/>
        </w:numPr>
        <w:spacing w:before="120" w:after="120"/>
        <w:rPr>
          <w:color w:val="auto"/>
          <w:lang w:eastAsia="x-none"/>
        </w:rPr>
      </w:pPr>
      <w:r w:rsidRPr="004E500B">
        <w:rPr>
          <w:color w:val="auto"/>
          <w:lang w:eastAsia="x-none"/>
        </w:rPr>
        <w:t xml:space="preserve">The </w:t>
      </w:r>
      <w:r w:rsidR="00656C00" w:rsidRPr="00656C00">
        <w:rPr>
          <w:bCs/>
          <w:color w:val="auto"/>
          <w:lang w:eastAsia="x-none"/>
        </w:rPr>
        <w:t>Alcohol Use Disorders Identification Test</w:t>
      </w:r>
      <w:r w:rsidR="00656C00" w:rsidRPr="00656C00">
        <w:rPr>
          <w:color w:val="auto"/>
          <w:lang w:eastAsia="x-none"/>
        </w:rPr>
        <w:t xml:space="preserve"> </w:t>
      </w:r>
      <w:r w:rsidR="00656C00">
        <w:rPr>
          <w:color w:val="auto"/>
          <w:lang w:eastAsia="x-none"/>
        </w:rPr>
        <w:t>(</w:t>
      </w:r>
      <w:r w:rsidRPr="004E500B">
        <w:rPr>
          <w:color w:val="auto"/>
        </w:rPr>
        <w:t>AUDIT</w:t>
      </w:r>
      <w:r w:rsidR="00656C00">
        <w:rPr>
          <w:color w:val="auto"/>
        </w:rPr>
        <w:t>)</w:t>
      </w:r>
      <w:r w:rsidRPr="004E500B">
        <w:rPr>
          <w:color w:val="auto"/>
        </w:rPr>
        <w:t xml:space="preserve">, </w:t>
      </w:r>
      <w:r w:rsidR="00656C00">
        <w:rPr>
          <w:color w:val="auto"/>
        </w:rPr>
        <w:t>the Severity Dependence Scale (</w:t>
      </w:r>
      <w:r w:rsidRPr="004E500B">
        <w:rPr>
          <w:color w:val="auto"/>
        </w:rPr>
        <w:t>SDS</w:t>
      </w:r>
      <w:r w:rsidR="00656C00">
        <w:rPr>
          <w:color w:val="auto"/>
        </w:rPr>
        <w:t>)</w:t>
      </w:r>
      <w:r w:rsidRPr="004E500B">
        <w:rPr>
          <w:color w:val="auto"/>
        </w:rPr>
        <w:t xml:space="preserve"> and IRIS screens where completed were contained in client files, or relevant information for some clients was recorded in the file notes. This information was recently collated by the RFDS. We were advised by the RFDS that in the majority of cases, this information was on the relevant form in the file. In some instances the information where possible and available had to be extracted from the file. In those cases that is not strictly in accord with the relevant protocol, which indicates the screen should be completed at the time. Accordingly the data for those tools should be considered as indicative and considered in the context of the other outcome measures presented. There is no benchmark data available to make any comparisons.</w:t>
      </w:r>
    </w:p>
    <w:p w14:paraId="2EBE2A3A" w14:textId="77777777" w:rsidR="007E2E6D" w:rsidRDefault="007E2E6D" w:rsidP="007E2E6D">
      <w:pPr>
        <w:spacing w:before="120" w:after="120"/>
        <w:ind w:left="360"/>
        <w:rPr>
          <w:color w:val="auto"/>
        </w:rPr>
      </w:pPr>
      <w:r w:rsidRPr="00E27B44">
        <w:rPr>
          <w:color w:val="auto"/>
        </w:rPr>
        <w:t>Overall there were 199 matched scores for the HoNOS, 1</w:t>
      </w:r>
      <w:r w:rsidR="00AD4D47">
        <w:rPr>
          <w:color w:val="auto"/>
        </w:rPr>
        <w:t>29</w:t>
      </w:r>
      <w:r w:rsidRPr="00E27B44">
        <w:rPr>
          <w:color w:val="auto"/>
        </w:rPr>
        <w:t xml:space="preserve"> for the K10, 153</w:t>
      </w:r>
      <w:r>
        <w:rPr>
          <w:color w:val="auto"/>
        </w:rPr>
        <w:t xml:space="preserve"> for the AUDIT, 127 for the SDS and 106 for the IRIS. Whilst not at a statistically significant level in terms of the percentage of clients who have matched scores, in our view it represents a sufficient sample upon which to draw general conclusions for the purpose of this report about the profile of clients and impact on individuals on average, particularly when considered in the context of other lines of enquiry.</w:t>
      </w:r>
    </w:p>
    <w:p w14:paraId="2EBE2A3B" w14:textId="77777777" w:rsidR="007E2E6D" w:rsidRPr="00E7577B" w:rsidRDefault="007E2E6D" w:rsidP="0083588E">
      <w:pPr>
        <w:numPr>
          <w:ilvl w:val="0"/>
          <w:numId w:val="8"/>
        </w:numPr>
        <w:spacing w:before="120" w:after="120"/>
        <w:rPr>
          <w:color w:val="auto"/>
          <w:lang w:eastAsia="x-none"/>
        </w:rPr>
      </w:pPr>
      <w:r w:rsidRPr="00E7577B">
        <w:rPr>
          <w:color w:val="auto"/>
        </w:rPr>
        <w:t xml:space="preserve">It had been intended that the Growth and Empowerment Measure (GEM) would be administered and analysed in select clients as part of the evaluation. To date there have only been seven GEM </w:t>
      </w:r>
      <w:r w:rsidRPr="00E7577B">
        <w:rPr>
          <w:color w:val="auto"/>
        </w:rPr>
        <w:lastRenderedPageBreak/>
        <w:t xml:space="preserve">observations for WBC clients and no repeat observations. Accordingly no </w:t>
      </w:r>
      <w:r w:rsidR="00447E79">
        <w:rPr>
          <w:color w:val="auto"/>
        </w:rPr>
        <w:t>data is included in this report.</w:t>
      </w:r>
    </w:p>
    <w:p w14:paraId="2EBE2A3C" w14:textId="77777777" w:rsidR="007E2E6D" w:rsidRDefault="007E2E6D" w:rsidP="00FF37EE">
      <w:pPr>
        <w:pStyle w:val="Heading4"/>
        <w:rPr>
          <w:lang w:val="en-AU"/>
        </w:rPr>
      </w:pPr>
      <w:r>
        <w:t>Service data</w:t>
      </w:r>
    </w:p>
    <w:p w14:paraId="2EBE2A3D" w14:textId="77777777" w:rsidR="00D90C9F" w:rsidRPr="0077043D" w:rsidRDefault="007E2E6D" w:rsidP="00000A4D">
      <w:pPr>
        <w:rPr>
          <w:lang w:eastAsia="x-none"/>
        </w:rPr>
      </w:pPr>
      <w:r>
        <w:rPr>
          <w:lang w:eastAsia="x-none"/>
        </w:rPr>
        <w:t xml:space="preserve">Analysis undertaken for this report and confirmed by the </w:t>
      </w:r>
      <w:r w:rsidRPr="00FC61A9">
        <w:rPr>
          <w:lang w:eastAsia="x-none"/>
        </w:rPr>
        <w:t xml:space="preserve">RFDS reveals that it is likely that a significant level of activity </w:t>
      </w:r>
      <w:r>
        <w:rPr>
          <w:lang w:eastAsia="x-none"/>
        </w:rPr>
        <w:t xml:space="preserve">particularly </w:t>
      </w:r>
      <w:r w:rsidRPr="00FC61A9">
        <w:rPr>
          <w:lang w:eastAsia="x-none"/>
        </w:rPr>
        <w:t>unstructured client activity such as drop in</w:t>
      </w:r>
      <w:r>
        <w:rPr>
          <w:lang w:eastAsia="x-none"/>
        </w:rPr>
        <w:t xml:space="preserve"> (likely involving brief intervention)</w:t>
      </w:r>
      <w:r w:rsidRPr="00FC61A9">
        <w:rPr>
          <w:lang w:eastAsia="x-none"/>
        </w:rPr>
        <w:t>, is not being captured sufficiently.</w:t>
      </w:r>
      <w:r>
        <w:rPr>
          <w:lang w:eastAsia="x-none"/>
        </w:rPr>
        <w:t xml:space="preserve"> RFDS is working to strengthen data recording practices including the client information system upgrade</w:t>
      </w:r>
      <w:r w:rsidR="00D90C9F">
        <w:rPr>
          <w:lang w:eastAsia="x-none"/>
        </w:rPr>
        <w:t xml:space="preserve"> in April 2014 which should allow more accurate information to be provided</w:t>
      </w:r>
      <w:r>
        <w:rPr>
          <w:lang w:eastAsia="x-none"/>
        </w:rPr>
        <w:t>.</w:t>
      </w:r>
      <w:r w:rsidR="00D90C9F">
        <w:rPr>
          <w:lang w:eastAsia="x-none"/>
        </w:rPr>
        <w:t xml:space="preserve"> The </w:t>
      </w:r>
      <w:r w:rsidR="00D90C9F" w:rsidRPr="00D90C9F">
        <w:rPr>
          <w:color w:val="auto"/>
          <w:lang w:eastAsia="x-none"/>
        </w:rPr>
        <w:t xml:space="preserve">RFDS was instructed by the Department of Health on 18 December 2013 to immediately commence collection of all contacts. </w:t>
      </w:r>
      <w:r w:rsidR="0077043D">
        <w:rPr>
          <w:color w:val="auto"/>
          <w:lang w:eastAsia="x-none"/>
        </w:rPr>
        <w:t>We understand that t</w:t>
      </w:r>
      <w:r w:rsidR="00D90C9F" w:rsidRPr="00D90C9F">
        <w:rPr>
          <w:color w:val="auto"/>
          <w:lang w:eastAsia="x-none"/>
        </w:rPr>
        <w:t xml:space="preserve">he RFDS commenced capturing drop-in activity as a category (numbers and estimated demographics only) on a structured basis with the implementation of the upgraded data system (i.e. April 2014). This </w:t>
      </w:r>
      <w:r w:rsidR="0077043D">
        <w:rPr>
          <w:color w:val="auto"/>
          <w:lang w:eastAsia="x-none"/>
        </w:rPr>
        <w:t xml:space="preserve">data </w:t>
      </w:r>
      <w:r w:rsidR="00D90C9F" w:rsidRPr="00D90C9F">
        <w:rPr>
          <w:color w:val="auto"/>
          <w:lang w:eastAsia="x-none"/>
        </w:rPr>
        <w:t>was not available for evaluation purposes</w:t>
      </w:r>
      <w:r w:rsidR="00E806AE">
        <w:rPr>
          <w:color w:val="auto"/>
          <w:lang w:eastAsia="x-none"/>
        </w:rPr>
        <w:t>, however, we would emphasise the importance of ongoing collection of this data</w:t>
      </w:r>
      <w:r w:rsidR="00D90C9F" w:rsidRPr="00D90C9F">
        <w:rPr>
          <w:color w:val="auto"/>
          <w:lang w:eastAsia="x-none"/>
        </w:rPr>
        <w:t>.</w:t>
      </w:r>
    </w:p>
    <w:p w14:paraId="2EBE2A3E" w14:textId="77777777" w:rsidR="007E2E6D" w:rsidRDefault="007E2E6D" w:rsidP="00FF37EE">
      <w:pPr>
        <w:pStyle w:val="Heading4"/>
        <w:rPr>
          <w:lang w:val="en-AU"/>
        </w:rPr>
      </w:pPr>
      <w:r w:rsidRPr="00402C5F">
        <w:t>ATODS data</w:t>
      </w:r>
    </w:p>
    <w:p w14:paraId="2EBE2A3F" w14:textId="77777777" w:rsidR="007E2E6D" w:rsidRPr="00E7577B" w:rsidRDefault="007E2E6D" w:rsidP="007E2E6D">
      <w:pPr>
        <w:rPr>
          <w:color w:val="auto"/>
        </w:rPr>
      </w:pPr>
      <w:r w:rsidRPr="00E7577B">
        <w:rPr>
          <w:color w:val="auto"/>
        </w:rPr>
        <w:t xml:space="preserve">ATODS data was requested from Queensland Health in relation to service contacts and clients to determine whether the WBCs had any impact on </w:t>
      </w:r>
      <w:r w:rsidR="009F45F5">
        <w:rPr>
          <w:color w:val="auto"/>
        </w:rPr>
        <w:t xml:space="preserve">Alcohol, Tobacco and Other Drug Services </w:t>
      </w:r>
      <w:r w:rsidR="00656C00">
        <w:rPr>
          <w:color w:val="auto"/>
        </w:rPr>
        <w:t>(</w:t>
      </w:r>
      <w:r w:rsidRPr="00E7577B">
        <w:rPr>
          <w:color w:val="auto"/>
        </w:rPr>
        <w:t>ATODS</w:t>
      </w:r>
      <w:r w:rsidR="00656C00">
        <w:rPr>
          <w:color w:val="auto"/>
        </w:rPr>
        <w:t>)</w:t>
      </w:r>
      <w:r w:rsidRPr="00E7577B">
        <w:rPr>
          <w:color w:val="auto"/>
        </w:rPr>
        <w:t xml:space="preserve"> activity and to assist with comparisons between </w:t>
      </w:r>
      <w:r>
        <w:rPr>
          <w:color w:val="auto"/>
        </w:rPr>
        <w:t>communities</w:t>
      </w:r>
      <w:r w:rsidRPr="00E7577B">
        <w:rPr>
          <w:color w:val="auto"/>
        </w:rPr>
        <w:t xml:space="preserve">. As demonstrated in </w:t>
      </w:r>
      <w:r w:rsidR="005E4FC0" w:rsidRPr="005E4FC0">
        <w:rPr>
          <w:color w:val="auto"/>
        </w:rPr>
        <w:t>Appendix 12</w:t>
      </w:r>
      <w:r w:rsidRPr="00E7577B">
        <w:rPr>
          <w:color w:val="auto"/>
        </w:rPr>
        <w:t xml:space="preserve"> there are significant gaps </w:t>
      </w:r>
      <w:r w:rsidR="00E806AE">
        <w:rPr>
          <w:color w:val="auto"/>
        </w:rPr>
        <w:t xml:space="preserve">in the Queensland Health data set, in fact it is insufficient to </w:t>
      </w:r>
      <w:r w:rsidRPr="00E7577B">
        <w:rPr>
          <w:color w:val="auto"/>
        </w:rPr>
        <w:t xml:space="preserve">allow any meaningful analysis of </w:t>
      </w:r>
      <w:r>
        <w:rPr>
          <w:color w:val="auto"/>
        </w:rPr>
        <w:t xml:space="preserve">that </w:t>
      </w:r>
      <w:r w:rsidRPr="00E7577B">
        <w:rPr>
          <w:color w:val="auto"/>
        </w:rPr>
        <w:t>data.</w:t>
      </w:r>
    </w:p>
    <w:p w14:paraId="2EBE2A40" w14:textId="77777777" w:rsidR="007E2E6D" w:rsidRDefault="007E2E6D" w:rsidP="00FF37EE">
      <w:pPr>
        <w:pStyle w:val="Heading4"/>
        <w:rPr>
          <w:lang w:val="en-AU"/>
        </w:rPr>
      </w:pPr>
      <w:r>
        <w:t>Other data</w:t>
      </w:r>
    </w:p>
    <w:p w14:paraId="2EBE2A41" w14:textId="77777777" w:rsidR="007E2E6D" w:rsidRDefault="007E2E6D" w:rsidP="007E2E6D">
      <w:pPr>
        <w:rPr>
          <w:color w:val="auto"/>
          <w:lang w:eastAsia="x-none"/>
        </w:rPr>
      </w:pPr>
      <w:r w:rsidRPr="00E7577B">
        <w:rPr>
          <w:color w:val="auto"/>
          <w:lang w:eastAsia="x-none"/>
        </w:rPr>
        <w:t>Community level data is available for different periods. Queensland Health Admitted Patient Data Collecti</w:t>
      </w:r>
      <w:r w:rsidR="009D6D35">
        <w:rPr>
          <w:color w:val="auto"/>
          <w:lang w:eastAsia="x-none"/>
        </w:rPr>
        <w:t>on is available to June 2013</w:t>
      </w:r>
      <w:r w:rsidRPr="00E7577B">
        <w:rPr>
          <w:color w:val="auto"/>
          <w:lang w:eastAsia="x-none"/>
        </w:rPr>
        <w:t xml:space="preserve">, Cape York Hospital and Health Service clinic presentation data is available to </w:t>
      </w:r>
      <w:r w:rsidR="009D6D35">
        <w:rPr>
          <w:color w:val="auto"/>
          <w:lang w:eastAsia="x-none"/>
        </w:rPr>
        <w:t>December</w:t>
      </w:r>
      <w:r w:rsidRPr="00E7577B">
        <w:rPr>
          <w:color w:val="auto"/>
          <w:lang w:eastAsia="x-none"/>
        </w:rPr>
        <w:t xml:space="preserve"> 2013 and annual Queensland Government Indigenous Discrete Indicators data is available to June 2012.</w:t>
      </w:r>
    </w:p>
    <w:p w14:paraId="2EBE2A42" w14:textId="77777777" w:rsidR="007E2E6D" w:rsidRDefault="007E2E6D" w:rsidP="007E2E6D">
      <w:pPr>
        <w:spacing w:before="120" w:after="120"/>
      </w:pPr>
      <w:r w:rsidRPr="00284B34">
        <w:t xml:space="preserve">Whilst these limitations exist, HOI considers that a high level of reliance can be placed on the results given the congruence of views and results between the various evaluation processes undertaken. </w:t>
      </w:r>
    </w:p>
    <w:p w14:paraId="2EBE2A43" w14:textId="77777777" w:rsidR="007E2E6D" w:rsidRPr="005875D5" w:rsidRDefault="007E2E6D" w:rsidP="0083588E">
      <w:pPr>
        <w:pStyle w:val="Heading2"/>
      </w:pPr>
      <w:bookmarkStart w:id="44" w:name="_Toc355880482"/>
      <w:bookmarkStart w:id="45" w:name="_Toc440038428"/>
      <w:r w:rsidRPr="005875D5">
        <w:t>Structure of this report</w:t>
      </w:r>
      <w:bookmarkEnd w:id="44"/>
      <w:bookmarkEnd w:id="45"/>
    </w:p>
    <w:p w14:paraId="2EBE2A44" w14:textId="77777777" w:rsidR="007E2E6D" w:rsidRDefault="007E2E6D" w:rsidP="007E2E6D">
      <w:r>
        <w:t xml:space="preserve">The structure of this report is set out in </w:t>
      </w:r>
      <w:r w:rsidR="003B2254">
        <w:fldChar w:fldCharType="begin"/>
      </w:r>
      <w:r w:rsidR="003B2254">
        <w:instrText xml:space="preserve"> REF _Ref387392455 \h </w:instrText>
      </w:r>
      <w:r w:rsidR="003B2254">
        <w:fldChar w:fldCharType="separate"/>
      </w:r>
      <w:r w:rsidR="009A19EB">
        <w:t xml:space="preserve">Table </w:t>
      </w:r>
      <w:r w:rsidR="009A19EB">
        <w:rPr>
          <w:noProof/>
        </w:rPr>
        <w:t>1</w:t>
      </w:r>
      <w:r w:rsidR="009A19EB">
        <w:t>.</w:t>
      </w:r>
      <w:r w:rsidR="009A19EB">
        <w:rPr>
          <w:noProof/>
        </w:rPr>
        <w:t>3</w:t>
      </w:r>
      <w:r w:rsidR="003B2254">
        <w:fldChar w:fldCharType="end"/>
      </w:r>
      <w:r w:rsidR="003B2254">
        <w:t>.</w:t>
      </w:r>
    </w:p>
    <w:p w14:paraId="2EBE2A45" w14:textId="22112CB9" w:rsidR="003B2254" w:rsidRPr="003B2254" w:rsidRDefault="00505D6E" w:rsidP="00505D6E">
      <w:pPr>
        <w:pStyle w:val="Caption"/>
      </w:pPr>
      <w:bookmarkStart w:id="46" w:name="_Toc392686428"/>
      <w:bookmarkStart w:id="47" w:name="_Ref387392455"/>
      <w:r>
        <w:t xml:space="preserve">Table </w:t>
      </w:r>
      <w:r w:rsidR="00AA7DC9">
        <w:fldChar w:fldCharType="begin"/>
      </w:r>
      <w:r w:rsidR="00AA7DC9">
        <w:instrText xml:space="preserve"> STYLEREF 1 \s </w:instrText>
      </w:r>
      <w:r w:rsidR="00AA7DC9">
        <w:fldChar w:fldCharType="separate"/>
      </w:r>
      <w:r w:rsidR="00AA7DC9">
        <w:rPr>
          <w:noProof/>
        </w:rPr>
        <w:t>1</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3</w:t>
      </w:r>
      <w:r w:rsidR="00AA7DC9">
        <w:fldChar w:fldCharType="end"/>
      </w:r>
      <w:bookmarkEnd w:id="47"/>
      <w:r w:rsidR="003B2254">
        <w:t>: Report Structure</w:t>
      </w:r>
      <w:bookmarkEnd w:id="46"/>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3: Report Structure"/>
        <w:tblDescription w:val="Table 1.3 consist of two columns that demonstrates the structure of the Evaluation Report.  The first column contains the Chapter number and the second column contains a brief description of the content of each chapter."/>
      </w:tblPr>
      <w:tblGrid>
        <w:gridCol w:w="1453"/>
        <w:gridCol w:w="7687"/>
      </w:tblGrid>
      <w:tr w:rsidR="007E2E6D" w:rsidRPr="0085715A" w14:paraId="2EBE2A48" w14:textId="77777777" w:rsidTr="00C85AE1">
        <w:trPr>
          <w:tblHeader/>
          <w:jc w:val="center"/>
        </w:trPr>
        <w:tc>
          <w:tcPr>
            <w:tcW w:w="1453" w:type="dxa"/>
            <w:shd w:val="clear" w:color="auto" w:fill="B8CCE4" w:themeFill="accent1" w:themeFillTint="66"/>
          </w:tcPr>
          <w:p w14:paraId="2EBE2A46" w14:textId="77777777" w:rsidR="007E2E6D" w:rsidRPr="00346818" w:rsidRDefault="007E2E6D" w:rsidP="00C85AE1">
            <w:pPr>
              <w:pStyle w:val="TableText"/>
              <w:framePr w:hSpace="0" w:wrap="auto" w:vAnchor="margin" w:yAlign="inline"/>
              <w:suppressOverlap w:val="0"/>
              <w:rPr>
                <w:b/>
                <w:szCs w:val="18"/>
              </w:rPr>
            </w:pPr>
            <w:r w:rsidRPr="00346818">
              <w:rPr>
                <w:b/>
                <w:szCs w:val="18"/>
              </w:rPr>
              <w:t>Chapter</w:t>
            </w:r>
          </w:p>
        </w:tc>
        <w:tc>
          <w:tcPr>
            <w:tcW w:w="7687" w:type="dxa"/>
            <w:tcBorders>
              <w:bottom w:val="single" w:sz="4" w:space="0" w:color="FFFFFF"/>
            </w:tcBorders>
            <w:shd w:val="clear" w:color="auto" w:fill="B8CCE4" w:themeFill="accent1" w:themeFillTint="66"/>
          </w:tcPr>
          <w:p w14:paraId="2EBE2A47" w14:textId="77777777" w:rsidR="007E2E6D" w:rsidRPr="00346818" w:rsidRDefault="007E2E6D" w:rsidP="00C85AE1">
            <w:pPr>
              <w:pStyle w:val="TableText"/>
              <w:framePr w:hSpace="0" w:wrap="auto" w:vAnchor="margin" w:yAlign="inline"/>
              <w:suppressOverlap w:val="0"/>
              <w:rPr>
                <w:b/>
                <w:szCs w:val="18"/>
              </w:rPr>
            </w:pPr>
            <w:r w:rsidRPr="00346818">
              <w:rPr>
                <w:b/>
                <w:szCs w:val="18"/>
              </w:rPr>
              <w:t>Content</w:t>
            </w:r>
          </w:p>
        </w:tc>
      </w:tr>
      <w:tr w:rsidR="007E2E6D" w:rsidRPr="0085715A" w14:paraId="2EBE2A4B" w14:textId="77777777" w:rsidTr="00C85AE1">
        <w:trPr>
          <w:jc w:val="center"/>
        </w:trPr>
        <w:tc>
          <w:tcPr>
            <w:tcW w:w="1453" w:type="dxa"/>
            <w:shd w:val="clear" w:color="auto" w:fill="DBE5F1" w:themeFill="accent1" w:themeFillTint="33"/>
          </w:tcPr>
          <w:p w14:paraId="2EBE2A49" w14:textId="77777777" w:rsidR="007E2E6D" w:rsidRPr="00346818" w:rsidRDefault="007E2E6D" w:rsidP="00C85AE1">
            <w:pPr>
              <w:pStyle w:val="TableText"/>
              <w:framePr w:hSpace="0" w:wrap="auto" w:vAnchor="margin" w:yAlign="inline"/>
              <w:suppressOverlap w:val="0"/>
              <w:rPr>
                <w:szCs w:val="18"/>
              </w:rPr>
            </w:pPr>
            <w:r w:rsidRPr="00346818">
              <w:rPr>
                <w:szCs w:val="18"/>
              </w:rPr>
              <w:t>Chapter 1</w:t>
            </w:r>
          </w:p>
        </w:tc>
        <w:tc>
          <w:tcPr>
            <w:tcW w:w="7687" w:type="dxa"/>
            <w:shd w:val="clear" w:color="auto" w:fill="F2F2F2"/>
          </w:tcPr>
          <w:p w14:paraId="2EBE2A4A" w14:textId="77777777" w:rsidR="007E2E6D" w:rsidRPr="00E179E7" w:rsidRDefault="007E2E6D" w:rsidP="00656C00">
            <w:pPr>
              <w:pStyle w:val="TableText"/>
              <w:framePr w:hSpace="0" w:wrap="auto" w:vAnchor="margin" w:yAlign="inline"/>
              <w:suppressOverlap w:val="0"/>
              <w:rPr>
                <w:szCs w:val="18"/>
                <w:lang w:val="en-AU"/>
              </w:rPr>
            </w:pPr>
            <w:r>
              <w:rPr>
                <w:szCs w:val="18"/>
                <w:lang w:val="en-AU"/>
              </w:rPr>
              <w:t>S</w:t>
            </w:r>
            <w:r w:rsidRPr="00346818">
              <w:rPr>
                <w:szCs w:val="18"/>
              </w:rPr>
              <w:t xml:space="preserve">ets out the purpose of this report, its context and the </w:t>
            </w:r>
            <w:r>
              <w:rPr>
                <w:szCs w:val="18"/>
              </w:rPr>
              <w:t>methodology used to develop it</w:t>
            </w:r>
            <w:r w:rsidR="00656C00">
              <w:rPr>
                <w:szCs w:val="18"/>
                <w:lang w:val="en-AU"/>
              </w:rPr>
              <w:t xml:space="preserve">, and </w:t>
            </w:r>
            <w:r>
              <w:rPr>
                <w:szCs w:val="18"/>
                <w:lang w:val="en-AU"/>
              </w:rPr>
              <w:t>some background in relation to the establishment of the WBCs.</w:t>
            </w:r>
          </w:p>
        </w:tc>
      </w:tr>
      <w:tr w:rsidR="007E2E6D" w:rsidRPr="0085715A" w14:paraId="2EBE2A4E" w14:textId="77777777" w:rsidTr="00C85AE1">
        <w:trPr>
          <w:jc w:val="center"/>
        </w:trPr>
        <w:tc>
          <w:tcPr>
            <w:tcW w:w="1453" w:type="dxa"/>
            <w:shd w:val="clear" w:color="auto" w:fill="DBE5F1" w:themeFill="accent1" w:themeFillTint="33"/>
          </w:tcPr>
          <w:p w14:paraId="2EBE2A4C" w14:textId="77777777" w:rsidR="007E2E6D" w:rsidRPr="00346818" w:rsidRDefault="007E2E6D" w:rsidP="00C85AE1">
            <w:pPr>
              <w:pStyle w:val="TableText"/>
              <w:framePr w:hSpace="0" w:wrap="auto" w:vAnchor="margin" w:yAlign="inline"/>
              <w:suppressOverlap w:val="0"/>
              <w:rPr>
                <w:szCs w:val="18"/>
              </w:rPr>
            </w:pPr>
            <w:r w:rsidRPr="00346818">
              <w:rPr>
                <w:szCs w:val="18"/>
              </w:rPr>
              <w:t>Chapter 2</w:t>
            </w:r>
          </w:p>
        </w:tc>
        <w:tc>
          <w:tcPr>
            <w:tcW w:w="7687" w:type="dxa"/>
            <w:shd w:val="clear" w:color="auto" w:fill="F2F2F2"/>
          </w:tcPr>
          <w:p w14:paraId="2EBE2A4D" w14:textId="77777777" w:rsidR="007E2E6D" w:rsidRPr="00E179E7" w:rsidRDefault="007E2E6D" w:rsidP="005875D5">
            <w:pPr>
              <w:pStyle w:val="TableText"/>
              <w:framePr w:hSpace="0" w:wrap="auto" w:vAnchor="margin" w:yAlign="inline"/>
              <w:suppressOverlap w:val="0"/>
              <w:rPr>
                <w:szCs w:val="18"/>
                <w:lang w:val="en-AU"/>
              </w:rPr>
            </w:pPr>
            <w:r>
              <w:rPr>
                <w:szCs w:val="18"/>
              </w:rPr>
              <w:t>Examines evidence of success in terms of the impact on alcohol and substance-abuse, mental health and</w:t>
            </w:r>
            <w:r>
              <w:rPr>
                <w:szCs w:val="18"/>
                <w:lang w:val="en-AU"/>
              </w:rPr>
              <w:t xml:space="preserve"> SEWB and relevant Closing the Gap targets. It also addresses the impact if there were no WBC, the challenges associated with achieving individual and community change, a comparison to other communities and </w:t>
            </w:r>
            <w:r w:rsidR="005875D5">
              <w:rPr>
                <w:szCs w:val="18"/>
                <w:lang w:val="en-AU"/>
              </w:rPr>
              <w:t>proposed</w:t>
            </w:r>
            <w:r>
              <w:rPr>
                <w:szCs w:val="18"/>
                <w:lang w:val="en-AU"/>
              </w:rPr>
              <w:t xml:space="preserve"> future use of outcome measures.</w:t>
            </w:r>
          </w:p>
        </w:tc>
      </w:tr>
      <w:tr w:rsidR="007E2E6D" w:rsidRPr="0085715A" w14:paraId="2EBE2A51" w14:textId="77777777" w:rsidTr="00C85AE1">
        <w:trPr>
          <w:jc w:val="center"/>
        </w:trPr>
        <w:tc>
          <w:tcPr>
            <w:tcW w:w="1453" w:type="dxa"/>
            <w:shd w:val="clear" w:color="auto" w:fill="DBE5F1" w:themeFill="accent1" w:themeFillTint="33"/>
          </w:tcPr>
          <w:p w14:paraId="2EBE2A4F" w14:textId="77777777" w:rsidR="007E2E6D" w:rsidRPr="00346818" w:rsidRDefault="007E2E6D" w:rsidP="00C85AE1">
            <w:pPr>
              <w:pStyle w:val="TableText"/>
              <w:framePr w:hSpace="0" w:wrap="auto" w:vAnchor="margin" w:yAlign="inline"/>
              <w:suppressOverlap w:val="0"/>
              <w:rPr>
                <w:szCs w:val="18"/>
              </w:rPr>
            </w:pPr>
            <w:r w:rsidRPr="00346818">
              <w:rPr>
                <w:szCs w:val="18"/>
              </w:rPr>
              <w:t>Chapter 3</w:t>
            </w:r>
          </w:p>
        </w:tc>
        <w:tc>
          <w:tcPr>
            <w:tcW w:w="7687" w:type="dxa"/>
            <w:shd w:val="clear" w:color="auto" w:fill="F2F2F2"/>
          </w:tcPr>
          <w:p w14:paraId="2EBE2A50" w14:textId="77777777" w:rsidR="007E2E6D" w:rsidRPr="00E179E7" w:rsidRDefault="007E2E6D" w:rsidP="00C85AE1">
            <w:pPr>
              <w:pStyle w:val="TableText"/>
              <w:framePr w:hSpace="0" w:wrap="auto" w:vAnchor="margin" w:yAlign="inline"/>
              <w:suppressOverlap w:val="0"/>
              <w:rPr>
                <w:szCs w:val="18"/>
                <w:lang w:val="en-AU"/>
              </w:rPr>
            </w:pPr>
            <w:r>
              <w:rPr>
                <w:szCs w:val="18"/>
              </w:rPr>
              <w:t>Examines the service model and its implementation</w:t>
            </w:r>
            <w:r>
              <w:rPr>
                <w:szCs w:val="18"/>
                <w:lang w:val="en-AU"/>
              </w:rPr>
              <w:t>. It incorporates an analysis of the</w:t>
            </w:r>
            <w:r>
              <w:rPr>
                <w:szCs w:val="18"/>
              </w:rPr>
              <w:t xml:space="preserve"> key evaluation questions related to </w:t>
            </w:r>
            <w:r w:rsidRPr="00E179E7">
              <w:rPr>
                <w:szCs w:val="18"/>
              </w:rPr>
              <w:t>the service model, service management, partnerships and community engagement evaluation domains</w:t>
            </w:r>
            <w:r>
              <w:rPr>
                <w:szCs w:val="18"/>
                <w:lang w:val="en-AU"/>
              </w:rPr>
              <w:t>.</w:t>
            </w:r>
          </w:p>
        </w:tc>
      </w:tr>
      <w:tr w:rsidR="007E2E6D" w:rsidRPr="0085715A" w14:paraId="2EBE2A56" w14:textId="77777777" w:rsidTr="00C85AE1">
        <w:trPr>
          <w:jc w:val="center"/>
        </w:trPr>
        <w:tc>
          <w:tcPr>
            <w:tcW w:w="1453" w:type="dxa"/>
            <w:shd w:val="clear" w:color="auto" w:fill="DBE5F1" w:themeFill="accent1" w:themeFillTint="33"/>
          </w:tcPr>
          <w:p w14:paraId="2EBE2A52" w14:textId="77777777" w:rsidR="007E2E6D" w:rsidRPr="00346818" w:rsidRDefault="007E2E6D" w:rsidP="00C85AE1">
            <w:pPr>
              <w:pStyle w:val="TableText"/>
              <w:framePr w:hSpace="0" w:wrap="auto" w:vAnchor="margin" w:yAlign="inline"/>
              <w:suppressOverlap w:val="0"/>
              <w:rPr>
                <w:szCs w:val="18"/>
              </w:rPr>
            </w:pPr>
            <w:r w:rsidRPr="00346818">
              <w:rPr>
                <w:szCs w:val="18"/>
              </w:rPr>
              <w:t>Chapter 4</w:t>
            </w:r>
          </w:p>
        </w:tc>
        <w:tc>
          <w:tcPr>
            <w:tcW w:w="7687" w:type="dxa"/>
            <w:shd w:val="clear" w:color="auto" w:fill="F2F2F2"/>
          </w:tcPr>
          <w:p w14:paraId="2EBE2A53" w14:textId="77777777" w:rsidR="007E2E6D" w:rsidRDefault="007E2E6D" w:rsidP="00C85AE1">
            <w:pPr>
              <w:pStyle w:val="TableText"/>
              <w:framePr w:wrap="around"/>
              <w:rPr>
                <w:szCs w:val="18"/>
                <w:lang w:val="en-AU"/>
              </w:rPr>
            </w:pPr>
            <w:r>
              <w:rPr>
                <w:szCs w:val="18"/>
                <w:lang w:val="en-AU"/>
              </w:rPr>
              <w:t>I</w:t>
            </w:r>
            <w:r w:rsidRPr="00E179E7">
              <w:rPr>
                <w:szCs w:val="18"/>
                <w:lang w:val="en-AU"/>
              </w:rPr>
              <w:t xml:space="preserve">dentifies </w:t>
            </w:r>
            <w:r w:rsidR="00656C00">
              <w:rPr>
                <w:szCs w:val="18"/>
                <w:lang w:val="en-AU"/>
              </w:rPr>
              <w:t xml:space="preserve">key success factors </w:t>
            </w:r>
            <w:r>
              <w:rPr>
                <w:szCs w:val="18"/>
                <w:lang w:val="en-AU"/>
              </w:rPr>
              <w:t xml:space="preserve">i.e. </w:t>
            </w:r>
            <w:r w:rsidRPr="00E179E7">
              <w:rPr>
                <w:szCs w:val="18"/>
                <w:lang w:val="en-AU"/>
              </w:rPr>
              <w:t xml:space="preserve">which prevention, intervention and treatment approaches are </w:t>
            </w:r>
            <w:r w:rsidRPr="00E179E7">
              <w:rPr>
                <w:szCs w:val="18"/>
                <w:lang w:val="en-AU"/>
              </w:rPr>
              <w:lastRenderedPageBreak/>
              <w:t xml:space="preserve">successful and the key factors (such as tools, delivery approaches governance arrangements etc.) that are contributing to this success. </w:t>
            </w:r>
          </w:p>
          <w:p w14:paraId="2EBE2A54" w14:textId="77777777" w:rsidR="007E2E6D" w:rsidRDefault="007E2E6D" w:rsidP="005875D5">
            <w:pPr>
              <w:pStyle w:val="TableText"/>
              <w:framePr w:wrap="around"/>
              <w:rPr>
                <w:szCs w:val="18"/>
                <w:lang w:val="en-AU"/>
              </w:rPr>
            </w:pPr>
            <w:r w:rsidRPr="00E179E7">
              <w:rPr>
                <w:szCs w:val="18"/>
                <w:lang w:val="en-AU"/>
              </w:rPr>
              <w:t xml:space="preserve">The chapter also </w:t>
            </w:r>
            <w:r w:rsidR="005875D5">
              <w:rPr>
                <w:szCs w:val="18"/>
                <w:lang w:val="en-AU"/>
              </w:rPr>
              <w:t>proposes</w:t>
            </w:r>
            <w:r w:rsidRPr="00E179E7">
              <w:rPr>
                <w:szCs w:val="18"/>
                <w:lang w:val="en-AU"/>
              </w:rPr>
              <w:t xml:space="preserve"> improvements which will enhance health outcomes and contribute to best practice service delivery</w:t>
            </w:r>
            <w:r>
              <w:rPr>
                <w:szCs w:val="18"/>
                <w:lang w:val="en-AU"/>
              </w:rPr>
              <w:t xml:space="preserve"> in the context of the current service model</w:t>
            </w:r>
            <w:r w:rsidR="005875D5">
              <w:rPr>
                <w:szCs w:val="18"/>
                <w:lang w:val="en-AU"/>
              </w:rPr>
              <w:t xml:space="preserve"> and delivery mechanisms</w:t>
            </w:r>
            <w:r w:rsidR="00AA51AE">
              <w:rPr>
                <w:szCs w:val="18"/>
                <w:lang w:val="en-AU"/>
              </w:rPr>
              <w:t>.</w:t>
            </w:r>
          </w:p>
          <w:p w14:paraId="2EBE2A55" w14:textId="77777777" w:rsidR="00447E79" w:rsidRPr="00746F8A" w:rsidRDefault="00447E79" w:rsidP="005875D5">
            <w:pPr>
              <w:pStyle w:val="TableText"/>
              <w:framePr w:wrap="around"/>
              <w:rPr>
                <w:szCs w:val="18"/>
                <w:lang w:val="en-AU"/>
              </w:rPr>
            </w:pPr>
          </w:p>
        </w:tc>
      </w:tr>
      <w:tr w:rsidR="007E2E6D" w:rsidRPr="0085715A" w14:paraId="2EBE2A5A" w14:textId="77777777" w:rsidTr="00C85AE1">
        <w:trPr>
          <w:jc w:val="center"/>
        </w:trPr>
        <w:tc>
          <w:tcPr>
            <w:tcW w:w="1453" w:type="dxa"/>
            <w:shd w:val="clear" w:color="auto" w:fill="DBE5F1" w:themeFill="accent1" w:themeFillTint="33"/>
          </w:tcPr>
          <w:p w14:paraId="2EBE2A57" w14:textId="77777777" w:rsidR="007E2E6D" w:rsidRPr="00346818" w:rsidRDefault="007E2E6D" w:rsidP="00C85AE1">
            <w:pPr>
              <w:pStyle w:val="TableText"/>
              <w:framePr w:hSpace="0" w:wrap="auto" w:vAnchor="margin" w:yAlign="inline"/>
              <w:suppressOverlap w:val="0"/>
              <w:rPr>
                <w:szCs w:val="18"/>
              </w:rPr>
            </w:pPr>
            <w:r w:rsidRPr="00346818">
              <w:rPr>
                <w:szCs w:val="18"/>
              </w:rPr>
              <w:lastRenderedPageBreak/>
              <w:t>Chapter 5</w:t>
            </w:r>
          </w:p>
        </w:tc>
        <w:tc>
          <w:tcPr>
            <w:tcW w:w="7687" w:type="dxa"/>
            <w:shd w:val="clear" w:color="auto" w:fill="F2F2F2"/>
          </w:tcPr>
          <w:p w14:paraId="2EBE2A58" w14:textId="77777777" w:rsidR="007E2E6D" w:rsidRDefault="00CD1DBC" w:rsidP="00C85AE1">
            <w:pPr>
              <w:pStyle w:val="TableText"/>
              <w:framePr w:hSpace="0" w:wrap="auto" w:vAnchor="margin" w:yAlign="inline"/>
              <w:suppressOverlap w:val="0"/>
              <w:rPr>
                <w:lang w:val="en-AU"/>
              </w:rPr>
            </w:pPr>
            <w:r w:rsidRPr="00CD1DBC">
              <w:rPr>
                <w:lang w:val="en-AU"/>
              </w:rPr>
              <w:t>This chapter considers the evaluation aim of recommending any improvements which will enhance health outcomes and contribute to best practice service delivery. This chapter focuses more strategically on where to from here.</w:t>
            </w:r>
          </w:p>
          <w:p w14:paraId="2EBE2A59" w14:textId="77777777" w:rsidR="00447E79" w:rsidRPr="00746F8A" w:rsidRDefault="00447E79" w:rsidP="00C85AE1">
            <w:pPr>
              <w:pStyle w:val="TableText"/>
              <w:framePr w:hSpace="0" w:wrap="auto" w:vAnchor="margin" w:yAlign="inline"/>
              <w:suppressOverlap w:val="0"/>
              <w:rPr>
                <w:szCs w:val="18"/>
                <w:lang w:val="en-AU"/>
              </w:rPr>
            </w:pPr>
          </w:p>
        </w:tc>
      </w:tr>
    </w:tbl>
    <w:p w14:paraId="2EBE2A5B" w14:textId="77777777" w:rsidR="007E2E6D" w:rsidRPr="00A323CB" w:rsidRDefault="007E2E6D" w:rsidP="00A14452">
      <w:pPr>
        <w:pStyle w:val="Heading2"/>
        <w:rPr>
          <w:lang w:val="en-AU"/>
        </w:rPr>
      </w:pPr>
      <w:bookmarkStart w:id="48" w:name="_Cape_York_Wellbeing"/>
      <w:bookmarkStart w:id="49" w:name="_Ref387397141"/>
      <w:bookmarkStart w:id="50" w:name="_Toc440038429"/>
      <w:bookmarkEnd w:id="48"/>
      <w:r w:rsidRPr="00A323CB">
        <w:t xml:space="preserve">Cape </w:t>
      </w:r>
      <w:r w:rsidRPr="00A323CB">
        <w:rPr>
          <w:lang w:val="en-AU"/>
        </w:rPr>
        <w:t>Y</w:t>
      </w:r>
      <w:r>
        <w:t xml:space="preserve">ork </w:t>
      </w:r>
      <w:r>
        <w:rPr>
          <w:lang w:val="en-AU"/>
        </w:rPr>
        <w:t>W</w:t>
      </w:r>
      <w:r>
        <w:t xml:space="preserve">ellbeing </w:t>
      </w:r>
      <w:r>
        <w:rPr>
          <w:lang w:val="en-AU"/>
        </w:rPr>
        <w:t>C</w:t>
      </w:r>
      <w:r w:rsidRPr="00A323CB">
        <w:t>entres</w:t>
      </w:r>
      <w:bookmarkEnd w:id="49"/>
      <w:bookmarkEnd w:id="50"/>
    </w:p>
    <w:p w14:paraId="2EBE2A5C" w14:textId="77777777" w:rsidR="007E2E6D" w:rsidRDefault="007E2E6D" w:rsidP="007E2E6D">
      <w:pPr>
        <w:rPr>
          <w:lang w:eastAsia="x-none"/>
        </w:rPr>
      </w:pPr>
      <w:r w:rsidRPr="005565A9">
        <w:rPr>
          <w:lang w:eastAsia="x-none"/>
        </w:rPr>
        <w:t xml:space="preserve">This </w:t>
      </w:r>
      <w:r>
        <w:rPr>
          <w:lang w:eastAsia="x-none"/>
        </w:rPr>
        <w:t>section</w:t>
      </w:r>
      <w:r w:rsidRPr="005565A9">
        <w:rPr>
          <w:lang w:eastAsia="x-none"/>
        </w:rPr>
        <w:t xml:space="preserve"> sets out the background to the establishment of the </w:t>
      </w:r>
      <w:r>
        <w:rPr>
          <w:lang w:eastAsia="x-none"/>
        </w:rPr>
        <w:t>WBCs</w:t>
      </w:r>
      <w:r w:rsidRPr="005565A9">
        <w:rPr>
          <w:lang w:eastAsia="x-none"/>
        </w:rPr>
        <w:t xml:space="preserve">, and the link to the other reforms. It also outlines the program theory for the WBC. </w:t>
      </w:r>
    </w:p>
    <w:p w14:paraId="2EBE2A5D" w14:textId="77777777" w:rsidR="007E2E6D" w:rsidRDefault="007E2E6D" w:rsidP="00BC0A26">
      <w:pPr>
        <w:pStyle w:val="Heading3"/>
      </w:pPr>
      <w:r>
        <w:t>Background</w:t>
      </w:r>
    </w:p>
    <w:p w14:paraId="2EBE2A5E" w14:textId="77777777" w:rsidR="007E2E6D" w:rsidRPr="00BD5004" w:rsidRDefault="007E2E6D" w:rsidP="007E2E6D">
      <w:pPr>
        <w:rPr>
          <w:rFonts w:cs="Segoe UI"/>
        </w:rPr>
      </w:pPr>
      <w:r>
        <w:t>The Department of Health (</w:t>
      </w:r>
      <w:r w:rsidRPr="00BD5004">
        <w:t>DoH</w:t>
      </w:r>
      <w:r>
        <w:t>)</w:t>
      </w:r>
      <w:r w:rsidRPr="00BD5004">
        <w:t xml:space="preserve"> has established </w:t>
      </w:r>
      <w:r w:rsidRPr="00BD5004">
        <w:rPr>
          <w:rFonts w:cs="Segoe UI"/>
        </w:rPr>
        <w:t xml:space="preserve">WBCs in the Cape York </w:t>
      </w:r>
      <w:r>
        <w:rPr>
          <w:rFonts w:cs="Segoe UI"/>
        </w:rPr>
        <w:t>communities</w:t>
      </w:r>
      <w:r w:rsidRPr="00BD5004">
        <w:rPr>
          <w:rFonts w:cs="Segoe UI"/>
        </w:rPr>
        <w:t xml:space="preserve"> of Aurukun, Coen, Hopevale and Mossman Gorge. The aim of the WBC is to implement and deliver an integrated, community based and culturally appropriate social health service with a focus on </w:t>
      </w:r>
      <w:r>
        <w:rPr>
          <w:rFonts w:cs="Segoe UI"/>
        </w:rPr>
        <w:t>alcohol and other drugs,</w:t>
      </w:r>
      <w:r w:rsidRPr="00BD5004">
        <w:rPr>
          <w:rFonts w:cs="Segoe UI"/>
        </w:rPr>
        <w:t xml:space="preserve"> gambling, family violence, mental health and general counselling in each of the four sites.</w:t>
      </w:r>
      <w:r w:rsidRPr="00BD5004">
        <w:rPr>
          <w:rFonts w:cs="Segoe UI"/>
          <w:sz w:val="18"/>
          <w:szCs w:val="18"/>
          <w:vertAlign w:val="superscript"/>
        </w:rPr>
        <w:footnoteReference w:id="5"/>
      </w:r>
      <w:r w:rsidRPr="00BD5004">
        <w:rPr>
          <w:rFonts w:cs="Segoe UI"/>
        </w:rPr>
        <w:t xml:space="preserve"> The WBCs are jointly funded by both the Australian</w:t>
      </w:r>
      <w:r w:rsidR="0077043D">
        <w:rPr>
          <w:rFonts w:cs="Segoe UI"/>
        </w:rPr>
        <w:t xml:space="preserve"> (</w:t>
      </w:r>
      <w:r w:rsidR="00355340">
        <w:rPr>
          <w:rFonts w:cs="Segoe UI"/>
        </w:rPr>
        <w:t>78</w:t>
      </w:r>
      <w:r w:rsidR="0077043D">
        <w:rPr>
          <w:rFonts w:cs="Segoe UI"/>
        </w:rPr>
        <w:t>%)</w:t>
      </w:r>
      <w:r w:rsidRPr="00BD5004">
        <w:rPr>
          <w:rFonts w:cs="Segoe UI"/>
        </w:rPr>
        <w:t xml:space="preserve"> and Queensland Governments</w:t>
      </w:r>
      <w:r w:rsidR="00355340">
        <w:rPr>
          <w:rFonts w:cs="Segoe UI"/>
        </w:rPr>
        <w:t xml:space="preserve"> (22</w:t>
      </w:r>
      <w:r w:rsidR="0077043D">
        <w:rPr>
          <w:rFonts w:cs="Segoe UI"/>
        </w:rPr>
        <w:t>%)</w:t>
      </w:r>
      <w:r w:rsidRPr="00BD5004">
        <w:rPr>
          <w:rFonts w:cs="Segoe UI"/>
        </w:rPr>
        <w:t>.</w:t>
      </w:r>
    </w:p>
    <w:p w14:paraId="2EBE2A5F" w14:textId="77777777" w:rsidR="007E2E6D" w:rsidRPr="00BD5004" w:rsidRDefault="007E2E6D" w:rsidP="007E2E6D">
      <w:pPr>
        <w:rPr>
          <w:rFonts w:cs="Segoe UI"/>
        </w:rPr>
      </w:pPr>
      <w:r w:rsidRPr="00BD5004">
        <w:rPr>
          <w:rFonts w:cs="Segoe UI"/>
        </w:rPr>
        <w:t>The RFDS was contracted as an interim auspice to operate the WBCs with a view to transitioning to a community‐con</w:t>
      </w:r>
      <w:r w:rsidR="005E4FC0">
        <w:rPr>
          <w:rFonts w:cs="Segoe UI"/>
        </w:rPr>
        <w:t xml:space="preserve">trolled arrangement over time. </w:t>
      </w:r>
      <w:r>
        <w:rPr>
          <w:rFonts w:cs="Segoe UI"/>
        </w:rPr>
        <w:t>Local Advisory Groups (</w:t>
      </w:r>
      <w:r w:rsidRPr="00BD5004">
        <w:rPr>
          <w:rFonts w:cs="Segoe UI"/>
        </w:rPr>
        <w:t>LAGs</w:t>
      </w:r>
      <w:r>
        <w:rPr>
          <w:rFonts w:cs="Segoe UI"/>
        </w:rPr>
        <w:t xml:space="preserve">) were </w:t>
      </w:r>
      <w:r w:rsidRPr="00BD5004">
        <w:rPr>
          <w:rFonts w:cs="Segoe UI"/>
        </w:rPr>
        <w:t xml:space="preserve">established in each community to partner with the RFDS to ensure active community participation in the recruitment, planning, development, monitoring and evaluation of the WBC service delivery. The LAGs, which consist of local Aboriginal and Torres Strait Islander community members, were established as the mechanism to strengthen community input into the operational aspects of the WBCs and to assist with building health literacy within </w:t>
      </w:r>
      <w:r>
        <w:rPr>
          <w:rFonts w:cs="Segoe UI"/>
        </w:rPr>
        <w:t>communities</w:t>
      </w:r>
      <w:r w:rsidRPr="00BD5004">
        <w:rPr>
          <w:rFonts w:cs="Segoe UI"/>
        </w:rPr>
        <w:t>.</w:t>
      </w:r>
    </w:p>
    <w:p w14:paraId="2EBE2A60" w14:textId="77777777" w:rsidR="007E2E6D" w:rsidRDefault="007E2E6D" w:rsidP="007E2E6D">
      <w:r w:rsidRPr="00BD5004">
        <w:t xml:space="preserve">The four </w:t>
      </w:r>
      <w:r>
        <w:t>communities</w:t>
      </w:r>
      <w:r w:rsidRPr="00BD5004">
        <w:t xml:space="preserve"> in which the WBCs have been established are also Cape York We</w:t>
      </w:r>
      <w:r>
        <w:t>lfare Reform (CYWR) Trial Sites. They a</w:t>
      </w:r>
      <w:r w:rsidRPr="00BD5004">
        <w:t xml:space="preserve">re subject to the Queensland Government Alcohol Reform Initiative and are priority </w:t>
      </w:r>
      <w:r>
        <w:t>communities</w:t>
      </w:r>
      <w:r w:rsidRPr="00BD5004">
        <w:t xml:space="preserve"> under the Council of Australian Governments (COAG) National Partnership Agreement on Remote Service Delivery (RSD).</w:t>
      </w:r>
    </w:p>
    <w:p w14:paraId="2EBE2A61" w14:textId="77777777" w:rsidR="007E2E6D" w:rsidRPr="00BD5004" w:rsidRDefault="007E2E6D" w:rsidP="00BC0A26">
      <w:pPr>
        <w:pStyle w:val="Heading3"/>
      </w:pPr>
      <w:r>
        <w:t xml:space="preserve">Relationship to </w:t>
      </w:r>
      <w:r w:rsidRPr="00BD5004">
        <w:t>design of the Cape York Welfare Reform</w:t>
      </w:r>
    </w:p>
    <w:p w14:paraId="2EBE2A62" w14:textId="77777777" w:rsidR="007E2E6D" w:rsidRPr="00BD5004" w:rsidRDefault="007E2E6D" w:rsidP="007E2E6D">
      <w:r w:rsidRPr="00BD5004">
        <w:t xml:space="preserve">Whilst not initiated to support the CYWR exclusively, the WBCs are intended to provide a significant support service to the Trials. That is, the WBC is expected to contribute to the change in behavioural and social norms of each community through providing a variety of services including </w:t>
      </w:r>
      <w:r>
        <w:t xml:space="preserve">alcohol and other </w:t>
      </w:r>
      <w:r w:rsidRPr="00BD5004">
        <w:t>drug</w:t>
      </w:r>
      <w:r>
        <w:t>s</w:t>
      </w:r>
      <w:r w:rsidRPr="00BD5004">
        <w:t>, men</w:t>
      </w:r>
      <w:r w:rsidR="005E4FC0">
        <w:t>tal health, family violence and</w:t>
      </w:r>
      <w:r w:rsidRPr="00BD5004">
        <w:t xml:space="preserve"> </w:t>
      </w:r>
      <w:r w:rsidR="005E4FC0">
        <w:t>i</w:t>
      </w:r>
      <w:r w:rsidRPr="00BD5004">
        <w:t>n some cases through a compliance order made by the</w:t>
      </w:r>
      <w:r>
        <w:t xml:space="preserve"> Families Responsibilities Commission (</w:t>
      </w:r>
      <w:r w:rsidRPr="00BD5004">
        <w:t>FRC</w:t>
      </w:r>
      <w:r>
        <w:t>)</w:t>
      </w:r>
      <w:r w:rsidRPr="00BD5004">
        <w:t>.</w:t>
      </w:r>
    </w:p>
    <w:p w14:paraId="2EBE2A63" w14:textId="77777777" w:rsidR="007E2E6D" w:rsidRPr="00BD5004" w:rsidRDefault="007E2E6D" w:rsidP="007E2E6D">
      <w:pPr>
        <w:rPr>
          <w:i/>
        </w:rPr>
      </w:pPr>
      <w:r>
        <w:t>In the form they have been e</w:t>
      </w:r>
      <w:r w:rsidRPr="00BD5004">
        <w:t xml:space="preserve">stablished, the role and focus of the WBCs do reflect some of the key support initiatives seen as essential in the design of the CYWR, documented by the Cape York Institute </w:t>
      </w:r>
      <w:r w:rsidRPr="00BD5004">
        <w:lastRenderedPageBreak/>
        <w:t xml:space="preserve">for Policy and Leadership in </w:t>
      </w:r>
      <w:r w:rsidRPr="007C0F6A">
        <w:rPr>
          <w:i/>
        </w:rPr>
        <w:t>From Handout to Hand Up volume 2</w:t>
      </w:r>
      <w:r>
        <w:t>.</w:t>
      </w:r>
      <w:r w:rsidRPr="00BD5004">
        <w:t xml:space="preserve"> The WBCs also reflect to some degree the </w:t>
      </w:r>
      <w:r>
        <w:t>v</w:t>
      </w:r>
      <w:r w:rsidRPr="00BD5004">
        <w:t xml:space="preserve">ision, concept and characteristics of Village Hubs outlined in the same Cape York Institute paper. </w:t>
      </w:r>
    </w:p>
    <w:p w14:paraId="2EBE2A64" w14:textId="77777777" w:rsidR="007E2E6D" w:rsidRPr="00BD5004" w:rsidRDefault="007E2E6D" w:rsidP="007E2E6D">
      <w:r w:rsidRPr="00BD5004">
        <w:t>Whilst the WBCs do not precisely reflect the concepts outlined in the design of the CYWR design, they do</w:t>
      </w:r>
      <w:r>
        <w:t>,</w:t>
      </w:r>
      <w:r w:rsidRPr="00BD5004">
        <w:t xml:space="preserve"> to a reasonable extent</w:t>
      </w:r>
      <w:r>
        <w:t>,</w:t>
      </w:r>
      <w:r w:rsidRPr="00BD5004">
        <w:t xml:space="preserve"> reflect the philosophy of the reform trials, the basic vision of a community hub (albeit established and ‘operated’ by Government currently) and are designed to reflect the key support needs (e.g. </w:t>
      </w:r>
      <w:r>
        <w:t xml:space="preserve">mental health, alcohol and other drugs </w:t>
      </w:r>
      <w:r w:rsidRPr="00BD5004">
        <w:t>counselling) seen as essential for rebuilding social norms. In a pragmatic sense, they do receive mandatory referrals from the FRC and are expected to partner with other community based government and non-government agencies and local community groups to address the objectives and support the implementation of the CYWR.</w:t>
      </w:r>
    </w:p>
    <w:p w14:paraId="2EBE2A65" w14:textId="77777777" w:rsidR="007E2E6D" w:rsidRPr="00BD5004" w:rsidRDefault="007E2E6D" w:rsidP="00BC0A26">
      <w:pPr>
        <w:pStyle w:val="Heading3"/>
      </w:pPr>
      <w:r w:rsidRPr="00BD5004">
        <w:t>Relationship to Queensland Government initiatives</w:t>
      </w:r>
    </w:p>
    <w:p w14:paraId="2EBE2A66" w14:textId="77777777" w:rsidR="007E2E6D" w:rsidRPr="00BD5004" w:rsidRDefault="007E2E6D" w:rsidP="007E2E6D">
      <w:r w:rsidRPr="00BD5004">
        <w:t>The WBCs are linked to Queensland Government initiatives in that they assum</w:t>
      </w:r>
      <w:r w:rsidR="009F45F5">
        <w:t>ed responsibility for ATODS</w:t>
      </w:r>
      <w:r w:rsidRPr="00BD5004">
        <w:t xml:space="preserve"> in those </w:t>
      </w:r>
      <w:r>
        <w:t>communities</w:t>
      </w:r>
      <w:r w:rsidRPr="00BD5004">
        <w:t xml:space="preserve"> at least to some degree.</w:t>
      </w:r>
    </w:p>
    <w:p w14:paraId="2EBE2A67" w14:textId="77777777" w:rsidR="007E2E6D" w:rsidRPr="00BD5004" w:rsidRDefault="007E2E6D" w:rsidP="007E2E6D">
      <w:r w:rsidRPr="00BD5004">
        <w:t>The Queensland Government Alcohol Reforms (currently under review) are a major initiative to achieve sustained reduction in alcohol-related harms through alcohol restrictions, improved services, partnerships between government and community and support for positive community leadership and actions of which the WBCs are a key part.</w:t>
      </w:r>
    </w:p>
    <w:p w14:paraId="2EBE2A68" w14:textId="77777777" w:rsidR="007E2E6D" w:rsidRPr="00BD5004" w:rsidRDefault="007E2E6D" w:rsidP="00BC0A26">
      <w:pPr>
        <w:pStyle w:val="Heading3"/>
      </w:pPr>
      <w:r w:rsidRPr="00BD5004">
        <w:t>Program theory for the Cape York Wellbeing Centres</w:t>
      </w:r>
    </w:p>
    <w:p w14:paraId="2EBE2A69" w14:textId="77777777" w:rsidR="007E2E6D" w:rsidRPr="00E36633" w:rsidRDefault="007E2E6D" w:rsidP="007E2E6D">
      <w:r>
        <w:t>The program theory for the WBC identified during the course of the evaluation is</w:t>
      </w:r>
      <w:r w:rsidRPr="00BD5004">
        <w:rPr>
          <w:szCs w:val="20"/>
        </w:rPr>
        <w:t xml:space="preserve">, where individuals participate in WBC programs appropriate to their specific need (regardless of the motivation being compliance, identification or internalisation), </w:t>
      </w:r>
      <w:r>
        <w:rPr>
          <w:szCs w:val="20"/>
        </w:rPr>
        <w:t xml:space="preserve">and </w:t>
      </w:r>
      <w:r w:rsidRPr="00BD5004">
        <w:rPr>
          <w:szCs w:val="20"/>
        </w:rPr>
        <w:t>take responsibility for personal and family SEWB and functioning, this will have a broader change effect through the community that over time will encourage and reinforce the benefits of behavioural change and contribute to rebuilding social norms. The evaluation is seeking to understand how the WBC ‘program’ contributes (or not) to the social change process.</w:t>
      </w:r>
    </w:p>
    <w:p w14:paraId="2EBE2A6A" w14:textId="77777777" w:rsidR="007E2E6D" w:rsidRPr="00BD5004" w:rsidRDefault="007E2E6D" w:rsidP="007E2E6D">
      <w:pPr>
        <w:rPr>
          <w:szCs w:val="20"/>
        </w:rPr>
      </w:pPr>
      <w:r w:rsidRPr="00BD5004">
        <w:rPr>
          <w:szCs w:val="20"/>
        </w:rPr>
        <w:t>There are a number of essential components underpinning this process of behavioural change th</w:t>
      </w:r>
      <w:r>
        <w:rPr>
          <w:szCs w:val="20"/>
        </w:rPr>
        <w:t>at have been identified through:</w:t>
      </w:r>
      <w:r w:rsidRPr="00BD5004">
        <w:rPr>
          <w:szCs w:val="20"/>
        </w:rPr>
        <w:t xml:space="preserve"> gaining a clear understanding of what constitutes Indigenous SEWB, the documented key elements of the WBCs, consultation with a range of service/program delivery and research ‘experts’ in the field of Indigenous SEWB, and consultation with community based stakeholders including community members. These essential components include:</w:t>
      </w:r>
    </w:p>
    <w:p w14:paraId="2EBE2A6B" w14:textId="77777777" w:rsidR="007E2E6D" w:rsidRPr="00BD5004" w:rsidRDefault="00C56FF7" w:rsidP="0083588E">
      <w:pPr>
        <w:numPr>
          <w:ilvl w:val="0"/>
          <w:numId w:val="9"/>
        </w:numPr>
        <w:spacing w:after="120"/>
        <w:ind w:left="357" w:hanging="357"/>
        <w:rPr>
          <w:szCs w:val="20"/>
        </w:rPr>
      </w:pPr>
      <w:r>
        <w:rPr>
          <w:szCs w:val="20"/>
        </w:rPr>
        <w:t>E</w:t>
      </w:r>
      <w:r w:rsidR="007E2E6D" w:rsidRPr="00BD5004">
        <w:rPr>
          <w:szCs w:val="20"/>
        </w:rPr>
        <w:t>ngagement with the community</w:t>
      </w:r>
    </w:p>
    <w:p w14:paraId="2EBE2A6C" w14:textId="77777777" w:rsidR="007E2E6D" w:rsidRPr="00BD5004" w:rsidRDefault="00C56FF7" w:rsidP="0083588E">
      <w:pPr>
        <w:numPr>
          <w:ilvl w:val="0"/>
          <w:numId w:val="9"/>
        </w:numPr>
        <w:spacing w:after="120"/>
        <w:ind w:left="357" w:hanging="357"/>
        <w:rPr>
          <w:szCs w:val="20"/>
        </w:rPr>
      </w:pPr>
      <w:r>
        <w:rPr>
          <w:szCs w:val="20"/>
        </w:rPr>
        <w:t>A</w:t>
      </w:r>
      <w:r w:rsidR="007E2E6D" w:rsidRPr="00BD5004">
        <w:rPr>
          <w:szCs w:val="20"/>
        </w:rPr>
        <w:t xml:space="preserve"> culturally appropriate service model</w:t>
      </w:r>
    </w:p>
    <w:p w14:paraId="2EBE2A6D" w14:textId="77777777" w:rsidR="007E2E6D" w:rsidRPr="00BD5004" w:rsidRDefault="00C56FF7" w:rsidP="0083588E">
      <w:pPr>
        <w:numPr>
          <w:ilvl w:val="0"/>
          <w:numId w:val="9"/>
        </w:numPr>
        <w:spacing w:after="120"/>
        <w:ind w:left="357" w:hanging="357"/>
        <w:rPr>
          <w:szCs w:val="20"/>
        </w:rPr>
      </w:pPr>
      <w:r>
        <w:rPr>
          <w:szCs w:val="20"/>
        </w:rPr>
        <w:t>P</w:t>
      </w:r>
      <w:r w:rsidR="007E2E6D" w:rsidRPr="00BD5004">
        <w:rPr>
          <w:szCs w:val="20"/>
        </w:rPr>
        <w:t>artnerships with other agencies</w:t>
      </w:r>
    </w:p>
    <w:p w14:paraId="2EBE2A6E" w14:textId="77777777" w:rsidR="007E2E6D" w:rsidRPr="00BD5004" w:rsidRDefault="00C56FF7" w:rsidP="0083588E">
      <w:pPr>
        <w:numPr>
          <w:ilvl w:val="0"/>
          <w:numId w:val="9"/>
        </w:numPr>
        <w:spacing w:after="120"/>
        <w:ind w:left="357" w:hanging="357"/>
        <w:rPr>
          <w:szCs w:val="20"/>
        </w:rPr>
      </w:pPr>
      <w:r>
        <w:rPr>
          <w:szCs w:val="20"/>
        </w:rPr>
        <w:t>S</w:t>
      </w:r>
      <w:r w:rsidR="007E2E6D">
        <w:rPr>
          <w:szCs w:val="20"/>
        </w:rPr>
        <w:t>ervice governance and m</w:t>
      </w:r>
      <w:r w:rsidR="007E2E6D" w:rsidRPr="00BD5004">
        <w:rPr>
          <w:szCs w:val="20"/>
        </w:rPr>
        <w:t>anagement.</w:t>
      </w:r>
    </w:p>
    <w:p w14:paraId="2EBE2A6F" w14:textId="77777777" w:rsidR="007E2E6D" w:rsidRDefault="007E2E6D" w:rsidP="007E2E6D">
      <w:pPr>
        <w:rPr>
          <w:szCs w:val="20"/>
        </w:rPr>
      </w:pPr>
      <w:r w:rsidRPr="00BD5004">
        <w:rPr>
          <w:szCs w:val="20"/>
        </w:rPr>
        <w:t xml:space="preserve">In addition they give rise to a number of key hypotheses that underpin the establishment of the WBC and </w:t>
      </w:r>
      <w:r>
        <w:rPr>
          <w:szCs w:val="20"/>
        </w:rPr>
        <w:t xml:space="preserve">are </w:t>
      </w:r>
      <w:r w:rsidRPr="00BD5004">
        <w:rPr>
          <w:szCs w:val="20"/>
        </w:rPr>
        <w:t>tested as part of the evaluation</w:t>
      </w:r>
      <w:r>
        <w:rPr>
          <w:szCs w:val="20"/>
        </w:rPr>
        <w:t>.</w:t>
      </w:r>
    </w:p>
    <w:p w14:paraId="2EBE2A70" w14:textId="77777777" w:rsidR="00F73C59" w:rsidRDefault="007E2E6D" w:rsidP="00F73C59">
      <w:r>
        <w:t xml:space="preserve">The WBC program theory documented by HOI and presented previously is at </w:t>
      </w:r>
      <w:r w:rsidR="005E4FC0">
        <w:t>Appendix 5</w:t>
      </w:r>
      <w:r w:rsidR="00CB46EB">
        <w:t>.</w:t>
      </w:r>
      <w:r>
        <w:t xml:space="preserve"> The key program elements documented in the DOH service contract with the RFDS are set out in </w:t>
      </w:r>
      <w:r w:rsidR="005E4FC0" w:rsidRPr="005E4FC0">
        <w:t>Appendix 6</w:t>
      </w:r>
      <w:r w:rsidRPr="005E4FC0">
        <w:t>.</w:t>
      </w:r>
      <w:r w:rsidR="00F73C59">
        <w:br w:type="page"/>
      </w:r>
    </w:p>
    <w:p w14:paraId="2EBE2A71" w14:textId="77777777" w:rsidR="008D4ADC" w:rsidRDefault="008D4ADC" w:rsidP="008D4ADC">
      <w:pPr>
        <w:pStyle w:val="ChLetter"/>
      </w:pPr>
      <w:r>
        <w:lastRenderedPageBreak/>
        <w:t>2</w:t>
      </w:r>
    </w:p>
    <w:p w14:paraId="2EBE2A72" w14:textId="77777777" w:rsidR="00611D04" w:rsidRDefault="00611D04" w:rsidP="00D8162E">
      <w:pPr>
        <w:pStyle w:val="Heading1"/>
      </w:pPr>
      <w:bookmarkStart w:id="51" w:name="_Toc440038430"/>
      <w:r>
        <w:t>Evidence of Success</w:t>
      </w:r>
      <w:bookmarkEnd w:id="51"/>
    </w:p>
    <w:p w14:paraId="2EBE2A73" w14:textId="77777777" w:rsidR="00204D69" w:rsidRDefault="00204D69" w:rsidP="00204D69">
      <w:r w:rsidRPr="00C86398">
        <w:t xml:space="preserve">This chapter </w:t>
      </w:r>
      <w:r>
        <w:rPr>
          <w:color w:val="auto"/>
          <w:lang w:eastAsia="x-none"/>
        </w:rPr>
        <w:t>provides</w:t>
      </w:r>
      <w:r w:rsidRPr="009028DB">
        <w:rPr>
          <w:color w:val="auto"/>
          <w:lang w:eastAsia="x-none"/>
        </w:rPr>
        <w:t xml:space="preserve"> evidence on whether the WBCs are being successful</w:t>
      </w:r>
      <w:r>
        <w:rPr>
          <w:color w:val="auto"/>
          <w:lang w:eastAsia="x-none"/>
        </w:rPr>
        <w:t xml:space="preserve"> in relation to</w:t>
      </w:r>
      <w:r w:rsidRPr="00C86398">
        <w:t xml:space="preserve">: </w:t>
      </w:r>
    </w:p>
    <w:p w14:paraId="2EBE2A74" w14:textId="77777777" w:rsidR="00204D69" w:rsidRPr="009028DB" w:rsidRDefault="00C56FF7" w:rsidP="0083588E">
      <w:pPr>
        <w:numPr>
          <w:ilvl w:val="0"/>
          <w:numId w:val="8"/>
        </w:numPr>
        <w:spacing w:before="120" w:after="120"/>
        <w:ind w:left="357" w:hanging="357"/>
        <w:rPr>
          <w:color w:val="auto"/>
          <w:lang w:eastAsia="x-none"/>
        </w:rPr>
      </w:pPr>
      <w:r>
        <w:rPr>
          <w:color w:val="auto"/>
          <w:lang w:eastAsia="x-none"/>
        </w:rPr>
        <w:t>R</w:t>
      </w:r>
      <w:r w:rsidR="00204D69" w:rsidRPr="009028DB">
        <w:rPr>
          <w:color w:val="auto"/>
          <w:lang w:eastAsia="x-none"/>
        </w:rPr>
        <w:t>educing alcohol and substance abuse and its impact on families, safety and community wellbeing in the four Cape York communities</w:t>
      </w:r>
      <w:r w:rsidR="00204D69">
        <w:rPr>
          <w:color w:val="auto"/>
          <w:lang w:eastAsia="x-none"/>
        </w:rPr>
        <w:t xml:space="preserve"> </w:t>
      </w:r>
    </w:p>
    <w:p w14:paraId="2EBE2A75" w14:textId="77777777" w:rsidR="00204D69" w:rsidRDefault="00C56FF7" w:rsidP="0083588E">
      <w:pPr>
        <w:numPr>
          <w:ilvl w:val="0"/>
          <w:numId w:val="8"/>
        </w:numPr>
        <w:spacing w:before="120" w:after="120"/>
        <w:ind w:left="357" w:hanging="357"/>
        <w:rPr>
          <w:color w:val="auto"/>
          <w:lang w:eastAsia="x-none"/>
        </w:rPr>
      </w:pPr>
      <w:r>
        <w:rPr>
          <w:color w:val="auto"/>
          <w:lang w:eastAsia="x-none"/>
        </w:rPr>
        <w:t>A</w:t>
      </w:r>
      <w:r w:rsidR="00204D69" w:rsidRPr="009028DB">
        <w:rPr>
          <w:color w:val="auto"/>
          <w:lang w:eastAsia="x-none"/>
        </w:rPr>
        <w:t>ddressing related mental health and social and emotional well‐being issues in each of the four Cape York communities</w:t>
      </w:r>
      <w:r w:rsidR="00204D69">
        <w:rPr>
          <w:color w:val="auto"/>
          <w:lang w:eastAsia="x-none"/>
        </w:rPr>
        <w:t>.</w:t>
      </w:r>
    </w:p>
    <w:p w14:paraId="2EBE2A76" w14:textId="77777777" w:rsidR="00204D69" w:rsidRPr="009028DB" w:rsidRDefault="00204D69" w:rsidP="00204D69">
      <w:pPr>
        <w:spacing w:before="120" w:after="120"/>
        <w:rPr>
          <w:color w:val="auto"/>
          <w:lang w:eastAsia="x-none"/>
        </w:rPr>
      </w:pPr>
      <w:r>
        <w:rPr>
          <w:color w:val="auto"/>
          <w:lang w:eastAsia="x-none"/>
        </w:rPr>
        <w:t xml:space="preserve">There is also discussion on </w:t>
      </w:r>
      <w:r w:rsidRPr="00350793">
        <w:rPr>
          <w:color w:val="auto"/>
          <w:lang w:eastAsia="x-none"/>
        </w:rPr>
        <w:t>whether the work of the WBCs is contributing to achievement of the Closing the Gap targets, particularly those that relate to the life expectancy gap and mortality</w:t>
      </w:r>
      <w:r>
        <w:rPr>
          <w:color w:val="auto"/>
          <w:lang w:eastAsia="x-none"/>
        </w:rPr>
        <w:t>.</w:t>
      </w:r>
    </w:p>
    <w:p w14:paraId="2EBE2A77" w14:textId="77777777" w:rsidR="00204D69" w:rsidRDefault="00204D69" w:rsidP="00204D69">
      <w:pPr>
        <w:rPr>
          <w:color w:val="auto"/>
        </w:rPr>
      </w:pPr>
      <w:r>
        <w:rPr>
          <w:color w:val="auto"/>
        </w:rPr>
        <w:t xml:space="preserve">The chapter also presents: </w:t>
      </w:r>
    </w:p>
    <w:p w14:paraId="2EBE2A78" w14:textId="77777777" w:rsidR="00204D69" w:rsidRDefault="00C56FF7" w:rsidP="0083588E">
      <w:pPr>
        <w:pStyle w:val="ListParagraph"/>
        <w:numPr>
          <w:ilvl w:val="0"/>
          <w:numId w:val="23"/>
        </w:numPr>
        <w:rPr>
          <w:color w:val="auto"/>
        </w:rPr>
      </w:pPr>
      <w:r>
        <w:rPr>
          <w:color w:val="auto"/>
        </w:rPr>
        <w:t>W</w:t>
      </w:r>
      <w:r w:rsidR="00204D69" w:rsidRPr="0030211D">
        <w:rPr>
          <w:color w:val="auto"/>
        </w:rPr>
        <w:t>hat stakeholders think would be the impact if there were no WBC</w:t>
      </w:r>
    </w:p>
    <w:p w14:paraId="2EBE2A79" w14:textId="77777777" w:rsidR="00204D69" w:rsidRPr="0030211D" w:rsidRDefault="00C56FF7" w:rsidP="0083588E">
      <w:pPr>
        <w:pStyle w:val="ListParagraph"/>
        <w:numPr>
          <w:ilvl w:val="0"/>
          <w:numId w:val="23"/>
        </w:numPr>
        <w:rPr>
          <w:color w:val="auto"/>
        </w:rPr>
      </w:pPr>
      <w:r>
        <w:rPr>
          <w:color w:val="auto"/>
        </w:rPr>
        <w:t>T</w:t>
      </w:r>
      <w:r w:rsidR="00204D69" w:rsidRPr="0030211D">
        <w:rPr>
          <w:color w:val="auto"/>
        </w:rPr>
        <w:t>he challenges associated with achieving individual and community change</w:t>
      </w:r>
    </w:p>
    <w:p w14:paraId="2EBE2A7A" w14:textId="77777777" w:rsidR="00204D69" w:rsidRDefault="00C56FF7" w:rsidP="0083588E">
      <w:pPr>
        <w:pStyle w:val="ListParagraph"/>
        <w:numPr>
          <w:ilvl w:val="0"/>
          <w:numId w:val="23"/>
        </w:numPr>
        <w:rPr>
          <w:color w:val="auto"/>
        </w:rPr>
      </w:pPr>
      <w:r>
        <w:rPr>
          <w:color w:val="auto"/>
        </w:rPr>
        <w:t>A</w:t>
      </w:r>
      <w:r w:rsidR="00204D69" w:rsidRPr="0030211D">
        <w:rPr>
          <w:color w:val="auto"/>
        </w:rPr>
        <w:t xml:space="preserve"> comparison to other communities</w:t>
      </w:r>
    </w:p>
    <w:p w14:paraId="2EBE2A7B" w14:textId="77777777" w:rsidR="00204D69" w:rsidRDefault="00C56FF7" w:rsidP="0083588E">
      <w:pPr>
        <w:pStyle w:val="ListParagraph"/>
        <w:numPr>
          <w:ilvl w:val="0"/>
          <w:numId w:val="23"/>
        </w:numPr>
        <w:rPr>
          <w:color w:val="auto"/>
        </w:rPr>
      </w:pPr>
      <w:r>
        <w:rPr>
          <w:color w:val="auto"/>
        </w:rPr>
        <w:t xml:space="preserve">Outcome </w:t>
      </w:r>
      <w:r w:rsidR="00204D69">
        <w:rPr>
          <w:color w:val="auto"/>
        </w:rPr>
        <w:t>measures</w:t>
      </w:r>
      <w:r w:rsidR="00204D69" w:rsidRPr="0030211D">
        <w:rPr>
          <w:color w:val="auto"/>
        </w:rPr>
        <w:t xml:space="preserve"> </w:t>
      </w:r>
      <w:r w:rsidR="00204D69">
        <w:rPr>
          <w:color w:val="auto"/>
        </w:rPr>
        <w:t>proposed for the WBC, post-evaluation.</w:t>
      </w:r>
    </w:p>
    <w:p w14:paraId="2EBE2A7C" w14:textId="77777777" w:rsidR="00204D69" w:rsidRPr="0030211D" w:rsidRDefault="00204D69" w:rsidP="00204D69">
      <w:pPr>
        <w:rPr>
          <w:color w:val="auto"/>
        </w:rPr>
      </w:pPr>
      <w:r>
        <w:rPr>
          <w:color w:val="auto"/>
        </w:rPr>
        <w:t>Evidence is</w:t>
      </w:r>
      <w:r w:rsidRPr="0030211D">
        <w:rPr>
          <w:color w:val="auto"/>
        </w:rPr>
        <w:t xml:space="preserve"> drawn from: client interviews; the community survey; staff surveys and interviews; partner interviews; outcome</w:t>
      </w:r>
      <w:r>
        <w:rPr>
          <w:color w:val="auto"/>
        </w:rPr>
        <w:t xml:space="preserve"> measures; </w:t>
      </w:r>
      <w:r w:rsidRPr="0030211D">
        <w:rPr>
          <w:color w:val="auto"/>
        </w:rPr>
        <w:t xml:space="preserve">CYYHS local clinic and Queensland Health </w:t>
      </w:r>
      <w:r>
        <w:rPr>
          <w:color w:val="auto"/>
        </w:rPr>
        <w:t xml:space="preserve">state-wide hospital data; and the </w:t>
      </w:r>
      <w:r w:rsidRPr="0030211D">
        <w:rPr>
          <w:color w:val="auto"/>
        </w:rPr>
        <w:t xml:space="preserve"> </w:t>
      </w:r>
      <w:r w:rsidRPr="005500AE">
        <w:rPr>
          <w:i/>
          <w:color w:val="auto"/>
        </w:rPr>
        <w:t>Annual Bulletin for Queensland’s Discrete Indigenous Communities: 2011/12</w:t>
      </w:r>
      <w:r>
        <w:rPr>
          <w:i/>
          <w:color w:val="auto"/>
        </w:rPr>
        <w:t>.</w:t>
      </w:r>
    </w:p>
    <w:p w14:paraId="2EBE2A7D" w14:textId="77777777" w:rsidR="00204D69" w:rsidRDefault="00204D69" w:rsidP="00204D69">
      <w:pPr>
        <w:rPr>
          <w:color w:val="auto"/>
        </w:rPr>
      </w:pPr>
      <w:r>
        <w:rPr>
          <w:color w:val="auto"/>
        </w:rPr>
        <w:t xml:space="preserve">Case studies are also presented in </w:t>
      </w:r>
      <w:r w:rsidRPr="005E4FC0">
        <w:rPr>
          <w:color w:val="auto"/>
        </w:rPr>
        <w:t>Appendix 13</w:t>
      </w:r>
      <w:r>
        <w:rPr>
          <w:color w:val="auto"/>
        </w:rPr>
        <w:t xml:space="preserve"> to supplement the information presented in this chapter. They provide examples of how the WBC, including working with other partners can have real and demonstrable benefits for clients. They also highlight the enormous challenge faced by clients.</w:t>
      </w:r>
    </w:p>
    <w:p w14:paraId="2EBE2A7E" w14:textId="77777777" w:rsidR="00204D69" w:rsidRPr="0083588E" w:rsidRDefault="00204D69" w:rsidP="00B14D28">
      <w:pPr>
        <w:pStyle w:val="Heading2"/>
        <w:numPr>
          <w:ilvl w:val="1"/>
          <w:numId w:val="50"/>
        </w:numPr>
        <w:ind w:hanging="796"/>
        <w:rPr>
          <w:lang w:val="en-AU"/>
        </w:rPr>
      </w:pPr>
      <w:bookmarkStart w:id="52" w:name="_Toc379474388"/>
      <w:bookmarkStart w:id="53" w:name="_Toc440038431"/>
      <w:r>
        <w:t>Attribution or contribution</w:t>
      </w:r>
      <w:bookmarkEnd w:id="52"/>
      <w:bookmarkEnd w:id="53"/>
    </w:p>
    <w:p w14:paraId="2EBE2A7F" w14:textId="77777777" w:rsidR="00204D69" w:rsidRPr="005F4E99" w:rsidRDefault="00204D69" w:rsidP="00204D69">
      <w:pPr>
        <w:rPr>
          <w:lang w:eastAsia="x-none"/>
        </w:rPr>
      </w:pPr>
      <w:r w:rsidRPr="005F4E99">
        <w:rPr>
          <w:lang w:eastAsia="x-none"/>
        </w:rPr>
        <w:t xml:space="preserve">When considering the impact on clients, families and </w:t>
      </w:r>
      <w:r>
        <w:rPr>
          <w:lang w:eastAsia="x-none"/>
        </w:rPr>
        <w:t>communities</w:t>
      </w:r>
      <w:r w:rsidRPr="005F4E99">
        <w:rPr>
          <w:lang w:eastAsia="x-none"/>
        </w:rPr>
        <w:t>, a key issue is the extent to which the WBC has contributed to any impact. This is particularly complex in social change programmes where there are many confounding factors, both current and historical, impacting on the client, family or community and there are or may be a number of services working with a client or in a community to address common issues.</w:t>
      </w:r>
    </w:p>
    <w:p w14:paraId="2EBE2A80" w14:textId="77777777" w:rsidR="00204D69" w:rsidRDefault="00204D69" w:rsidP="00204D69">
      <w:pPr>
        <w:rPr>
          <w:lang w:eastAsia="x-none"/>
        </w:rPr>
      </w:pPr>
      <w:r w:rsidRPr="00F84F94">
        <w:rPr>
          <w:lang w:eastAsia="x-none"/>
        </w:rPr>
        <w:t>At the individual level, it is our conclusion that it is the work of the WBC that is making the greatest impact on the outcomes for their clients. This is concluded based on:</w:t>
      </w:r>
    </w:p>
    <w:p w14:paraId="2EBE2A81" w14:textId="77777777" w:rsidR="00204D69" w:rsidRDefault="00A33B9B" w:rsidP="0083588E">
      <w:pPr>
        <w:pStyle w:val="ListParagraph"/>
        <w:numPr>
          <w:ilvl w:val="0"/>
          <w:numId w:val="16"/>
        </w:numPr>
        <w:rPr>
          <w:lang w:eastAsia="x-none"/>
        </w:rPr>
      </w:pPr>
      <w:r>
        <w:rPr>
          <w:lang w:eastAsia="x-none"/>
        </w:rPr>
        <w:t>Key aspects of  t</w:t>
      </w:r>
      <w:r w:rsidR="00204D69" w:rsidRPr="005F4E99">
        <w:rPr>
          <w:lang w:eastAsia="x-none"/>
        </w:rPr>
        <w:t xml:space="preserve">he service model </w:t>
      </w:r>
      <w:r>
        <w:rPr>
          <w:lang w:eastAsia="x-none"/>
        </w:rPr>
        <w:t xml:space="preserve">are </w:t>
      </w:r>
      <w:r w:rsidR="00204D69" w:rsidRPr="005F4E99">
        <w:rPr>
          <w:lang w:eastAsia="x-none"/>
        </w:rPr>
        <w:t>structurally sound and evidence based</w:t>
      </w:r>
      <w:r>
        <w:rPr>
          <w:lang w:eastAsia="x-none"/>
        </w:rPr>
        <w:t xml:space="preserve"> recognising there are opportunities for further improvement</w:t>
      </w:r>
    </w:p>
    <w:p w14:paraId="2EBE2A82" w14:textId="77777777" w:rsidR="00204D69" w:rsidRDefault="00C56FF7" w:rsidP="0083588E">
      <w:pPr>
        <w:pStyle w:val="ListParagraph"/>
        <w:numPr>
          <w:ilvl w:val="0"/>
          <w:numId w:val="16"/>
        </w:numPr>
        <w:rPr>
          <w:lang w:eastAsia="x-none"/>
        </w:rPr>
      </w:pPr>
      <w:r>
        <w:rPr>
          <w:lang w:eastAsia="x-none"/>
        </w:rPr>
        <w:t>I</w:t>
      </w:r>
      <w:r w:rsidR="00204D69" w:rsidRPr="005F4E99">
        <w:rPr>
          <w:lang w:eastAsia="x-none"/>
        </w:rPr>
        <w:t xml:space="preserve">t is </w:t>
      </w:r>
      <w:r w:rsidR="00204D69">
        <w:rPr>
          <w:lang w:eastAsia="x-none"/>
        </w:rPr>
        <w:t xml:space="preserve">being relatively </w:t>
      </w:r>
      <w:r w:rsidR="00204D69" w:rsidRPr="005F4E99">
        <w:rPr>
          <w:lang w:eastAsia="x-none"/>
        </w:rPr>
        <w:t xml:space="preserve">well implemented </w:t>
      </w:r>
      <w:r w:rsidR="00204D69">
        <w:rPr>
          <w:lang w:eastAsia="x-none"/>
        </w:rPr>
        <w:t>for individuals</w:t>
      </w:r>
    </w:p>
    <w:p w14:paraId="2EBE2A83" w14:textId="77777777" w:rsidR="00204D69" w:rsidRDefault="00C56FF7" w:rsidP="0083588E">
      <w:pPr>
        <w:pStyle w:val="ListParagraph"/>
        <w:numPr>
          <w:ilvl w:val="0"/>
          <w:numId w:val="16"/>
        </w:numPr>
        <w:rPr>
          <w:lang w:eastAsia="x-none"/>
        </w:rPr>
      </w:pPr>
      <w:r>
        <w:rPr>
          <w:lang w:eastAsia="x-none"/>
        </w:rPr>
        <w:t>M</w:t>
      </w:r>
      <w:r w:rsidR="00204D69" w:rsidRPr="005F4E99">
        <w:rPr>
          <w:lang w:eastAsia="x-none"/>
        </w:rPr>
        <w:t xml:space="preserve">ultiple lines of enquiry </w:t>
      </w:r>
      <w:r w:rsidR="00204D69">
        <w:rPr>
          <w:lang w:eastAsia="x-none"/>
        </w:rPr>
        <w:t xml:space="preserve">with partner agencies </w:t>
      </w:r>
      <w:r w:rsidR="00204D69" w:rsidRPr="005F4E99">
        <w:rPr>
          <w:lang w:eastAsia="x-none"/>
        </w:rPr>
        <w:t>reflect that the WBC is having a</w:t>
      </w:r>
      <w:r w:rsidR="00204D69">
        <w:rPr>
          <w:lang w:eastAsia="x-none"/>
        </w:rPr>
        <w:t xml:space="preserve"> direct </w:t>
      </w:r>
      <w:r w:rsidR="00204D69" w:rsidRPr="005F4E99">
        <w:rPr>
          <w:lang w:eastAsia="x-none"/>
        </w:rPr>
        <w:t>impact</w:t>
      </w:r>
      <w:r w:rsidR="00204D69">
        <w:rPr>
          <w:lang w:eastAsia="x-none"/>
        </w:rPr>
        <w:t xml:space="preserve"> on clients</w:t>
      </w:r>
    </w:p>
    <w:p w14:paraId="2EBE2A84" w14:textId="77777777" w:rsidR="00204D69" w:rsidRDefault="00C56FF7" w:rsidP="0083588E">
      <w:pPr>
        <w:pStyle w:val="ListParagraph"/>
        <w:numPr>
          <w:ilvl w:val="0"/>
          <w:numId w:val="16"/>
        </w:numPr>
        <w:rPr>
          <w:lang w:eastAsia="x-none"/>
        </w:rPr>
      </w:pPr>
      <w:r>
        <w:rPr>
          <w:lang w:eastAsia="x-none"/>
        </w:rPr>
        <w:t>Clien</w:t>
      </w:r>
      <w:r w:rsidR="00204D69">
        <w:rPr>
          <w:lang w:eastAsia="x-none"/>
        </w:rPr>
        <w:t xml:space="preserve">ts report that the WBCs are directly </w:t>
      </w:r>
      <w:r w:rsidR="00204D69" w:rsidRPr="005F4E99">
        <w:rPr>
          <w:lang w:eastAsia="x-none"/>
        </w:rPr>
        <w:t>contribut</w:t>
      </w:r>
      <w:r w:rsidR="00204D69">
        <w:rPr>
          <w:lang w:eastAsia="x-none"/>
        </w:rPr>
        <w:t>ing</w:t>
      </w:r>
      <w:r w:rsidR="00204D69" w:rsidRPr="005F4E99">
        <w:rPr>
          <w:lang w:eastAsia="x-none"/>
        </w:rPr>
        <w:t xml:space="preserve"> to the impacts and outcomes they have achieved.</w:t>
      </w:r>
    </w:p>
    <w:p w14:paraId="2EBE2A85" w14:textId="77777777" w:rsidR="00204D69" w:rsidRPr="003F7F25" w:rsidRDefault="00204D69" w:rsidP="00204D69">
      <w:pPr>
        <w:rPr>
          <w:lang w:eastAsia="x-none"/>
        </w:rPr>
      </w:pPr>
      <w:r w:rsidRPr="005F4E99">
        <w:rPr>
          <w:lang w:eastAsia="x-none"/>
        </w:rPr>
        <w:lastRenderedPageBreak/>
        <w:t xml:space="preserve">At the community level it is much more complicated. Our approach has been to ask community members and partners whether there had been any changes in the community and if so </w:t>
      </w:r>
      <w:r>
        <w:rPr>
          <w:lang w:eastAsia="x-none"/>
        </w:rPr>
        <w:t>has the WBC</w:t>
      </w:r>
      <w:r w:rsidRPr="005F4E99">
        <w:rPr>
          <w:lang w:eastAsia="x-none"/>
        </w:rPr>
        <w:t xml:space="preserve"> contributed to that. It is the ability to use multiple lines of enquiry that allow some confidence in interpreting the data.</w:t>
      </w:r>
    </w:p>
    <w:p w14:paraId="2EBE2A86" w14:textId="77777777" w:rsidR="00204D69" w:rsidRDefault="00204D69" w:rsidP="00204D69">
      <w:pPr>
        <w:pStyle w:val="Heading2"/>
        <w:rPr>
          <w:lang w:val="en-AU"/>
        </w:rPr>
      </w:pPr>
      <w:bookmarkStart w:id="54" w:name="_Alcohol_and_substance"/>
      <w:bookmarkStart w:id="55" w:name="_Toc440038432"/>
      <w:bookmarkEnd w:id="54"/>
      <w:r w:rsidRPr="0077237F">
        <w:t>Alcohol and substance</w:t>
      </w:r>
      <w:r>
        <w:t xml:space="preserve"> abuse</w:t>
      </w:r>
      <w:bookmarkEnd w:id="55"/>
      <w:r>
        <w:t xml:space="preserve"> </w:t>
      </w:r>
    </w:p>
    <w:p w14:paraId="2EBE2A87" w14:textId="77777777" w:rsidR="00204D69" w:rsidRDefault="00204D69" w:rsidP="00204D69">
      <w:pPr>
        <w:rPr>
          <w:lang w:eastAsia="x-none"/>
        </w:rPr>
      </w:pPr>
      <w:r w:rsidRPr="001A4A12">
        <w:rPr>
          <w:lang w:eastAsia="x-none"/>
        </w:rPr>
        <w:t xml:space="preserve">This section presents </w:t>
      </w:r>
      <w:r>
        <w:rPr>
          <w:lang w:eastAsia="x-none"/>
        </w:rPr>
        <w:t xml:space="preserve">for alcohol and substance abuse </w:t>
      </w:r>
      <w:r w:rsidRPr="001A4A12">
        <w:rPr>
          <w:lang w:eastAsia="x-none"/>
        </w:rPr>
        <w:t>the impact of WBC services on client</w:t>
      </w:r>
      <w:r w:rsidRPr="00862694">
        <w:rPr>
          <w:lang w:eastAsia="x-none"/>
        </w:rPr>
        <w:t>s</w:t>
      </w:r>
      <w:r>
        <w:rPr>
          <w:lang w:eastAsia="x-none"/>
        </w:rPr>
        <w:t xml:space="preserve"> and communities</w:t>
      </w:r>
      <w:r w:rsidRPr="00862694">
        <w:rPr>
          <w:lang w:eastAsia="x-none"/>
        </w:rPr>
        <w:t>.</w:t>
      </w:r>
      <w:r>
        <w:rPr>
          <w:lang w:eastAsia="x-none"/>
        </w:rPr>
        <w:t xml:space="preserve"> We have included community safety in this section although it also relates to SEWB. The conclusion to this section contains a summary table of the indicators presented in this section.</w:t>
      </w:r>
    </w:p>
    <w:p w14:paraId="2EBE2A88" w14:textId="77777777" w:rsidR="00204D69" w:rsidRDefault="00204D69" w:rsidP="00BC0A26">
      <w:pPr>
        <w:pStyle w:val="Heading3"/>
        <w:rPr>
          <w:lang w:val="en-AU"/>
        </w:rPr>
      </w:pPr>
      <w:r>
        <w:rPr>
          <w:lang w:val="en-AU"/>
        </w:rPr>
        <w:t>Individual o</w:t>
      </w:r>
      <w:r>
        <w:t>utcome</w:t>
      </w:r>
      <w:r>
        <w:rPr>
          <w:lang w:val="en-AU"/>
        </w:rPr>
        <w:t>s</w:t>
      </w:r>
      <w:r>
        <w:t xml:space="preserve"> </w:t>
      </w:r>
      <w:r>
        <w:rPr>
          <w:lang w:val="en-AU"/>
        </w:rPr>
        <w:t xml:space="preserve">- </w:t>
      </w:r>
      <w:r>
        <w:t>alcohol and other drugs</w:t>
      </w:r>
    </w:p>
    <w:p w14:paraId="2EBE2A89" w14:textId="77777777" w:rsidR="00204D69" w:rsidRPr="008F7FC9" w:rsidRDefault="00204D69" w:rsidP="00204D69">
      <w:pPr>
        <w:rPr>
          <w:lang w:eastAsia="x-none"/>
        </w:rPr>
      </w:pPr>
      <w:r>
        <w:rPr>
          <w:lang w:eastAsia="x-none"/>
        </w:rPr>
        <w:t>This sub-section analyses individual outcomes in relation to alcohol and other drugs (AOD).</w:t>
      </w:r>
    </w:p>
    <w:p w14:paraId="2EBE2A8A" w14:textId="77777777" w:rsidR="00204D69" w:rsidRDefault="00204D69" w:rsidP="00FF37EE">
      <w:pPr>
        <w:pStyle w:val="Heading4"/>
      </w:pPr>
      <w:r>
        <w:t>Outcome measures</w:t>
      </w:r>
    </w:p>
    <w:p w14:paraId="2EBE2A8B" w14:textId="77777777" w:rsidR="00204D69" w:rsidRPr="00847C47" w:rsidRDefault="00204D69" w:rsidP="00204D69">
      <w:pPr>
        <w:rPr>
          <w:color w:val="auto"/>
        </w:rPr>
      </w:pPr>
      <w:r w:rsidRPr="00847C47">
        <w:rPr>
          <w:color w:val="auto"/>
        </w:rPr>
        <w:t xml:space="preserve">The Alcohol Screen (AUDIT), the Severity Dependence Scale (SDS) and the Indigenous Risk Impact Screen (IRIS) were incorporated into the </w:t>
      </w:r>
      <w:r w:rsidRPr="00847C47">
        <w:rPr>
          <w:i/>
          <w:color w:val="auto"/>
        </w:rPr>
        <w:t xml:space="preserve">RFDS Adapted State-wide Standardised Suite of Clinical Documentation, User Guide </w:t>
      </w:r>
      <w:r w:rsidRPr="00847C47">
        <w:rPr>
          <w:color w:val="auto"/>
        </w:rPr>
        <w:t>to be used by clinician’s where indicated. This chapter include</w:t>
      </w:r>
      <w:r>
        <w:rPr>
          <w:color w:val="auto"/>
        </w:rPr>
        <w:t>s</w:t>
      </w:r>
      <w:r w:rsidRPr="00847C47">
        <w:rPr>
          <w:color w:val="auto"/>
        </w:rPr>
        <w:t xml:space="preserve"> an analysis of available data for these indicators.</w:t>
      </w:r>
    </w:p>
    <w:p w14:paraId="2EBE2A8C" w14:textId="77777777" w:rsidR="00204D69" w:rsidRPr="00847C47" w:rsidRDefault="00204D69" w:rsidP="00204D69">
      <w:pPr>
        <w:rPr>
          <w:rFonts w:eastAsia="Times New Roman" w:cs="Segoe UI"/>
          <w:color w:val="auto"/>
          <w:szCs w:val="20"/>
          <w:lang w:eastAsia="en-AU"/>
        </w:rPr>
      </w:pPr>
      <w:r w:rsidRPr="00847C47">
        <w:rPr>
          <w:rFonts w:eastAsia="Times New Roman" w:cs="Segoe UI"/>
          <w:color w:val="auto"/>
          <w:szCs w:val="20"/>
          <w:lang w:eastAsia="en-AU"/>
        </w:rPr>
        <w:t>The AUDIT is a 10 question screen about a person</w:t>
      </w:r>
      <w:r>
        <w:rPr>
          <w:rFonts w:eastAsia="Times New Roman" w:cs="Segoe UI"/>
          <w:color w:val="auto"/>
          <w:szCs w:val="20"/>
          <w:lang w:eastAsia="en-AU"/>
        </w:rPr>
        <w:t>’</w:t>
      </w:r>
      <w:r w:rsidRPr="00847C47">
        <w:rPr>
          <w:rFonts w:eastAsia="Times New Roman" w:cs="Segoe UI"/>
          <w:color w:val="auto"/>
          <w:szCs w:val="20"/>
          <w:lang w:eastAsia="en-AU"/>
        </w:rPr>
        <w:t>s level of alcohol consumption and associated risk factor</w:t>
      </w:r>
      <w:r w:rsidR="009E55C7">
        <w:rPr>
          <w:rFonts w:eastAsia="Times New Roman" w:cs="Segoe UI"/>
          <w:color w:val="auto"/>
          <w:szCs w:val="20"/>
          <w:lang w:eastAsia="en-AU"/>
        </w:rPr>
        <w:t>s</w:t>
      </w:r>
      <w:r w:rsidRPr="00847C47">
        <w:rPr>
          <w:rFonts w:eastAsia="Times New Roman" w:cs="Segoe UI"/>
          <w:color w:val="auto"/>
          <w:szCs w:val="20"/>
          <w:lang w:eastAsia="en-AU"/>
        </w:rPr>
        <w:t>. While a shorter Indigenous version has been developed</w:t>
      </w:r>
      <w:r>
        <w:rPr>
          <w:rFonts w:eastAsia="Times New Roman" w:cs="Segoe UI"/>
          <w:color w:val="auto"/>
          <w:szCs w:val="20"/>
          <w:lang w:eastAsia="en-AU"/>
        </w:rPr>
        <w:t xml:space="preserve"> (AUDIT – C)</w:t>
      </w:r>
      <w:r w:rsidRPr="00847C47">
        <w:rPr>
          <w:rFonts w:eastAsia="Times New Roman" w:cs="Segoe UI"/>
          <w:color w:val="auto"/>
          <w:szCs w:val="20"/>
          <w:lang w:eastAsia="en-AU"/>
        </w:rPr>
        <w:t>, the Department</w:t>
      </w:r>
      <w:r>
        <w:rPr>
          <w:rFonts w:eastAsia="Times New Roman" w:cs="Segoe UI"/>
          <w:color w:val="auto"/>
          <w:szCs w:val="20"/>
          <w:lang w:eastAsia="en-AU"/>
        </w:rPr>
        <w:t xml:space="preserve"> of Health</w:t>
      </w:r>
      <w:r w:rsidRPr="00847C47">
        <w:rPr>
          <w:rFonts w:eastAsia="Times New Roman" w:cs="Segoe UI"/>
          <w:color w:val="auto"/>
          <w:szCs w:val="20"/>
          <w:lang w:eastAsia="en-AU"/>
        </w:rPr>
        <w:t xml:space="preserve"> requested the 10 question version be utilised. The SDS component which has been utilised</w:t>
      </w:r>
      <w:r>
        <w:rPr>
          <w:rFonts w:eastAsia="Times New Roman" w:cs="Segoe UI"/>
          <w:color w:val="auto"/>
          <w:szCs w:val="20"/>
          <w:lang w:eastAsia="en-AU"/>
        </w:rPr>
        <w:t>,</w:t>
      </w:r>
      <w:r w:rsidRPr="00847C47">
        <w:rPr>
          <w:rFonts w:eastAsia="Times New Roman" w:cs="Segoe UI"/>
          <w:color w:val="auto"/>
          <w:szCs w:val="20"/>
          <w:lang w:eastAsia="en-AU"/>
        </w:rPr>
        <w:t xml:space="preserve"> is a five question screen in relation to a person’s cannabis usage and associated risk factor</w:t>
      </w:r>
      <w:r>
        <w:rPr>
          <w:rFonts w:eastAsia="Times New Roman" w:cs="Segoe UI"/>
          <w:color w:val="auto"/>
          <w:szCs w:val="20"/>
          <w:lang w:eastAsia="en-AU"/>
        </w:rPr>
        <w:t>s</w:t>
      </w:r>
      <w:r w:rsidRPr="00847C47">
        <w:rPr>
          <w:rFonts w:eastAsia="Times New Roman" w:cs="Segoe UI"/>
          <w:color w:val="auto"/>
          <w:szCs w:val="20"/>
          <w:lang w:eastAsia="en-AU"/>
        </w:rPr>
        <w:t>. The IRIS is an Indigenous risk impact screen used to measure a person</w:t>
      </w:r>
      <w:r>
        <w:rPr>
          <w:rFonts w:eastAsia="Times New Roman" w:cs="Segoe UI"/>
          <w:color w:val="auto"/>
          <w:szCs w:val="20"/>
          <w:lang w:eastAsia="en-AU"/>
        </w:rPr>
        <w:t>’</w:t>
      </w:r>
      <w:r w:rsidRPr="00847C47">
        <w:rPr>
          <w:rFonts w:eastAsia="Times New Roman" w:cs="Segoe UI"/>
          <w:color w:val="auto"/>
          <w:szCs w:val="20"/>
          <w:lang w:eastAsia="en-AU"/>
        </w:rPr>
        <w:t>s risk factors in relation to alcohol and mental health. There is a high degree of convergence with the K10 and the AUDIT. There is no benchmark data available in relation to these measures.</w:t>
      </w:r>
    </w:p>
    <w:p w14:paraId="2EBE2A8D" w14:textId="77777777" w:rsidR="00204D69" w:rsidRDefault="00204D69" w:rsidP="00204D69">
      <w:pPr>
        <w:rPr>
          <w:lang w:eastAsia="x-none"/>
        </w:rPr>
      </w:pPr>
      <w:r w:rsidRPr="001A4A12">
        <w:rPr>
          <w:lang w:eastAsia="x-none"/>
        </w:rPr>
        <w:t xml:space="preserve">The data presented in this </w:t>
      </w:r>
      <w:r>
        <w:rPr>
          <w:lang w:eastAsia="x-none"/>
        </w:rPr>
        <w:t xml:space="preserve">sub- </w:t>
      </w:r>
      <w:r w:rsidRPr="001A4A12">
        <w:rPr>
          <w:lang w:eastAsia="x-none"/>
        </w:rPr>
        <w:t xml:space="preserve">section examines the difference in scores between the first (initial) and latest observation for matched scores. It is important to note that the first and latest available outcome scores do not reflect when the client entered and exited the WBC program. </w:t>
      </w:r>
      <w:r>
        <w:rPr>
          <w:lang w:eastAsia="x-none"/>
        </w:rPr>
        <w:t>O</w:t>
      </w:r>
      <w:r w:rsidRPr="001A4A12">
        <w:rPr>
          <w:lang w:eastAsia="x-none"/>
        </w:rPr>
        <w:t>utcome measurement commenced at different times but generally not before July 2012. While it is possible that some of the benefit to be obtained by the client may have already occurred before it could be measured in the initial score, we have we have undertaken regression analysis which demonstrated no statistically significant link between the number of days between first contact and initial outcome observation and changed outcome scores (HoNOS, K10 and AUDIT). This indicates that the evaluation is not systematically underestimating any client benefit).</w:t>
      </w:r>
    </w:p>
    <w:p w14:paraId="2EBE2A8E" w14:textId="77777777" w:rsidR="00204D69" w:rsidRPr="00751DBC" w:rsidRDefault="00204D69" w:rsidP="00D8162E">
      <w:pPr>
        <w:rPr>
          <w:color w:val="1F497D" w:themeColor="text2"/>
        </w:rPr>
      </w:pPr>
      <w:r>
        <w:fldChar w:fldCharType="begin"/>
      </w:r>
      <w:r>
        <w:instrText xml:space="preserve"> REF _Ref387392509 \h </w:instrText>
      </w:r>
      <w:r>
        <w:fldChar w:fldCharType="separate"/>
      </w:r>
      <w:r w:rsidR="009A19EB">
        <w:t xml:space="preserve">Table </w:t>
      </w:r>
      <w:r w:rsidR="009A19EB">
        <w:rPr>
          <w:noProof/>
        </w:rPr>
        <w:t>2</w:t>
      </w:r>
      <w:r w:rsidR="009A19EB">
        <w:t>.</w:t>
      </w:r>
      <w:r w:rsidR="009A19EB">
        <w:rPr>
          <w:noProof/>
        </w:rPr>
        <w:t>1</w:t>
      </w:r>
      <w:r>
        <w:fldChar w:fldCharType="end"/>
      </w:r>
      <w:r>
        <w:t xml:space="preserve"> presents a statistical summary of changes in the AUDIT, SDS and IRIS (AOD component) scores. More detailed data is presented at </w:t>
      </w:r>
      <w:r w:rsidRPr="005E4FC0">
        <w:rPr>
          <w:color w:val="auto"/>
        </w:rPr>
        <w:t>Appendix 7</w:t>
      </w:r>
      <w:r w:rsidRPr="005E4FC0">
        <w:rPr>
          <w:color w:val="1F497D" w:themeColor="text2"/>
        </w:rPr>
        <w:t>.</w:t>
      </w:r>
      <w:r>
        <w:rPr>
          <w:color w:val="1F497D" w:themeColor="text2"/>
        </w:rPr>
        <w:br w:type="page"/>
      </w:r>
    </w:p>
    <w:p w14:paraId="2EBE2A8F" w14:textId="6EBE853D" w:rsidR="00204D69" w:rsidRPr="003B2254" w:rsidRDefault="00505D6E" w:rsidP="00505D6E">
      <w:pPr>
        <w:pStyle w:val="Caption"/>
        <w:rPr>
          <w:lang w:eastAsia="x-none"/>
        </w:rPr>
      </w:pPr>
      <w:bookmarkStart w:id="56" w:name="_Toc392686429"/>
      <w:bookmarkStart w:id="57" w:name="_Ref387392509"/>
      <w:r>
        <w:lastRenderedPageBreak/>
        <w:t xml:space="preserve">Table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1</w:t>
      </w:r>
      <w:r w:rsidR="00AA7DC9">
        <w:fldChar w:fldCharType="end"/>
      </w:r>
      <w:bookmarkEnd w:id="57"/>
      <w:r w:rsidR="00204D69">
        <w:t>: Statistical summary of changes in AUDIT, SDS and IRIS scores</w:t>
      </w:r>
      <w:bookmarkEnd w:id="56"/>
    </w:p>
    <w:tbl>
      <w:tblPr>
        <w:tblStyle w:val="Hoi2"/>
        <w:tblW w:w="9355" w:type="dxa"/>
        <w:tblLook w:val="04A0" w:firstRow="1" w:lastRow="0" w:firstColumn="1" w:lastColumn="0" w:noHBand="0" w:noVBand="1"/>
        <w:tblCaption w:val="Table 2.1: Statistical summary of changes in AUDIT, SDS and IRIS scores"/>
        <w:tblDescription w:val="Table 2.1 provides a statistical summary of changes in the AUDIT, SDS and IRIS scores across the four communities.   The table has the percentage reduction, effect size and statistical significance for each of the questionnaires used listed in the left hand column.  A column for each location is also included as well as a total column and finally a column for clients referred through the Families Responsibilities Commission.  Sample sizes are included in the row corresponding to the questionnaire used. "/>
      </w:tblPr>
      <w:tblGrid>
        <w:gridCol w:w="2098"/>
        <w:gridCol w:w="1077"/>
        <w:gridCol w:w="1077"/>
        <w:gridCol w:w="1361"/>
        <w:gridCol w:w="1361"/>
        <w:gridCol w:w="1474"/>
        <w:gridCol w:w="907"/>
      </w:tblGrid>
      <w:tr w:rsidR="00204D69" w:rsidRPr="00272437" w14:paraId="2EBE2A97" w14:textId="77777777" w:rsidTr="00377FC2">
        <w:trPr>
          <w:cnfStyle w:val="100000000000" w:firstRow="1" w:lastRow="0" w:firstColumn="0" w:lastColumn="0" w:oddVBand="0" w:evenVBand="0" w:oddHBand="0" w:evenHBand="0" w:firstRowFirstColumn="0" w:firstRowLastColumn="0" w:lastRowFirstColumn="0" w:lastRowLastColumn="0"/>
          <w:trHeight w:val="300"/>
          <w:tblHeader/>
        </w:trPr>
        <w:tc>
          <w:tcPr>
            <w:tcW w:w="2098" w:type="dxa"/>
            <w:tcBorders>
              <w:bottom w:val="single" w:sz="4" w:space="0" w:color="FFFFFF"/>
            </w:tcBorders>
            <w:noWrap/>
            <w:hideMark/>
          </w:tcPr>
          <w:p w14:paraId="2EBE2A90" w14:textId="77777777" w:rsidR="00204D69" w:rsidRPr="00272437" w:rsidRDefault="00204D69" w:rsidP="00782511">
            <w:pPr>
              <w:spacing w:after="0"/>
              <w:jc w:val="left"/>
              <w:rPr>
                <w:rFonts w:ascii="Segoe UI" w:eastAsia="Times New Roman" w:hAnsi="Segoe UI" w:cs="Segoe UI"/>
                <w:sz w:val="18"/>
                <w:szCs w:val="18"/>
                <w:lang w:eastAsia="en-AU"/>
              </w:rPr>
            </w:pPr>
          </w:p>
        </w:tc>
        <w:tc>
          <w:tcPr>
            <w:tcW w:w="1077" w:type="dxa"/>
            <w:tcBorders>
              <w:bottom w:val="single" w:sz="4" w:space="0" w:color="FFFFFF"/>
            </w:tcBorders>
            <w:noWrap/>
            <w:hideMark/>
          </w:tcPr>
          <w:p w14:paraId="2EBE2A91" w14:textId="77777777" w:rsidR="00204D69" w:rsidRPr="00272437" w:rsidRDefault="00204D69" w:rsidP="00650C89">
            <w:pPr>
              <w:spacing w:after="0"/>
              <w:jc w:val="center"/>
              <w:rPr>
                <w:rFonts w:ascii="Segoe UI" w:eastAsia="Times New Roman" w:hAnsi="Segoe UI" w:cs="Segoe UI"/>
                <w:b/>
                <w:bCs/>
                <w:sz w:val="18"/>
                <w:szCs w:val="18"/>
                <w:lang w:eastAsia="en-AU"/>
              </w:rPr>
            </w:pPr>
            <w:r w:rsidRPr="00272437">
              <w:rPr>
                <w:rFonts w:ascii="Segoe UI" w:eastAsia="Times New Roman" w:hAnsi="Segoe UI" w:cs="Segoe UI"/>
                <w:b/>
                <w:bCs/>
                <w:sz w:val="18"/>
                <w:szCs w:val="18"/>
                <w:lang w:eastAsia="en-AU"/>
              </w:rPr>
              <w:t>A</w:t>
            </w:r>
            <w:r w:rsidR="00650C89">
              <w:rPr>
                <w:rFonts w:ascii="Segoe UI" w:eastAsia="Times New Roman" w:hAnsi="Segoe UI" w:cs="Segoe UI"/>
                <w:b/>
                <w:bCs/>
                <w:sz w:val="18"/>
                <w:szCs w:val="18"/>
                <w:lang w:eastAsia="en-AU"/>
              </w:rPr>
              <w:t>urukun</w:t>
            </w:r>
          </w:p>
        </w:tc>
        <w:tc>
          <w:tcPr>
            <w:tcW w:w="1077" w:type="dxa"/>
            <w:tcBorders>
              <w:bottom w:val="single" w:sz="4" w:space="0" w:color="FFFFFF"/>
            </w:tcBorders>
            <w:noWrap/>
            <w:hideMark/>
          </w:tcPr>
          <w:p w14:paraId="2EBE2A92" w14:textId="77777777" w:rsidR="00204D69" w:rsidRPr="00272437" w:rsidRDefault="00204D69" w:rsidP="00782511">
            <w:pPr>
              <w:spacing w:after="0"/>
              <w:jc w:val="center"/>
              <w:rPr>
                <w:rFonts w:ascii="Segoe UI" w:eastAsia="Times New Roman" w:hAnsi="Segoe UI" w:cs="Segoe UI"/>
                <w:b/>
                <w:bCs/>
                <w:sz w:val="18"/>
                <w:szCs w:val="18"/>
                <w:lang w:eastAsia="en-AU"/>
              </w:rPr>
            </w:pPr>
            <w:r w:rsidRPr="00272437">
              <w:rPr>
                <w:rFonts w:ascii="Segoe UI" w:eastAsia="Times New Roman" w:hAnsi="Segoe UI" w:cs="Segoe UI"/>
                <w:b/>
                <w:bCs/>
                <w:sz w:val="18"/>
                <w:szCs w:val="18"/>
                <w:lang w:eastAsia="en-AU"/>
              </w:rPr>
              <w:t>Coen</w:t>
            </w:r>
          </w:p>
        </w:tc>
        <w:tc>
          <w:tcPr>
            <w:tcW w:w="1361" w:type="dxa"/>
            <w:tcBorders>
              <w:bottom w:val="single" w:sz="4" w:space="0" w:color="FFFFFF"/>
            </w:tcBorders>
            <w:noWrap/>
            <w:hideMark/>
          </w:tcPr>
          <w:p w14:paraId="2EBE2A93" w14:textId="77777777" w:rsidR="00204D69" w:rsidRPr="00272437" w:rsidRDefault="00204D69" w:rsidP="00782511">
            <w:pPr>
              <w:spacing w:after="0"/>
              <w:jc w:val="center"/>
              <w:rPr>
                <w:rFonts w:ascii="Segoe UI" w:eastAsia="Times New Roman" w:hAnsi="Segoe UI" w:cs="Segoe UI"/>
                <w:b/>
                <w:bCs/>
                <w:sz w:val="18"/>
                <w:szCs w:val="18"/>
                <w:lang w:eastAsia="en-AU"/>
              </w:rPr>
            </w:pPr>
            <w:r w:rsidRPr="00272437">
              <w:rPr>
                <w:rFonts w:ascii="Segoe UI" w:eastAsia="Times New Roman" w:hAnsi="Segoe UI" w:cs="Segoe UI"/>
                <w:b/>
                <w:bCs/>
                <w:sz w:val="18"/>
                <w:szCs w:val="18"/>
                <w:lang w:eastAsia="en-AU"/>
              </w:rPr>
              <w:t>HV</w:t>
            </w:r>
          </w:p>
        </w:tc>
        <w:tc>
          <w:tcPr>
            <w:tcW w:w="1361" w:type="dxa"/>
            <w:tcBorders>
              <w:bottom w:val="single" w:sz="4" w:space="0" w:color="FFFFFF"/>
            </w:tcBorders>
            <w:noWrap/>
            <w:hideMark/>
          </w:tcPr>
          <w:p w14:paraId="2EBE2A94" w14:textId="77777777" w:rsidR="00204D69" w:rsidRPr="00272437" w:rsidRDefault="00204D69" w:rsidP="00782511">
            <w:pPr>
              <w:spacing w:after="0"/>
              <w:jc w:val="center"/>
              <w:rPr>
                <w:rFonts w:ascii="Segoe UI" w:eastAsia="Times New Roman" w:hAnsi="Segoe UI" w:cs="Segoe UI"/>
                <w:b/>
                <w:bCs/>
                <w:sz w:val="18"/>
                <w:szCs w:val="18"/>
                <w:lang w:eastAsia="en-AU"/>
              </w:rPr>
            </w:pPr>
            <w:r w:rsidRPr="00272437">
              <w:rPr>
                <w:rFonts w:ascii="Segoe UI" w:eastAsia="Times New Roman" w:hAnsi="Segoe UI" w:cs="Segoe UI"/>
                <w:b/>
                <w:bCs/>
                <w:sz w:val="18"/>
                <w:szCs w:val="18"/>
                <w:lang w:eastAsia="en-AU"/>
              </w:rPr>
              <w:t>MG</w:t>
            </w:r>
          </w:p>
        </w:tc>
        <w:tc>
          <w:tcPr>
            <w:tcW w:w="1474" w:type="dxa"/>
            <w:tcBorders>
              <w:bottom w:val="single" w:sz="4" w:space="0" w:color="FFFFFF"/>
            </w:tcBorders>
            <w:noWrap/>
            <w:hideMark/>
          </w:tcPr>
          <w:p w14:paraId="2EBE2A95" w14:textId="77777777" w:rsidR="00204D69" w:rsidRPr="00272437" w:rsidRDefault="00204D69" w:rsidP="00782511">
            <w:pPr>
              <w:spacing w:after="0"/>
              <w:jc w:val="center"/>
              <w:rPr>
                <w:rFonts w:ascii="Segoe UI" w:eastAsia="Times New Roman" w:hAnsi="Segoe UI" w:cs="Segoe UI"/>
                <w:b/>
                <w:bCs/>
                <w:color w:val="auto"/>
                <w:sz w:val="18"/>
                <w:szCs w:val="18"/>
                <w:lang w:eastAsia="en-AU"/>
              </w:rPr>
            </w:pPr>
            <w:r w:rsidRPr="00272437">
              <w:rPr>
                <w:rFonts w:ascii="Segoe UI" w:eastAsia="Times New Roman" w:hAnsi="Segoe UI" w:cs="Segoe UI"/>
                <w:b/>
                <w:bCs/>
                <w:color w:val="auto"/>
                <w:sz w:val="18"/>
                <w:szCs w:val="18"/>
                <w:lang w:eastAsia="en-AU"/>
              </w:rPr>
              <w:t>Total</w:t>
            </w:r>
          </w:p>
        </w:tc>
        <w:tc>
          <w:tcPr>
            <w:tcW w:w="907" w:type="dxa"/>
            <w:tcBorders>
              <w:bottom w:val="single" w:sz="4" w:space="0" w:color="FFFFFF"/>
            </w:tcBorders>
            <w:noWrap/>
            <w:hideMark/>
          </w:tcPr>
          <w:p w14:paraId="2EBE2A96" w14:textId="77777777" w:rsidR="00204D69" w:rsidRPr="00272437" w:rsidRDefault="00204D69" w:rsidP="00782511">
            <w:pPr>
              <w:spacing w:after="0"/>
              <w:jc w:val="center"/>
              <w:rPr>
                <w:rFonts w:ascii="Segoe UI" w:eastAsia="Times New Roman" w:hAnsi="Segoe UI" w:cs="Segoe UI"/>
                <w:b/>
                <w:bCs/>
                <w:sz w:val="18"/>
                <w:szCs w:val="18"/>
                <w:lang w:eastAsia="en-AU"/>
              </w:rPr>
            </w:pPr>
            <w:r w:rsidRPr="00272437">
              <w:rPr>
                <w:rFonts w:ascii="Segoe UI" w:eastAsia="Times New Roman" w:hAnsi="Segoe UI" w:cs="Segoe UI"/>
                <w:b/>
                <w:bCs/>
                <w:sz w:val="18"/>
                <w:szCs w:val="18"/>
                <w:lang w:eastAsia="en-AU"/>
              </w:rPr>
              <w:t>FRC clients</w:t>
            </w:r>
          </w:p>
        </w:tc>
      </w:tr>
      <w:tr w:rsidR="00204D69" w:rsidRPr="00272437" w14:paraId="2EBE2A9F" w14:textId="77777777" w:rsidTr="00650C89">
        <w:trPr>
          <w:trHeight w:val="300"/>
        </w:trPr>
        <w:tc>
          <w:tcPr>
            <w:tcW w:w="2098" w:type="dxa"/>
            <w:shd w:val="clear" w:color="auto" w:fill="DBE5F1" w:themeFill="accent1" w:themeFillTint="33"/>
            <w:noWrap/>
            <w:hideMark/>
          </w:tcPr>
          <w:p w14:paraId="2EBE2A98" w14:textId="77777777" w:rsidR="00204D69" w:rsidRPr="00272437" w:rsidRDefault="00204D69" w:rsidP="00782511">
            <w:pPr>
              <w:spacing w:after="0"/>
              <w:jc w:val="left"/>
              <w:rPr>
                <w:rFonts w:eastAsia="Times New Roman" w:cs="Segoe UI"/>
                <w:b/>
                <w:bCs/>
                <w:sz w:val="18"/>
                <w:szCs w:val="18"/>
                <w:lang w:eastAsia="en-AU"/>
              </w:rPr>
            </w:pPr>
            <w:r w:rsidRPr="00272437">
              <w:rPr>
                <w:rFonts w:eastAsia="Times New Roman" w:cs="Segoe UI"/>
                <w:b/>
                <w:bCs/>
                <w:sz w:val="18"/>
                <w:szCs w:val="18"/>
                <w:lang w:eastAsia="en-AU"/>
              </w:rPr>
              <w:t>AUDIT</w:t>
            </w:r>
          </w:p>
        </w:tc>
        <w:tc>
          <w:tcPr>
            <w:tcW w:w="1077" w:type="dxa"/>
            <w:shd w:val="clear" w:color="auto" w:fill="DBE5F1" w:themeFill="accent1" w:themeFillTint="33"/>
            <w:noWrap/>
            <w:hideMark/>
          </w:tcPr>
          <w:p w14:paraId="2EBE2A99"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5)</w:t>
            </w:r>
          </w:p>
        </w:tc>
        <w:tc>
          <w:tcPr>
            <w:tcW w:w="1077" w:type="dxa"/>
            <w:shd w:val="clear" w:color="auto" w:fill="DBE5F1" w:themeFill="accent1" w:themeFillTint="33"/>
            <w:noWrap/>
            <w:hideMark/>
          </w:tcPr>
          <w:p w14:paraId="2EBE2A9A"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45)</w:t>
            </w:r>
          </w:p>
        </w:tc>
        <w:tc>
          <w:tcPr>
            <w:tcW w:w="1361" w:type="dxa"/>
            <w:shd w:val="clear" w:color="auto" w:fill="DBE5F1" w:themeFill="accent1" w:themeFillTint="33"/>
            <w:noWrap/>
            <w:hideMark/>
          </w:tcPr>
          <w:p w14:paraId="2EBE2A9B"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39)</w:t>
            </w:r>
          </w:p>
        </w:tc>
        <w:tc>
          <w:tcPr>
            <w:tcW w:w="1361" w:type="dxa"/>
            <w:shd w:val="clear" w:color="auto" w:fill="DBE5F1" w:themeFill="accent1" w:themeFillTint="33"/>
            <w:noWrap/>
            <w:hideMark/>
          </w:tcPr>
          <w:p w14:paraId="2EBE2A9C"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44)</w:t>
            </w:r>
          </w:p>
        </w:tc>
        <w:tc>
          <w:tcPr>
            <w:tcW w:w="1474" w:type="dxa"/>
            <w:shd w:val="clear" w:color="auto" w:fill="DBE5F1" w:themeFill="accent1" w:themeFillTint="33"/>
            <w:noWrap/>
            <w:hideMark/>
          </w:tcPr>
          <w:p w14:paraId="2EBE2A9D" w14:textId="77777777" w:rsidR="00204D69" w:rsidRPr="00272437" w:rsidRDefault="00204D69" w:rsidP="00782511">
            <w:pPr>
              <w:spacing w:after="0"/>
              <w:jc w:val="center"/>
              <w:rPr>
                <w:rFonts w:eastAsia="Times New Roman" w:cs="Segoe UI"/>
                <w:b/>
                <w:sz w:val="18"/>
                <w:szCs w:val="18"/>
                <w:lang w:eastAsia="en-AU"/>
              </w:rPr>
            </w:pPr>
            <w:r w:rsidRPr="00272437">
              <w:rPr>
                <w:rFonts w:eastAsia="Times New Roman" w:cs="Segoe UI"/>
                <w:b/>
                <w:sz w:val="18"/>
                <w:szCs w:val="18"/>
                <w:lang w:eastAsia="en-AU"/>
              </w:rPr>
              <w:t>(n= 133)</w:t>
            </w:r>
          </w:p>
        </w:tc>
        <w:tc>
          <w:tcPr>
            <w:tcW w:w="907" w:type="dxa"/>
            <w:shd w:val="clear" w:color="auto" w:fill="DBE5F1" w:themeFill="accent1" w:themeFillTint="33"/>
            <w:noWrap/>
            <w:hideMark/>
          </w:tcPr>
          <w:p w14:paraId="2EBE2A9E"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43)</w:t>
            </w:r>
          </w:p>
        </w:tc>
      </w:tr>
      <w:tr w:rsidR="00204D69" w:rsidRPr="00272437" w14:paraId="2EBE2AA7" w14:textId="77777777" w:rsidTr="00650C89">
        <w:trPr>
          <w:trHeight w:val="315"/>
        </w:trPr>
        <w:tc>
          <w:tcPr>
            <w:tcW w:w="2098" w:type="dxa"/>
            <w:shd w:val="clear" w:color="auto" w:fill="F2F2F2" w:themeFill="background1" w:themeFillShade="F2"/>
            <w:noWrap/>
            <w:hideMark/>
          </w:tcPr>
          <w:p w14:paraId="2EBE2AA0"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 Reduction in mean</w:t>
            </w:r>
          </w:p>
        </w:tc>
        <w:tc>
          <w:tcPr>
            <w:tcW w:w="1077" w:type="dxa"/>
            <w:shd w:val="clear" w:color="auto" w:fill="F2F2F2" w:themeFill="background1" w:themeFillShade="F2"/>
            <w:noWrap/>
            <w:hideMark/>
          </w:tcPr>
          <w:p w14:paraId="2EBE2AA1"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8.50%</w:t>
            </w:r>
          </w:p>
        </w:tc>
        <w:tc>
          <w:tcPr>
            <w:tcW w:w="1077" w:type="dxa"/>
            <w:shd w:val="clear" w:color="auto" w:fill="F2F2F2" w:themeFill="background1" w:themeFillShade="F2"/>
            <w:noWrap/>
            <w:hideMark/>
          </w:tcPr>
          <w:p w14:paraId="2EBE2AA2"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8.10%</w:t>
            </w:r>
          </w:p>
        </w:tc>
        <w:tc>
          <w:tcPr>
            <w:tcW w:w="1361" w:type="dxa"/>
            <w:shd w:val="clear" w:color="auto" w:fill="F2F2F2" w:themeFill="background1" w:themeFillShade="F2"/>
            <w:noWrap/>
            <w:hideMark/>
          </w:tcPr>
          <w:p w14:paraId="2EBE2AA3"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8.53%</w:t>
            </w:r>
          </w:p>
        </w:tc>
        <w:tc>
          <w:tcPr>
            <w:tcW w:w="1361" w:type="dxa"/>
            <w:shd w:val="clear" w:color="auto" w:fill="F2F2F2" w:themeFill="background1" w:themeFillShade="F2"/>
            <w:noWrap/>
            <w:hideMark/>
          </w:tcPr>
          <w:p w14:paraId="2EBE2AA4"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12.23%</w:t>
            </w:r>
          </w:p>
        </w:tc>
        <w:tc>
          <w:tcPr>
            <w:tcW w:w="1474" w:type="dxa"/>
            <w:shd w:val="clear" w:color="auto" w:fill="F2F2F2" w:themeFill="background1" w:themeFillShade="F2"/>
            <w:noWrap/>
            <w:hideMark/>
          </w:tcPr>
          <w:p w14:paraId="2EBE2AA5" w14:textId="77777777" w:rsidR="00204D69" w:rsidRPr="00272437" w:rsidRDefault="00204D69" w:rsidP="00782511">
            <w:pPr>
              <w:spacing w:after="0"/>
              <w:jc w:val="center"/>
              <w:rPr>
                <w:rFonts w:eastAsia="Times New Roman" w:cs="Segoe UI"/>
                <w:b/>
                <w:bCs/>
                <w:color w:val="auto"/>
                <w:sz w:val="18"/>
                <w:szCs w:val="18"/>
                <w:lang w:eastAsia="en-AU"/>
              </w:rPr>
            </w:pPr>
            <w:r w:rsidRPr="00272437">
              <w:rPr>
                <w:rFonts w:eastAsia="Times New Roman" w:cs="Segoe UI"/>
                <w:b/>
                <w:bCs/>
                <w:color w:val="auto"/>
                <w:sz w:val="18"/>
                <w:szCs w:val="18"/>
                <w:lang w:eastAsia="en-AU"/>
              </w:rPr>
              <w:t>9.60%</w:t>
            </w:r>
          </w:p>
        </w:tc>
        <w:tc>
          <w:tcPr>
            <w:tcW w:w="907" w:type="dxa"/>
            <w:shd w:val="clear" w:color="auto" w:fill="F2F2F2" w:themeFill="background1" w:themeFillShade="F2"/>
            <w:noWrap/>
            <w:hideMark/>
          </w:tcPr>
          <w:p w14:paraId="2EBE2AA6"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8.53%</w:t>
            </w:r>
          </w:p>
        </w:tc>
      </w:tr>
      <w:tr w:rsidR="00204D69" w:rsidRPr="00272437" w14:paraId="2EBE2AAF" w14:textId="77777777" w:rsidTr="00650C89">
        <w:trPr>
          <w:trHeight w:val="315"/>
        </w:trPr>
        <w:tc>
          <w:tcPr>
            <w:tcW w:w="2098" w:type="dxa"/>
            <w:shd w:val="clear" w:color="auto" w:fill="F2F2F2" w:themeFill="background1" w:themeFillShade="F2"/>
            <w:noWrap/>
            <w:hideMark/>
          </w:tcPr>
          <w:p w14:paraId="2EBE2AA8"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Effect size</w:t>
            </w:r>
            <w:r>
              <w:rPr>
                <w:rFonts w:eastAsia="Times New Roman" w:cs="Segoe UI"/>
                <w:sz w:val="18"/>
                <w:szCs w:val="18"/>
                <w:lang w:eastAsia="en-AU"/>
              </w:rPr>
              <w:t xml:space="preserve"> </w:t>
            </w:r>
            <w:r w:rsidRPr="006541F2">
              <w:rPr>
                <w:rFonts w:eastAsia="Times New Roman" w:cs="Segoe UI"/>
                <w:sz w:val="18"/>
                <w:szCs w:val="18"/>
                <w:vertAlign w:val="superscript"/>
                <w:lang w:eastAsia="en-AU"/>
              </w:rPr>
              <w:t>1</w:t>
            </w:r>
          </w:p>
        </w:tc>
        <w:tc>
          <w:tcPr>
            <w:tcW w:w="1077" w:type="dxa"/>
            <w:shd w:val="clear" w:color="auto" w:fill="F2F2F2" w:themeFill="background1" w:themeFillShade="F2"/>
            <w:noWrap/>
            <w:hideMark/>
          </w:tcPr>
          <w:p w14:paraId="2EBE2AA9"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0.62 (medium)</w:t>
            </w:r>
          </w:p>
        </w:tc>
        <w:tc>
          <w:tcPr>
            <w:tcW w:w="1077" w:type="dxa"/>
            <w:shd w:val="clear" w:color="auto" w:fill="F2F2F2" w:themeFill="background1" w:themeFillShade="F2"/>
            <w:noWrap/>
            <w:hideMark/>
          </w:tcPr>
          <w:p w14:paraId="2EBE2AAA"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0.31</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(small)</w:t>
            </w:r>
          </w:p>
        </w:tc>
        <w:tc>
          <w:tcPr>
            <w:tcW w:w="1361" w:type="dxa"/>
            <w:shd w:val="clear" w:color="auto" w:fill="F2F2F2" w:themeFill="background1" w:themeFillShade="F2"/>
            <w:noWrap/>
            <w:hideMark/>
          </w:tcPr>
          <w:p w14:paraId="2EBE2AAB"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0.33</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(small)</w:t>
            </w:r>
          </w:p>
        </w:tc>
        <w:tc>
          <w:tcPr>
            <w:tcW w:w="1361" w:type="dxa"/>
            <w:shd w:val="clear" w:color="auto" w:fill="F2F2F2" w:themeFill="background1" w:themeFillShade="F2"/>
            <w:noWrap/>
            <w:hideMark/>
          </w:tcPr>
          <w:p w14:paraId="2EBE2AAC"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0.44</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(small to med)</w:t>
            </w:r>
          </w:p>
        </w:tc>
        <w:tc>
          <w:tcPr>
            <w:tcW w:w="1474" w:type="dxa"/>
            <w:shd w:val="clear" w:color="auto" w:fill="F2F2F2" w:themeFill="background1" w:themeFillShade="F2"/>
            <w:noWrap/>
            <w:hideMark/>
          </w:tcPr>
          <w:p w14:paraId="2EBE2AAD" w14:textId="77777777" w:rsidR="00204D69" w:rsidRPr="00272437" w:rsidRDefault="00204D69" w:rsidP="00447E79">
            <w:pPr>
              <w:spacing w:after="0"/>
              <w:jc w:val="center"/>
              <w:rPr>
                <w:rFonts w:eastAsia="Times New Roman" w:cs="Segoe UI"/>
                <w:b/>
                <w:bCs/>
                <w:color w:val="auto"/>
                <w:sz w:val="18"/>
                <w:szCs w:val="18"/>
                <w:lang w:eastAsia="en-AU"/>
              </w:rPr>
            </w:pPr>
            <w:r w:rsidRPr="00272437">
              <w:rPr>
                <w:rFonts w:eastAsia="Times New Roman" w:cs="Segoe UI"/>
                <w:b/>
                <w:bCs/>
                <w:color w:val="auto"/>
                <w:sz w:val="18"/>
                <w:szCs w:val="18"/>
                <w:lang w:eastAsia="en-AU"/>
              </w:rPr>
              <w:t>0.34</w:t>
            </w:r>
            <w:r w:rsidR="00447E79">
              <w:rPr>
                <w:rFonts w:eastAsia="Times New Roman" w:cs="Segoe UI"/>
                <w:b/>
                <w:bCs/>
                <w:color w:val="auto"/>
                <w:sz w:val="18"/>
                <w:szCs w:val="18"/>
                <w:lang w:eastAsia="en-AU"/>
              </w:rPr>
              <w:br/>
            </w:r>
            <w:r w:rsidRPr="00272437">
              <w:rPr>
                <w:rFonts w:eastAsia="Times New Roman" w:cs="Segoe UI"/>
                <w:b/>
                <w:bCs/>
                <w:color w:val="auto"/>
                <w:sz w:val="18"/>
                <w:szCs w:val="18"/>
                <w:lang w:eastAsia="en-AU"/>
              </w:rPr>
              <w:t>(small)</w:t>
            </w:r>
          </w:p>
        </w:tc>
        <w:tc>
          <w:tcPr>
            <w:tcW w:w="907" w:type="dxa"/>
            <w:shd w:val="clear" w:color="auto" w:fill="F2F2F2" w:themeFill="background1" w:themeFillShade="F2"/>
            <w:noWrap/>
            <w:hideMark/>
          </w:tcPr>
          <w:p w14:paraId="2EBE2AAE"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0.32 (small)</w:t>
            </w:r>
          </w:p>
        </w:tc>
      </w:tr>
      <w:tr w:rsidR="00204D69" w:rsidRPr="00272437" w14:paraId="2EBE2AB7" w14:textId="77777777" w:rsidTr="00650C89">
        <w:trPr>
          <w:trHeight w:val="315"/>
        </w:trPr>
        <w:tc>
          <w:tcPr>
            <w:tcW w:w="2098" w:type="dxa"/>
            <w:tcBorders>
              <w:bottom w:val="single" w:sz="4" w:space="0" w:color="FFFFFF"/>
            </w:tcBorders>
            <w:shd w:val="clear" w:color="auto" w:fill="F2F2F2" w:themeFill="background1" w:themeFillShade="F2"/>
            <w:noWrap/>
            <w:hideMark/>
          </w:tcPr>
          <w:p w14:paraId="2EBE2AB0"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Statistically significant</w:t>
            </w:r>
            <w:r>
              <w:rPr>
                <w:rFonts w:eastAsia="Times New Roman" w:cs="Segoe UI"/>
                <w:sz w:val="18"/>
                <w:szCs w:val="18"/>
                <w:lang w:eastAsia="en-AU"/>
              </w:rPr>
              <w:t xml:space="preserve"> </w:t>
            </w:r>
            <w:r w:rsidRPr="006541F2">
              <w:rPr>
                <w:rFonts w:eastAsia="Times New Roman" w:cs="Segoe UI"/>
                <w:sz w:val="18"/>
                <w:szCs w:val="18"/>
                <w:vertAlign w:val="superscript"/>
                <w:lang w:eastAsia="en-AU"/>
              </w:rPr>
              <w:t>1</w:t>
            </w:r>
          </w:p>
        </w:tc>
        <w:tc>
          <w:tcPr>
            <w:tcW w:w="1077" w:type="dxa"/>
            <w:tcBorders>
              <w:bottom w:val="single" w:sz="4" w:space="0" w:color="FFFFFF"/>
            </w:tcBorders>
            <w:shd w:val="clear" w:color="auto" w:fill="F2F2F2" w:themeFill="background1" w:themeFillShade="F2"/>
            <w:noWrap/>
            <w:vAlign w:val="center"/>
            <w:hideMark/>
          </w:tcPr>
          <w:p w14:paraId="2EBE2AB1"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077" w:type="dxa"/>
            <w:tcBorders>
              <w:bottom w:val="single" w:sz="4" w:space="0" w:color="FFFFFF"/>
            </w:tcBorders>
            <w:shd w:val="clear" w:color="auto" w:fill="F2F2F2" w:themeFill="background1" w:themeFillShade="F2"/>
            <w:noWrap/>
            <w:vAlign w:val="center"/>
            <w:hideMark/>
          </w:tcPr>
          <w:p w14:paraId="2EBE2AB2"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361" w:type="dxa"/>
            <w:tcBorders>
              <w:bottom w:val="single" w:sz="4" w:space="0" w:color="FFFFFF"/>
            </w:tcBorders>
            <w:shd w:val="clear" w:color="auto" w:fill="F2F2F2" w:themeFill="background1" w:themeFillShade="F2"/>
            <w:noWrap/>
            <w:vAlign w:val="center"/>
            <w:hideMark/>
          </w:tcPr>
          <w:p w14:paraId="2EBE2AB3"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361" w:type="dxa"/>
            <w:tcBorders>
              <w:bottom w:val="single" w:sz="4" w:space="0" w:color="FFFFFF"/>
            </w:tcBorders>
            <w:shd w:val="clear" w:color="auto" w:fill="F2F2F2" w:themeFill="background1" w:themeFillShade="F2"/>
            <w:noWrap/>
            <w:vAlign w:val="center"/>
            <w:hideMark/>
          </w:tcPr>
          <w:p w14:paraId="2EBE2AB4"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474" w:type="dxa"/>
            <w:tcBorders>
              <w:bottom w:val="single" w:sz="4" w:space="0" w:color="FFFFFF"/>
            </w:tcBorders>
            <w:shd w:val="clear" w:color="auto" w:fill="F2F2F2" w:themeFill="background1" w:themeFillShade="F2"/>
            <w:noWrap/>
            <w:vAlign w:val="center"/>
            <w:hideMark/>
          </w:tcPr>
          <w:p w14:paraId="2EBE2AB5" w14:textId="77777777" w:rsidR="00204D69" w:rsidRDefault="00204D69" w:rsidP="00782511">
            <w:pPr>
              <w:jc w:val="center"/>
              <w:rPr>
                <w:rFonts w:ascii="Wingdings" w:hAnsi="Wingdings" w:cs="Calibri"/>
                <w:b/>
                <w:bCs/>
                <w:szCs w:val="20"/>
              </w:rPr>
            </w:pPr>
            <w:r>
              <w:rPr>
                <w:rFonts w:ascii="Wingdings" w:hAnsi="Wingdings" w:cs="Calibri"/>
                <w:b/>
                <w:bCs/>
                <w:szCs w:val="20"/>
              </w:rPr>
              <w:t></w:t>
            </w:r>
          </w:p>
        </w:tc>
        <w:tc>
          <w:tcPr>
            <w:tcW w:w="907" w:type="dxa"/>
            <w:tcBorders>
              <w:bottom w:val="single" w:sz="4" w:space="0" w:color="FFFFFF"/>
            </w:tcBorders>
            <w:shd w:val="clear" w:color="auto" w:fill="F2F2F2" w:themeFill="background1" w:themeFillShade="F2"/>
            <w:noWrap/>
            <w:vAlign w:val="center"/>
            <w:hideMark/>
          </w:tcPr>
          <w:p w14:paraId="2EBE2AB6" w14:textId="77777777" w:rsidR="00204D69" w:rsidRDefault="00204D69" w:rsidP="00782511">
            <w:pPr>
              <w:jc w:val="center"/>
              <w:rPr>
                <w:rFonts w:ascii="Wingdings" w:hAnsi="Wingdings" w:cs="Calibri"/>
                <w:szCs w:val="20"/>
              </w:rPr>
            </w:pPr>
            <w:r>
              <w:rPr>
                <w:rFonts w:ascii="Wingdings" w:hAnsi="Wingdings" w:cs="Calibri"/>
                <w:szCs w:val="20"/>
              </w:rPr>
              <w:t></w:t>
            </w:r>
          </w:p>
        </w:tc>
      </w:tr>
      <w:tr w:rsidR="00204D69" w:rsidRPr="00272437" w14:paraId="2EBE2ABF" w14:textId="77777777" w:rsidTr="00650C89">
        <w:trPr>
          <w:trHeight w:val="300"/>
        </w:trPr>
        <w:tc>
          <w:tcPr>
            <w:tcW w:w="2098" w:type="dxa"/>
            <w:shd w:val="clear" w:color="auto" w:fill="DBE5F1" w:themeFill="accent1" w:themeFillTint="33"/>
            <w:noWrap/>
            <w:hideMark/>
          </w:tcPr>
          <w:p w14:paraId="2EBE2AB8" w14:textId="77777777" w:rsidR="00204D69" w:rsidRPr="00272437" w:rsidRDefault="00204D69" w:rsidP="00782511">
            <w:pPr>
              <w:spacing w:after="0"/>
              <w:jc w:val="left"/>
              <w:rPr>
                <w:rFonts w:eastAsia="Times New Roman" w:cs="Segoe UI"/>
                <w:b/>
                <w:bCs/>
                <w:sz w:val="18"/>
                <w:szCs w:val="18"/>
                <w:lang w:eastAsia="en-AU"/>
              </w:rPr>
            </w:pPr>
            <w:r w:rsidRPr="00272437">
              <w:rPr>
                <w:rFonts w:eastAsia="Times New Roman" w:cs="Segoe UI"/>
                <w:b/>
                <w:bCs/>
                <w:sz w:val="18"/>
                <w:szCs w:val="18"/>
                <w:lang w:eastAsia="en-AU"/>
              </w:rPr>
              <w:t>SDS</w:t>
            </w:r>
          </w:p>
        </w:tc>
        <w:tc>
          <w:tcPr>
            <w:tcW w:w="1077" w:type="dxa"/>
            <w:shd w:val="clear" w:color="auto" w:fill="DBE5F1" w:themeFill="accent1" w:themeFillTint="33"/>
            <w:noWrap/>
            <w:hideMark/>
          </w:tcPr>
          <w:p w14:paraId="2EBE2AB9"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5)</w:t>
            </w:r>
          </w:p>
        </w:tc>
        <w:tc>
          <w:tcPr>
            <w:tcW w:w="1077" w:type="dxa"/>
            <w:shd w:val="clear" w:color="auto" w:fill="DBE5F1" w:themeFill="accent1" w:themeFillTint="33"/>
            <w:noWrap/>
            <w:hideMark/>
          </w:tcPr>
          <w:p w14:paraId="2EBE2ABA"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47)</w:t>
            </w:r>
          </w:p>
        </w:tc>
        <w:tc>
          <w:tcPr>
            <w:tcW w:w="1361" w:type="dxa"/>
            <w:shd w:val="clear" w:color="auto" w:fill="DBE5F1" w:themeFill="accent1" w:themeFillTint="33"/>
            <w:noWrap/>
            <w:hideMark/>
          </w:tcPr>
          <w:p w14:paraId="2EBE2ABB"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31)</w:t>
            </w:r>
          </w:p>
        </w:tc>
        <w:tc>
          <w:tcPr>
            <w:tcW w:w="1361" w:type="dxa"/>
            <w:shd w:val="clear" w:color="auto" w:fill="DBE5F1" w:themeFill="accent1" w:themeFillTint="33"/>
            <w:noWrap/>
            <w:hideMark/>
          </w:tcPr>
          <w:p w14:paraId="2EBE2ABC"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45)</w:t>
            </w:r>
          </w:p>
        </w:tc>
        <w:tc>
          <w:tcPr>
            <w:tcW w:w="1474" w:type="dxa"/>
            <w:shd w:val="clear" w:color="auto" w:fill="DBE5F1" w:themeFill="accent1" w:themeFillTint="33"/>
            <w:noWrap/>
            <w:hideMark/>
          </w:tcPr>
          <w:p w14:paraId="2EBE2ABD" w14:textId="77777777" w:rsidR="00204D69" w:rsidRPr="00272437" w:rsidRDefault="00204D69" w:rsidP="00782511">
            <w:pPr>
              <w:spacing w:after="0"/>
              <w:jc w:val="center"/>
              <w:rPr>
                <w:rFonts w:eastAsia="Times New Roman" w:cs="Segoe UI"/>
                <w:b/>
                <w:sz w:val="18"/>
                <w:szCs w:val="18"/>
                <w:lang w:eastAsia="en-AU"/>
              </w:rPr>
            </w:pPr>
            <w:r w:rsidRPr="00272437">
              <w:rPr>
                <w:rFonts w:eastAsia="Times New Roman" w:cs="Segoe UI"/>
                <w:b/>
                <w:sz w:val="18"/>
                <w:szCs w:val="18"/>
                <w:lang w:eastAsia="en-AU"/>
              </w:rPr>
              <w:t>(n= 127)</w:t>
            </w:r>
          </w:p>
        </w:tc>
        <w:tc>
          <w:tcPr>
            <w:tcW w:w="907" w:type="dxa"/>
            <w:shd w:val="clear" w:color="auto" w:fill="DBE5F1" w:themeFill="accent1" w:themeFillTint="33"/>
            <w:noWrap/>
            <w:hideMark/>
          </w:tcPr>
          <w:p w14:paraId="2EBE2ABE" w14:textId="77777777" w:rsidR="00204D69" w:rsidRPr="00272437" w:rsidRDefault="00204D69" w:rsidP="00782511">
            <w:pPr>
              <w:spacing w:after="0"/>
              <w:jc w:val="center"/>
              <w:rPr>
                <w:rFonts w:eastAsia="Times New Roman" w:cs="Segoe UI"/>
                <w:sz w:val="18"/>
                <w:szCs w:val="18"/>
                <w:lang w:eastAsia="en-AU"/>
              </w:rPr>
            </w:pPr>
          </w:p>
        </w:tc>
      </w:tr>
      <w:tr w:rsidR="00204D69" w:rsidRPr="00272437" w14:paraId="2EBE2AC7" w14:textId="77777777" w:rsidTr="00650C89">
        <w:trPr>
          <w:trHeight w:val="315"/>
        </w:trPr>
        <w:tc>
          <w:tcPr>
            <w:tcW w:w="2098" w:type="dxa"/>
            <w:shd w:val="clear" w:color="auto" w:fill="F2F2F2" w:themeFill="background1" w:themeFillShade="F2"/>
            <w:noWrap/>
            <w:hideMark/>
          </w:tcPr>
          <w:p w14:paraId="2EBE2AC0"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 Reduction in mean</w:t>
            </w:r>
          </w:p>
        </w:tc>
        <w:tc>
          <w:tcPr>
            <w:tcW w:w="1077" w:type="dxa"/>
            <w:shd w:val="clear" w:color="auto" w:fill="F2F2F2" w:themeFill="background1" w:themeFillShade="F2"/>
            <w:noWrap/>
            <w:hideMark/>
          </w:tcPr>
          <w:p w14:paraId="2EBE2AC1"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1.67%</w:t>
            </w:r>
          </w:p>
        </w:tc>
        <w:tc>
          <w:tcPr>
            <w:tcW w:w="1077" w:type="dxa"/>
            <w:shd w:val="clear" w:color="auto" w:fill="F2F2F2" w:themeFill="background1" w:themeFillShade="F2"/>
            <w:noWrap/>
            <w:hideMark/>
          </w:tcPr>
          <w:p w14:paraId="2EBE2AC2"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2.40%</w:t>
            </w:r>
          </w:p>
        </w:tc>
        <w:tc>
          <w:tcPr>
            <w:tcW w:w="1361" w:type="dxa"/>
            <w:shd w:val="clear" w:color="auto" w:fill="F2F2F2" w:themeFill="background1" w:themeFillShade="F2"/>
            <w:noWrap/>
            <w:hideMark/>
          </w:tcPr>
          <w:p w14:paraId="2EBE2AC3"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10.80%</w:t>
            </w:r>
          </w:p>
        </w:tc>
        <w:tc>
          <w:tcPr>
            <w:tcW w:w="1361" w:type="dxa"/>
            <w:shd w:val="clear" w:color="auto" w:fill="F2F2F2" w:themeFill="background1" w:themeFillShade="F2"/>
            <w:noWrap/>
            <w:hideMark/>
          </w:tcPr>
          <w:p w14:paraId="2EBE2AC4"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13.60%</w:t>
            </w:r>
          </w:p>
        </w:tc>
        <w:tc>
          <w:tcPr>
            <w:tcW w:w="1474" w:type="dxa"/>
            <w:shd w:val="clear" w:color="auto" w:fill="F2F2F2" w:themeFill="background1" w:themeFillShade="F2"/>
            <w:noWrap/>
            <w:hideMark/>
          </w:tcPr>
          <w:p w14:paraId="2EBE2AC5" w14:textId="77777777" w:rsidR="00204D69" w:rsidRPr="00272437" w:rsidRDefault="00204D69" w:rsidP="00782511">
            <w:pPr>
              <w:spacing w:after="0"/>
              <w:jc w:val="center"/>
              <w:rPr>
                <w:rFonts w:eastAsia="Times New Roman" w:cs="Segoe UI"/>
                <w:b/>
                <w:bCs/>
                <w:color w:val="auto"/>
                <w:sz w:val="18"/>
                <w:szCs w:val="18"/>
                <w:lang w:eastAsia="en-AU"/>
              </w:rPr>
            </w:pPr>
            <w:r w:rsidRPr="00272437">
              <w:rPr>
                <w:rFonts w:eastAsia="Times New Roman" w:cs="Segoe UI"/>
                <w:b/>
                <w:bCs/>
                <w:color w:val="auto"/>
                <w:sz w:val="18"/>
                <w:szCs w:val="18"/>
                <w:lang w:eastAsia="en-AU"/>
              </w:rPr>
              <w:t>8.40%</w:t>
            </w:r>
          </w:p>
        </w:tc>
        <w:tc>
          <w:tcPr>
            <w:tcW w:w="907" w:type="dxa"/>
            <w:shd w:val="clear" w:color="auto" w:fill="F2F2F2" w:themeFill="background1" w:themeFillShade="F2"/>
            <w:noWrap/>
            <w:hideMark/>
          </w:tcPr>
          <w:p w14:paraId="2EBE2AC6"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NA</w:t>
            </w:r>
          </w:p>
        </w:tc>
      </w:tr>
      <w:tr w:rsidR="00204D69" w:rsidRPr="00272437" w14:paraId="2EBE2ACF" w14:textId="77777777" w:rsidTr="00650C89">
        <w:trPr>
          <w:trHeight w:val="315"/>
        </w:trPr>
        <w:tc>
          <w:tcPr>
            <w:tcW w:w="2098" w:type="dxa"/>
            <w:shd w:val="clear" w:color="auto" w:fill="F2F2F2" w:themeFill="background1" w:themeFillShade="F2"/>
            <w:noWrap/>
            <w:hideMark/>
          </w:tcPr>
          <w:p w14:paraId="2EBE2AC8"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Effect size</w:t>
            </w:r>
          </w:p>
        </w:tc>
        <w:tc>
          <w:tcPr>
            <w:tcW w:w="1077" w:type="dxa"/>
            <w:shd w:val="clear" w:color="auto" w:fill="F2F2F2" w:themeFill="background1" w:themeFillShade="F2"/>
            <w:noWrap/>
            <w:hideMark/>
          </w:tcPr>
          <w:p w14:paraId="2EBE2AC9"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0.07</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(none)</w:t>
            </w:r>
          </w:p>
        </w:tc>
        <w:tc>
          <w:tcPr>
            <w:tcW w:w="1077" w:type="dxa"/>
            <w:shd w:val="clear" w:color="auto" w:fill="F2F2F2" w:themeFill="background1" w:themeFillShade="F2"/>
            <w:noWrap/>
            <w:hideMark/>
          </w:tcPr>
          <w:p w14:paraId="2EBE2ACA"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0.15</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(none)</w:t>
            </w:r>
          </w:p>
        </w:tc>
        <w:tc>
          <w:tcPr>
            <w:tcW w:w="1361" w:type="dxa"/>
            <w:shd w:val="clear" w:color="auto" w:fill="F2F2F2" w:themeFill="background1" w:themeFillShade="F2"/>
            <w:noWrap/>
            <w:hideMark/>
          </w:tcPr>
          <w:p w14:paraId="2EBE2ACB"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0.44</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(small to med)</w:t>
            </w:r>
          </w:p>
        </w:tc>
        <w:tc>
          <w:tcPr>
            <w:tcW w:w="1361" w:type="dxa"/>
            <w:shd w:val="clear" w:color="auto" w:fill="F2F2F2" w:themeFill="background1" w:themeFillShade="F2"/>
            <w:noWrap/>
            <w:hideMark/>
          </w:tcPr>
          <w:p w14:paraId="2EBE2ACC" w14:textId="77777777" w:rsidR="00204D69" w:rsidRPr="00272437" w:rsidRDefault="00204D69" w:rsidP="00447E79">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0.47</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 xml:space="preserve">(small </w:t>
            </w:r>
            <w:r w:rsidR="00447E79">
              <w:rPr>
                <w:rFonts w:eastAsia="Times New Roman" w:cs="Segoe UI"/>
                <w:color w:val="auto"/>
                <w:sz w:val="18"/>
                <w:szCs w:val="18"/>
                <w:lang w:eastAsia="en-AU"/>
              </w:rPr>
              <w:t>to</w:t>
            </w:r>
            <w:r w:rsidRPr="00272437">
              <w:rPr>
                <w:rFonts w:eastAsia="Times New Roman" w:cs="Segoe UI"/>
                <w:color w:val="auto"/>
                <w:sz w:val="18"/>
                <w:szCs w:val="18"/>
                <w:lang w:eastAsia="en-AU"/>
              </w:rPr>
              <w:t xml:space="preserve"> med)</w:t>
            </w:r>
          </w:p>
        </w:tc>
        <w:tc>
          <w:tcPr>
            <w:tcW w:w="1474" w:type="dxa"/>
            <w:shd w:val="clear" w:color="auto" w:fill="F2F2F2" w:themeFill="background1" w:themeFillShade="F2"/>
            <w:noWrap/>
            <w:hideMark/>
          </w:tcPr>
          <w:p w14:paraId="2EBE2ACD" w14:textId="77777777" w:rsidR="00204D69" w:rsidRPr="00272437" w:rsidRDefault="00204D69" w:rsidP="00650C89">
            <w:pPr>
              <w:spacing w:after="0"/>
              <w:jc w:val="center"/>
              <w:rPr>
                <w:rFonts w:eastAsia="Times New Roman" w:cs="Segoe UI"/>
                <w:b/>
                <w:bCs/>
                <w:color w:val="auto"/>
                <w:sz w:val="18"/>
                <w:szCs w:val="18"/>
                <w:lang w:eastAsia="en-AU"/>
              </w:rPr>
            </w:pPr>
            <w:r w:rsidRPr="00272437">
              <w:rPr>
                <w:rFonts w:eastAsia="Times New Roman" w:cs="Segoe UI"/>
                <w:b/>
                <w:bCs/>
                <w:color w:val="auto"/>
                <w:sz w:val="18"/>
                <w:szCs w:val="18"/>
                <w:lang w:eastAsia="en-AU"/>
              </w:rPr>
              <w:t>0.33</w:t>
            </w:r>
            <w:r w:rsidR="00447E79">
              <w:rPr>
                <w:rFonts w:eastAsia="Times New Roman" w:cs="Segoe UI"/>
                <w:b/>
                <w:bCs/>
                <w:color w:val="auto"/>
                <w:sz w:val="18"/>
                <w:szCs w:val="18"/>
                <w:lang w:eastAsia="en-AU"/>
              </w:rPr>
              <w:br/>
            </w:r>
            <w:r w:rsidRPr="00272437">
              <w:rPr>
                <w:rFonts w:eastAsia="Times New Roman" w:cs="Segoe UI"/>
                <w:b/>
                <w:bCs/>
                <w:color w:val="auto"/>
                <w:sz w:val="18"/>
                <w:szCs w:val="18"/>
                <w:lang w:eastAsia="en-AU"/>
              </w:rPr>
              <w:t>(small)</w:t>
            </w:r>
          </w:p>
        </w:tc>
        <w:tc>
          <w:tcPr>
            <w:tcW w:w="907" w:type="dxa"/>
            <w:shd w:val="clear" w:color="auto" w:fill="F2F2F2" w:themeFill="background1" w:themeFillShade="F2"/>
            <w:noWrap/>
            <w:hideMark/>
          </w:tcPr>
          <w:p w14:paraId="2EBE2ACE"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NA</w:t>
            </w:r>
          </w:p>
        </w:tc>
      </w:tr>
      <w:tr w:rsidR="00204D69" w:rsidRPr="00272437" w14:paraId="2EBE2AD7" w14:textId="77777777" w:rsidTr="00650C89">
        <w:trPr>
          <w:trHeight w:val="315"/>
        </w:trPr>
        <w:tc>
          <w:tcPr>
            <w:tcW w:w="2098" w:type="dxa"/>
            <w:tcBorders>
              <w:bottom w:val="single" w:sz="4" w:space="0" w:color="FFFFFF"/>
            </w:tcBorders>
            <w:shd w:val="clear" w:color="auto" w:fill="F2F2F2" w:themeFill="background1" w:themeFillShade="F2"/>
            <w:noWrap/>
            <w:hideMark/>
          </w:tcPr>
          <w:p w14:paraId="2EBE2AD0"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Statistically significant</w:t>
            </w:r>
          </w:p>
        </w:tc>
        <w:tc>
          <w:tcPr>
            <w:tcW w:w="1077" w:type="dxa"/>
            <w:tcBorders>
              <w:bottom w:val="single" w:sz="4" w:space="0" w:color="FFFFFF"/>
            </w:tcBorders>
            <w:shd w:val="clear" w:color="auto" w:fill="F2F2F2" w:themeFill="background1" w:themeFillShade="F2"/>
            <w:noWrap/>
            <w:vAlign w:val="center"/>
            <w:hideMark/>
          </w:tcPr>
          <w:p w14:paraId="2EBE2AD1"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077" w:type="dxa"/>
            <w:tcBorders>
              <w:bottom w:val="single" w:sz="4" w:space="0" w:color="FFFFFF"/>
            </w:tcBorders>
            <w:shd w:val="clear" w:color="auto" w:fill="F2F2F2" w:themeFill="background1" w:themeFillShade="F2"/>
            <w:noWrap/>
            <w:vAlign w:val="center"/>
            <w:hideMark/>
          </w:tcPr>
          <w:p w14:paraId="2EBE2AD2"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361" w:type="dxa"/>
            <w:tcBorders>
              <w:bottom w:val="single" w:sz="4" w:space="0" w:color="FFFFFF"/>
            </w:tcBorders>
            <w:shd w:val="clear" w:color="auto" w:fill="F2F2F2" w:themeFill="background1" w:themeFillShade="F2"/>
            <w:noWrap/>
            <w:vAlign w:val="center"/>
            <w:hideMark/>
          </w:tcPr>
          <w:p w14:paraId="2EBE2AD3"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361" w:type="dxa"/>
            <w:tcBorders>
              <w:bottom w:val="single" w:sz="4" w:space="0" w:color="FFFFFF"/>
            </w:tcBorders>
            <w:shd w:val="clear" w:color="auto" w:fill="F2F2F2" w:themeFill="background1" w:themeFillShade="F2"/>
            <w:noWrap/>
            <w:vAlign w:val="center"/>
            <w:hideMark/>
          </w:tcPr>
          <w:p w14:paraId="2EBE2AD4"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474" w:type="dxa"/>
            <w:tcBorders>
              <w:bottom w:val="single" w:sz="4" w:space="0" w:color="FFFFFF"/>
            </w:tcBorders>
            <w:shd w:val="clear" w:color="auto" w:fill="F2F2F2" w:themeFill="background1" w:themeFillShade="F2"/>
            <w:noWrap/>
            <w:vAlign w:val="center"/>
            <w:hideMark/>
          </w:tcPr>
          <w:p w14:paraId="2EBE2AD5" w14:textId="77777777" w:rsidR="00204D69" w:rsidRDefault="00204D69" w:rsidP="00782511">
            <w:pPr>
              <w:jc w:val="center"/>
              <w:rPr>
                <w:rFonts w:ascii="Wingdings" w:hAnsi="Wingdings" w:cs="Calibri"/>
                <w:szCs w:val="20"/>
              </w:rPr>
            </w:pPr>
            <w:r>
              <w:rPr>
                <w:rFonts w:ascii="Wingdings" w:hAnsi="Wingdings" w:cs="Calibri"/>
                <w:szCs w:val="20"/>
              </w:rPr>
              <w:t></w:t>
            </w:r>
          </w:p>
        </w:tc>
        <w:tc>
          <w:tcPr>
            <w:tcW w:w="907" w:type="dxa"/>
            <w:tcBorders>
              <w:bottom w:val="single" w:sz="4" w:space="0" w:color="FFFFFF"/>
            </w:tcBorders>
            <w:shd w:val="clear" w:color="auto" w:fill="F2F2F2" w:themeFill="background1" w:themeFillShade="F2"/>
            <w:noWrap/>
            <w:hideMark/>
          </w:tcPr>
          <w:p w14:paraId="2EBE2AD6" w14:textId="77777777" w:rsidR="00204D69" w:rsidRPr="00272437" w:rsidRDefault="00204D69" w:rsidP="00782511">
            <w:pPr>
              <w:spacing w:after="0"/>
              <w:jc w:val="center"/>
              <w:rPr>
                <w:rFonts w:eastAsia="Times New Roman" w:cs="Segoe UI"/>
                <w:sz w:val="18"/>
                <w:szCs w:val="18"/>
                <w:lang w:eastAsia="en-AU"/>
              </w:rPr>
            </w:pPr>
          </w:p>
        </w:tc>
      </w:tr>
      <w:tr w:rsidR="00204D69" w:rsidRPr="00272437" w14:paraId="2EBE2ADF" w14:textId="77777777" w:rsidTr="00650C89">
        <w:trPr>
          <w:trHeight w:val="300"/>
        </w:trPr>
        <w:tc>
          <w:tcPr>
            <w:tcW w:w="2098" w:type="dxa"/>
            <w:shd w:val="clear" w:color="auto" w:fill="DBE5F1" w:themeFill="accent1" w:themeFillTint="33"/>
            <w:noWrap/>
            <w:hideMark/>
          </w:tcPr>
          <w:p w14:paraId="2EBE2AD8" w14:textId="77777777" w:rsidR="00204D69" w:rsidRPr="00272437" w:rsidRDefault="00204D69" w:rsidP="00782511">
            <w:pPr>
              <w:spacing w:after="0"/>
              <w:jc w:val="left"/>
              <w:rPr>
                <w:rFonts w:eastAsia="Times New Roman" w:cs="Segoe UI"/>
                <w:b/>
                <w:bCs/>
                <w:sz w:val="18"/>
                <w:szCs w:val="18"/>
                <w:lang w:eastAsia="en-AU"/>
              </w:rPr>
            </w:pPr>
            <w:r w:rsidRPr="00272437">
              <w:rPr>
                <w:rFonts w:eastAsia="Times New Roman" w:cs="Segoe UI"/>
                <w:b/>
                <w:bCs/>
                <w:sz w:val="18"/>
                <w:szCs w:val="18"/>
                <w:lang w:eastAsia="en-AU"/>
              </w:rPr>
              <w:t>IRIS</w:t>
            </w:r>
          </w:p>
        </w:tc>
        <w:tc>
          <w:tcPr>
            <w:tcW w:w="1077" w:type="dxa"/>
            <w:shd w:val="clear" w:color="auto" w:fill="DBE5F1" w:themeFill="accent1" w:themeFillTint="33"/>
            <w:noWrap/>
            <w:hideMark/>
          </w:tcPr>
          <w:p w14:paraId="2EBE2AD9"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5)</w:t>
            </w:r>
          </w:p>
        </w:tc>
        <w:tc>
          <w:tcPr>
            <w:tcW w:w="1077" w:type="dxa"/>
            <w:shd w:val="clear" w:color="auto" w:fill="DBE5F1" w:themeFill="accent1" w:themeFillTint="33"/>
            <w:noWrap/>
            <w:hideMark/>
          </w:tcPr>
          <w:p w14:paraId="2EBE2ADA"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46)</w:t>
            </w:r>
          </w:p>
        </w:tc>
        <w:tc>
          <w:tcPr>
            <w:tcW w:w="1361" w:type="dxa"/>
            <w:shd w:val="clear" w:color="auto" w:fill="DBE5F1" w:themeFill="accent1" w:themeFillTint="33"/>
            <w:noWrap/>
            <w:hideMark/>
          </w:tcPr>
          <w:p w14:paraId="2EBE2ADB"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40)</w:t>
            </w:r>
          </w:p>
        </w:tc>
        <w:tc>
          <w:tcPr>
            <w:tcW w:w="1361" w:type="dxa"/>
            <w:shd w:val="clear" w:color="auto" w:fill="DBE5F1" w:themeFill="accent1" w:themeFillTint="33"/>
            <w:noWrap/>
            <w:hideMark/>
          </w:tcPr>
          <w:p w14:paraId="2EBE2ADC" w14:textId="77777777" w:rsidR="00204D69" w:rsidRPr="00272437" w:rsidRDefault="00204D69" w:rsidP="00782511">
            <w:pPr>
              <w:spacing w:after="0"/>
              <w:jc w:val="center"/>
              <w:rPr>
                <w:rFonts w:eastAsia="Times New Roman" w:cs="Segoe UI"/>
                <w:sz w:val="18"/>
                <w:szCs w:val="18"/>
                <w:lang w:eastAsia="en-AU"/>
              </w:rPr>
            </w:pPr>
            <w:r w:rsidRPr="00272437">
              <w:rPr>
                <w:rFonts w:eastAsia="Times New Roman" w:cs="Segoe UI"/>
                <w:sz w:val="18"/>
                <w:szCs w:val="18"/>
                <w:lang w:eastAsia="en-AU"/>
              </w:rPr>
              <w:t>(n= 15)</w:t>
            </w:r>
          </w:p>
        </w:tc>
        <w:tc>
          <w:tcPr>
            <w:tcW w:w="1474" w:type="dxa"/>
            <w:shd w:val="clear" w:color="auto" w:fill="DBE5F1" w:themeFill="accent1" w:themeFillTint="33"/>
            <w:noWrap/>
            <w:hideMark/>
          </w:tcPr>
          <w:p w14:paraId="2EBE2ADD" w14:textId="77777777" w:rsidR="00204D69" w:rsidRPr="00272437" w:rsidRDefault="00204D69" w:rsidP="00782511">
            <w:pPr>
              <w:spacing w:after="0"/>
              <w:jc w:val="center"/>
              <w:rPr>
                <w:rFonts w:eastAsia="Times New Roman" w:cs="Segoe UI"/>
                <w:b/>
                <w:sz w:val="18"/>
                <w:szCs w:val="18"/>
                <w:lang w:eastAsia="en-AU"/>
              </w:rPr>
            </w:pPr>
            <w:r w:rsidRPr="00272437">
              <w:rPr>
                <w:rFonts w:eastAsia="Times New Roman" w:cs="Segoe UI"/>
                <w:b/>
                <w:sz w:val="18"/>
                <w:szCs w:val="18"/>
                <w:lang w:eastAsia="en-AU"/>
              </w:rPr>
              <w:t>(n= 106)</w:t>
            </w:r>
          </w:p>
        </w:tc>
        <w:tc>
          <w:tcPr>
            <w:tcW w:w="907" w:type="dxa"/>
            <w:shd w:val="clear" w:color="auto" w:fill="DBE5F1" w:themeFill="accent1" w:themeFillTint="33"/>
            <w:noWrap/>
            <w:hideMark/>
          </w:tcPr>
          <w:p w14:paraId="2EBE2ADE" w14:textId="77777777" w:rsidR="00204D69" w:rsidRPr="00272437" w:rsidRDefault="00204D69" w:rsidP="00782511">
            <w:pPr>
              <w:spacing w:after="0"/>
              <w:jc w:val="center"/>
              <w:rPr>
                <w:rFonts w:eastAsia="Times New Roman" w:cs="Segoe UI"/>
                <w:sz w:val="18"/>
                <w:szCs w:val="18"/>
                <w:lang w:eastAsia="en-AU"/>
              </w:rPr>
            </w:pPr>
          </w:p>
        </w:tc>
      </w:tr>
      <w:tr w:rsidR="00204D69" w:rsidRPr="00272437" w14:paraId="2EBE2AE7" w14:textId="77777777" w:rsidTr="00650C89">
        <w:trPr>
          <w:trHeight w:val="315"/>
        </w:trPr>
        <w:tc>
          <w:tcPr>
            <w:tcW w:w="2098" w:type="dxa"/>
            <w:shd w:val="clear" w:color="auto" w:fill="F2F2F2" w:themeFill="background1" w:themeFillShade="F2"/>
            <w:noWrap/>
            <w:hideMark/>
          </w:tcPr>
          <w:p w14:paraId="2EBE2AE0"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 Reduction in mean</w:t>
            </w:r>
          </w:p>
        </w:tc>
        <w:tc>
          <w:tcPr>
            <w:tcW w:w="1077" w:type="dxa"/>
            <w:shd w:val="clear" w:color="auto" w:fill="F2F2F2" w:themeFill="background1" w:themeFillShade="F2"/>
            <w:noWrap/>
            <w:hideMark/>
          </w:tcPr>
          <w:p w14:paraId="2EBE2AE1"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3.57%</w:t>
            </w:r>
          </w:p>
        </w:tc>
        <w:tc>
          <w:tcPr>
            <w:tcW w:w="1077" w:type="dxa"/>
            <w:shd w:val="clear" w:color="auto" w:fill="F2F2F2" w:themeFill="background1" w:themeFillShade="F2"/>
            <w:noWrap/>
            <w:hideMark/>
          </w:tcPr>
          <w:p w14:paraId="2EBE2AE2"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8.71%</w:t>
            </w:r>
          </w:p>
        </w:tc>
        <w:tc>
          <w:tcPr>
            <w:tcW w:w="1361" w:type="dxa"/>
            <w:shd w:val="clear" w:color="auto" w:fill="F2F2F2" w:themeFill="background1" w:themeFillShade="F2"/>
            <w:noWrap/>
            <w:hideMark/>
          </w:tcPr>
          <w:p w14:paraId="2EBE2AE3"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5.36%</w:t>
            </w:r>
          </w:p>
        </w:tc>
        <w:tc>
          <w:tcPr>
            <w:tcW w:w="1361" w:type="dxa"/>
            <w:shd w:val="clear" w:color="auto" w:fill="F2F2F2" w:themeFill="background1" w:themeFillShade="F2"/>
            <w:noWrap/>
            <w:hideMark/>
          </w:tcPr>
          <w:p w14:paraId="2EBE2AE4"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14.29%</w:t>
            </w:r>
          </w:p>
        </w:tc>
        <w:tc>
          <w:tcPr>
            <w:tcW w:w="1474" w:type="dxa"/>
            <w:shd w:val="clear" w:color="auto" w:fill="F2F2F2" w:themeFill="background1" w:themeFillShade="F2"/>
            <w:noWrap/>
            <w:hideMark/>
          </w:tcPr>
          <w:p w14:paraId="2EBE2AE5" w14:textId="77777777" w:rsidR="00204D69" w:rsidRPr="00272437" w:rsidRDefault="00204D69" w:rsidP="00782511">
            <w:pPr>
              <w:spacing w:after="0"/>
              <w:jc w:val="center"/>
              <w:rPr>
                <w:rFonts w:eastAsia="Times New Roman" w:cs="Segoe UI"/>
                <w:b/>
                <w:bCs/>
                <w:color w:val="auto"/>
                <w:sz w:val="18"/>
                <w:szCs w:val="18"/>
                <w:lang w:eastAsia="en-AU"/>
              </w:rPr>
            </w:pPr>
            <w:r w:rsidRPr="00272437">
              <w:rPr>
                <w:rFonts w:eastAsia="Times New Roman" w:cs="Segoe UI"/>
                <w:b/>
                <w:bCs/>
                <w:color w:val="auto"/>
                <w:sz w:val="18"/>
                <w:szCs w:val="18"/>
                <w:lang w:eastAsia="en-AU"/>
              </w:rPr>
              <w:t>8.00%</w:t>
            </w:r>
          </w:p>
        </w:tc>
        <w:tc>
          <w:tcPr>
            <w:tcW w:w="907" w:type="dxa"/>
            <w:shd w:val="clear" w:color="auto" w:fill="F2F2F2" w:themeFill="background1" w:themeFillShade="F2"/>
            <w:noWrap/>
            <w:hideMark/>
          </w:tcPr>
          <w:p w14:paraId="2EBE2AE6"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NA</w:t>
            </w:r>
          </w:p>
        </w:tc>
      </w:tr>
      <w:tr w:rsidR="00204D69" w:rsidRPr="00272437" w14:paraId="2EBE2AEF" w14:textId="77777777" w:rsidTr="00650C89">
        <w:trPr>
          <w:trHeight w:val="315"/>
        </w:trPr>
        <w:tc>
          <w:tcPr>
            <w:tcW w:w="2098" w:type="dxa"/>
            <w:shd w:val="clear" w:color="auto" w:fill="F2F2F2" w:themeFill="background1" w:themeFillShade="F2"/>
            <w:noWrap/>
            <w:hideMark/>
          </w:tcPr>
          <w:p w14:paraId="2EBE2AE8"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Effect size</w:t>
            </w:r>
          </w:p>
        </w:tc>
        <w:tc>
          <w:tcPr>
            <w:tcW w:w="1077" w:type="dxa"/>
            <w:shd w:val="clear" w:color="auto" w:fill="F2F2F2" w:themeFill="background1" w:themeFillShade="F2"/>
            <w:noWrap/>
            <w:hideMark/>
          </w:tcPr>
          <w:p w14:paraId="2EBE2AE9"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 xml:space="preserve">0.2 </w:t>
            </w:r>
            <w:r w:rsidR="00447E79">
              <w:rPr>
                <w:rFonts w:eastAsia="Times New Roman" w:cs="Segoe UI"/>
                <w:color w:val="auto"/>
                <w:sz w:val="18"/>
                <w:szCs w:val="18"/>
                <w:lang w:eastAsia="en-AU"/>
              </w:rPr>
              <w:br/>
            </w:r>
            <w:r w:rsidRPr="00272437">
              <w:rPr>
                <w:rFonts w:eastAsia="Times New Roman" w:cs="Segoe UI"/>
                <w:color w:val="auto"/>
                <w:sz w:val="18"/>
                <w:szCs w:val="18"/>
                <w:lang w:eastAsia="en-AU"/>
              </w:rPr>
              <w:t>(small)</w:t>
            </w:r>
          </w:p>
        </w:tc>
        <w:tc>
          <w:tcPr>
            <w:tcW w:w="1077" w:type="dxa"/>
            <w:shd w:val="clear" w:color="auto" w:fill="F2F2F2" w:themeFill="background1" w:themeFillShade="F2"/>
            <w:noWrap/>
            <w:hideMark/>
          </w:tcPr>
          <w:p w14:paraId="2EBE2AEA"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0.53 (medium)</w:t>
            </w:r>
          </w:p>
        </w:tc>
        <w:tc>
          <w:tcPr>
            <w:tcW w:w="1361" w:type="dxa"/>
            <w:shd w:val="clear" w:color="auto" w:fill="F2F2F2" w:themeFill="background1" w:themeFillShade="F2"/>
            <w:noWrap/>
            <w:hideMark/>
          </w:tcPr>
          <w:p w14:paraId="2EBE2AEB"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0.34 (small)</w:t>
            </w:r>
          </w:p>
        </w:tc>
        <w:tc>
          <w:tcPr>
            <w:tcW w:w="1361" w:type="dxa"/>
            <w:shd w:val="clear" w:color="auto" w:fill="F2F2F2" w:themeFill="background1" w:themeFillShade="F2"/>
            <w:noWrap/>
            <w:hideMark/>
          </w:tcPr>
          <w:p w14:paraId="2EBE2AEC" w14:textId="77777777" w:rsidR="00204D69" w:rsidRPr="00272437" w:rsidRDefault="00204D69" w:rsidP="00782511">
            <w:pPr>
              <w:spacing w:after="0"/>
              <w:jc w:val="center"/>
              <w:rPr>
                <w:rFonts w:eastAsia="Times New Roman" w:cs="Segoe UI"/>
                <w:color w:val="auto"/>
                <w:sz w:val="18"/>
                <w:szCs w:val="18"/>
                <w:lang w:eastAsia="en-AU"/>
              </w:rPr>
            </w:pPr>
            <w:r w:rsidRPr="00272437">
              <w:rPr>
                <w:rFonts w:eastAsia="Times New Roman" w:cs="Segoe UI"/>
                <w:color w:val="auto"/>
                <w:sz w:val="18"/>
                <w:szCs w:val="18"/>
                <w:lang w:eastAsia="en-AU"/>
              </w:rPr>
              <w:t>0.87 (large)</w:t>
            </w:r>
          </w:p>
        </w:tc>
        <w:tc>
          <w:tcPr>
            <w:tcW w:w="1474" w:type="dxa"/>
            <w:shd w:val="clear" w:color="auto" w:fill="F2F2F2" w:themeFill="background1" w:themeFillShade="F2"/>
            <w:noWrap/>
            <w:hideMark/>
          </w:tcPr>
          <w:p w14:paraId="2EBE2AED" w14:textId="77777777" w:rsidR="00204D69" w:rsidRPr="00272437" w:rsidRDefault="00204D69" w:rsidP="00650C89">
            <w:pPr>
              <w:spacing w:after="0"/>
              <w:jc w:val="center"/>
              <w:rPr>
                <w:rFonts w:eastAsia="Times New Roman" w:cs="Segoe UI"/>
                <w:b/>
                <w:bCs/>
                <w:color w:val="auto"/>
                <w:sz w:val="18"/>
                <w:szCs w:val="18"/>
                <w:lang w:eastAsia="en-AU"/>
              </w:rPr>
            </w:pPr>
            <w:r w:rsidRPr="00272437">
              <w:rPr>
                <w:rFonts w:eastAsia="Times New Roman" w:cs="Segoe UI"/>
                <w:b/>
                <w:bCs/>
                <w:color w:val="auto"/>
                <w:sz w:val="18"/>
                <w:szCs w:val="18"/>
                <w:lang w:eastAsia="en-AU"/>
              </w:rPr>
              <w:t>0.45</w:t>
            </w:r>
            <w:r w:rsidR="00650C89">
              <w:rPr>
                <w:rFonts w:eastAsia="Times New Roman" w:cs="Segoe UI"/>
                <w:b/>
                <w:bCs/>
                <w:color w:val="auto"/>
                <w:sz w:val="18"/>
                <w:szCs w:val="18"/>
                <w:lang w:eastAsia="en-AU"/>
              </w:rPr>
              <w:br/>
            </w:r>
            <w:r w:rsidRPr="00272437">
              <w:rPr>
                <w:rFonts w:eastAsia="Times New Roman" w:cs="Segoe UI"/>
                <w:b/>
                <w:bCs/>
                <w:color w:val="auto"/>
                <w:sz w:val="18"/>
                <w:szCs w:val="18"/>
                <w:lang w:eastAsia="en-AU"/>
              </w:rPr>
              <w:t xml:space="preserve">(small </w:t>
            </w:r>
            <w:r w:rsidR="00447E79">
              <w:rPr>
                <w:rFonts w:eastAsia="Times New Roman" w:cs="Segoe UI"/>
                <w:b/>
                <w:bCs/>
                <w:color w:val="auto"/>
                <w:sz w:val="18"/>
                <w:szCs w:val="18"/>
                <w:lang w:eastAsia="en-AU"/>
              </w:rPr>
              <w:t>to</w:t>
            </w:r>
            <w:r w:rsidRPr="00272437">
              <w:rPr>
                <w:rFonts w:eastAsia="Times New Roman" w:cs="Segoe UI"/>
                <w:b/>
                <w:bCs/>
                <w:color w:val="auto"/>
                <w:sz w:val="18"/>
                <w:szCs w:val="18"/>
                <w:lang w:eastAsia="en-AU"/>
              </w:rPr>
              <w:t xml:space="preserve"> med)</w:t>
            </w:r>
          </w:p>
        </w:tc>
        <w:tc>
          <w:tcPr>
            <w:tcW w:w="907" w:type="dxa"/>
            <w:shd w:val="clear" w:color="auto" w:fill="F2F2F2" w:themeFill="background1" w:themeFillShade="F2"/>
            <w:noWrap/>
            <w:hideMark/>
          </w:tcPr>
          <w:p w14:paraId="2EBE2AEE" w14:textId="77777777" w:rsidR="00204D69" w:rsidRPr="00272437"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NA</w:t>
            </w:r>
          </w:p>
        </w:tc>
      </w:tr>
      <w:tr w:rsidR="00204D69" w:rsidRPr="00272437" w14:paraId="2EBE2AF7" w14:textId="77777777" w:rsidTr="00650C89">
        <w:trPr>
          <w:trHeight w:val="381"/>
        </w:trPr>
        <w:tc>
          <w:tcPr>
            <w:tcW w:w="2098" w:type="dxa"/>
            <w:shd w:val="clear" w:color="auto" w:fill="F2F2F2" w:themeFill="background1" w:themeFillShade="F2"/>
            <w:noWrap/>
            <w:hideMark/>
          </w:tcPr>
          <w:p w14:paraId="2EBE2AF0" w14:textId="77777777" w:rsidR="00204D69" w:rsidRPr="00272437" w:rsidRDefault="00204D69" w:rsidP="00782511">
            <w:pPr>
              <w:spacing w:after="0"/>
              <w:jc w:val="left"/>
              <w:rPr>
                <w:rFonts w:eastAsia="Times New Roman" w:cs="Segoe UI"/>
                <w:sz w:val="18"/>
                <w:szCs w:val="18"/>
                <w:lang w:eastAsia="en-AU"/>
              </w:rPr>
            </w:pPr>
            <w:r w:rsidRPr="00272437">
              <w:rPr>
                <w:rFonts w:eastAsia="Times New Roman" w:cs="Segoe UI"/>
                <w:sz w:val="18"/>
                <w:szCs w:val="18"/>
                <w:lang w:eastAsia="en-AU"/>
              </w:rPr>
              <w:t>Statistically significant</w:t>
            </w:r>
          </w:p>
        </w:tc>
        <w:tc>
          <w:tcPr>
            <w:tcW w:w="1077" w:type="dxa"/>
            <w:shd w:val="clear" w:color="auto" w:fill="F2F2F2" w:themeFill="background1" w:themeFillShade="F2"/>
            <w:noWrap/>
            <w:vAlign w:val="center"/>
            <w:hideMark/>
          </w:tcPr>
          <w:p w14:paraId="2EBE2AF1"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077" w:type="dxa"/>
            <w:shd w:val="clear" w:color="auto" w:fill="F2F2F2" w:themeFill="background1" w:themeFillShade="F2"/>
            <w:noWrap/>
            <w:vAlign w:val="center"/>
            <w:hideMark/>
          </w:tcPr>
          <w:p w14:paraId="2EBE2AF2"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361" w:type="dxa"/>
            <w:shd w:val="clear" w:color="auto" w:fill="F2F2F2" w:themeFill="background1" w:themeFillShade="F2"/>
            <w:noWrap/>
            <w:vAlign w:val="center"/>
            <w:hideMark/>
          </w:tcPr>
          <w:p w14:paraId="2EBE2AF3"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361" w:type="dxa"/>
            <w:shd w:val="clear" w:color="auto" w:fill="F2F2F2" w:themeFill="background1" w:themeFillShade="F2"/>
            <w:noWrap/>
            <w:vAlign w:val="center"/>
            <w:hideMark/>
          </w:tcPr>
          <w:p w14:paraId="2EBE2AF4" w14:textId="77777777" w:rsidR="00204D69" w:rsidRDefault="00204D69" w:rsidP="00782511">
            <w:pPr>
              <w:jc w:val="center"/>
              <w:rPr>
                <w:rFonts w:ascii="Wingdings" w:hAnsi="Wingdings" w:cs="Calibri"/>
                <w:szCs w:val="20"/>
              </w:rPr>
            </w:pPr>
            <w:r>
              <w:rPr>
                <w:rFonts w:ascii="Wingdings" w:hAnsi="Wingdings" w:cs="Calibri"/>
                <w:szCs w:val="20"/>
              </w:rPr>
              <w:t></w:t>
            </w:r>
          </w:p>
        </w:tc>
        <w:tc>
          <w:tcPr>
            <w:tcW w:w="1474" w:type="dxa"/>
            <w:shd w:val="clear" w:color="auto" w:fill="F2F2F2" w:themeFill="background1" w:themeFillShade="F2"/>
            <w:noWrap/>
            <w:vAlign w:val="center"/>
            <w:hideMark/>
          </w:tcPr>
          <w:p w14:paraId="2EBE2AF5" w14:textId="77777777" w:rsidR="00204D69" w:rsidRDefault="00204D69" w:rsidP="00782511">
            <w:pPr>
              <w:jc w:val="center"/>
              <w:rPr>
                <w:rFonts w:ascii="Wingdings" w:hAnsi="Wingdings" w:cs="Calibri"/>
                <w:b/>
                <w:bCs/>
                <w:szCs w:val="20"/>
              </w:rPr>
            </w:pPr>
            <w:r>
              <w:rPr>
                <w:rFonts w:ascii="Wingdings" w:hAnsi="Wingdings" w:cs="Calibri"/>
                <w:b/>
                <w:bCs/>
                <w:szCs w:val="20"/>
              </w:rPr>
              <w:t></w:t>
            </w:r>
          </w:p>
        </w:tc>
        <w:tc>
          <w:tcPr>
            <w:tcW w:w="907" w:type="dxa"/>
            <w:shd w:val="clear" w:color="auto" w:fill="F2F2F2" w:themeFill="background1" w:themeFillShade="F2"/>
            <w:noWrap/>
            <w:hideMark/>
          </w:tcPr>
          <w:p w14:paraId="2EBE2AF6" w14:textId="77777777" w:rsidR="00204D69" w:rsidRPr="00272437" w:rsidRDefault="00204D69" w:rsidP="00782511">
            <w:pPr>
              <w:spacing w:after="0"/>
              <w:jc w:val="left"/>
              <w:rPr>
                <w:rFonts w:eastAsia="Times New Roman" w:cs="Segoe UI"/>
                <w:sz w:val="18"/>
                <w:szCs w:val="18"/>
                <w:lang w:eastAsia="en-AU"/>
              </w:rPr>
            </w:pPr>
          </w:p>
        </w:tc>
      </w:tr>
    </w:tbl>
    <w:p w14:paraId="2EBE2AF8" w14:textId="77777777" w:rsidR="00204D69" w:rsidRPr="006541F2" w:rsidRDefault="00204D69" w:rsidP="00204D69">
      <w:pPr>
        <w:rPr>
          <w:sz w:val="16"/>
          <w:szCs w:val="16"/>
          <w:lang w:eastAsia="x-none"/>
        </w:rPr>
      </w:pPr>
      <w:r>
        <w:rPr>
          <w:sz w:val="16"/>
          <w:szCs w:val="16"/>
          <w:lang w:eastAsia="x-none"/>
        </w:rPr>
        <w:t>Note (1)</w:t>
      </w:r>
      <w:r w:rsidRPr="006541F2">
        <w:rPr>
          <w:sz w:val="16"/>
          <w:szCs w:val="16"/>
          <w:lang w:eastAsia="x-none"/>
        </w:rPr>
        <w:t>: Cohen’s d was calculated to establish the clinical significance and size of effect, where a value of &gt;0.2 indicates a small clinical significance and effect, 0.5 a medium effect and 0.8 large effect. A two tailed paired t test was then undertaken. The t value represents statistical significance, with a value of &lt;0.05 indicating statistical significance.</w:t>
      </w:r>
    </w:p>
    <w:p w14:paraId="2EBE2AF9" w14:textId="77777777" w:rsidR="00204D69" w:rsidRDefault="00204D69" w:rsidP="00204D69">
      <w:pPr>
        <w:spacing w:before="240"/>
        <w:rPr>
          <w:lang w:eastAsia="x-none"/>
        </w:rPr>
      </w:pPr>
      <w:r>
        <w:rPr>
          <w:lang w:eastAsia="x-none"/>
        </w:rPr>
        <w:t>Table 2.1 shows that for:</w:t>
      </w:r>
    </w:p>
    <w:p w14:paraId="2EBE2AFA" w14:textId="77777777" w:rsidR="00204D69" w:rsidRPr="003B3B79" w:rsidRDefault="00204D69" w:rsidP="0083588E">
      <w:pPr>
        <w:pStyle w:val="ListParagraph"/>
        <w:numPr>
          <w:ilvl w:val="0"/>
          <w:numId w:val="22"/>
        </w:numPr>
        <w:ind w:left="357" w:hanging="357"/>
        <w:rPr>
          <w:color w:val="auto"/>
          <w:lang w:eastAsia="x-none"/>
        </w:rPr>
      </w:pPr>
      <w:r w:rsidRPr="003B3B79">
        <w:rPr>
          <w:b/>
          <w:color w:val="1F497D" w:themeColor="text2"/>
          <w:lang w:eastAsia="x-none"/>
        </w:rPr>
        <w:t>AUDIT</w:t>
      </w:r>
      <w:r>
        <w:rPr>
          <w:b/>
          <w:color w:val="1F497D" w:themeColor="text2"/>
          <w:lang w:eastAsia="x-none"/>
        </w:rPr>
        <w:t xml:space="preserve"> - </w:t>
      </w:r>
      <w:r w:rsidRPr="003B3B79">
        <w:rPr>
          <w:color w:val="auto"/>
          <w:lang w:eastAsia="x-none"/>
        </w:rPr>
        <w:t xml:space="preserve">overall WBCs demonstrated a small or small to medium clinically significant effect on clients except Aurukun (which had very small numbers and was statistically not significant). Overall WBC clients moved from a score of higher risk or harmful drinking (a score between 16 and 19) to a lower level of risky or hazardous drinking (a score between </w:t>
      </w:r>
      <w:r>
        <w:rPr>
          <w:color w:val="auto"/>
          <w:lang w:eastAsia="x-none"/>
        </w:rPr>
        <w:t>8</w:t>
      </w:r>
      <w:r w:rsidRPr="003B3B79">
        <w:rPr>
          <w:color w:val="auto"/>
          <w:lang w:eastAsia="x-none"/>
        </w:rPr>
        <w:t xml:space="preserve"> and 15), with variations between WBCs. WBC FRC clients also demonstrated a small clinically and statistically significant effect (there were no statistically significant changes at individual WBCs for FRC clients due to small numbers</w:t>
      </w:r>
      <w:r w:rsidR="00B86E8A">
        <w:rPr>
          <w:color w:val="auto"/>
          <w:lang w:eastAsia="x-none"/>
        </w:rPr>
        <w:t>)</w:t>
      </w:r>
      <w:r w:rsidRPr="003B3B79">
        <w:rPr>
          <w:color w:val="auto"/>
          <w:lang w:eastAsia="x-none"/>
        </w:rPr>
        <w:t>.</w:t>
      </w:r>
      <w:r>
        <w:rPr>
          <w:color w:val="auto"/>
          <w:lang w:eastAsia="x-none"/>
        </w:rPr>
        <w:t xml:space="preserve"> </w:t>
      </w:r>
      <w:r w:rsidRPr="003B3B79">
        <w:rPr>
          <w:color w:val="auto"/>
          <w:lang w:eastAsia="x-none"/>
        </w:rPr>
        <w:t>Overall 89 clients (67%) improved their score.</w:t>
      </w:r>
    </w:p>
    <w:p w14:paraId="2EBE2AFB" w14:textId="77777777" w:rsidR="00204D69" w:rsidRPr="003B3B79" w:rsidRDefault="00204D69" w:rsidP="0083588E">
      <w:pPr>
        <w:pStyle w:val="ListParagraph"/>
        <w:numPr>
          <w:ilvl w:val="0"/>
          <w:numId w:val="22"/>
        </w:numPr>
        <w:ind w:left="357" w:hanging="357"/>
        <w:rPr>
          <w:b/>
          <w:color w:val="1F497D" w:themeColor="text2"/>
          <w:lang w:eastAsia="x-none"/>
        </w:rPr>
      </w:pPr>
      <w:r>
        <w:rPr>
          <w:b/>
          <w:color w:val="1F497D" w:themeColor="text2"/>
          <w:lang w:eastAsia="x-none"/>
        </w:rPr>
        <w:t xml:space="preserve">SDS - </w:t>
      </w:r>
      <w:r>
        <w:t>across all WBC clients there was a small clinically significant effect which was statistically significant. Overall 75 clients (59%) had a zero initial and review score. At Hopevale and Mossman Gorge, both had a clinically and statistically significant small to medium effect. In the case of Hopevale clients on average moved from the cannabis dependent to the non-dependent category. Coen clients rated very lowly on the dependence scale.</w:t>
      </w:r>
    </w:p>
    <w:p w14:paraId="2EBE2AFC" w14:textId="77777777" w:rsidR="00204D69" w:rsidRDefault="00204D69" w:rsidP="0083588E">
      <w:pPr>
        <w:pStyle w:val="ListParagraph"/>
        <w:numPr>
          <w:ilvl w:val="0"/>
          <w:numId w:val="22"/>
        </w:numPr>
        <w:ind w:left="357" w:hanging="357"/>
        <w:rPr>
          <w:color w:val="auto"/>
          <w:lang w:eastAsia="x-none"/>
        </w:rPr>
      </w:pPr>
      <w:r>
        <w:rPr>
          <w:b/>
          <w:color w:val="1F497D" w:themeColor="text2"/>
          <w:lang w:eastAsia="x-none"/>
        </w:rPr>
        <w:t xml:space="preserve">IRIS - </w:t>
      </w:r>
      <w:r w:rsidRPr="003B3B79">
        <w:rPr>
          <w:color w:val="auto"/>
          <w:lang w:eastAsia="x-none"/>
        </w:rPr>
        <w:t xml:space="preserve">Overall there was clinically significant effect which was statistically significant </w:t>
      </w:r>
      <w:r>
        <w:rPr>
          <w:color w:val="auto"/>
          <w:lang w:eastAsia="x-none"/>
        </w:rPr>
        <w:t xml:space="preserve">(small to medium). </w:t>
      </w:r>
      <w:r w:rsidRPr="003B3B79">
        <w:rPr>
          <w:color w:val="auto"/>
          <w:lang w:eastAsia="x-none"/>
        </w:rPr>
        <w:t>All WBCs demonstrated either small medium or large effect (with Aurukun being not statistically significant due to small numbers).</w:t>
      </w:r>
    </w:p>
    <w:p w14:paraId="2EBE2AFD" w14:textId="77777777" w:rsidR="00204D69" w:rsidRPr="003B3B79" w:rsidRDefault="00204D69" w:rsidP="00204D69">
      <w:pPr>
        <w:rPr>
          <w:color w:val="auto"/>
          <w:lang w:eastAsia="x-none"/>
        </w:rPr>
      </w:pPr>
      <w:r>
        <w:rPr>
          <w:color w:val="auto"/>
          <w:lang w:eastAsia="x-none"/>
        </w:rPr>
        <w:t>In conclusion based on this data</w:t>
      </w:r>
      <w:r w:rsidR="00B86E8A">
        <w:rPr>
          <w:color w:val="auto"/>
          <w:lang w:eastAsia="x-none"/>
        </w:rPr>
        <w:t>,</w:t>
      </w:r>
      <w:r>
        <w:rPr>
          <w:color w:val="auto"/>
          <w:lang w:eastAsia="x-none"/>
        </w:rPr>
        <w:t xml:space="preserve"> overall the WBCs (excluding Aurukun) are having a clinically and statistically significant positive effect on the level of risky drinking and the level of cannabis dependency and these changes are being replicated with FRC clients. At Aurukun small sample sizes do not allow any conclusion to be drawn.</w:t>
      </w:r>
    </w:p>
    <w:p w14:paraId="2EBE2AFE" w14:textId="77777777" w:rsidR="00204D69" w:rsidRPr="00CB0AE2" w:rsidRDefault="00204D69" w:rsidP="00BC0A26">
      <w:pPr>
        <w:pStyle w:val="Heading3"/>
        <w:rPr>
          <w:lang w:val="en-AU"/>
        </w:rPr>
      </w:pPr>
      <w:r w:rsidRPr="00CB0AE2">
        <w:t>Community outcomes</w:t>
      </w:r>
      <w:r w:rsidRPr="00CB0AE2">
        <w:rPr>
          <w:lang w:val="en-AU"/>
        </w:rPr>
        <w:t xml:space="preserve"> –</w:t>
      </w:r>
      <w:r w:rsidRPr="00CB0AE2">
        <w:t xml:space="preserve"> alcohol</w:t>
      </w:r>
    </w:p>
    <w:p w14:paraId="2EBE2AFF" w14:textId="77777777" w:rsidR="00204D69" w:rsidRPr="008F7FC9" w:rsidRDefault="00204D69" w:rsidP="00204D69">
      <w:pPr>
        <w:rPr>
          <w:lang w:eastAsia="x-none"/>
        </w:rPr>
      </w:pPr>
      <w:r>
        <w:rPr>
          <w:lang w:eastAsia="x-none"/>
        </w:rPr>
        <w:t>This sub-section analyses community outcomes in relation to alcohol.</w:t>
      </w:r>
    </w:p>
    <w:p w14:paraId="2EBE2B00" w14:textId="77777777" w:rsidR="00204D69" w:rsidRPr="00775DDF" w:rsidRDefault="00204D69" w:rsidP="00FF37EE">
      <w:pPr>
        <w:pStyle w:val="Heading4"/>
      </w:pPr>
      <w:r>
        <w:lastRenderedPageBreak/>
        <w:t>Community members perspective</w:t>
      </w:r>
    </w:p>
    <w:p w14:paraId="2EBE2B01" w14:textId="77777777" w:rsidR="00204D69" w:rsidRDefault="00204D69" w:rsidP="00204D69">
      <w:pPr>
        <w:rPr>
          <w:lang w:eastAsia="en-AU"/>
        </w:rPr>
      </w:pPr>
      <w:r>
        <w:rPr>
          <w:lang w:eastAsia="en-AU"/>
        </w:rPr>
        <w:fldChar w:fldCharType="begin"/>
      </w:r>
      <w:r>
        <w:rPr>
          <w:lang w:eastAsia="en-AU"/>
        </w:rPr>
        <w:instrText xml:space="preserve"> REF _Ref386535820 \h </w:instrText>
      </w:r>
      <w:r>
        <w:rPr>
          <w:lang w:eastAsia="en-AU"/>
        </w:rPr>
      </w:r>
      <w:r>
        <w:rPr>
          <w:lang w:eastAsia="en-AU"/>
        </w:rPr>
        <w:fldChar w:fldCharType="separate"/>
      </w:r>
      <w:r w:rsidR="009A19EB">
        <w:t xml:space="preserve">Figure </w:t>
      </w:r>
      <w:r w:rsidR="009A19EB">
        <w:rPr>
          <w:noProof/>
        </w:rPr>
        <w:t>2</w:t>
      </w:r>
      <w:r w:rsidR="009A19EB">
        <w:t>.</w:t>
      </w:r>
      <w:r w:rsidR="009A19EB">
        <w:rPr>
          <w:noProof/>
        </w:rPr>
        <w:t>1</w:t>
      </w:r>
      <w:r>
        <w:rPr>
          <w:lang w:eastAsia="en-AU"/>
        </w:rPr>
        <w:fldChar w:fldCharType="end"/>
      </w:r>
      <w:r>
        <w:rPr>
          <w:lang w:eastAsia="en-AU"/>
        </w:rPr>
        <w:t xml:space="preserve"> presents the community members (n=351) view on whether t</w:t>
      </w:r>
      <w:r w:rsidRPr="00183027">
        <w:rPr>
          <w:lang w:eastAsia="en-AU"/>
        </w:rPr>
        <w:t xml:space="preserve">here </w:t>
      </w:r>
      <w:r>
        <w:rPr>
          <w:lang w:eastAsia="en-AU"/>
        </w:rPr>
        <w:t xml:space="preserve">has </w:t>
      </w:r>
      <w:r w:rsidRPr="00183027">
        <w:rPr>
          <w:lang w:eastAsia="en-AU"/>
        </w:rPr>
        <w:t xml:space="preserve">been a </w:t>
      </w:r>
      <w:r>
        <w:rPr>
          <w:lang w:eastAsia="en-AU"/>
        </w:rPr>
        <w:t xml:space="preserve">change </w:t>
      </w:r>
      <w:r w:rsidRPr="00183027">
        <w:rPr>
          <w:lang w:eastAsia="en-AU"/>
        </w:rPr>
        <w:t xml:space="preserve">in the number of alcohol related issues in the community over the last </w:t>
      </w:r>
      <w:r>
        <w:rPr>
          <w:lang w:eastAsia="en-AU"/>
        </w:rPr>
        <w:t>3 to 4</w:t>
      </w:r>
      <w:r w:rsidRPr="00183027">
        <w:rPr>
          <w:lang w:eastAsia="en-AU"/>
        </w:rPr>
        <w:t xml:space="preserve"> years</w:t>
      </w:r>
      <w:r>
        <w:rPr>
          <w:lang w:eastAsia="en-AU"/>
        </w:rPr>
        <w:t xml:space="preserve"> and the direction of that change. Ninety six community members (27%) believed that the situation in relation to alcohol issues had got better and 70 </w:t>
      </w:r>
      <w:r w:rsidRPr="00CB776E">
        <w:rPr>
          <w:lang w:eastAsia="en-AU"/>
        </w:rPr>
        <w:t>community members</w:t>
      </w:r>
      <w:r>
        <w:rPr>
          <w:lang w:eastAsia="en-AU"/>
        </w:rPr>
        <w:t xml:space="preserve"> (20</w:t>
      </w:r>
      <w:r w:rsidRPr="00CB776E">
        <w:rPr>
          <w:lang w:eastAsia="en-AU"/>
        </w:rPr>
        <w:t xml:space="preserve">%) believed that the situation </w:t>
      </w:r>
      <w:r>
        <w:rPr>
          <w:lang w:eastAsia="en-AU"/>
        </w:rPr>
        <w:t>had got worse. Thirty nine per cent felt it was the same (50%) or they didn’t know (14%).</w:t>
      </w:r>
    </w:p>
    <w:p w14:paraId="2EBE2B02" w14:textId="2EA2ED0B" w:rsidR="00204D69" w:rsidRDefault="00505D6E" w:rsidP="00505D6E">
      <w:pPr>
        <w:pStyle w:val="Caption"/>
        <w:rPr>
          <w:lang w:eastAsia="en-AU"/>
        </w:rPr>
      </w:pPr>
      <w:bookmarkStart w:id="58" w:name="_Ref386535820"/>
      <w:bookmarkStart w:id="59" w:name="_Toc392683515"/>
      <w:r>
        <w:t xml:space="preserve">Figure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Figure \* ARABIC \s 1 </w:instrText>
      </w:r>
      <w:r w:rsidR="00AA7DC9">
        <w:fldChar w:fldCharType="separate"/>
      </w:r>
      <w:r w:rsidR="00AA7DC9">
        <w:rPr>
          <w:noProof/>
        </w:rPr>
        <w:t>1</w:t>
      </w:r>
      <w:r w:rsidR="00AA7DC9">
        <w:fldChar w:fldCharType="end"/>
      </w:r>
      <w:bookmarkEnd w:id="58"/>
      <w:r w:rsidR="00204D69">
        <w:t xml:space="preserve">: Change </w:t>
      </w:r>
      <w:r w:rsidR="00204D69" w:rsidRPr="00183027">
        <w:rPr>
          <w:lang w:eastAsia="en-AU"/>
        </w:rPr>
        <w:t>in the number of alcohol related issues</w:t>
      </w:r>
      <w:r w:rsidR="00204D69">
        <w:rPr>
          <w:lang w:eastAsia="en-AU"/>
        </w:rPr>
        <w:t xml:space="preserve"> (n=351)</w:t>
      </w:r>
      <w:bookmarkEnd w:id="59"/>
    </w:p>
    <w:p w14:paraId="2EBE2B03" w14:textId="77777777" w:rsidR="00204D69" w:rsidRPr="009E3968" w:rsidRDefault="00204D69" w:rsidP="00204D69">
      <w:pPr>
        <w:jc w:val="center"/>
        <w:rPr>
          <w:lang w:eastAsia="en-AU"/>
        </w:rPr>
      </w:pPr>
      <w:r>
        <w:rPr>
          <w:noProof/>
          <w:lang w:eastAsia="en-AU"/>
        </w:rPr>
        <w:drawing>
          <wp:inline distT="0" distB="0" distL="0" distR="0" wp14:anchorId="2EBE331B" wp14:editId="2EBE331C">
            <wp:extent cx="3609975" cy="1924050"/>
            <wp:effectExtent l="0" t="0" r="9525" b="19050"/>
            <wp:docPr id="5" name="Chart 5" descr="Figure 2.1 is a pie chart that presents the community members (n=351) view on whether there has been a change in the number of alcohol related issues in the community over the last 3 to 4 years and the direction of that change.  Ninety six community members (27%) believed that the situation in relation to alcohol issues had got better and 70 community members (20%) believed that the situation had got worse. Thirty nine per cent felt it was the same (50%) and 47 said that they didn’t know (14%)." title="Figure 2.1: Change in the number of alcohol related issues (n=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BE2B04" w14:textId="77777777" w:rsidR="00204D69" w:rsidRDefault="00204D69" w:rsidP="00204D69">
      <w:r>
        <w:t xml:space="preserve">As shown in </w:t>
      </w:r>
      <w:r>
        <w:fldChar w:fldCharType="begin"/>
      </w:r>
      <w:r>
        <w:instrText xml:space="preserve"> REF _Ref386536535 \h </w:instrText>
      </w:r>
      <w:r>
        <w:fldChar w:fldCharType="separate"/>
      </w:r>
      <w:r w:rsidR="009A19EB">
        <w:t xml:space="preserve">Figure </w:t>
      </w:r>
      <w:r w:rsidR="009A19EB">
        <w:rPr>
          <w:noProof/>
        </w:rPr>
        <w:t>2</w:t>
      </w:r>
      <w:r w:rsidR="009A19EB">
        <w:t>.</w:t>
      </w:r>
      <w:r w:rsidR="009A19EB">
        <w:rPr>
          <w:noProof/>
        </w:rPr>
        <w:t>2</w:t>
      </w:r>
      <w:r>
        <w:fldChar w:fldCharType="end"/>
      </w:r>
      <w:r>
        <w:t xml:space="preserve"> there are variations between communities. Sixty five percent of Coen respondents believed the situation with respect to alcohol issues had improved, whereas the other communities ranged from 16% at Hopevale to 34% at Mossman Gorge. One quarter of respondents at both the Aurukun and Hopevale believed the situation had got worse.</w:t>
      </w:r>
    </w:p>
    <w:p w14:paraId="2EBE2B05" w14:textId="51AFC567" w:rsidR="00204D69" w:rsidRDefault="00505D6E" w:rsidP="00505D6E">
      <w:pPr>
        <w:pStyle w:val="Caption"/>
      </w:pPr>
      <w:bookmarkStart w:id="60" w:name="_Ref386536535"/>
      <w:bookmarkStart w:id="61" w:name="_Toc392683516"/>
      <w:r>
        <w:t xml:space="preserve">Figure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Figure \* ARABIC \s 1 </w:instrText>
      </w:r>
      <w:r w:rsidR="00AA7DC9">
        <w:fldChar w:fldCharType="separate"/>
      </w:r>
      <w:r w:rsidR="00AA7DC9">
        <w:rPr>
          <w:noProof/>
        </w:rPr>
        <w:t>2</w:t>
      </w:r>
      <w:r w:rsidR="00AA7DC9">
        <w:fldChar w:fldCharType="end"/>
      </w:r>
      <w:bookmarkEnd w:id="60"/>
      <w:r w:rsidR="00204D69">
        <w:t>: Change in the number of alcohol related issues by WBC</w:t>
      </w:r>
      <w:bookmarkEnd w:id="61"/>
    </w:p>
    <w:p w14:paraId="2EBE2B06" w14:textId="77777777" w:rsidR="00204D69" w:rsidRDefault="00204D69" w:rsidP="00204D69">
      <w:pPr>
        <w:jc w:val="center"/>
      </w:pPr>
      <w:r>
        <w:rPr>
          <w:noProof/>
          <w:lang w:eastAsia="en-AU"/>
        </w:rPr>
        <w:drawing>
          <wp:inline distT="0" distB="0" distL="0" distR="0" wp14:anchorId="2EBE331D" wp14:editId="2EBE331E">
            <wp:extent cx="5486400" cy="3701491"/>
            <wp:effectExtent l="0" t="0" r="19050" b="13335"/>
            <wp:docPr id="6" name="Chart 6" descr="Figure 2.2 is a column graph that displays ratings of perceived change in relation to alcohol issues in the four Cape York communities.  The x-axis has the ratings of ‘Better’, ‘Worse’, ‘Same’ and ‘Don’t know’. The y-axis is the percentage change, from 0 to 70%.  The data for the four locations are grouped together in the segments corresponding to the four rating categories so that the percentage of people choosing each rating is shown for each location.  Aurukun is displayed as the first column of each segment, Coen as the second, Hopevale as the third and Mossman Gorge as the fourth. " title="Figure 2.2: Change in the number of alcohol related issues by WBC"/>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BE2B07" w14:textId="77777777" w:rsidR="00204D69" w:rsidRPr="00BA0422" w:rsidRDefault="00204D69" w:rsidP="00204D69">
      <w:pPr>
        <w:rPr>
          <w:color w:val="auto"/>
          <w:lang w:eastAsia="en-AU"/>
        </w:rPr>
      </w:pPr>
      <w:r w:rsidRPr="00BA0422">
        <w:rPr>
          <w:i/>
          <w:color w:val="auto"/>
          <w:lang w:eastAsia="en-AU"/>
        </w:rPr>
        <w:lastRenderedPageBreak/>
        <w:t>The Cape York Welfare Reform Evaluation</w:t>
      </w:r>
      <w:r w:rsidRPr="00BA0422">
        <w:rPr>
          <w:rStyle w:val="FootnoteReference"/>
          <w:i/>
          <w:color w:val="auto"/>
          <w:lang w:eastAsia="en-AU"/>
        </w:rPr>
        <w:footnoteReference w:id="6"/>
      </w:r>
      <w:r w:rsidRPr="00BA0422">
        <w:rPr>
          <w:color w:val="auto"/>
          <w:lang w:eastAsia="en-AU"/>
        </w:rPr>
        <w:t xml:space="preserve"> found that 24% felt that more people were trying to give up grog, smoking or gambling. It also found that reductions in social problems such as drinking, drug use and petrol sniffing was identified as the most significant change by 5% of people in Aurukun, 9% in Coen 2%, in Hopevale, and 4% in Moss</w:t>
      </w:r>
      <w:r w:rsidR="00A50CF3">
        <w:rPr>
          <w:color w:val="auto"/>
          <w:lang w:eastAsia="en-AU"/>
        </w:rPr>
        <w:t>man Gorge. It also found that ga</w:t>
      </w:r>
      <w:r w:rsidRPr="00BA0422">
        <w:rPr>
          <w:color w:val="auto"/>
          <w:lang w:eastAsia="en-AU"/>
        </w:rPr>
        <w:t>n</w:t>
      </w:r>
      <w:r w:rsidR="00A50CF3">
        <w:rPr>
          <w:color w:val="auto"/>
          <w:lang w:eastAsia="en-AU"/>
        </w:rPr>
        <w:t>j</w:t>
      </w:r>
      <w:r w:rsidRPr="00BA0422">
        <w:rPr>
          <w:color w:val="auto"/>
          <w:lang w:eastAsia="en-AU"/>
        </w:rPr>
        <w:t>a, gambling and grog still continued to cause problems within families (about 40% reported at least one of these issues in their family) with a quarter choosin</w:t>
      </w:r>
      <w:r>
        <w:rPr>
          <w:color w:val="auto"/>
          <w:lang w:eastAsia="en-AU"/>
        </w:rPr>
        <w:t>g not to answer this question</w:t>
      </w:r>
      <w:r w:rsidRPr="00BA0422">
        <w:rPr>
          <w:color w:val="auto"/>
          <w:lang w:eastAsia="en-AU"/>
        </w:rPr>
        <w:t>.</w:t>
      </w:r>
    </w:p>
    <w:p w14:paraId="2EBE2B08" w14:textId="77777777" w:rsidR="00204D69" w:rsidRDefault="00204D69" w:rsidP="00FF37EE">
      <w:pPr>
        <w:pStyle w:val="Heading4"/>
        <w:rPr>
          <w:lang w:val="en-AU"/>
        </w:rPr>
      </w:pPr>
      <w:r w:rsidRPr="000764B2">
        <w:t>Local primary</w:t>
      </w:r>
      <w:r w:rsidRPr="00775DDF">
        <w:t xml:space="preserve"> health</w:t>
      </w:r>
      <w:r>
        <w:t xml:space="preserve"> care clinic presentations</w:t>
      </w:r>
      <w:r>
        <w:rPr>
          <w:lang w:val="en-AU"/>
        </w:rPr>
        <w:t xml:space="preserve"> – Alcohol</w:t>
      </w:r>
    </w:p>
    <w:p w14:paraId="2EBE2B09" w14:textId="77777777" w:rsidR="00204D69" w:rsidRDefault="00204D69" w:rsidP="00204D69">
      <w:pPr>
        <w:rPr>
          <w:lang w:eastAsia="x-none"/>
        </w:rPr>
      </w:pPr>
      <w:r w:rsidRPr="00092D7C">
        <w:rPr>
          <w:lang w:eastAsia="x-none"/>
        </w:rPr>
        <w:t>Appendix 8</w:t>
      </w:r>
      <w:r>
        <w:rPr>
          <w:lang w:eastAsia="x-none"/>
        </w:rPr>
        <w:t xml:space="preserve"> presents local primary health care clinic presentations where alcohol is a primary or contributing factor.</w:t>
      </w:r>
    </w:p>
    <w:p w14:paraId="2EBE2B0A" w14:textId="77777777" w:rsidR="00204D69" w:rsidRDefault="00204D69" w:rsidP="00204D69">
      <w:pPr>
        <w:rPr>
          <w:lang w:eastAsia="x-none"/>
        </w:rPr>
      </w:pPr>
      <w:r>
        <w:rPr>
          <w:lang w:eastAsia="x-none"/>
        </w:rPr>
        <w:t xml:space="preserve">The appendix shows that the number of presentations to the relevant local primary health care clinics where alcohol was listed as a primary presenting reason has declined overall, driven by downward trends at both Coen and Hopevale, with a small increase at Aurukun </w:t>
      </w:r>
      <w:r w:rsidRPr="00750855">
        <w:rPr>
          <w:lang w:eastAsia="x-none"/>
        </w:rPr>
        <w:t>since 2004/5</w:t>
      </w:r>
      <w:r>
        <w:rPr>
          <w:lang w:eastAsia="x-none"/>
        </w:rPr>
        <w:t>. There has been a decline in this type of presentation in all clinics since the commencement of the WBCs around the mid-2009 calendar year.</w:t>
      </w:r>
    </w:p>
    <w:p w14:paraId="2EBE2B0B" w14:textId="77777777" w:rsidR="00204D69" w:rsidRDefault="00204D69" w:rsidP="00204D69">
      <w:pPr>
        <w:rPr>
          <w:lang w:eastAsia="x-none"/>
        </w:rPr>
      </w:pPr>
      <w:r>
        <w:rPr>
          <w:lang w:eastAsia="x-none"/>
        </w:rPr>
        <w:t>The appendix also shows that the number of presentations to the relevant local primary health clinics where alcohol was listed as a contributing factor has declined at Hopevale and Coen and increased at Aurukun, particularly in 2012/13.</w:t>
      </w:r>
    </w:p>
    <w:p w14:paraId="2EBE2B0C" w14:textId="77777777" w:rsidR="0077043D" w:rsidRPr="00733A0E" w:rsidRDefault="0077043D" w:rsidP="00204D69">
      <w:pPr>
        <w:rPr>
          <w:lang w:eastAsia="x-none"/>
        </w:rPr>
      </w:pPr>
      <w:r>
        <w:rPr>
          <w:lang w:eastAsia="x-none"/>
        </w:rPr>
        <w:t xml:space="preserve">This is suggestive of a reduced number of alcohol related incidents in Coen and Hopevale. The increase in Aurukun is likely to be associated with the overall increase in violence </w:t>
      </w:r>
      <w:r w:rsidR="005E537F">
        <w:rPr>
          <w:lang w:eastAsia="x-none"/>
        </w:rPr>
        <w:t xml:space="preserve">and other incidents </w:t>
      </w:r>
      <w:r>
        <w:rPr>
          <w:lang w:eastAsia="x-none"/>
        </w:rPr>
        <w:t>in that community which has been widely reported</w:t>
      </w:r>
      <w:r w:rsidR="00B27B14">
        <w:rPr>
          <w:lang w:eastAsia="x-none"/>
        </w:rPr>
        <w:t>.</w:t>
      </w:r>
    </w:p>
    <w:p w14:paraId="2EBE2B0D" w14:textId="77777777" w:rsidR="00204D69" w:rsidRDefault="00204D69" w:rsidP="00FF37EE">
      <w:pPr>
        <w:pStyle w:val="Heading4"/>
        <w:rPr>
          <w:lang w:val="en-AU"/>
        </w:rPr>
      </w:pPr>
      <w:r>
        <w:t>Queensland Health Admitted Patient Data Collection</w:t>
      </w:r>
    </w:p>
    <w:p w14:paraId="2EBE2B0E" w14:textId="77777777" w:rsidR="00204D69" w:rsidRPr="00686608" w:rsidRDefault="00204D69" w:rsidP="00204D69">
      <w:pPr>
        <w:rPr>
          <w:color w:val="auto"/>
          <w:lang w:eastAsia="x-none"/>
        </w:rPr>
      </w:pPr>
      <w:r w:rsidRPr="00092D7C">
        <w:rPr>
          <w:color w:val="auto"/>
          <w:lang w:eastAsia="x-none"/>
        </w:rPr>
        <w:t>Appendix 8</w:t>
      </w:r>
      <w:r>
        <w:rPr>
          <w:color w:val="auto"/>
          <w:lang w:eastAsia="x-none"/>
        </w:rPr>
        <w:t xml:space="preserve"> </w:t>
      </w:r>
      <w:r w:rsidRPr="00686608">
        <w:rPr>
          <w:color w:val="auto"/>
          <w:lang w:eastAsia="x-none"/>
        </w:rPr>
        <w:t xml:space="preserve">presents </w:t>
      </w:r>
      <w:r>
        <w:rPr>
          <w:color w:val="auto"/>
          <w:lang w:eastAsia="x-none"/>
        </w:rPr>
        <w:t xml:space="preserve">hospital </w:t>
      </w:r>
      <w:r w:rsidRPr="00686608">
        <w:rPr>
          <w:color w:val="auto"/>
          <w:lang w:eastAsia="x-none"/>
        </w:rPr>
        <w:t>admission data where the principal diagnosis is mental health and behavioural disorders due to the use of alcohol. Th</w:t>
      </w:r>
      <w:r>
        <w:rPr>
          <w:color w:val="auto"/>
          <w:lang w:eastAsia="x-none"/>
        </w:rPr>
        <w:t>is demonstrates</w:t>
      </w:r>
      <w:r w:rsidRPr="00686608">
        <w:rPr>
          <w:color w:val="auto"/>
          <w:lang w:eastAsia="x-none"/>
        </w:rPr>
        <w:t xml:space="preserve"> that there has been an upward trend in this admission type since </w:t>
      </w:r>
      <w:r>
        <w:rPr>
          <w:color w:val="auto"/>
          <w:lang w:eastAsia="x-none"/>
        </w:rPr>
        <w:t>July 2002 to July 201</w:t>
      </w:r>
      <w:r w:rsidRPr="00686608">
        <w:rPr>
          <w:color w:val="auto"/>
          <w:lang w:eastAsia="x-none"/>
        </w:rPr>
        <w:t>2. Since the establishment of the WBCs that has largely been driven by Hopevale and to a lesser extent Aurukun.</w:t>
      </w:r>
    </w:p>
    <w:p w14:paraId="2EBE2B0F" w14:textId="77777777" w:rsidR="00204D69" w:rsidRDefault="00204D69" w:rsidP="00204D69">
      <w:r w:rsidRPr="00092D7C">
        <w:t>Appendix 8</w:t>
      </w:r>
      <w:r>
        <w:t xml:space="preserve"> also presents admissions where a secondary diagnosis was mental health and behavioural disorders due to the use of alcohol. This means that it was not the primary reason for the admission to hospital but it was noted as another diagnosis. The trend for this other diagnosis has been upward since the January 2011 to June 2011 period.</w:t>
      </w:r>
    </w:p>
    <w:p w14:paraId="2EBE2B10" w14:textId="77777777" w:rsidR="00B27B14" w:rsidRDefault="00B27B14" w:rsidP="00204D69">
      <w:r>
        <w:t>While this indicator is suggestive that the impact of alcohol use on individuals may have deteriorated, it should be noted that there is a lag between increased alcohol use and associated mental illness, making it difficult to draw any conclusion in relation to this specific indicator.</w:t>
      </w:r>
    </w:p>
    <w:p w14:paraId="2EBE2B11" w14:textId="77777777" w:rsidR="00204D69" w:rsidRDefault="00204D69" w:rsidP="00FF37EE">
      <w:pPr>
        <w:pStyle w:val="Heading4"/>
        <w:rPr>
          <w:lang w:val="en-AU"/>
        </w:rPr>
      </w:pPr>
      <w:r>
        <w:t>Queensland Government key indicators</w:t>
      </w:r>
    </w:p>
    <w:p w14:paraId="2EBE2B12" w14:textId="77777777" w:rsidR="00204D69" w:rsidRPr="00686608" w:rsidRDefault="00204D69" w:rsidP="00204D69">
      <w:pPr>
        <w:rPr>
          <w:color w:val="auto"/>
        </w:rPr>
      </w:pPr>
      <w:r w:rsidRPr="00686608">
        <w:rPr>
          <w:color w:val="auto"/>
          <w:lang w:eastAsia="x-none"/>
        </w:rPr>
        <w:t xml:space="preserve">The Queensland Government key indicators as published in the </w:t>
      </w:r>
      <w:r w:rsidRPr="00686608">
        <w:rPr>
          <w:i/>
          <w:color w:val="auto"/>
          <w:lang w:eastAsia="x-none"/>
        </w:rPr>
        <w:t>Annual Bulletin for Queensland’s Discrete Indigenous Communities: 2011/12 (April 2013)</w:t>
      </w:r>
      <w:r w:rsidRPr="00686608">
        <w:rPr>
          <w:color w:val="auto"/>
          <w:lang w:eastAsia="x-none"/>
        </w:rPr>
        <w:t xml:space="preserve"> indicate that there</w:t>
      </w:r>
      <w:r w:rsidRPr="00686608">
        <w:rPr>
          <w:color w:val="auto"/>
          <w:vertAlign w:val="subscript"/>
          <w:lang w:eastAsia="x-none"/>
        </w:rPr>
        <w:t xml:space="preserve"> </w:t>
      </w:r>
      <w:r w:rsidRPr="00686608">
        <w:rPr>
          <w:color w:val="auto"/>
        </w:rPr>
        <w:t xml:space="preserve">has been no evidence of statistical change in charges resulting in convictions for breaches of Sections 168B and 168C of the </w:t>
      </w:r>
      <w:r w:rsidRPr="00686608">
        <w:rPr>
          <w:i/>
          <w:color w:val="auto"/>
        </w:rPr>
        <w:t>Liquor Act 1992</w:t>
      </w:r>
      <w:r w:rsidRPr="00686608">
        <w:rPr>
          <w:color w:val="auto"/>
        </w:rPr>
        <w:t xml:space="preserve"> the period 2010/11 to 2011/12 at Aurukun or Hopevale. The level and direction of statistical change for the last four complete years of published data are presented in</w:t>
      </w:r>
      <w:r>
        <w:rPr>
          <w:color w:val="auto"/>
        </w:rPr>
        <w:t xml:space="preserve"> </w:t>
      </w:r>
      <w:r>
        <w:rPr>
          <w:color w:val="auto"/>
        </w:rPr>
        <w:fldChar w:fldCharType="begin"/>
      </w:r>
      <w:r>
        <w:rPr>
          <w:color w:val="auto"/>
        </w:rPr>
        <w:instrText xml:space="preserve"> REF _Ref387392571 \h </w:instrText>
      </w:r>
      <w:r>
        <w:rPr>
          <w:color w:val="auto"/>
        </w:rPr>
      </w:r>
      <w:r>
        <w:rPr>
          <w:color w:val="auto"/>
        </w:rPr>
        <w:fldChar w:fldCharType="separate"/>
      </w:r>
      <w:r w:rsidR="009A19EB">
        <w:t xml:space="preserve">Table </w:t>
      </w:r>
      <w:r w:rsidR="009A19EB">
        <w:rPr>
          <w:noProof/>
        </w:rPr>
        <w:t>2</w:t>
      </w:r>
      <w:r w:rsidR="009A19EB">
        <w:t>.</w:t>
      </w:r>
      <w:r w:rsidR="009A19EB">
        <w:rPr>
          <w:noProof/>
        </w:rPr>
        <w:t>2</w:t>
      </w:r>
      <w:r>
        <w:rPr>
          <w:color w:val="auto"/>
        </w:rPr>
        <w:fldChar w:fldCharType="end"/>
      </w:r>
      <w:r>
        <w:rPr>
          <w:color w:val="auto"/>
        </w:rPr>
        <w:t xml:space="preserve">. </w:t>
      </w:r>
      <w:r w:rsidRPr="00686608">
        <w:rPr>
          <w:color w:val="auto"/>
        </w:rPr>
        <w:t xml:space="preserve">More detailed data is included at </w:t>
      </w:r>
      <w:r w:rsidRPr="00092D7C">
        <w:rPr>
          <w:color w:val="auto"/>
        </w:rPr>
        <w:t>Appendix 14.</w:t>
      </w:r>
      <w:r w:rsidRPr="00686608">
        <w:rPr>
          <w:color w:val="auto"/>
        </w:rPr>
        <w:t xml:space="preserve"> There has been a decrease in convictions from 2008/09 level in Hopevale and 2009/10 level in Aurukun</w:t>
      </w:r>
      <w:r>
        <w:rPr>
          <w:color w:val="auto"/>
        </w:rPr>
        <w:t>,</w:t>
      </w:r>
      <w:r w:rsidRPr="00686608">
        <w:rPr>
          <w:color w:val="auto"/>
        </w:rPr>
        <w:t xml:space="preserve"> to 2011/12.</w:t>
      </w:r>
    </w:p>
    <w:p w14:paraId="2EBE2B13" w14:textId="64C72A9F" w:rsidR="00204D69" w:rsidRPr="003B2254" w:rsidRDefault="00505D6E" w:rsidP="00505D6E">
      <w:pPr>
        <w:pStyle w:val="Caption"/>
      </w:pPr>
      <w:bookmarkStart w:id="62" w:name="_Toc392686430"/>
      <w:bookmarkStart w:id="63" w:name="_Ref387392571"/>
      <w:r>
        <w:lastRenderedPageBreak/>
        <w:t xml:space="preserve">Table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2</w:t>
      </w:r>
      <w:r w:rsidR="00AA7DC9">
        <w:fldChar w:fldCharType="end"/>
      </w:r>
      <w:bookmarkEnd w:id="63"/>
      <w:r w:rsidR="00204D69">
        <w:t>: Annual changes in charges resulting in a conviction for breaches of sections 168B and 168C of the Liquor Act, 1992</w:t>
      </w:r>
      <w:bookmarkEnd w:id="62"/>
    </w:p>
    <w:tbl>
      <w:tblPr>
        <w:tblStyle w:val="Hoi2"/>
        <w:tblW w:w="9509" w:type="dxa"/>
        <w:tblLook w:val="04A0" w:firstRow="1" w:lastRow="0" w:firstColumn="1" w:lastColumn="0" w:noHBand="0" w:noVBand="1"/>
        <w:tblCaption w:val="Table 2.2: Annual changes in charges resulting in a conviction for breaches of sections 168B and 168C of the Liquor Act, 1992"/>
        <w:tblDescription w:val="Table 2.2 displays the annual changes in charges resulting in a conviction for breaches of sections 168B and 168C of the Liquor Act, 1992.  The four communities are listed in the first column of the table and the the following five columns list the changes from 2007/08 to 2008/09, 2008/09 to 2009/10, 2009/10 to 2010/11, 2010/11 to 2011/12 and finally Annual %  change 2010/11 to 2011/12.  Statistical evidence of an increase in charges is represented by an upwards arrow, Statistical evidence of an decrease in charges is represented by an downwards arrow and no statistical evidence of detectable change is represented by a horizontal arrow pointing left and right."/>
      </w:tblPr>
      <w:tblGrid>
        <w:gridCol w:w="1587"/>
        <w:gridCol w:w="1640"/>
        <w:gridCol w:w="1701"/>
        <w:gridCol w:w="1701"/>
        <w:gridCol w:w="1620"/>
        <w:gridCol w:w="1260"/>
      </w:tblGrid>
      <w:tr w:rsidR="00204D69" w:rsidRPr="00800428" w14:paraId="2EBE2B1A" w14:textId="77777777" w:rsidTr="00377FC2">
        <w:trPr>
          <w:cnfStyle w:val="100000000000" w:firstRow="1" w:lastRow="0" w:firstColumn="0" w:lastColumn="0" w:oddVBand="0" w:evenVBand="0" w:oddHBand="0" w:evenHBand="0" w:firstRowFirstColumn="0" w:firstRowLastColumn="0" w:lastRowFirstColumn="0" w:lastRowLastColumn="0"/>
          <w:trHeight w:val="600"/>
          <w:tblHeader/>
        </w:trPr>
        <w:tc>
          <w:tcPr>
            <w:tcW w:w="1587" w:type="dxa"/>
            <w:tcBorders>
              <w:bottom w:val="single" w:sz="4" w:space="0" w:color="FFFFFF"/>
            </w:tcBorders>
            <w:noWrap/>
            <w:hideMark/>
          </w:tcPr>
          <w:p w14:paraId="2EBE2B14" w14:textId="77777777" w:rsidR="00204D69" w:rsidRPr="00800428" w:rsidRDefault="00204D69" w:rsidP="00782511">
            <w:pPr>
              <w:spacing w:after="0"/>
              <w:jc w:val="left"/>
              <w:rPr>
                <w:rFonts w:ascii="Segoe UI" w:eastAsia="Times New Roman" w:hAnsi="Segoe UI" w:cs="Segoe UI"/>
                <w:sz w:val="18"/>
                <w:szCs w:val="18"/>
                <w:lang w:eastAsia="en-AU"/>
              </w:rPr>
            </w:pPr>
          </w:p>
        </w:tc>
        <w:tc>
          <w:tcPr>
            <w:tcW w:w="1640" w:type="dxa"/>
            <w:tcBorders>
              <w:bottom w:val="single" w:sz="4" w:space="0" w:color="FFFFFF"/>
            </w:tcBorders>
            <w:hideMark/>
          </w:tcPr>
          <w:p w14:paraId="2EBE2B15" w14:textId="77777777" w:rsidR="00204D69" w:rsidRPr="00800428" w:rsidRDefault="00204D69" w:rsidP="00650C89">
            <w:pPr>
              <w:spacing w:after="0"/>
              <w:jc w:val="center"/>
              <w:rPr>
                <w:rFonts w:ascii="Segoe UI" w:eastAsia="Times New Roman" w:hAnsi="Segoe UI" w:cs="Segoe UI"/>
                <w:b/>
                <w:sz w:val="18"/>
                <w:szCs w:val="18"/>
                <w:lang w:eastAsia="en-AU"/>
              </w:rPr>
            </w:pPr>
            <w:r w:rsidRPr="00800428">
              <w:rPr>
                <w:rFonts w:ascii="Segoe UI" w:eastAsia="Times New Roman" w:hAnsi="Segoe UI" w:cs="Segoe UI"/>
                <w:b/>
                <w:sz w:val="18"/>
                <w:szCs w:val="18"/>
                <w:lang w:eastAsia="en-AU"/>
              </w:rPr>
              <w:t>Change 2007/08 to 2008/09</w:t>
            </w:r>
          </w:p>
        </w:tc>
        <w:tc>
          <w:tcPr>
            <w:tcW w:w="1701" w:type="dxa"/>
            <w:tcBorders>
              <w:bottom w:val="single" w:sz="4" w:space="0" w:color="FFFFFF"/>
            </w:tcBorders>
            <w:hideMark/>
          </w:tcPr>
          <w:p w14:paraId="2EBE2B16" w14:textId="77777777" w:rsidR="00204D69" w:rsidRPr="00800428" w:rsidRDefault="00204D69" w:rsidP="00650C89">
            <w:pPr>
              <w:spacing w:after="0"/>
              <w:jc w:val="center"/>
              <w:rPr>
                <w:rFonts w:ascii="Segoe UI" w:eastAsia="Times New Roman" w:hAnsi="Segoe UI" w:cs="Segoe UI"/>
                <w:b/>
                <w:sz w:val="18"/>
                <w:szCs w:val="18"/>
                <w:lang w:eastAsia="en-AU"/>
              </w:rPr>
            </w:pPr>
            <w:r w:rsidRPr="00800428">
              <w:rPr>
                <w:rFonts w:ascii="Segoe UI" w:eastAsia="Times New Roman" w:hAnsi="Segoe UI" w:cs="Segoe UI"/>
                <w:b/>
                <w:sz w:val="18"/>
                <w:szCs w:val="18"/>
                <w:lang w:eastAsia="en-AU"/>
              </w:rPr>
              <w:t>Change 2008/09</w:t>
            </w:r>
            <w:r w:rsidR="00650C89">
              <w:rPr>
                <w:rFonts w:ascii="Segoe UI" w:eastAsia="Times New Roman" w:hAnsi="Segoe UI" w:cs="Segoe UI"/>
                <w:b/>
                <w:sz w:val="18"/>
                <w:szCs w:val="18"/>
                <w:lang w:eastAsia="en-AU"/>
              </w:rPr>
              <w:br/>
            </w:r>
            <w:r w:rsidRPr="00800428">
              <w:rPr>
                <w:rFonts w:ascii="Segoe UI" w:eastAsia="Times New Roman" w:hAnsi="Segoe UI" w:cs="Segoe UI"/>
                <w:b/>
                <w:sz w:val="18"/>
                <w:szCs w:val="18"/>
                <w:lang w:eastAsia="en-AU"/>
              </w:rPr>
              <w:t xml:space="preserve"> to 2009/10</w:t>
            </w:r>
          </w:p>
        </w:tc>
        <w:tc>
          <w:tcPr>
            <w:tcW w:w="1701" w:type="dxa"/>
            <w:tcBorders>
              <w:bottom w:val="single" w:sz="4" w:space="0" w:color="FFFFFF"/>
            </w:tcBorders>
            <w:hideMark/>
          </w:tcPr>
          <w:p w14:paraId="2EBE2B17" w14:textId="77777777" w:rsidR="00204D69" w:rsidRPr="00800428" w:rsidRDefault="00204D69" w:rsidP="00650C89">
            <w:pPr>
              <w:spacing w:after="0"/>
              <w:jc w:val="center"/>
              <w:rPr>
                <w:rFonts w:ascii="Segoe UI" w:eastAsia="Times New Roman" w:hAnsi="Segoe UI" w:cs="Segoe UI"/>
                <w:b/>
                <w:sz w:val="18"/>
                <w:szCs w:val="18"/>
                <w:lang w:eastAsia="en-AU"/>
              </w:rPr>
            </w:pPr>
            <w:r w:rsidRPr="00800428">
              <w:rPr>
                <w:rFonts w:ascii="Segoe UI" w:eastAsia="Times New Roman" w:hAnsi="Segoe UI" w:cs="Segoe UI"/>
                <w:b/>
                <w:sz w:val="18"/>
                <w:szCs w:val="18"/>
                <w:lang w:eastAsia="en-AU"/>
              </w:rPr>
              <w:t>Change 2009/10 to 2010/11</w:t>
            </w:r>
          </w:p>
        </w:tc>
        <w:tc>
          <w:tcPr>
            <w:tcW w:w="1620" w:type="dxa"/>
            <w:tcBorders>
              <w:bottom w:val="single" w:sz="4" w:space="0" w:color="FFFFFF"/>
            </w:tcBorders>
            <w:hideMark/>
          </w:tcPr>
          <w:p w14:paraId="2EBE2B18" w14:textId="77777777" w:rsidR="00204D69" w:rsidRPr="00800428" w:rsidRDefault="00204D69" w:rsidP="00650C89">
            <w:pPr>
              <w:spacing w:after="0"/>
              <w:jc w:val="center"/>
              <w:rPr>
                <w:rFonts w:ascii="Segoe UI" w:eastAsia="Times New Roman" w:hAnsi="Segoe UI" w:cs="Segoe UI"/>
                <w:b/>
                <w:sz w:val="18"/>
                <w:szCs w:val="18"/>
                <w:lang w:eastAsia="en-AU"/>
              </w:rPr>
            </w:pPr>
            <w:r w:rsidRPr="00800428">
              <w:rPr>
                <w:rFonts w:ascii="Segoe UI" w:eastAsia="Times New Roman" w:hAnsi="Segoe UI" w:cs="Segoe UI"/>
                <w:b/>
                <w:sz w:val="18"/>
                <w:szCs w:val="18"/>
                <w:lang w:eastAsia="en-AU"/>
              </w:rPr>
              <w:t>Change 2010/11 to 2011/12</w:t>
            </w:r>
          </w:p>
        </w:tc>
        <w:tc>
          <w:tcPr>
            <w:tcW w:w="1260" w:type="dxa"/>
            <w:tcBorders>
              <w:bottom w:val="single" w:sz="4" w:space="0" w:color="FFFFFF"/>
            </w:tcBorders>
            <w:hideMark/>
          </w:tcPr>
          <w:p w14:paraId="2EBE2B19" w14:textId="77777777" w:rsidR="00204D69" w:rsidRPr="00800428" w:rsidRDefault="00204D69" w:rsidP="00650C89">
            <w:pPr>
              <w:spacing w:after="0"/>
              <w:jc w:val="center"/>
              <w:rPr>
                <w:rFonts w:ascii="Calibri" w:hAnsi="Calibri" w:cs="Calibri"/>
                <w:b/>
                <w:sz w:val="22"/>
                <w:szCs w:val="22"/>
              </w:rPr>
            </w:pPr>
            <w:r w:rsidRPr="00800428">
              <w:rPr>
                <w:rFonts w:ascii="Segoe UI" w:hAnsi="Segoe UI" w:cs="Segoe UI"/>
                <w:b/>
                <w:sz w:val="18"/>
                <w:szCs w:val="18"/>
              </w:rPr>
              <w:t xml:space="preserve">Annual </w:t>
            </w:r>
            <w:r w:rsidR="00650C89">
              <w:rPr>
                <w:rFonts w:ascii="Segoe UI" w:hAnsi="Segoe UI" w:cs="Segoe UI"/>
                <w:b/>
                <w:sz w:val="18"/>
                <w:szCs w:val="18"/>
              </w:rPr>
              <w:t>%</w:t>
            </w:r>
            <w:r w:rsidRPr="00800428">
              <w:rPr>
                <w:rFonts w:ascii="Segoe UI" w:hAnsi="Segoe UI" w:cs="Segoe UI"/>
                <w:b/>
                <w:sz w:val="18"/>
                <w:szCs w:val="18"/>
              </w:rPr>
              <w:t xml:space="preserve"> change 2010/11 to 2011/12</w:t>
            </w:r>
          </w:p>
        </w:tc>
      </w:tr>
      <w:tr w:rsidR="00204D69" w:rsidRPr="00800428" w14:paraId="2EBE2B21" w14:textId="77777777" w:rsidTr="00650C89">
        <w:trPr>
          <w:trHeight w:val="300"/>
        </w:trPr>
        <w:tc>
          <w:tcPr>
            <w:tcW w:w="1587" w:type="dxa"/>
            <w:shd w:val="clear" w:color="auto" w:fill="F2F2F2" w:themeFill="background1" w:themeFillShade="F2"/>
            <w:noWrap/>
            <w:hideMark/>
          </w:tcPr>
          <w:p w14:paraId="2EBE2B1B" w14:textId="77777777" w:rsidR="00204D69" w:rsidRPr="00800428" w:rsidRDefault="00204D69" w:rsidP="00782511">
            <w:pPr>
              <w:spacing w:after="0"/>
              <w:jc w:val="left"/>
              <w:rPr>
                <w:rFonts w:eastAsia="Times New Roman" w:cs="Segoe UI"/>
                <w:sz w:val="18"/>
                <w:szCs w:val="18"/>
                <w:lang w:eastAsia="en-AU"/>
              </w:rPr>
            </w:pPr>
            <w:r w:rsidRPr="00800428">
              <w:rPr>
                <w:rFonts w:eastAsia="Times New Roman" w:cs="Segoe UI"/>
                <w:sz w:val="18"/>
                <w:szCs w:val="18"/>
                <w:lang w:eastAsia="en-AU"/>
              </w:rPr>
              <w:t>Aurukun</w:t>
            </w:r>
          </w:p>
        </w:tc>
        <w:tc>
          <w:tcPr>
            <w:tcW w:w="1640" w:type="dxa"/>
            <w:shd w:val="clear" w:color="auto" w:fill="F2F2F2" w:themeFill="background1" w:themeFillShade="F2"/>
            <w:noWrap/>
            <w:hideMark/>
          </w:tcPr>
          <w:p w14:paraId="2EBE2B1C" w14:textId="77777777" w:rsidR="00204D69" w:rsidRPr="00800428" w:rsidRDefault="00204D69" w:rsidP="00650C89">
            <w:pPr>
              <w:spacing w:after="0"/>
              <w:jc w:val="center"/>
              <w:rPr>
                <w:rFonts w:eastAsia="Times New Roman" w:cs="Segoe UI"/>
                <w:b/>
                <w:sz w:val="22"/>
                <w:szCs w:val="22"/>
                <w:lang w:eastAsia="en-AU"/>
              </w:rPr>
            </w:pPr>
            <w:r w:rsidRPr="00800428">
              <w:rPr>
                <w:rFonts w:eastAsia="Times New Roman" w:cs="Segoe UI"/>
                <w:b/>
                <w:sz w:val="22"/>
                <w:szCs w:val="22"/>
                <w:lang w:eastAsia="en-AU"/>
              </w:rPr>
              <w:t>↔</w:t>
            </w:r>
          </w:p>
        </w:tc>
        <w:tc>
          <w:tcPr>
            <w:tcW w:w="1701" w:type="dxa"/>
            <w:shd w:val="clear" w:color="auto" w:fill="F2F2F2" w:themeFill="background1" w:themeFillShade="F2"/>
            <w:noWrap/>
            <w:hideMark/>
          </w:tcPr>
          <w:p w14:paraId="2EBE2B1D"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701" w:type="dxa"/>
            <w:shd w:val="clear" w:color="auto" w:fill="F2F2F2" w:themeFill="background1" w:themeFillShade="F2"/>
            <w:noWrap/>
            <w:hideMark/>
          </w:tcPr>
          <w:p w14:paraId="2EBE2B1E"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620" w:type="dxa"/>
            <w:shd w:val="clear" w:color="auto" w:fill="F2F2F2" w:themeFill="background1" w:themeFillShade="F2"/>
            <w:noWrap/>
            <w:hideMark/>
          </w:tcPr>
          <w:p w14:paraId="2EBE2B1F"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260" w:type="dxa"/>
            <w:shd w:val="clear" w:color="auto" w:fill="F2F2F2" w:themeFill="background1" w:themeFillShade="F2"/>
            <w:noWrap/>
            <w:hideMark/>
          </w:tcPr>
          <w:p w14:paraId="2EBE2B20" w14:textId="77777777" w:rsidR="00204D69" w:rsidRPr="00800428" w:rsidRDefault="00204D69" w:rsidP="00650C89">
            <w:pPr>
              <w:spacing w:after="0"/>
              <w:jc w:val="center"/>
              <w:rPr>
                <w:rFonts w:eastAsia="Times New Roman" w:cs="Segoe UI"/>
                <w:sz w:val="18"/>
                <w:szCs w:val="18"/>
                <w:lang w:eastAsia="en-AU"/>
              </w:rPr>
            </w:pPr>
            <w:r w:rsidRPr="00800428">
              <w:rPr>
                <w:rFonts w:eastAsia="Times New Roman" w:cs="Segoe UI"/>
                <w:sz w:val="18"/>
                <w:szCs w:val="18"/>
                <w:lang w:eastAsia="en-AU"/>
              </w:rPr>
              <w:t>-5%</w:t>
            </w:r>
          </w:p>
        </w:tc>
      </w:tr>
      <w:tr w:rsidR="00204D69" w:rsidRPr="00800428" w14:paraId="2EBE2B24" w14:textId="77777777" w:rsidTr="00834F5A">
        <w:trPr>
          <w:trHeight w:val="300"/>
        </w:trPr>
        <w:tc>
          <w:tcPr>
            <w:tcW w:w="1587" w:type="dxa"/>
            <w:shd w:val="clear" w:color="auto" w:fill="F2F2F2" w:themeFill="background1" w:themeFillShade="F2"/>
            <w:noWrap/>
            <w:hideMark/>
          </w:tcPr>
          <w:p w14:paraId="2EBE2B22" w14:textId="77777777" w:rsidR="00204D69" w:rsidRPr="00800428" w:rsidRDefault="00204D69" w:rsidP="00782511">
            <w:pPr>
              <w:spacing w:after="0"/>
              <w:jc w:val="left"/>
              <w:rPr>
                <w:rFonts w:eastAsia="Times New Roman" w:cs="Segoe UI"/>
                <w:sz w:val="18"/>
                <w:szCs w:val="18"/>
                <w:lang w:eastAsia="en-AU"/>
              </w:rPr>
            </w:pPr>
            <w:r w:rsidRPr="00800428">
              <w:rPr>
                <w:rFonts w:eastAsia="Times New Roman" w:cs="Segoe UI"/>
                <w:sz w:val="18"/>
                <w:szCs w:val="18"/>
                <w:lang w:eastAsia="en-AU"/>
              </w:rPr>
              <w:t>Coen</w:t>
            </w:r>
          </w:p>
        </w:tc>
        <w:tc>
          <w:tcPr>
            <w:tcW w:w="7922" w:type="dxa"/>
            <w:gridSpan w:val="5"/>
            <w:shd w:val="clear" w:color="auto" w:fill="F2F2F2" w:themeFill="background1" w:themeFillShade="F2"/>
            <w:noWrap/>
            <w:hideMark/>
          </w:tcPr>
          <w:p w14:paraId="2EBE2B23" w14:textId="77777777" w:rsidR="00204D69" w:rsidRPr="00800428" w:rsidRDefault="00204D69" w:rsidP="00834F5A">
            <w:pPr>
              <w:spacing w:after="0"/>
              <w:ind w:right="-252"/>
              <w:jc w:val="center"/>
              <w:rPr>
                <w:rFonts w:eastAsia="Times New Roman" w:cs="Segoe UI"/>
                <w:sz w:val="18"/>
                <w:szCs w:val="18"/>
                <w:lang w:eastAsia="en-AU"/>
              </w:rPr>
            </w:pPr>
            <w:r w:rsidRPr="00800428">
              <w:rPr>
                <w:rFonts w:eastAsia="Times New Roman" w:cs="Segoe UI"/>
                <w:sz w:val="18"/>
                <w:szCs w:val="18"/>
                <w:lang w:eastAsia="en-AU"/>
              </w:rPr>
              <w:t>NA</w:t>
            </w:r>
          </w:p>
        </w:tc>
      </w:tr>
      <w:tr w:rsidR="00204D69" w:rsidRPr="00800428" w14:paraId="2EBE2B2B" w14:textId="77777777" w:rsidTr="00650C89">
        <w:trPr>
          <w:trHeight w:val="300"/>
        </w:trPr>
        <w:tc>
          <w:tcPr>
            <w:tcW w:w="1587" w:type="dxa"/>
            <w:shd w:val="clear" w:color="auto" w:fill="F2F2F2" w:themeFill="background1" w:themeFillShade="F2"/>
            <w:noWrap/>
            <w:hideMark/>
          </w:tcPr>
          <w:p w14:paraId="2EBE2B25" w14:textId="77777777" w:rsidR="00204D69" w:rsidRPr="00800428" w:rsidRDefault="00204D69" w:rsidP="00782511">
            <w:pPr>
              <w:spacing w:after="0"/>
              <w:jc w:val="left"/>
              <w:rPr>
                <w:rFonts w:eastAsia="Times New Roman" w:cs="Segoe UI"/>
                <w:sz w:val="18"/>
                <w:szCs w:val="18"/>
                <w:lang w:eastAsia="en-AU"/>
              </w:rPr>
            </w:pPr>
            <w:r>
              <w:rPr>
                <w:rFonts w:eastAsia="Times New Roman" w:cs="Segoe UI"/>
                <w:sz w:val="18"/>
                <w:szCs w:val="18"/>
                <w:lang w:eastAsia="en-AU"/>
              </w:rPr>
              <w:t>Hopevale</w:t>
            </w:r>
          </w:p>
        </w:tc>
        <w:tc>
          <w:tcPr>
            <w:tcW w:w="1640" w:type="dxa"/>
            <w:shd w:val="clear" w:color="auto" w:fill="F2F2F2" w:themeFill="background1" w:themeFillShade="F2"/>
            <w:noWrap/>
            <w:hideMark/>
          </w:tcPr>
          <w:p w14:paraId="2EBE2B26"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701" w:type="dxa"/>
            <w:shd w:val="clear" w:color="auto" w:fill="F2F2F2" w:themeFill="background1" w:themeFillShade="F2"/>
            <w:noWrap/>
            <w:hideMark/>
          </w:tcPr>
          <w:p w14:paraId="2EBE2B27"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701" w:type="dxa"/>
            <w:shd w:val="clear" w:color="auto" w:fill="F2F2F2" w:themeFill="background1" w:themeFillShade="F2"/>
            <w:noWrap/>
            <w:hideMark/>
          </w:tcPr>
          <w:p w14:paraId="2EBE2B28"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620" w:type="dxa"/>
            <w:shd w:val="clear" w:color="auto" w:fill="F2F2F2" w:themeFill="background1" w:themeFillShade="F2"/>
            <w:noWrap/>
            <w:hideMark/>
          </w:tcPr>
          <w:p w14:paraId="2EBE2B29"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22"/>
                <w:szCs w:val="22"/>
                <w:lang w:eastAsia="en-AU"/>
              </w:rPr>
              <w:t>↔</w:t>
            </w:r>
          </w:p>
        </w:tc>
        <w:tc>
          <w:tcPr>
            <w:tcW w:w="1260" w:type="dxa"/>
            <w:shd w:val="clear" w:color="auto" w:fill="F2F2F2" w:themeFill="background1" w:themeFillShade="F2"/>
            <w:noWrap/>
            <w:hideMark/>
          </w:tcPr>
          <w:p w14:paraId="2EBE2B2A" w14:textId="77777777" w:rsidR="00204D69" w:rsidRPr="00800428" w:rsidRDefault="00204D69" w:rsidP="00650C89">
            <w:pPr>
              <w:spacing w:after="0"/>
              <w:jc w:val="center"/>
              <w:rPr>
                <w:rFonts w:eastAsia="Times New Roman" w:cs="Segoe UI"/>
                <w:sz w:val="18"/>
                <w:szCs w:val="18"/>
                <w:lang w:eastAsia="en-AU"/>
              </w:rPr>
            </w:pPr>
            <w:r w:rsidRPr="00800428">
              <w:rPr>
                <w:rFonts w:eastAsia="Times New Roman" w:cs="Segoe UI"/>
                <w:sz w:val="18"/>
                <w:szCs w:val="18"/>
                <w:lang w:eastAsia="en-AU"/>
              </w:rPr>
              <w:t>-26.5%</w:t>
            </w:r>
          </w:p>
        </w:tc>
      </w:tr>
      <w:tr w:rsidR="00204D69" w:rsidRPr="00800428" w14:paraId="2EBE2B2E" w14:textId="77777777" w:rsidTr="00834F5A">
        <w:trPr>
          <w:trHeight w:val="300"/>
        </w:trPr>
        <w:tc>
          <w:tcPr>
            <w:tcW w:w="1587" w:type="dxa"/>
            <w:shd w:val="clear" w:color="auto" w:fill="F2F2F2" w:themeFill="background1" w:themeFillShade="F2"/>
            <w:noWrap/>
            <w:hideMark/>
          </w:tcPr>
          <w:p w14:paraId="2EBE2B2C" w14:textId="77777777" w:rsidR="00204D69" w:rsidRPr="00800428" w:rsidRDefault="00204D69" w:rsidP="00782511">
            <w:pPr>
              <w:spacing w:after="0"/>
              <w:jc w:val="left"/>
              <w:rPr>
                <w:rFonts w:eastAsia="Times New Roman" w:cs="Segoe UI"/>
                <w:sz w:val="18"/>
                <w:szCs w:val="18"/>
                <w:lang w:eastAsia="en-AU"/>
              </w:rPr>
            </w:pPr>
            <w:r w:rsidRPr="00800428">
              <w:rPr>
                <w:rFonts w:eastAsia="Times New Roman" w:cs="Segoe UI"/>
                <w:sz w:val="18"/>
                <w:szCs w:val="18"/>
                <w:lang w:eastAsia="en-AU"/>
              </w:rPr>
              <w:t>Mossman Gorge</w:t>
            </w:r>
          </w:p>
        </w:tc>
        <w:tc>
          <w:tcPr>
            <w:tcW w:w="7922" w:type="dxa"/>
            <w:gridSpan w:val="5"/>
            <w:shd w:val="clear" w:color="auto" w:fill="F2F2F2" w:themeFill="background1" w:themeFillShade="F2"/>
            <w:noWrap/>
            <w:hideMark/>
          </w:tcPr>
          <w:p w14:paraId="2EBE2B2D" w14:textId="77777777" w:rsidR="00204D69" w:rsidRPr="00800428" w:rsidRDefault="00204D69" w:rsidP="00650C89">
            <w:pPr>
              <w:spacing w:after="0"/>
              <w:jc w:val="center"/>
              <w:rPr>
                <w:rFonts w:eastAsia="Times New Roman" w:cs="Segoe UI"/>
                <w:sz w:val="22"/>
                <w:szCs w:val="22"/>
                <w:lang w:eastAsia="en-AU"/>
              </w:rPr>
            </w:pPr>
            <w:r w:rsidRPr="00800428">
              <w:rPr>
                <w:rFonts w:eastAsia="Times New Roman" w:cs="Segoe UI"/>
                <w:sz w:val="18"/>
                <w:szCs w:val="18"/>
                <w:lang w:eastAsia="en-AU"/>
              </w:rPr>
              <w:t>NA</w:t>
            </w:r>
          </w:p>
        </w:tc>
      </w:tr>
    </w:tbl>
    <w:p w14:paraId="2EBE2B2F" w14:textId="77777777" w:rsidR="00204D69" w:rsidRPr="007B47CF" w:rsidRDefault="00204D69" w:rsidP="00204D69">
      <w:pPr>
        <w:spacing w:after="120"/>
        <w:rPr>
          <w:rFonts w:eastAsia="Times New Roman" w:cs="Segoe UI"/>
          <w:sz w:val="16"/>
          <w:szCs w:val="16"/>
          <w:lang w:eastAsia="en-AU"/>
        </w:rPr>
      </w:pPr>
      <w:r w:rsidRPr="007B47CF">
        <w:rPr>
          <w:rFonts w:eastAsia="Times New Roman" w:cs="Segoe UI"/>
          <w:sz w:val="16"/>
          <w:szCs w:val="16"/>
          <w:lang w:eastAsia="en-AU"/>
        </w:rPr>
        <w:t>Note (1): ↑ indicates statistical evidence of an increase, ↓ indicates statistical evidence of a decrease, ↔ indicates no statistical evidence of detectable change.</w:t>
      </w:r>
    </w:p>
    <w:p w14:paraId="2EBE2B30" w14:textId="77777777" w:rsidR="00204D69" w:rsidRDefault="00204D69" w:rsidP="00204D69">
      <w:pPr>
        <w:spacing w:after="120"/>
        <w:rPr>
          <w:rFonts w:eastAsia="Times New Roman" w:cs="Segoe UI"/>
          <w:sz w:val="22"/>
          <w:szCs w:val="22"/>
          <w:lang w:eastAsia="en-AU"/>
        </w:rPr>
      </w:pPr>
      <w:r w:rsidRPr="007B47CF">
        <w:rPr>
          <w:rFonts w:eastAsia="Times New Roman" w:cs="Segoe UI"/>
          <w:sz w:val="16"/>
          <w:szCs w:val="16"/>
          <w:lang w:eastAsia="en-AU"/>
        </w:rPr>
        <w:t>Note (2): NA not applicable</w:t>
      </w:r>
      <w:r>
        <w:rPr>
          <w:rFonts w:eastAsia="Times New Roman" w:cs="Segoe UI"/>
          <w:sz w:val="16"/>
          <w:szCs w:val="16"/>
          <w:lang w:eastAsia="en-AU"/>
        </w:rPr>
        <w:t>.</w:t>
      </w:r>
    </w:p>
    <w:p w14:paraId="2EBE2B31" w14:textId="77777777" w:rsidR="00204D69" w:rsidRDefault="00204D69" w:rsidP="00BC0A26">
      <w:pPr>
        <w:pStyle w:val="Heading3"/>
        <w:rPr>
          <w:lang w:val="en-AU"/>
        </w:rPr>
      </w:pPr>
      <w:r>
        <w:t xml:space="preserve">Community  outcomes </w:t>
      </w:r>
      <w:r>
        <w:rPr>
          <w:lang w:val="en-AU"/>
        </w:rPr>
        <w:t>– other drugs</w:t>
      </w:r>
    </w:p>
    <w:p w14:paraId="2EBE2B32" w14:textId="77777777" w:rsidR="00204D69" w:rsidRPr="008F7FC9" w:rsidRDefault="00204D69" w:rsidP="00204D69">
      <w:pPr>
        <w:rPr>
          <w:lang w:eastAsia="x-none"/>
        </w:rPr>
      </w:pPr>
      <w:r>
        <w:rPr>
          <w:lang w:eastAsia="x-none"/>
        </w:rPr>
        <w:t>This sub-section analyses community outcomes from the perspective of other drugs. In the context of the WBC communities this relates to cannabis.</w:t>
      </w:r>
    </w:p>
    <w:p w14:paraId="2EBE2B33" w14:textId="77777777" w:rsidR="00204D69" w:rsidRPr="00775DDF" w:rsidRDefault="00204D69" w:rsidP="00FF37EE">
      <w:pPr>
        <w:pStyle w:val="Heading4"/>
        <w:rPr>
          <w:lang w:val="en-AU"/>
        </w:rPr>
      </w:pPr>
      <w:r>
        <w:t>Community members perspective</w:t>
      </w:r>
    </w:p>
    <w:p w14:paraId="2EBE2B34" w14:textId="77777777" w:rsidR="00204D69" w:rsidRPr="00183027" w:rsidRDefault="00204D69" w:rsidP="00204D69">
      <w:pPr>
        <w:rPr>
          <w:lang w:eastAsia="en-AU"/>
        </w:rPr>
      </w:pPr>
      <w:r>
        <w:rPr>
          <w:lang w:eastAsia="en-AU"/>
        </w:rPr>
        <w:fldChar w:fldCharType="begin"/>
      </w:r>
      <w:r>
        <w:rPr>
          <w:lang w:eastAsia="en-AU"/>
        </w:rPr>
        <w:instrText xml:space="preserve"> REF _Ref386543842 \h </w:instrText>
      </w:r>
      <w:r>
        <w:rPr>
          <w:lang w:eastAsia="en-AU"/>
        </w:rPr>
      </w:r>
      <w:r>
        <w:rPr>
          <w:lang w:eastAsia="en-AU"/>
        </w:rPr>
        <w:fldChar w:fldCharType="separate"/>
      </w:r>
      <w:r w:rsidR="009A19EB">
        <w:t xml:space="preserve">Figure </w:t>
      </w:r>
      <w:r w:rsidR="009A19EB">
        <w:rPr>
          <w:noProof/>
        </w:rPr>
        <w:t>2</w:t>
      </w:r>
      <w:r w:rsidR="009A19EB">
        <w:t>.</w:t>
      </w:r>
      <w:r w:rsidR="009A19EB">
        <w:rPr>
          <w:noProof/>
        </w:rPr>
        <w:t>3</w:t>
      </w:r>
      <w:r>
        <w:rPr>
          <w:lang w:eastAsia="en-AU"/>
        </w:rPr>
        <w:fldChar w:fldCharType="end"/>
      </w:r>
      <w:r>
        <w:rPr>
          <w:lang w:eastAsia="en-AU"/>
        </w:rPr>
        <w:t xml:space="preserve"> presents the community members (n=351) perspective on whether t</w:t>
      </w:r>
      <w:r w:rsidRPr="00183027">
        <w:rPr>
          <w:lang w:eastAsia="en-AU"/>
        </w:rPr>
        <w:t xml:space="preserve">here </w:t>
      </w:r>
      <w:r>
        <w:rPr>
          <w:lang w:eastAsia="en-AU"/>
        </w:rPr>
        <w:t xml:space="preserve">has </w:t>
      </w:r>
      <w:r w:rsidRPr="00183027">
        <w:rPr>
          <w:lang w:eastAsia="en-AU"/>
        </w:rPr>
        <w:t xml:space="preserve">been a </w:t>
      </w:r>
      <w:r>
        <w:rPr>
          <w:lang w:eastAsia="en-AU"/>
        </w:rPr>
        <w:t xml:space="preserve">change </w:t>
      </w:r>
      <w:r w:rsidRPr="00183027">
        <w:rPr>
          <w:lang w:eastAsia="en-AU"/>
        </w:rPr>
        <w:t xml:space="preserve">in the number of </w:t>
      </w:r>
      <w:r>
        <w:rPr>
          <w:lang w:eastAsia="en-AU"/>
        </w:rPr>
        <w:t>other drug</w:t>
      </w:r>
      <w:r w:rsidRPr="00183027">
        <w:rPr>
          <w:lang w:eastAsia="en-AU"/>
        </w:rPr>
        <w:t xml:space="preserve"> related issues in the community over the last </w:t>
      </w:r>
      <w:r>
        <w:rPr>
          <w:lang w:eastAsia="en-AU"/>
        </w:rPr>
        <w:t>3 to 4</w:t>
      </w:r>
      <w:r w:rsidRPr="00183027">
        <w:rPr>
          <w:lang w:eastAsia="en-AU"/>
        </w:rPr>
        <w:t xml:space="preserve"> years</w:t>
      </w:r>
      <w:r>
        <w:rPr>
          <w:lang w:eastAsia="en-AU"/>
        </w:rPr>
        <w:t xml:space="preserve"> and the direction of that change. Only 9% (32 respondents) believed that the situation in relation to other drug issues had improved, 33% (116 respondents) </w:t>
      </w:r>
      <w:r w:rsidRPr="00CB776E">
        <w:rPr>
          <w:lang w:eastAsia="en-AU"/>
        </w:rPr>
        <w:t xml:space="preserve">believed that the situation </w:t>
      </w:r>
      <w:r>
        <w:rPr>
          <w:lang w:eastAsia="en-AU"/>
        </w:rPr>
        <w:t>had got worse and 33% (115 respondents) believed it had stayed the same. One quarter of respondents stated they didn’t know. There was a view that more cannabis was available and that being cheaper than alcohol and due to supply limitations of alcohol, its use had become more prevalent.</w:t>
      </w:r>
    </w:p>
    <w:p w14:paraId="2EBE2B35" w14:textId="427538C0" w:rsidR="00204D69" w:rsidRDefault="00505D6E" w:rsidP="00505D6E">
      <w:pPr>
        <w:pStyle w:val="Caption"/>
        <w:rPr>
          <w:lang w:eastAsia="en-AU"/>
        </w:rPr>
      </w:pPr>
      <w:bookmarkStart w:id="64" w:name="_Ref386543842"/>
      <w:bookmarkStart w:id="65" w:name="_Toc392683517"/>
      <w:r>
        <w:t xml:space="preserve">Figure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Figure \* ARABIC \s 1 </w:instrText>
      </w:r>
      <w:r w:rsidR="00AA7DC9">
        <w:fldChar w:fldCharType="separate"/>
      </w:r>
      <w:r w:rsidR="00AA7DC9">
        <w:rPr>
          <w:noProof/>
        </w:rPr>
        <w:t>3</w:t>
      </w:r>
      <w:r w:rsidR="00AA7DC9">
        <w:fldChar w:fldCharType="end"/>
      </w:r>
      <w:bookmarkEnd w:id="64"/>
      <w:r w:rsidR="00204D69">
        <w:t xml:space="preserve">: Change </w:t>
      </w:r>
      <w:r w:rsidR="00204D69" w:rsidRPr="00183027">
        <w:rPr>
          <w:lang w:eastAsia="en-AU"/>
        </w:rPr>
        <w:t xml:space="preserve">in the number of </w:t>
      </w:r>
      <w:r w:rsidR="00204D69">
        <w:rPr>
          <w:lang w:eastAsia="en-AU"/>
        </w:rPr>
        <w:t xml:space="preserve">other drug </w:t>
      </w:r>
      <w:r w:rsidR="00204D69" w:rsidRPr="00183027">
        <w:rPr>
          <w:lang w:eastAsia="en-AU"/>
        </w:rPr>
        <w:t>related issues</w:t>
      </w:r>
      <w:r w:rsidR="00204D69">
        <w:rPr>
          <w:lang w:eastAsia="en-AU"/>
        </w:rPr>
        <w:t xml:space="preserve"> (n=351)</w:t>
      </w:r>
      <w:bookmarkEnd w:id="65"/>
    </w:p>
    <w:p w14:paraId="2EBE2B36" w14:textId="77777777" w:rsidR="00204D69" w:rsidRPr="00827932" w:rsidRDefault="00204D69" w:rsidP="00204D69">
      <w:pPr>
        <w:jc w:val="center"/>
        <w:rPr>
          <w:lang w:eastAsia="en-AU"/>
        </w:rPr>
      </w:pPr>
      <w:r>
        <w:rPr>
          <w:noProof/>
          <w:lang w:eastAsia="en-AU"/>
        </w:rPr>
        <w:drawing>
          <wp:inline distT="0" distB="0" distL="0" distR="0" wp14:anchorId="2EBE331F" wp14:editId="2EBE3320">
            <wp:extent cx="4176979" cy="2633472"/>
            <wp:effectExtent l="0" t="0" r="14605" b="14605"/>
            <wp:docPr id="30" name="Chart 30" descr="Figure 2.3 is a pie chart that presents the community members (n=351) perspective on whether there has been a change in the number of other drug related issues in the community over the last 3 to 4 years and the direction of that change. Nine percent (32) of respondents believed that the situation in relation to other drug issues had improved, 33% (116) of respondents believed that the situation had got worse and 33% (115 ) of respondents believed it had stayed the same. One quarter (88) of respondents stated they didn’t know. " title="Figure 2.3: Change in the number of other drug related issues (n=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BE2B37" w14:textId="77777777" w:rsidR="00204D69" w:rsidRDefault="00204D69" w:rsidP="00204D69">
      <w:r>
        <w:t xml:space="preserve">On a community basis, as shown in </w:t>
      </w:r>
      <w:r>
        <w:fldChar w:fldCharType="begin"/>
      </w:r>
      <w:r>
        <w:instrText xml:space="preserve"> REF _Ref386544635 \h </w:instrText>
      </w:r>
      <w:r>
        <w:fldChar w:fldCharType="separate"/>
      </w:r>
      <w:r w:rsidR="009A19EB">
        <w:t xml:space="preserve">Figure </w:t>
      </w:r>
      <w:r w:rsidR="009A19EB">
        <w:rPr>
          <w:noProof/>
        </w:rPr>
        <w:t>2</w:t>
      </w:r>
      <w:r w:rsidR="009A19EB">
        <w:t>.</w:t>
      </w:r>
      <w:r w:rsidR="009A19EB">
        <w:rPr>
          <w:noProof/>
        </w:rPr>
        <w:t>4</w:t>
      </w:r>
      <w:r>
        <w:fldChar w:fldCharType="end"/>
      </w:r>
      <w:r>
        <w:t xml:space="preserve"> the percentage of respondents who felt the number of other drug related issues had got better was relatively consistent and low overall. At both Aurukun and Hopevale 39% and 36% of respondents respectively believed the number of other drug related issues had got worse compared to 26% at Coen and 12% at Mossman Gorge.</w:t>
      </w:r>
      <w:r w:rsidRPr="00180695">
        <w:rPr>
          <w:lang w:eastAsia="en-AU"/>
        </w:rPr>
        <w:t xml:space="preserve"> </w:t>
      </w:r>
    </w:p>
    <w:p w14:paraId="2EBE2B38" w14:textId="12BF97FA" w:rsidR="00204D69" w:rsidRDefault="00505D6E" w:rsidP="00505D6E">
      <w:pPr>
        <w:pStyle w:val="Caption"/>
      </w:pPr>
      <w:bookmarkStart w:id="66" w:name="_Ref386544635"/>
      <w:bookmarkStart w:id="67" w:name="_Toc392683518"/>
      <w:r>
        <w:lastRenderedPageBreak/>
        <w:t xml:space="preserve">Figure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Figure \* ARABIC \s 1 </w:instrText>
      </w:r>
      <w:r w:rsidR="00AA7DC9">
        <w:fldChar w:fldCharType="separate"/>
      </w:r>
      <w:r w:rsidR="00AA7DC9">
        <w:rPr>
          <w:noProof/>
        </w:rPr>
        <w:t>4</w:t>
      </w:r>
      <w:r w:rsidR="00AA7DC9">
        <w:fldChar w:fldCharType="end"/>
      </w:r>
      <w:bookmarkEnd w:id="66"/>
      <w:r w:rsidR="00204D69">
        <w:t>: Change in the number of drug related issues by WBC</w:t>
      </w:r>
      <w:bookmarkEnd w:id="67"/>
    </w:p>
    <w:p w14:paraId="2EBE2B39" w14:textId="77777777" w:rsidR="00204D69" w:rsidRDefault="00204D69" w:rsidP="00204D69">
      <w:pPr>
        <w:jc w:val="center"/>
      </w:pPr>
      <w:r>
        <w:rPr>
          <w:noProof/>
          <w:lang w:eastAsia="en-AU"/>
        </w:rPr>
        <w:drawing>
          <wp:inline distT="0" distB="0" distL="0" distR="0" wp14:anchorId="2EBE3321" wp14:editId="2EBE3322">
            <wp:extent cx="4559564" cy="2743200"/>
            <wp:effectExtent l="0" t="0" r="12700" b="19050"/>
            <wp:docPr id="32" name="Chart 32" descr="Figure 2.4 is a column graph that displays ratings of perceived change in relation to drug related issues in the four Cape York communities.  The x-axis has the ratings of ‘Better’, ‘Worse’, ‘Same’ and ‘Don’t know’. The y-axis is the percentage change, from 0 to 50%.  The data for the four locations are grouped in segments of the four rating categories so that the percentage of people choosing each rating is shown for each location. Aurukun is displayed as the first column of each segment, Coen as the second, Hopevale as the third and Mossman Gorge as the fourth. " title="Figure 2.4: Change in the number of drug related issues by WBC"/>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BE2B3A" w14:textId="77777777" w:rsidR="00204D69" w:rsidRDefault="00204D69" w:rsidP="00FF37EE">
      <w:pPr>
        <w:pStyle w:val="Heading4"/>
      </w:pPr>
      <w:r>
        <w:t>Local primary health care clinic presentations</w:t>
      </w:r>
    </w:p>
    <w:p w14:paraId="2EBE2B3B" w14:textId="77777777" w:rsidR="00204D69" w:rsidRPr="00092D7C" w:rsidRDefault="00204D69" w:rsidP="00204D69">
      <w:r w:rsidRPr="00092D7C">
        <w:t>Appendix 9 shows that the number of presentations to relevant local primary health care clinics where other drugs were listed as a primary presenting reason has declined overall and in each clinic. Of note is that both Hopevale and Aurukun increased in 2012/13 although there are significant annual fluctuations and small numbers.</w:t>
      </w:r>
    </w:p>
    <w:p w14:paraId="2EBE2B3C" w14:textId="77777777" w:rsidR="00204D69" w:rsidRDefault="00204D69" w:rsidP="00204D69">
      <w:r w:rsidRPr="00092D7C">
        <w:t xml:space="preserve">Appendix 9 </w:t>
      </w:r>
      <w:r>
        <w:t>also shows the number of presentations to relevant primary health care clinics where other drugs were listed as a contributing factor has declined at Hopevale and Coen and remained static at Aurukun, with significant yearly fluctuations. The overall trend is downwards. Note there are small numbers.</w:t>
      </w:r>
    </w:p>
    <w:p w14:paraId="2EBE2B3D" w14:textId="77777777" w:rsidR="00204D69" w:rsidRDefault="00204D69" w:rsidP="00FF37EE">
      <w:pPr>
        <w:pStyle w:val="Heading4"/>
        <w:rPr>
          <w:lang w:val="en-AU"/>
        </w:rPr>
      </w:pPr>
      <w:r>
        <w:t>Queensland Health Admitted Patient Data Collection</w:t>
      </w:r>
    </w:p>
    <w:p w14:paraId="2EBE2B3E" w14:textId="77777777" w:rsidR="00204D69" w:rsidRPr="00733A0E" w:rsidRDefault="00204D69" w:rsidP="00204D69">
      <w:r w:rsidRPr="00092D7C">
        <w:t>Appendix 9</w:t>
      </w:r>
      <w:r>
        <w:t xml:space="preserve"> presents admissions where the principal diagnosis and other diagnosis related to mental health and behavioural disorders due to the use of cannabinoids. The numbers are very small.</w:t>
      </w:r>
    </w:p>
    <w:p w14:paraId="2EBE2B3F" w14:textId="77777777" w:rsidR="00204D69" w:rsidRDefault="00204D69" w:rsidP="00BC0A26">
      <w:pPr>
        <w:pStyle w:val="Heading3"/>
      </w:pPr>
      <w:r>
        <w:t>Community outcomes - community safety</w:t>
      </w:r>
    </w:p>
    <w:p w14:paraId="2EBE2B40" w14:textId="77777777" w:rsidR="00204D69" w:rsidRPr="008F7FC9" w:rsidRDefault="00204D69" w:rsidP="00204D69">
      <w:pPr>
        <w:rPr>
          <w:lang w:eastAsia="x-none"/>
        </w:rPr>
      </w:pPr>
      <w:r>
        <w:rPr>
          <w:lang w:eastAsia="x-none"/>
        </w:rPr>
        <w:t>This sub-section analyses community outcomes from the perspective of community safety.</w:t>
      </w:r>
    </w:p>
    <w:p w14:paraId="2EBE2B41" w14:textId="77777777" w:rsidR="00204D69" w:rsidRPr="002F5E92" w:rsidRDefault="00204D69" w:rsidP="00FF37EE">
      <w:pPr>
        <w:pStyle w:val="Heading4"/>
      </w:pPr>
      <w:r w:rsidRPr="00D44F51">
        <w:t>Community members perspective</w:t>
      </w:r>
    </w:p>
    <w:p w14:paraId="2EBE2B42" w14:textId="77777777" w:rsidR="00204D69" w:rsidRDefault="00204D69" w:rsidP="00204D69">
      <w:pPr>
        <w:rPr>
          <w:lang w:eastAsia="en-AU"/>
        </w:rPr>
      </w:pPr>
      <w:r>
        <w:rPr>
          <w:lang w:eastAsia="en-AU"/>
        </w:rPr>
        <w:fldChar w:fldCharType="begin"/>
      </w:r>
      <w:r>
        <w:rPr>
          <w:lang w:eastAsia="en-AU"/>
        </w:rPr>
        <w:instrText xml:space="preserve"> REF _Ref386545470 \h </w:instrText>
      </w:r>
      <w:r>
        <w:rPr>
          <w:lang w:eastAsia="en-AU"/>
        </w:rPr>
      </w:r>
      <w:r>
        <w:rPr>
          <w:lang w:eastAsia="en-AU"/>
        </w:rPr>
        <w:fldChar w:fldCharType="separate"/>
      </w:r>
      <w:r w:rsidR="009A19EB">
        <w:t xml:space="preserve">Figure </w:t>
      </w:r>
      <w:r w:rsidR="009A19EB">
        <w:rPr>
          <w:noProof/>
        </w:rPr>
        <w:t>2</w:t>
      </w:r>
      <w:r w:rsidR="009A19EB">
        <w:t>.</w:t>
      </w:r>
      <w:r w:rsidR="009A19EB">
        <w:rPr>
          <w:noProof/>
        </w:rPr>
        <w:t>5</w:t>
      </w:r>
      <w:r>
        <w:rPr>
          <w:lang w:eastAsia="en-AU"/>
        </w:rPr>
        <w:fldChar w:fldCharType="end"/>
      </w:r>
      <w:r>
        <w:rPr>
          <w:lang w:eastAsia="en-AU"/>
        </w:rPr>
        <w:t xml:space="preserve"> presents whether community members (n=351) felt that t</w:t>
      </w:r>
      <w:r w:rsidRPr="00183027">
        <w:rPr>
          <w:lang w:eastAsia="en-AU"/>
        </w:rPr>
        <w:t xml:space="preserve">here </w:t>
      </w:r>
      <w:r>
        <w:rPr>
          <w:lang w:eastAsia="en-AU"/>
        </w:rPr>
        <w:t xml:space="preserve">has </w:t>
      </w:r>
      <w:r w:rsidRPr="00183027">
        <w:rPr>
          <w:lang w:eastAsia="en-AU"/>
        </w:rPr>
        <w:t xml:space="preserve">been a </w:t>
      </w:r>
      <w:r>
        <w:rPr>
          <w:lang w:eastAsia="en-AU"/>
        </w:rPr>
        <w:t xml:space="preserve">change </w:t>
      </w:r>
      <w:r w:rsidRPr="00183027">
        <w:rPr>
          <w:lang w:eastAsia="en-AU"/>
        </w:rPr>
        <w:t xml:space="preserve">in </w:t>
      </w:r>
      <w:r>
        <w:rPr>
          <w:lang w:eastAsia="en-AU"/>
        </w:rPr>
        <w:t>how safe and secure the community is as place to live</w:t>
      </w:r>
      <w:r w:rsidRPr="00183027">
        <w:rPr>
          <w:lang w:eastAsia="en-AU"/>
        </w:rPr>
        <w:t xml:space="preserve"> over the last </w:t>
      </w:r>
      <w:r>
        <w:rPr>
          <w:lang w:eastAsia="en-AU"/>
        </w:rPr>
        <w:t xml:space="preserve">3 to 4 </w:t>
      </w:r>
      <w:r w:rsidRPr="00183027">
        <w:rPr>
          <w:lang w:eastAsia="en-AU"/>
        </w:rPr>
        <w:t>years</w:t>
      </w:r>
      <w:r>
        <w:rPr>
          <w:lang w:eastAsia="en-AU"/>
        </w:rPr>
        <w:t xml:space="preserve"> and the direction of that change. </w:t>
      </w:r>
      <w:bookmarkStart w:id="68" w:name="OLE_LINK1"/>
      <w:bookmarkStart w:id="69" w:name="OLE_LINK2"/>
      <w:r>
        <w:rPr>
          <w:lang w:eastAsia="en-AU"/>
        </w:rPr>
        <w:t>Thirty seven per cent (131 respondents) believed the safety and security of the community had got better and only 12% (41 respondents)</w:t>
      </w:r>
      <w:r w:rsidRPr="00CB776E">
        <w:rPr>
          <w:lang w:eastAsia="en-AU"/>
        </w:rPr>
        <w:t xml:space="preserve"> believed that the situation </w:t>
      </w:r>
      <w:r>
        <w:rPr>
          <w:lang w:eastAsia="en-AU"/>
        </w:rPr>
        <w:t>had gotten worse. Forty per cent of respondents felt there was no change (40%).</w:t>
      </w:r>
      <w:bookmarkEnd w:id="68"/>
      <w:bookmarkEnd w:id="69"/>
    </w:p>
    <w:p w14:paraId="2EBE2B43" w14:textId="77777777" w:rsidR="00204D69" w:rsidRPr="00183027" w:rsidRDefault="00204D69" w:rsidP="00204D69">
      <w:pPr>
        <w:rPr>
          <w:lang w:eastAsia="en-AU"/>
        </w:rPr>
      </w:pPr>
      <w:r>
        <w:rPr>
          <w:lang w:eastAsia="en-AU"/>
        </w:rPr>
        <w:t xml:space="preserve">This is consistent with the </w:t>
      </w:r>
      <w:r w:rsidRPr="007C197D">
        <w:rPr>
          <w:i/>
          <w:lang w:eastAsia="en-AU"/>
        </w:rPr>
        <w:t>Cape York</w:t>
      </w:r>
      <w:r>
        <w:rPr>
          <w:lang w:eastAsia="en-AU"/>
        </w:rPr>
        <w:t xml:space="preserve"> </w:t>
      </w:r>
      <w:r w:rsidRPr="007C197D">
        <w:rPr>
          <w:i/>
          <w:lang w:eastAsia="en-AU"/>
        </w:rPr>
        <w:t>Welfare Reform Evaluation</w:t>
      </w:r>
      <w:r>
        <w:rPr>
          <w:rStyle w:val="FootnoteReference"/>
          <w:lang w:eastAsia="en-AU"/>
        </w:rPr>
        <w:footnoteReference w:id="7"/>
      </w:r>
      <w:r>
        <w:rPr>
          <w:i/>
          <w:lang w:eastAsia="en-AU"/>
        </w:rPr>
        <w:t xml:space="preserve"> </w:t>
      </w:r>
      <w:r>
        <w:rPr>
          <w:lang w:eastAsia="en-AU"/>
        </w:rPr>
        <w:t>which found around a third of the community members felt that there was less fighting between families (33%) and less fighting in families (36%) but similar proportion felt that this had not changed overall (36% fighting between families and 40% fighting in families).</w:t>
      </w:r>
    </w:p>
    <w:p w14:paraId="2EBE2B44" w14:textId="452EB9C3" w:rsidR="00204D69" w:rsidRDefault="00505D6E" w:rsidP="00505D6E">
      <w:pPr>
        <w:pStyle w:val="Caption"/>
        <w:rPr>
          <w:lang w:eastAsia="en-AU"/>
        </w:rPr>
      </w:pPr>
      <w:bookmarkStart w:id="70" w:name="_Ref386545470"/>
      <w:bookmarkStart w:id="71" w:name="_Toc355939553"/>
      <w:bookmarkStart w:id="72" w:name="_Toc355941132"/>
      <w:bookmarkStart w:id="73" w:name="_Toc377721078"/>
      <w:bookmarkStart w:id="74" w:name="_Toc392683519"/>
      <w:r>
        <w:lastRenderedPageBreak/>
        <w:t xml:space="preserve">Figure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Figure \* ARABIC \s 1 </w:instrText>
      </w:r>
      <w:r w:rsidR="00AA7DC9">
        <w:fldChar w:fldCharType="separate"/>
      </w:r>
      <w:r w:rsidR="00AA7DC9">
        <w:rPr>
          <w:noProof/>
        </w:rPr>
        <w:t>5</w:t>
      </w:r>
      <w:r w:rsidR="00AA7DC9">
        <w:fldChar w:fldCharType="end"/>
      </w:r>
      <w:bookmarkEnd w:id="70"/>
      <w:r w:rsidR="00204D69">
        <w:t xml:space="preserve">: Change </w:t>
      </w:r>
      <w:r w:rsidR="00204D69" w:rsidRPr="00183027">
        <w:rPr>
          <w:lang w:eastAsia="en-AU"/>
        </w:rPr>
        <w:t xml:space="preserve">in </w:t>
      </w:r>
      <w:r w:rsidR="00204D69">
        <w:rPr>
          <w:lang w:eastAsia="en-AU"/>
        </w:rPr>
        <w:t>community safety and security</w:t>
      </w:r>
      <w:bookmarkEnd w:id="71"/>
      <w:bookmarkEnd w:id="72"/>
      <w:r w:rsidR="00204D69">
        <w:rPr>
          <w:lang w:eastAsia="en-AU"/>
        </w:rPr>
        <w:t xml:space="preserve"> (n=351)</w:t>
      </w:r>
      <w:bookmarkEnd w:id="73"/>
      <w:bookmarkEnd w:id="74"/>
    </w:p>
    <w:p w14:paraId="2EBE2B45" w14:textId="77777777" w:rsidR="00204D69" w:rsidRPr="002C5D11" w:rsidRDefault="00204D69" w:rsidP="00204D69">
      <w:pPr>
        <w:jc w:val="center"/>
        <w:rPr>
          <w:lang w:eastAsia="en-AU"/>
        </w:rPr>
      </w:pPr>
      <w:r>
        <w:rPr>
          <w:noProof/>
          <w:lang w:eastAsia="en-AU"/>
        </w:rPr>
        <w:drawing>
          <wp:inline distT="0" distB="0" distL="0" distR="0" wp14:anchorId="2EBE3323" wp14:editId="2EBE3324">
            <wp:extent cx="4645152" cy="2055571"/>
            <wp:effectExtent l="0" t="0" r="22225" b="20955"/>
            <wp:docPr id="34" name="Chart 34" descr="Figure 2.5 is a pie chart that presents whether community members (n=351) felt that there has been a change in how safe and secure the community is as place to live over the last 3 to 4 years and the direction of that change. Thirty seven per cent (131 respondents) believed the safety and security of the community had got better and only 12% (41 respondents) believed that the situation had gotten worse. Forty per cent of respondents felt there was no change (40%) and 11% (38 respondents) said they did not know. " title="Figure 2.5: Change in community safety and security (n=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BE2B46" w14:textId="77777777" w:rsidR="00204D69" w:rsidRDefault="00204D69" w:rsidP="00204D69">
      <w:r>
        <w:t xml:space="preserve">As shown in </w:t>
      </w:r>
      <w:r>
        <w:fldChar w:fldCharType="begin"/>
      </w:r>
      <w:r>
        <w:instrText xml:space="preserve"> REF _Ref386545928 \h </w:instrText>
      </w:r>
      <w:r>
        <w:fldChar w:fldCharType="separate"/>
      </w:r>
      <w:r w:rsidR="009A19EB">
        <w:t xml:space="preserve">Figure </w:t>
      </w:r>
      <w:r w:rsidR="009A19EB">
        <w:rPr>
          <w:noProof/>
        </w:rPr>
        <w:t>2</w:t>
      </w:r>
      <w:r w:rsidR="009A19EB">
        <w:t>.</w:t>
      </w:r>
      <w:r w:rsidR="009A19EB">
        <w:rPr>
          <w:noProof/>
        </w:rPr>
        <w:t>6</w:t>
      </w:r>
      <w:r>
        <w:fldChar w:fldCharType="end"/>
      </w:r>
      <w:r>
        <w:t xml:space="preserve"> there are variations between communities. Very few respondents in Coen, Hopevale and Mossman Gorge felt community safety was worse. Seventy six per cent of respondents in Coen and 54% in Mossman Gorge felt community safety had got better compared to Aurukun (25%) and Hopevale (31%).</w:t>
      </w:r>
    </w:p>
    <w:p w14:paraId="2EBE2B47" w14:textId="2345FE1C" w:rsidR="00204D69" w:rsidRDefault="00505D6E" w:rsidP="00505D6E">
      <w:pPr>
        <w:pStyle w:val="Caption"/>
      </w:pPr>
      <w:bookmarkStart w:id="75" w:name="_Ref386545928"/>
      <w:bookmarkStart w:id="76" w:name="_Toc392683520"/>
      <w:r>
        <w:t xml:space="preserve">Figure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Figure \* ARABIC \s 1 </w:instrText>
      </w:r>
      <w:r w:rsidR="00AA7DC9">
        <w:fldChar w:fldCharType="separate"/>
      </w:r>
      <w:r w:rsidR="00AA7DC9">
        <w:rPr>
          <w:noProof/>
        </w:rPr>
        <w:t>6</w:t>
      </w:r>
      <w:r w:rsidR="00AA7DC9">
        <w:fldChar w:fldCharType="end"/>
      </w:r>
      <w:bookmarkEnd w:id="75"/>
      <w:r w:rsidR="00204D69">
        <w:t>: Change in community safety by WBC</w:t>
      </w:r>
      <w:bookmarkEnd w:id="76"/>
    </w:p>
    <w:p w14:paraId="2EBE2B48" w14:textId="77777777" w:rsidR="00204D69" w:rsidRDefault="00204D69" w:rsidP="00204D69">
      <w:pPr>
        <w:jc w:val="center"/>
      </w:pPr>
      <w:r>
        <w:rPr>
          <w:noProof/>
          <w:lang w:eastAsia="en-AU"/>
        </w:rPr>
        <w:drawing>
          <wp:inline distT="0" distB="0" distL="0" distR="0" wp14:anchorId="2EBE3325" wp14:editId="2EBE3326">
            <wp:extent cx="5018227" cy="3255264"/>
            <wp:effectExtent l="0" t="0" r="11430" b="21590"/>
            <wp:docPr id="36" name="Chart 36" descr="Figure 2.6 is a column graph that displays ratings of perceived change in community safety in the four Cape York communities as a result of the implementation of the wellbeing centres. The x-axis has the ratings of ‘Better’, ‘Worse’, ‘Same’ and ‘Don’t know’. The y-axis is the percentage change, from 0 to 80%.  The data for the four locations are grouped in segments representing the four rating categories so that the percentage of people choosing each rating is shown for each location.  Aurukun is displayed as the first column, Coen as the second, Hopevale as the third and Mossman Gorge as the fourth. " title="Figure 2.6: Change in community safety by WBC"/>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BE2B49" w14:textId="77777777" w:rsidR="00204D69" w:rsidRDefault="00204D69" w:rsidP="00FF37EE">
      <w:pPr>
        <w:pStyle w:val="Heading4"/>
      </w:pPr>
      <w:r>
        <w:t>Local primary health care clinic presentations</w:t>
      </w:r>
    </w:p>
    <w:p w14:paraId="2EBE2B4A" w14:textId="77777777" w:rsidR="00204D69" w:rsidRPr="00092D7C" w:rsidRDefault="00204D69" w:rsidP="00204D69">
      <w:pPr>
        <w:rPr>
          <w:lang w:eastAsia="x-none"/>
        </w:rPr>
      </w:pPr>
      <w:r w:rsidRPr="00092D7C">
        <w:rPr>
          <w:lang w:eastAsia="x-none"/>
        </w:rPr>
        <w:t>Appendix 10 shows that the number of presentations to the relevant local primary health clinics where assault was listed as a primary presenting reason has declined since the year 2004/5 which has been driven by small downward trends at both Coen and Hopevale. Aurukun has remained relatively static with significant annual fluctuations although it has got worse since 2008/9.</w:t>
      </w:r>
    </w:p>
    <w:p w14:paraId="2EBE2B4B" w14:textId="77777777" w:rsidR="00204D69" w:rsidRDefault="00204D69" w:rsidP="00204D69">
      <w:pPr>
        <w:rPr>
          <w:lang w:eastAsia="x-none"/>
        </w:rPr>
      </w:pPr>
      <w:r w:rsidRPr="00092D7C">
        <w:rPr>
          <w:lang w:eastAsia="x-none"/>
        </w:rPr>
        <w:t>Appendix 10 also</w:t>
      </w:r>
      <w:r>
        <w:rPr>
          <w:lang w:eastAsia="x-none"/>
        </w:rPr>
        <w:t xml:space="preserve"> shows that the number of presentations to the relevant local primary health clinics where violence was listed as a contributing factor has marginally declined at Hopevale, remained static at Coen and increased at Aurukun. Note there are small numbers.</w:t>
      </w:r>
    </w:p>
    <w:p w14:paraId="2EBE2B4C" w14:textId="77777777" w:rsidR="00204D69" w:rsidRDefault="00204D69" w:rsidP="00FF37EE">
      <w:pPr>
        <w:pStyle w:val="Heading4"/>
        <w:rPr>
          <w:lang w:val="en-AU"/>
        </w:rPr>
      </w:pPr>
      <w:r>
        <w:lastRenderedPageBreak/>
        <w:t>Queensland Health Admitted Patient Data Collection</w:t>
      </w:r>
    </w:p>
    <w:p w14:paraId="2EBE2B4D" w14:textId="02A9CAD8" w:rsidR="00204D69" w:rsidRPr="00686608" w:rsidRDefault="00914FB7" w:rsidP="00204D69">
      <w:pPr>
        <w:rPr>
          <w:color w:val="auto"/>
          <w:lang w:eastAsia="x-none"/>
        </w:rPr>
      </w:pPr>
      <w:hyperlink w:anchor="_Appendices" w:history="1">
        <w:r w:rsidR="00204D69" w:rsidRPr="00914FB7">
          <w:rPr>
            <w:rStyle w:val="Hyperlink"/>
            <w:lang w:eastAsia="x-none"/>
          </w:rPr>
          <w:t>Appendix 10</w:t>
        </w:r>
      </w:hyperlink>
      <w:r w:rsidR="00204D69">
        <w:rPr>
          <w:color w:val="auto"/>
          <w:lang w:eastAsia="x-none"/>
        </w:rPr>
        <w:t xml:space="preserve"> </w:t>
      </w:r>
      <w:r w:rsidR="00204D69" w:rsidRPr="00686608">
        <w:rPr>
          <w:color w:val="auto"/>
          <w:lang w:eastAsia="x-none"/>
        </w:rPr>
        <w:t>presents admissions where assault by any means was mentioned as being a factor in the admission. The table shows that admissions where assault was a factor has been increasing in all communities since January to June 2011.</w:t>
      </w:r>
      <w:r w:rsidR="00B27B14">
        <w:rPr>
          <w:color w:val="auto"/>
          <w:lang w:eastAsia="x-none"/>
        </w:rPr>
        <w:t xml:space="preserve"> This is suggestive that incidences of assault that required hospitalisation have increased since June 2011.</w:t>
      </w:r>
    </w:p>
    <w:p w14:paraId="2EBE2B4E" w14:textId="77777777" w:rsidR="00204D69" w:rsidRDefault="00204D69" w:rsidP="00FF37EE">
      <w:pPr>
        <w:pStyle w:val="Heading4"/>
        <w:rPr>
          <w:lang w:val="en-AU"/>
        </w:rPr>
      </w:pPr>
      <w:r>
        <w:t>Queensland Government key indicators</w:t>
      </w:r>
    </w:p>
    <w:p w14:paraId="2EBE2B4F" w14:textId="77777777" w:rsidR="00204D69" w:rsidRPr="002E707A" w:rsidRDefault="00204D69" w:rsidP="0083588E">
      <w:pPr>
        <w:pStyle w:val="ListParagraph"/>
        <w:numPr>
          <w:ilvl w:val="0"/>
          <w:numId w:val="17"/>
        </w:numPr>
        <w:rPr>
          <w:color w:val="auto"/>
        </w:rPr>
      </w:pPr>
      <w:r w:rsidRPr="00751DBC">
        <w:rPr>
          <w:b/>
          <w:color w:val="1F497D" w:themeColor="text2"/>
        </w:rPr>
        <w:t>Aurukun</w:t>
      </w:r>
      <w:r w:rsidRPr="00751DBC">
        <w:rPr>
          <w:color w:val="1F497D" w:themeColor="text2"/>
        </w:rPr>
        <w:t xml:space="preserve"> </w:t>
      </w:r>
      <w:r>
        <w:rPr>
          <w:color w:val="auto"/>
        </w:rPr>
        <w:t xml:space="preserve">- </w:t>
      </w:r>
      <w:r w:rsidRPr="002E707A">
        <w:rPr>
          <w:color w:val="auto"/>
        </w:rPr>
        <w:t xml:space="preserve">there has been evidence of a statistical decline in reported offences against the person. Trend data for hospital admissions for assault related conditions has not been reported at Aurukun due to data gaps in 2010/11 and 2011/12. However looking at the raw data in Appendix </w:t>
      </w:r>
      <w:r>
        <w:rPr>
          <w:color w:val="auto"/>
        </w:rPr>
        <w:t>15</w:t>
      </w:r>
      <w:r w:rsidRPr="002E707A">
        <w:rPr>
          <w:color w:val="auto"/>
        </w:rPr>
        <w:t xml:space="preserve"> there has been a decline in numbers since 2005/06 with a small increase in 2011/12. In the first six months of 2012/13 a similar level of admissions has occurred. There has been no evidence of improvement in children subject to substantiated notification of harm or child protection orders since 2010/11 and this trend has continued in the first six months of 2012/13.</w:t>
      </w:r>
    </w:p>
    <w:p w14:paraId="2EBE2B50" w14:textId="77777777" w:rsidR="00204D69" w:rsidRPr="002E707A" w:rsidRDefault="00204D69" w:rsidP="0083588E">
      <w:pPr>
        <w:pStyle w:val="ListParagraph"/>
        <w:numPr>
          <w:ilvl w:val="0"/>
          <w:numId w:val="17"/>
        </w:numPr>
        <w:rPr>
          <w:color w:val="auto"/>
        </w:rPr>
      </w:pPr>
      <w:r w:rsidRPr="00751DBC">
        <w:rPr>
          <w:b/>
          <w:color w:val="1F497D" w:themeColor="text2"/>
        </w:rPr>
        <w:t>Coen</w:t>
      </w:r>
      <w:r w:rsidRPr="00751DBC">
        <w:rPr>
          <w:color w:val="1F497D" w:themeColor="text2"/>
        </w:rPr>
        <w:t xml:space="preserve"> </w:t>
      </w:r>
      <w:r>
        <w:rPr>
          <w:color w:val="auto"/>
        </w:rPr>
        <w:t xml:space="preserve">- </w:t>
      </w:r>
      <w:r w:rsidRPr="002E707A">
        <w:rPr>
          <w:color w:val="auto"/>
        </w:rPr>
        <w:t>there have been significant declines in hospital related admissions for assault conditions with no statistical change in the other indicators.</w:t>
      </w:r>
    </w:p>
    <w:p w14:paraId="2EBE2B51" w14:textId="77777777" w:rsidR="00204D69" w:rsidRDefault="00204D69" w:rsidP="0083588E">
      <w:pPr>
        <w:pStyle w:val="ListParagraph"/>
        <w:numPr>
          <w:ilvl w:val="0"/>
          <w:numId w:val="17"/>
        </w:numPr>
        <w:rPr>
          <w:color w:val="auto"/>
        </w:rPr>
      </w:pPr>
      <w:r w:rsidRPr="00751DBC">
        <w:rPr>
          <w:b/>
          <w:color w:val="1F497D" w:themeColor="text2"/>
        </w:rPr>
        <w:t xml:space="preserve">Hopevale </w:t>
      </w:r>
      <w:r>
        <w:rPr>
          <w:color w:val="auto"/>
        </w:rPr>
        <w:t xml:space="preserve">- </w:t>
      </w:r>
      <w:r w:rsidRPr="002E707A">
        <w:rPr>
          <w:color w:val="auto"/>
        </w:rPr>
        <w:t xml:space="preserve">hospital admissions for assault related conditions have declined since 2002/03 with no statistical </w:t>
      </w:r>
      <w:r>
        <w:rPr>
          <w:color w:val="auto"/>
        </w:rPr>
        <w:t>change in the other indicators.</w:t>
      </w:r>
    </w:p>
    <w:p w14:paraId="2EBE2B52" w14:textId="77777777" w:rsidR="00204D69" w:rsidRPr="00955919" w:rsidRDefault="00204D69" w:rsidP="0083588E">
      <w:pPr>
        <w:pStyle w:val="ListParagraph"/>
        <w:numPr>
          <w:ilvl w:val="0"/>
          <w:numId w:val="17"/>
        </w:numPr>
        <w:rPr>
          <w:color w:val="auto"/>
        </w:rPr>
      </w:pPr>
      <w:r w:rsidRPr="00751DBC">
        <w:rPr>
          <w:b/>
          <w:color w:val="1F497D" w:themeColor="text2"/>
        </w:rPr>
        <w:t>Mossman Gorge</w:t>
      </w:r>
      <w:r w:rsidRPr="00751DBC">
        <w:rPr>
          <w:color w:val="1F497D" w:themeColor="text2"/>
        </w:rPr>
        <w:t xml:space="preserve"> </w:t>
      </w:r>
      <w:r w:rsidRPr="00955919">
        <w:rPr>
          <w:color w:val="auto"/>
        </w:rPr>
        <w:t>- there has been no significant change in the indicators. While trend lines were not available for reported offences, the raw data shows there were 18 offences in 2011/12 which was similar to previous years.</w:t>
      </w:r>
    </w:p>
    <w:p w14:paraId="2EBE2B53" w14:textId="77777777" w:rsidR="00204D69" w:rsidRDefault="00504F78" w:rsidP="00BC0A26">
      <w:pPr>
        <w:pStyle w:val="Heading3"/>
        <w:rPr>
          <w:lang w:val="en-AU"/>
        </w:rPr>
      </w:pPr>
      <w:r>
        <w:t>Summary of findings</w:t>
      </w:r>
    </w:p>
    <w:p w14:paraId="2EBE2B54" w14:textId="77777777" w:rsidR="00653EDA" w:rsidRPr="00653EDA" w:rsidRDefault="00653EDA" w:rsidP="00653EDA">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Pr>
          <w:b/>
        </w:rPr>
        <w:t>Review finding #1</w:t>
      </w:r>
      <w:r w:rsidRPr="00D420ED">
        <w:rPr>
          <w:b/>
        </w:rPr>
        <w:t>:</w:t>
      </w:r>
      <w:r w:rsidRPr="00D420ED">
        <w:t xml:space="preserve"> The WBCs are having a clinically and statistically significant effect on their clients in reducing the level of risky drinking and the level of cannabis dependency. Specifically the Alcohol Screen (AUDIT) mean score reduced by 10% (effect size change 0.34 – small), the cannabis related Severity Dependence Scale (SDS) mean score reduced by 8% (effect size change 0.33 – small), and the Indigenous Risk Impact Screen (IRIS) mean reduced by 8% (effect size change 0.45 – small to medium).</w:t>
      </w:r>
    </w:p>
    <w:p w14:paraId="2EBE2B55" w14:textId="77777777" w:rsidR="00504F78" w:rsidRDefault="00486CD5" w:rsidP="00504F78">
      <w:pPr>
        <w:spacing w:before="240"/>
        <w:rPr>
          <w:lang w:eastAsia="x-none"/>
        </w:rPr>
      </w:pPr>
      <w:r>
        <w:rPr>
          <w:lang w:eastAsia="x-none"/>
        </w:rPr>
        <w:t xml:space="preserve">Note: </w:t>
      </w:r>
      <w:r w:rsidR="00504F78" w:rsidRPr="009F74EB">
        <w:rPr>
          <w:lang w:eastAsia="x-none"/>
        </w:rPr>
        <w:t>At Aurukun</w:t>
      </w:r>
      <w:r w:rsidR="00CB46EB">
        <w:rPr>
          <w:lang w:eastAsia="x-none"/>
        </w:rPr>
        <w:t xml:space="preserve"> the small sample</w:t>
      </w:r>
      <w:r w:rsidR="00504F78" w:rsidRPr="009F74EB">
        <w:rPr>
          <w:lang w:eastAsia="x-none"/>
        </w:rPr>
        <w:t xml:space="preserve"> size does not allow any conclusion to be drawn.</w:t>
      </w:r>
    </w:p>
    <w:p w14:paraId="2EBE2B56" w14:textId="77777777" w:rsidR="00D8162E" w:rsidRPr="00504F78" w:rsidRDefault="00653EDA" w:rsidP="00D8162E">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B8CCE4" w:themeFill="accent1" w:themeFillTint="66"/>
        <w:spacing w:after="120"/>
      </w:pPr>
      <w:r>
        <w:rPr>
          <w:b/>
        </w:rPr>
        <w:t>Review finding #3</w:t>
      </w:r>
      <w:r w:rsidRPr="00504F78">
        <w:rPr>
          <w:b/>
        </w:rPr>
        <w:t>:</w:t>
      </w:r>
      <w:r w:rsidRPr="00504F78">
        <w:t xml:space="preserve"> With the exception of Coen, individual-level improvements are not translating into sustained, consistent and clearly observable improvements in outcomes at the community level. The community level changes can be summarised as follows:</w:t>
      </w:r>
    </w:p>
    <w:tbl>
      <w:tblPr>
        <w:tblW w:w="93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Review findings #3 table shows the key indicators for the Queensland Govenment in Aurukum, Coen, Hopevale and Mossman Gorge. Further details on this table can be reviewed in the previous text. "/>
      </w:tblPr>
      <w:tblGrid>
        <w:gridCol w:w="1681"/>
        <w:gridCol w:w="1945"/>
        <w:gridCol w:w="1840"/>
        <w:gridCol w:w="1922"/>
        <w:gridCol w:w="1918"/>
      </w:tblGrid>
      <w:tr w:rsidR="00D8162E" w:rsidRPr="009549B5" w14:paraId="2EBE2B5C" w14:textId="77777777" w:rsidTr="00833E11">
        <w:trPr>
          <w:trHeight w:val="397"/>
          <w:jc w:val="center"/>
        </w:trPr>
        <w:tc>
          <w:tcPr>
            <w:tcW w:w="1681" w:type="dxa"/>
            <w:tcBorders>
              <w:bottom w:val="single" w:sz="4" w:space="0" w:color="FFFFFF"/>
            </w:tcBorders>
            <w:shd w:val="clear" w:color="auto" w:fill="B8CCE4"/>
          </w:tcPr>
          <w:p w14:paraId="2EBE2B57" w14:textId="77777777" w:rsidR="00D8162E" w:rsidRPr="009549B5" w:rsidRDefault="00D8162E" w:rsidP="008D4ADC">
            <w:pPr>
              <w:jc w:val="left"/>
              <w:rPr>
                <w:rFonts w:ascii="Tahoma" w:hAnsi="Tahoma" w:cs="Segoe UI"/>
                <w:sz w:val="18"/>
                <w:szCs w:val="18"/>
              </w:rPr>
            </w:pPr>
          </w:p>
        </w:tc>
        <w:tc>
          <w:tcPr>
            <w:tcW w:w="1945" w:type="dxa"/>
            <w:shd w:val="clear" w:color="auto" w:fill="B8CCE4"/>
          </w:tcPr>
          <w:p w14:paraId="2EBE2B58" w14:textId="77777777" w:rsidR="00D8162E" w:rsidRPr="009549B5" w:rsidRDefault="00D8162E" w:rsidP="008D4ADC">
            <w:pPr>
              <w:jc w:val="center"/>
              <w:rPr>
                <w:rFonts w:ascii="Tahoma" w:hAnsi="Tahoma" w:cs="Segoe UI"/>
                <w:b/>
                <w:sz w:val="18"/>
                <w:szCs w:val="18"/>
              </w:rPr>
            </w:pPr>
            <w:r w:rsidRPr="009549B5">
              <w:rPr>
                <w:rFonts w:ascii="Tahoma" w:hAnsi="Tahoma" w:cs="Segoe UI"/>
                <w:b/>
                <w:sz w:val="18"/>
                <w:szCs w:val="18"/>
              </w:rPr>
              <w:t>Aurukun</w:t>
            </w:r>
          </w:p>
        </w:tc>
        <w:tc>
          <w:tcPr>
            <w:tcW w:w="1840" w:type="dxa"/>
            <w:shd w:val="clear" w:color="auto" w:fill="B8CCE4"/>
          </w:tcPr>
          <w:p w14:paraId="2EBE2B59" w14:textId="77777777" w:rsidR="00D8162E" w:rsidRPr="009549B5" w:rsidRDefault="00D8162E" w:rsidP="008D4ADC">
            <w:pPr>
              <w:jc w:val="center"/>
              <w:rPr>
                <w:rFonts w:ascii="Tahoma" w:hAnsi="Tahoma" w:cs="Segoe UI"/>
                <w:b/>
                <w:sz w:val="18"/>
                <w:szCs w:val="18"/>
              </w:rPr>
            </w:pPr>
            <w:r w:rsidRPr="009549B5">
              <w:rPr>
                <w:rFonts w:ascii="Tahoma" w:hAnsi="Tahoma" w:cs="Segoe UI"/>
                <w:b/>
                <w:sz w:val="18"/>
                <w:szCs w:val="18"/>
              </w:rPr>
              <w:t>Coen</w:t>
            </w:r>
          </w:p>
        </w:tc>
        <w:tc>
          <w:tcPr>
            <w:tcW w:w="1922" w:type="dxa"/>
            <w:shd w:val="clear" w:color="auto" w:fill="B8CCE4"/>
          </w:tcPr>
          <w:p w14:paraId="2EBE2B5A" w14:textId="77777777" w:rsidR="00D8162E" w:rsidRPr="009549B5" w:rsidRDefault="00D8162E" w:rsidP="008D4ADC">
            <w:pPr>
              <w:jc w:val="center"/>
              <w:rPr>
                <w:rFonts w:ascii="Tahoma" w:hAnsi="Tahoma" w:cs="Segoe UI"/>
                <w:b/>
                <w:sz w:val="18"/>
                <w:szCs w:val="18"/>
              </w:rPr>
            </w:pPr>
            <w:r w:rsidRPr="009549B5">
              <w:rPr>
                <w:rFonts w:ascii="Tahoma" w:hAnsi="Tahoma" w:cs="Segoe UI"/>
                <w:b/>
                <w:sz w:val="18"/>
                <w:szCs w:val="18"/>
              </w:rPr>
              <w:t>Hopevale</w:t>
            </w:r>
          </w:p>
        </w:tc>
        <w:tc>
          <w:tcPr>
            <w:tcW w:w="1918" w:type="dxa"/>
            <w:shd w:val="clear" w:color="auto" w:fill="B8CCE4"/>
          </w:tcPr>
          <w:p w14:paraId="2EBE2B5B" w14:textId="77777777" w:rsidR="00D8162E" w:rsidRPr="009549B5" w:rsidRDefault="00D8162E" w:rsidP="008D4ADC">
            <w:pPr>
              <w:jc w:val="center"/>
              <w:rPr>
                <w:rFonts w:ascii="Tahoma" w:hAnsi="Tahoma" w:cs="Segoe UI"/>
                <w:b/>
                <w:sz w:val="18"/>
                <w:szCs w:val="18"/>
              </w:rPr>
            </w:pPr>
            <w:r w:rsidRPr="009549B5">
              <w:rPr>
                <w:rFonts w:ascii="Tahoma" w:hAnsi="Tahoma" w:cs="Segoe UI"/>
                <w:b/>
                <w:sz w:val="18"/>
                <w:szCs w:val="18"/>
              </w:rPr>
              <w:t>Mossman Gorge</w:t>
            </w:r>
          </w:p>
        </w:tc>
      </w:tr>
      <w:tr w:rsidR="00D8162E" w:rsidRPr="009549B5" w14:paraId="2EBE2B62" w14:textId="77777777" w:rsidTr="00833E11">
        <w:trPr>
          <w:trHeight w:val="564"/>
          <w:jc w:val="center"/>
        </w:trPr>
        <w:tc>
          <w:tcPr>
            <w:tcW w:w="1681" w:type="dxa"/>
            <w:shd w:val="clear" w:color="auto" w:fill="DBE5F1"/>
          </w:tcPr>
          <w:p w14:paraId="2EBE2B5D" w14:textId="77777777" w:rsidR="00D8162E" w:rsidRPr="009549B5" w:rsidRDefault="00D8162E" w:rsidP="008D4ADC">
            <w:pPr>
              <w:jc w:val="left"/>
              <w:rPr>
                <w:rFonts w:cs="Segoe UI"/>
                <w:b/>
                <w:sz w:val="18"/>
                <w:szCs w:val="18"/>
              </w:rPr>
            </w:pPr>
            <w:r w:rsidRPr="009549B5">
              <w:rPr>
                <w:rFonts w:cs="Segoe UI"/>
                <w:b/>
                <w:sz w:val="18"/>
                <w:szCs w:val="18"/>
              </w:rPr>
              <w:t>Alcohol related issues</w:t>
            </w:r>
          </w:p>
        </w:tc>
        <w:tc>
          <w:tcPr>
            <w:tcW w:w="1945" w:type="dxa"/>
            <w:shd w:val="clear" w:color="auto" w:fill="D9D9D9"/>
          </w:tcPr>
          <w:p w14:paraId="2EBE2B5E" w14:textId="77777777" w:rsidR="00D8162E" w:rsidRPr="009549B5" w:rsidRDefault="00D8162E" w:rsidP="008D4ADC">
            <w:pPr>
              <w:jc w:val="center"/>
              <w:rPr>
                <w:rFonts w:cs="Segoe UI"/>
                <w:sz w:val="18"/>
                <w:szCs w:val="18"/>
              </w:rPr>
            </w:pPr>
            <w:r w:rsidRPr="009549B5">
              <w:rPr>
                <w:rFonts w:cs="Segoe UI"/>
                <w:sz w:val="18"/>
                <w:szCs w:val="18"/>
              </w:rPr>
              <w:t>Same or worse</w:t>
            </w:r>
          </w:p>
        </w:tc>
        <w:tc>
          <w:tcPr>
            <w:tcW w:w="1840" w:type="dxa"/>
            <w:shd w:val="clear" w:color="auto" w:fill="D9D9D9"/>
          </w:tcPr>
          <w:p w14:paraId="2EBE2B5F" w14:textId="77777777" w:rsidR="00D8162E" w:rsidRPr="009549B5" w:rsidRDefault="00D8162E" w:rsidP="008D4ADC">
            <w:pPr>
              <w:jc w:val="center"/>
              <w:rPr>
                <w:rFonts w:cs="Segoe UI"/>
                <w:sz w:val="18"/>
                <w:szCs w:val="18"/>
              </w:rPr>
            </w:pPr>
            <w:r w:rsidRPr="009549B5">
              <w:rPr>
                <w:rFonts w:cs="Segoe UI"/>
                <w:sz w:val="18"/>
                <w:szCs w:val="18"/>
              </w:rPr>
              <w:t>Improved</w:t>
            </w:r>
          </w:p>
        </w:tc>
        <w:tc>
          <w:tcPr>
            <w:tcW w:w="1922" w:type="dxa"/>
            <w:shd w:val="clear" w:color="auto" w:fill="D9D9D9"/>
          </w:tcPr>
          <w:p w14:paraId="2EBE2B60" w14:textId="77777777" w:rsidR="00D8162E" w:rsidRPr="009549B5" w:rsidRDefault="00D8162E" w:rsidP="008D4ADC">
            <w:pPr>
              <w:jc w:val="center"/>
              <w:rPr>
                <w:rFonts w:cs="Segoe UI"/>
                <w:sz w:val="18"/>
                <w:szCs w:val="18"/>
              </w:rPr>
            </w:pPr>
            <w:r w:rsidRPr="009549B5">
              <w:rPr>
                <w:rFonts w:cs="Segoe UI"/>
                <w:sz w:val="18"/>
                <w:szCs w:val="18"/>
              </w:rPr>
              <w:t>Same</w:t>
            </w:r>
          </w:p>
        </w:tc>
        <w:tc>
          <w:tcPr>
            <w:tcW w:w="1918" w:type="dxa"/>
            <w:shd w:val="clear" w:color="auto" w:fill="D9D9D9"/>
          </w:tcPr>
          <w:p w14:paraId="2EBE2B61" w14:textId="77777777" w:rsidR="00D8162E" w:rsidRPr="009549B5" w:rsidRDefault="00D8162E" w:rsidP="008D4ADC">
            <w:pPr>
              <w:jc w:val="center"/>
              <w:rPr>
                <w:rFonts w:cs="Segoe UI"/>
                <w:sz w:val="18"/>
                <w:szCs w:val="18"/>
              </w:rPr>
            </w:pPr>
            <w:r w:rsidRPr="009549B5">
              <w:rPr>
                <w:rFonts w:cs="Segoe UI"/>
                <w:sz w:val="18"/>
                <w:szCs w:val="18"/>
              </w:rPr>
              <w:t>Same</w:t>
            </w:r>
          </w:p>
        </w:tc>
      </w:tr>
      <w:tr w:rsidR="00D8162E" w:rsidRPr="009549B5" w14:paraId="2EBE2B68" w14:textId="77777777" w:rsidTr="00833E11">
        <w:trPr>
          <w:trHeight w:val="397"/>
          <w:jc w:val="center"/>
        </w:trPr>
        <w:tc>
          <w:tcPr>
            <w:tcW w:w="1681" w:type="dxa"/>
            <w:shd w:val="clear" w:color="auto" w:fill="DBE5F1"/>
          </w:tcPr>
          <w:p w14:paraId="2EBE2B63" w14:textId="77777777" w:rsidR="00D8162E" w:rsidRPr="009549B5" w:rsidRDefault="00D8162E" w:rsidP="008D4ADC">
            <w:pPr>
              <w:jc w:val="left"/>
              <w:rPr>
                <w:rFonts w:cs="Segoe UI"/>
                <w:b/>
                <w:sz w:val="18"/>
                <w:szCs w:val="18"/>
              </w:rPr>
            </w:pPr>
            <w:r w:rsidRPr="009549B5">
              <w:rPr>
                <w:rFonts w:cs="Segoe UI"/>
                <w:b/>
                <w:sz w:val="18"/>
                <w:szCs w:val="18"/>
              </w:rPr>
              <w:t>Drug related issues</w:t>
            </w:r>
          </w:p>
        </w:tc>
        <w:tc>
          <w:tcPr>
            <w:tcW w:w="1945" w:type="dxa"/>
            <w:shd w:val="clear" w:color="auto" w:fill="D9D9D9"/>
          </w:tcPr>
          <w:p w14:paraId="2EBE2B64" w14:textId="77777777" w:rsidR="00D8162E" w:rsidRPr="009549B5" w:rsidRDefault="00D8162E" w:rsidP="008D4ADC">
            <w:pPr>
              <w:jc w:val="center"/>
              <w:rPr>
                <w:rFonts w:cs="Segoe UI"/>
                <w:sz w:val="18"/>
                <w:szCs w:val="18"/>
              </w:rPr>
            </w:pPr>
            <w:r w:rsidRPr="009549B5">
              <w:rPr>
                <w:rFonts w:cs="Segoe UI"/>
                <w:sz w:val="18"/>
                <w:szCs w:val="18"/>
              </w:rPr>
              <w:t>Worse</w:t>
            </w:r>
          </w:p>
        </w:tc>
        <w:tc>
          <w:tcPr>
            <w:tcW w:w="1840" w:type="dxa"/>
            <w:shd w:val="clear" w:color="auto" w:fill="D9D9D9"/>
          </w:tcPr>
          <w:p w14:paraId="2EBE2B65" w14:textId="77777777" w:rsidR="00D8162E" w:rsidRPr="009549B5" w:rsidRDefault="00D8162E" w:rsidP="008D4ADC">
            <w:pPr>
              <w:jc w:val="center"/>
              <w:rPr>
                <w:rFonts w:cs="Segoe UI"/>
                <w:sz w:val="18"/>
                <w:szCs w:val="18"/>
              </w:rPr>
            </w:pPr>
            <w:r w:rsidRPr="009549B5">
              <w:rPr>
                <w:rFonts w:cs="Segoe UI"/>
                <w:sz w:val="18"/>
                <w:szCs w:val="18"/>
              </w:rPr>
              <w:t>Same/marginally worse</w:t>
            </w:r>
          </w:p>
        </w:tc>
        <w:tc>
          <w:tcPr>
            <w:tcW w:w="1922" w:type="dxa"/>
            <w:shd w:val="clear" w:color="auto" w:fill="D9D9D9"/>
          </w:tcPr>
          <w:p w14:paraId="2EBE2B66" w14:textId="77777777" w:rsidR="00D8162E" w:rsidRPr="009549B5" w:rsidRDefault="00D8162E" w:rsidP="008D4ADC">
            <w:pPr>
              <w:jc w:val="center"/>
              <w:rPr>
                <w:rFonts w:cs="Segoe UI"/>
                <w:sz w:val="18"/>
                <w:szCs w:val="18"/>
              </w:rPr>
            </w:pPr>
            <w:r w:rsidRPr="009549B5">
              <w:rPr>
                <w:rFonts w:cs="Segoe UI"/>
                <w:sz w:val="18"/>
                <w:szCs w:val="18"/>
              </w:rPr>
              <w:t>Same/marginally worse</w:t>
            </w:r>
          </w:p>
        </w:tc>
        <w:tc>
          <w:tcPr>
            <w:tcW w:w="1918" w:type="dxa"/>
            <w:shd w:val="clear" w:color="auto" w:fill="D9D9D9"/>
          </w:tcPr>
          <w:p w14:paraId="2EBE2B67" w14:textId="77777777" w:rsidR="00D8162E" w:rsidRPr="009549B5" w:rsidRDefault="00D8162E" w:rsidP="008D4ADC">
            <w:pPr>
              <w:jc w:val="center"/>
              <w:rPr>
                <w:rFonts w:cs="Segoe UI"/>
                <w:sz w:val="18"/>
                <w:szCs w:val="18"/>
              </w:rPr>
            </w:pPr>
            <w:r w:rsidRPr="009549B5">
              <w:rPr>
                <w:rFonts w:cs="Segoe UI"/>
                <w:sz w:val="18"/>
                <w:szCs w:val="18"/>
              </w:rPr>
              <w:t>Same</w:t>
            </w:r>
          </w:p>
        </w:tc>
      </w:tr>
    </w:tbl>
    <w:p w14:paraId="2EBE2B6A" w14:textId="77777777" w:rsidR="00204D69" w:rsidRPr="00504F78" w:rsidRDefault="00204D69" w:rsidP="00FF37EE">
      <w:pPr>
        <w:pStyle w:val="Heading4"/>
      </w:pPr>
      <w:r w:rsidRPr="00504F78">
        <w:t>Summary of indicators</w:t>
      </w:r>
    </w:p>
    <w:p w14:paraId="2EBE2B6B" w14:textId="77777777" w:rsidR="00204D69" w:rsidRPr="00E11BDB" w:rsidRDefault="00204D69" w:rsidP="00204D69">
      <w:pPr>
        <w:rPr>
          <w:lang w:eastAsia="x-none"/>
        </w:rPr>
      </w:pPr>
      <w:r>
        <w:rPr>
          <w:lang w:eastAsia="x-none"/>
        </w:rPr>
        <w:fldChar w:fldCharType="begin"/>
      </w:r>
      <w:r>
        <w:rPr>
          <w:lang w:eastAsia="x-none"/>
        </w:rPr>
        <w:instrText xml:space="preserve"> REF _Ref387392636 \h </w:instrText>
      </w:r>
      <w:r>
        <w:rPr>
          <w:lang w:eastAsia="x-none"/>
        </w:rPr>
      </w:r>
      <w:r>
        <w:rPr>
          <w:lang w:eastAsia="x-none"/>
        </w:rPr>
        <w:fldChar w:fldCharType="separate"/>
      </w:r>
      <w:r w:rsidR="009A19EB">
        <w:t xml:space="preserve">Table </w:t>
      </w:r>
      <w:r w:rsidR="009A19EB">
        <w:rPr>
          <w:noProof/>
        </w:rPr>
        <w:t>2</w:t>
      </w:r>
      <w:r w:rsidR="009A19EB">
        <w:t>.</w:t>
      </w:r>
      <w:r w:rsidR="009A19EB">
        <w:rPr>
          <w:noProof/>
        </w:rPr>
        <w:t>3</w:t>
      </w:r>
      <w:r>
        <w:rPr>
          <w:lang w:eastAsia="x-none"/>
        </w:rPr>
        <w:fldChar w:fldCharType="end"/>
      </w:r>
      <w:r>
        <w:rPr>
          <w:lang w:eastAsia="x-none"/>
        </w:rPr>
        <w:t xml:space="preserve"> p</w:t>
      </w:r>
      <w:r w:rsidRPr="00E11BDB">
        <w:rPr>
          <w:lang w:eastAsia="x-none"/>
        </w:rPr>
        <w:t>resents</w:t>
      </w:r>
      <w:r>
        <w:rPr>
          <w:lang w:eastAsia="x-none"/>
        </w:rPr>
        <w:t xml:space="preserve"> a snapshot of AOD related indicators discussed above by community.</w:t>
      </w:r>
    </w:p>
    <w:p w14:paraId="2EBE2B6C" w14:textId="6D4813D4" w:rsidR="00204D69" w:rsidRPr="00C20E49" w:rsidRDefault="00FF37EE" w:rsidP="00FF37EE">
      <w:pPr>
        <w:pStyle w:val="Caption"/>
      </w:pPr>
      <w:bookmarkStart w:id="77" w:name="_Toc392686431"/>
      <w:bookmarkStart w:id="78" w:name="_Ref387392636"/>
      <w:r>
        <w:t xml:space="preserve">Table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3</w:t>
      </w:r>
      <w:r w:rsidR="00AA7DC9">
        <w:fldChar w:fldCharType="end"/>
      </w:r>
      <w:bookmarkEnd w:id="78"/>
      <w:r w:rsidR="00204D69">
        <w:t>: Snapshot of AOD impact indicators by community</w:t>
      </w:r>
      <w:bookmarkEnd w:id="77"/>
    </w:p>
    <w:tbl>
      <w:tblPr>
        <w:tblStyle w:val="Hoi2"/>
        <w:tblW w:w="9531" w:type="dxa"/>
        <w:tblLook w:val="04A0" w:firstRow="1" w:lastRow="0" w:firstColumn="1" w:lastColumn="0" w:noHBand="0" w:noVBand="1"/>
        <w:tblCaption w:val="Table 2.3: Snapshot of AOD impact indicators by community"/>
        <w:tblDescription w:val="Table 2.3 provides a statistical changes in the scores of the questionnaires provided to the four Cape York communities on the impact the Wellbeing Centres have had on alcohol, other drug and community safety and security issues. The first column lists the indicator analysed and the next four columns provide the change in scores for Aurukun, Coen, Hope Vale and Mossman Gorge respectively. The ten Alcohol related issues are grouped first, followed by six other drug issues and lastly ten community safety and security issues.  "/>
      </w:tblPr>
      <w:tblGrid>
        <w:gridCol w:w="3500"/>
        <w:gridCol w:w="1570"/>
        <w:gridCol w:w="1531"/>
        <w:gridCol w:w="1559"/>
        <w:gridCol w:w="1371"/>
      </w:tblGrid>
      <w:tr w:rsidR="00204D69" w:rsidRPr="00D76CC5" w14:paraId="2EBE2B6E" w14:textId="77777777" w:rsidTr="00377FC2">
        <w:trPr>
          <w:cnfStyle w:val="100000000000" w:firstRow="1" w:lastRow="0" w:firstColumn="0" w:lastColumn="0" w:oddVBand="0" w:evenVBand="0" w:oddHBand="0" w:evenHBand="0" w:firstRowFirstColumn="0" w:firstRowLastColumn="0" w:lastRowFirstColumn="0" w:lastRowLastColumn="0"/>
          <w:trHeight w:val="283"/>
          <w:tblHeader/>
        </w:trPr>
        <w:tc>
          <w:tcPr>
            <w:tcW w:w="9531" w:type="dxa"/>
            <w:gridSpan w:val="5"/>
            <w:shd w:val="clear" w:color="auto" w:fill="DBE5F1" w:themeFill="accent1" w:themeFillTint="33"/>
          </w:tcPr>
          <w:p w14:paraId="2EBE2B6D" w14:textId="77777777" w:rsidR="00204D69" w:rsidRPr="00D76CC5" w:rsidRDefault="00204D69" w:rsidP="00782511">
            <w:pPr>
              <w:spacing w:after="0"/>
              <w:jc w:val="center"/>
              <w:rPr>
                <w:rFonts w:eastAsia="Times New Roman" w:cs="Segoe UI"/>
                <w:b/>
                <w:sz w:val="18"/>
                <w:szCs w:val="18"/>
                <w:lang w:eastAsia="en-AU"/>
              </w:rPr>
            </w:pPr>
            <w:r w:rsidRPr="00D76CC5">
              <w:rPr>
                <w:rFonts w:eastAsia="Times New Roman" w:cs="Segoe UI"/>
                <w:b/>
                <w:sz w:val="18"/>
                <w:szCs w:val="18"/>
                <w:lang w:eastAsia="en-AU"/>
              </w:rPr>
              <w:t>Alcohol related</w:t>
            </w:r>
          </w:p>
        </w:tc>
      </w:tr>
      <w:tr w:rsidR="009A349C" w:rsidRPr="00D76CC5" w14:paraId="2EBE2B74" w14:textId="77777777" w:rsidTr="00377FC2">
        <w:trPr>
          <w:cnfStyle w:val="100000000000" w:firstRow="1" w:lastRow="0" w:firstColumn="0" w:lastColumn="0" w:oddVBand="0" w:evenVBand="0" w:oddHBand="0" w:evenHBand="0" w:firstRowFirstColumn="0" w:firstRowLastColumn="0" w:lastRowFirstColumn="0" w:lastRowLastColumn="0"/>
          <w:trHeight w:val="495"/>
          <w:tblHeader/>
        </w:trPr>
        <w:tc>
          <w:tcPr>
            <w:tcW w:w="3500" w:type="dxa"/>
            <w:shd w:val="clear" w:color="auto" w:fill="B8CCE4" w:themeFill="accent1" w:themeFillTint="66"/>
          </w:tcPr>
          <w:p w14:paraId="2EBE2B6F" w14:textId="77777777" w:rsidR="009A349C" w:rsidRPr="00D76CC5" w:rsidRDefault="009A349C" w:rsidP="008D4ADC">
            <w:pPr>
              <w:spacing w:after="0"/>
              <w:jc w:val="left"/>
              <w:rPr>
                <w:rFonts w:ascii="Segoe UI" w:eastAsia="Times New Roman" w:hAnsi="Segoe UI" w:cs="Segoe UI"/>
                <w:sz w:val="18"/>
                <w:szCs w:val="18"/>
                <w:lang w:eastAsia="en-AU"/>
              </w:rPr>
            </w:pPr>
          </w:p>
        </w:tc>
        <w:tc>
          <w:tcPr>
            <w:tcW w:w="1570" w:type="dxa"/>
            <w:shd w:val="clear" w:color="auto" w:fill="B8CCE4" w:themeFill="accent1" w:themeFillTint="66"/>
            <w:noWrap/>
          </w:tcPr>
          <w:p w14:paraId="2EBE2B70" w14:textId="77777777" w:rsidR="009A349C" w:rsidRPr="00D76CC5" w:rsidRDefault="009A349C"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Aurukun</w:t>
            </w:r>
          </w:p>
        </w:tc>
        <w:tc>
          <w:tcPr>
            <w:tcW w:w="1531" w:type="dxa"/>
            <w:shd w:val="clear" w:color="auto" w:fill="B8CCE4" w:themeFill="accent1" w:themeFillTint="66"/>
            <w:noWrap/>
          </w:tcPr>
          <w:p w14:paraId="2EBE2B71" w14:textId="77777777" w:rsidR="009A349C" w:rsidRPr="00D76CC5" w:rsidRDefault="009A349C"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Coen</w:t>
            </w:r>
          </w:p>
        </w:tc>
        <w:tc>
          <w:tcPr>
            <w:tcW w:w="1559" w:type="dxa"/>
            <w:shd w:val="clear" w:color="auto" w:fill="B8CCE4" w:themeFill="accent1" w:themeFillTint="66"/>
            <w:noWrap/>
          </w:tcPr>
          <w:p w14:paraId="2EBE2B72" w14:textId="77777777" w:rsidR="009A349C" w:rsidRPr="00D76CC5" w:rsidRDefault="009A349C"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Hope Vale</w:t>
            </w:r>
          </w:p>
        </w:tc>
        <w:tc>
          <w:tcPr>
            <w:tcW w:w="1371" w:type="dxa"/>
            <w:shd w:val="clear" w:color="auto" w:fill="B8CCE4" w:themeFill="accent1" w:themeFillTint="66"/>
            <w:noWrap/>
          </w:tcPr>
          <w:p w14:paraId="2EBE2B73" w14:textId="77777777" w:rsidR="009A349C" w:rsidRPr="00D76CC5" w:rsidRDefault="009A349C"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Mossman Gorge</w:t>
            </w:r>
          </w:p>
        </w:tc>
      </w:tr>
      <w:tr w:rsidR="00204D69" w:rsidRPr="00D76CC5" w14:paraId="2EBE2B7A" w14:textId="77777777" w:rsidTr="009A349C">
        <w:trPr>
          <w:trHeight w:val="680"/>
        </w:trPr>
        <w:tc>
          <w:tcPr>
            <w:tcW w:w="3500" w:type="dxa"/>
            <w:shd w:val="clear" w:color="auto" w:fill="F2F2F2" w:themeFill="background1" w:themeFillShade="F2"/>
          </w:tcPr>
          <w:p w14:paraId="2EBE2B75" w14:textId="77777777" w:rsidR="00204D69" w:rsidRPr="00D76CC5" w:rsidRDefault="00204D69" w:rsidP="00782511">
            <w:pPr>
              <w:spacing w:after="0"/>
              <w:jc w:val="left"/>
              <w:rPr>
                <w:rFonts w:eastAsia="Times New Roman" w:cs="Segoe UI"/>
                <w:sz w:val="18"/>
                <w:szCs w:val="18"/>
                <w:lang w:eastAsia="en-AU"/>
              </w:rPr>
            </w:pPr>
            <w:r>
              <w:rPr>
                <w:rFonts w:eastAsia="Times New Roman" w:cs="Segoe UI"/>
                <w:sz w:val="18"/>
                <w:szCs w:val="18"/>
                <w:lang w:eastAsia="en-AU"/>
              </w:rPr>
              <w:t>Individual change – impact on AUDIT score</w:t>
            </w:r>
          </w:p>
        </w:tc>
        <w:tc>
          <w:tcPr>
            <w:tcW w:w="1570" w:type="dxa"/>
            <w:shd w:val="clear" w:color="auto" w:fill="F2F2F2" w:themeFill="background1" w:themeFillShade="F2"/>
            <w:noWrap/>
          </w:tcPr>
          <w:p w14:paraId="2EBE2B76" w14:textId="77777777" w:rsidR="00204D69" w:rsidRPr="003B3B79" w:rsidRDefault="00204D69" w:rsidP="00782511">
            <w:pPr>
              <w:spacing w:after="0"/>
              <w:jc w:val="center"/>
              <w:rPr>
                <w:rFonts w:eastAsia="Times New Roman" w:cs="Segoe UI"/>
                <w:color w:val="auto"/>
                <w:sz w:val="18"/>
                <w:szCs w:val="18"/>
                <w:lang w:eastAsia="en-AU"/>
              </w:rPr>
            </w:pPr>
            <w:r w:rsidRPr="003B3B79">
              <w:rPr>
                <w:rFonts w:eastAsia="Times New Roman" w:cs="Segoe UI"/>
                <w:color w:val="auto"/>
                <w:sz w:val="18"/>
                <w:szCs w:val="18"/>
                <w:lang w:eastAsia="en-AU"/>
              </w:rPr>
              <w:t>0.62 (medium)</w:t>
            </w:r>
            <w:r>
              <w:rPr>
                <w:rFonts w:eastAsia="Times New Roman" w:cs="Segoe UI"/>
                <w:color w:val="auto"/>
                <w:sz w:val="18"/>
                <w:szCs w:val="18"/>
                <w:lang w:eastAsia="en-AU"/>
              </w:rPr>
              <w:t xml:space="preserve"> not significant</w:t>
            </w:r>
          </w:p>
        </w:tc>
        <w:tc>
          <w:tcPr>
            <w:tcW w:w="1531" w:type="dxa"/>
            <w:shd w:val="clear" w:color="auto" w:fill="F2F2F2" w:themeFill="background1" w:themeFillShade="F2"/>
            <w:noWrap/>
          </w:tcPr>
          <w:p w14:paraId="2EBE2B77" w14:textId="77777777" w:rsidR="00204D69" w:rsidRPr="003B3B79" w:rsidRDefault="00204D69" w:rsidP="00782511">
            <w:pPr>
              <w:spacing w:after="0"/>
              <w:jc w:val="center"/>
              <w:rPr>
                <w:rFonts w:eastAsia="Times New Roman" w:cs="Segoe UI"/>
                <w:color w:val="auto"/>
                <w:sz w:val="18"/>
                <w:szCs w:val="18"/>
                <w:lang w:eastAsia="en-AU"/>
              </w:rPr>
            </w:pPr>
            <w:r w:rsidRPr="003B3B79">
              <w:rPr>
                <w:rFonts w:eastAsia="Times New Roman" w:cs="Segoe UI"/>
                <w:color w:val="auto"/>
                <w:sz w:val="18"/>
                <w:szCs w:val="18"/>
                <w:lang w:eastAsia="en-AU"/>
              </w:rPr>
              <w:t>0.31 (small)</w:t>
            </w:r>
          </w:p>
        </w:tc>
        <w:tc>
          <w:tcPr>
            <w:tcW w:w="1559" w:type="dxa"/>
            <w:shd w:val="clear" w:color="auto" w:fill="F2F2F2" w:themeFill="background1" w:themeFillShade="F2"/>
            <w:noWrap/>
          </w:tcPr>
          <w:p w14:paraId="2EBE2B78" w14:textId="77777777" w:rsidR="00204D69" w:rsidRPr="003B3B79" w:rsidRDefault="00204D69" w:rsidP="00782511">
            <w:pPr>
              <w:spacing w:after="0"/>
              <w:jc w:val="center"/>
              <w:rPr>
                <w:rFonts w:eastAsia="Times New Roman" w:cs="Segoe UI"/>
                <w:color w:val="auto"/>
                <w:sz w:val="18"/>
                <w:szCs w:val="18"/>
                <w:lang w:eastAsia="en-AU"/>
              </w:rPr>
            </w:pPr>
            <w:r w:rsidRPr="003B3B79">
              <w:rPr>
                <w:rFonts w:eastAsia="Times New Roman" w:cs="Segoe UI"/>
                <w:color w:val="auto"/>
                <w:sz w:val="18"/>
                <w:szCs w:val="18"/>
                <w:lang w:eastAsia="en-AU"/>
              </w:rPr>
              <w:t>0.33 (small)</w:t>
            </w:r>
          </w:p>
        </w:tc>
        <w:tc>
          <w:tcPr>
            <w:tcW w:w="1371" w:type="dxa"/>
            <w:shd w:val="clear" w:color="auto" w:fill="F2F2F2" w:themeFill="background1" w:themeFillShade="F2"/>
            <w:noWrap/>
          </w:tcPr>
          <w:p w14:paraId="2EBE2B79" w14:textId="77777777" w:rsidR="00204D69" w:rsidRPr="003B3B79" w:rsidRDefault="00204D69" w:rsidP="00782511">
            <w:pPr>
              <w:spacing w:after="0"/>
              <w:jc w:val="center"/>
              <w:rPr>
                <w:rFonts w:eastAsia="Times New Roman" w:cs="Segoe UI"/>
                <w:color w:val="auto"/>
                <w:sz w:val="18"/>
                <w:szCs w:val="18"/>
                <w:lang w:eastAsia="en-AU"/>
              </w:rPr>
            </w:pPr>
            <w:r w:rsidRPr="003B3B79">
              <w:rPr>
                <w:rFonts w:eastAsia="Times New Roman" w:cs="Segoe UI"/>
                <w:color w:val="auto"/>
                <w:sz w:val="18"/>
                <w:szCs w:val="18"/>
                <w:lang w:eastAsia="en-AU"/>
              </w:rPr>
              <w:t>0.44 (small to med)</w:t>
            </w:r>
          </w:p>
        </w:tc>
      </w:tr>
      <w:tr w:rsidR="00204D69" w:rsidRPr="00D76CC5" w14:paraId="2EBE2B80" w14:textId="77777777" w:rsidTr="009A349C">
        <w:trPr>
          <w:trHeight w:val="680"/>
        </w:trPr>
        <w:tc>
          <w:tcPr>
            <w:tcW w:w="3500" w:type="dxa"/>
            <w:shd w:val="clear" w:color="auto" w:fill="F2F2F2" w:themeFill="background1" w:themeFillShade="F2"/>
          </w:tcPr>
          <w:p w14:paraId="2EBE2B7B" w14:textId="77777777" w:rsidR="00204D69" w:rsidRPr="00B91937" w:rsidRDefault="00204D69" w:rsidP="00782511">
            <w:pPr>
              <w:spacing w:after="0"/>
              <w:jc w:val="left"/>
              <w:rPr>
                <w:rFonts w:eastAsia="Times New Roman" w:cs="Segoe UI"/>
                <w:sz w:val="18"/>
                <w:szCs w:val="18"/>
                <w:lang w:eastAsia="en-AU"/>
              </w:rPr>
            </w:pPr>
            <w:r w:rsidRPr="00B91937">
              <w:rPr>
                <w:rFonts w:eastAsia="Times New Roman" w:cs="Segoe UI"/>
                <w:sz w:val="18"/>
                <w:szCs w:val="18"/>
                <w:lang w:eastAsia="en-AU"/>
              </w:rPr>
              <w:t>Ind</w:t>
            </w:r>
            <w:r>
              <w:rPr>
                <w:rFonts w:eastAsia="Times New Roman" w:cs="Segoe UI"/>
                <w:sz w:val="18"/>
                <w:szCs w:val="18"/>
                <w:lang w:eastAsia="en-AU"/>
              </w:rPr>
              <w:t>ividual change – impact on IRIS</w:t>
            </w:r>
          </w:p>
        </w:tc>
        <w:tc>
          <w:tcPr>
            <w:tcW w:w="1570" w:type="dxa"/>
            <w:shd w:val="clear" w:color="auto" w:fill="F2F2F2" w:themeFill="background1" w:themeFillShade="F2"/>
            <w:noWrap/>
          </w:tcPr>
          <w:p w14:paraId="2EBE2B7C" w14:textId="77777777" w:rsidR="00204D69" w:rsidRPr="006E2DC1" w:rsidRDefault="00204D69" w:rsidP="00782511">
            <w:pPr>
              <w:rPr>
                <w:sz w:val="18"/>
                <w:szCs w:val="18"/>
              </w:rPr>
            </w:pPr>
            <w:r w:rsidRPr="006E2DC1">
              <w:rPr>
                <w:sz w:val="18"/>
                <w:szCs w:val="18"/>
              </w:rPr>
              <w:t>0.2 (small) not significant</w:t>
            </w:r>
          </w:p>
        </w:tc>
        <w:tc>
          <w:tcPr>
            <w:tcW w:w="1531" w:type="dxa"/>
            <w:shd w:val="clear" w:color="auto" w:fill="F2F2F2" w:themeFill="background1" w:themeFillShade="F2"/>
            <w:noWrap/>
          </w:tcPr>
          <w:p w14:paraId="2EBE2B7D" w14:textId="77777777" w:rsidR="00204D69" w:rsidRPr="006E2DC1" w:rsidRDefault="00204D69" w:rsidP="00782511">
            <w:pPr>
              <w:rPr>
                <w:sz w:val="18"/>
                <w:szCs w:val="18"/>
              </w:rPr>
            </w:pPr>
            <w:r w:rsidRPr="006E2DC1">
              <w:rPr>
                <w:sz w:val="18"/>
                <w:szCs w:val="18"/>
              </w:rPr>
              <w:t>0.53 (medium)</w:t>
            </w:r>
          </w:p>
        </w:tc>
        <w:tc>
          <w:tcPr>
            <w:tcW w:w="1559" w:type="dxa"/>
            <w:shd w:val="clear" w:color="auto" w:fill="F2F2F2" w:themeFill="background1" w:themeFillShade="F2"/>
            <w:noWrap/>
          </w:tcPr>
          <w:p w14:paraId="2EBE2B7E" w14:textId="77777777" w:rsidR="00204D69" w:rsidRPr="006E2DC1" w:rsidRDefault="00204D69" w:rsidP="00782511">
            <w:pPr>
              <w:rPr>
                <w:sz w:val="18"/>
                <w:szCs w:val="18"/>
              </w:rPr>
            </w:pPr>
            <w:r w:rsidRPr="006E2DC1">
              <w:rPr>
                <w:sz w:val="18"/>
                <w:szCs w:val="18"/>
              </w:rPr>
              <w:t>0.34 (small)</w:t>
            </w:r>
          </w:p>
        </w:tc>
        <w:tc>
          <w:tcPr>
            <w:tcW w:w="1371" w:type="dxa"/>
            <w:shd w:val="clear" w:color="auto" w:fill="F2F2F2" w:themeFill="background1" w:themeFillShade="F2"/>
            <w:noWrap/>
          </w:tcPr>
          <w:p w14:paraId="2EBE2B7F" w14:textId="77777777" w:rsidR="00204D69" w:rsidRPr="006E2DC1" w:rsidRDefault="00204D69" w:rsidP="00782511">
            <w:pPr>
              <w:rPr>
                <w:sz w:val="18"/>
                <w:szCs w:val="18"/>
              </w:rPr>
            </w:pPr>
            <w:r w:rsidRPr="006E2DC1">
              <w:rPr>
                <w:sz w:val="18"/>
                <w:szCs w:val="18"/>
              </w:rPr>
              <w:t>0.87 (large)</w:t>
            </w:r>
          </w:p>
        </w:tc>
      </w:tr>
      <w:tr w:rsidR="00204D69" w:rsidRPr="00D76CC5" w14:paraId="2EBE2B86" w14:textId="77777777" w:rsidTr="009A349C">
        <w:trPr>
          <w:trHeight w:val="680"/>
        </w:trPr>
        <w:tc>
          <w:tcPr>
            <w:tcW w:w="3500" w:type="dxa"/>
            <w:shd w:val="clear" w:color="auto" w:fill="F2F2F2" w:themeFill="background1" w:themeFillShade="F2"/>
            <w:hideMark/>
          </w:tcPr>
          <w:p w14:paraId="2EBE2B81" w14:textId="77777777" w:rsidR="00204D69" w:rsidRPr="00D76CC5" w:rsidRDefault="00204D69" w:rsidP="00782511">
            <w:pPr>
              <w:spacing w:after="0"/>
              <w:jc w:val="left"/>
              <w:rPr>
                <w:rFonts w:eastAsia="Times New Roman" w:cs="Segoe UI"/>
                <w:sz w:val="18"/>
                <w:szCs w:val="18"/>
                <w:lang w:eastAsia="en-AU"/>
              </w:rPr>
            </w:pPr>
            <w:r w:rsidRPr="00D76CC5">
              <w:rPr>
                <w:rFonts w:eastAsia="Times New Roman" w:cs="Segoe UI"/>
                <w:sz w:val="18"/>
                <w:szCs w:val="18"/>
                <w:lang w:eastAsia="en-AU"/>
              </w:rPr>
              <w:t xml:space="preserve">Community perspective on  number of alcohol related issues </w:t>
            </w:r>
            <w:r>
              <w:rPr>
                <w:rFonts w:eastAsia="Times New Roman" w:cs="Segoe UI"/>
                <w:sz w:val="18"/>
                <w:szCs w:val="18"/>
                <w:lang w:eastAsia="en-AU"/>
              </w:rPr>
              <w:t>–</w:t>
            </w:r>
            <w:r w:rsidRPr="00D76CC5">
              <w:rPr>
                <w:rFonts w:eastAsia="Times New Roman" w:cs="Segoe UI"/>
                <w:sz w:val="18"/>
                <w:szCs w:val="18"/>
                <w:lang w:eastAsia="en-AU"/>
              </w:rPr>
              <w:t xml:space="preserve"> </w:t>
            </w:r>
            <w:r w:rsidRPr="00E41C73">
              <w:rPr>
                <w:rFonts w:eastAsia="Times New Roman" w:cs="Segoe UI"/>
                <w:i/>
                <w:sz w:val="18"/>
                <w:szCs w:val="18"/>
                <w:lang w:eastAsia="en-AU"/>
              </w:rPr>
              <w:t>improvement</w:t>
            </w:r>
          </w:p>
        </w:tc>
        <w:tc>
          <w:tcPr>
            <w:tcW w:w="1570" w:type="dxa"/>
            <w:shd w:val="clear" w:color="auto" w:fill="F2F2F2" w:themeFill="background1" w:themeFillShade="F2"/>
            <w:noWrap/>
            <w:hideMark/>
          </w:tcPr>
          <w:p w14:paraId="2EBE2B82" w14:textId="77777777" w:rsidR="00204D69" w:rsidRPr="00D76CC5"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23</w:t>
            </w:r>
            <w:r w:rsidRPr="00D76CC5">
              <w:rPr>
                <w:rFonts w:eastAsia="Times New Roman" w:cs="Segoe UI"/>
                <w:sz w:val="18"/>
                <w:szCs w:val="18"/>
                <w:lang w:eastAsia="en-AU"/>
              </w:rPr>
              <w:t>%</w:t>
            </w:r>
          </w:p>
        </w:tc>
        <w:tc>
          <w:tcPr>
            <w:tcW w:w="1531" w:type="dxa"/>
            <w:shd w:val="clear" w:color="auto" w:fill="F2F2F2" w:themeFill="background1" w:themeFillShade="F2"/>
            <w:noWrap/>
            <w:hideMark/>
          </w:tcPr>
          <w:p w14:paraId="2EBE2B83" w14:textId="77777777" w:rsidR="00204D69" w:rsidRPr="00D76CC5"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65</w:t>
            </w:r>
            <w:r w:rsidRPr="00D76CC5">
              <w:rPr>
                <w:rFonts w:eastAsia="Times New Roman" w:cs="Segoe UI"/>
                <w:sz w:val="18"/>
                <w:szCs w:val="18"/>
                <w:lang w:eastAsia="en-AU"/>
              </w:rPr>
              <w:t>%</w:t>
            </w:r>
          </w:p>
        </w:tc>
        <w:tc>
          <w:tcPr>
            <w:tcW w:w="1559" w:type="dxa"/>
            <w:shd w:val="clear" w:color="auto" w:fill="F2F2F2" w:themeFill="background1" w:themeFillShade="F2"/>
            <w:noWrap/>
            <w:hideMark/>
          </w:tcPr>
          <w:p w14:paraId="2EBE2B84" w14:textId="77777777" w:rsidR="00204D69" w:rsidRPr="00D76CC5"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16</w:t>
            </w:r>
            <w:r w:rsidRPr="00D76CC5">
              <w:rPr>
                <w:rFonts w:eastAsia="Times New Roman" w:cs="Segoe UI"/>
                <w:sz w:val="18"/>
                <w:szCs w:val="18"/>
                <w:lang w:eastAsia="en-AU"/>
              </w:rPr>
              <w:t>%</w:t>
            </w:r>
          </w:p>
        </w:tc>
        <w:tc>
          <w:tcPr>
            <w:tcW w:w="1371" w:type="dxa"/>
            <w:shd w:val="clear" w:color="auto" w:fill="F2F2F2" w:themeFill="background1" w:themeFillShade="F2"/>
            <w:noWrap/>
            <w:hideMark/>
          </w:tcPr>
          <w:p w14:paraId="2EBE2B85" w14:textId="77777777" w:rsidR="00204D69" w:rsidRPr="00D76CC5"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34</w:t>
            </w:r>
            <w:r w:rsidRPr="00D76CC5">
              <w:rPr>
                <w:rFonts w:eastAsia="Times New Roman" w:cs="Segoe UI"/>
                <w:sz w:val="18"/>
                <w:szCs w:val="18"/>
                <w:lang w:eastAsia="en-AU"/>
              </w:rPr>
              <w:t>%</w:t>
            </w:r>
          </w:p>
        </w:tc>
      </w:tr>
      <w:tr w:rsidR="00204D69" w:rsidRPr="00D76CC5" w14:paraId="2EBE2B8C" w14:textId="77777777" w:rsidTr="009A349C">
        <w:trPr>
          <w:trHeight w:val="680"/>
        </w:trPr>
        <w:tc>
          <w:tcPr>
            <w:tcW w:w="3500" w:type="dxa"/>
            <w:shd w:val="clear" w:color="auto" w:fill="F2F2F2" w:themeFill="background1" w:themeFillShade="F2"/>
          </w:tcPr>
          <w:p w14:paraId="2EBE2B87" w14:textId="77777777" w:rsidR="00204D69" w:rsidRPr="009A349C" w:rsidRDefault="00204D69" w:rsidP="00782511">
            <w:pPr>
              <w:spacing w:after="0"/>
              <w:jc w:val="left"/>
              <w:rPr>
                <w:rFonts w:eastAsia="Times New Roman" w:cs="Segoe UI"/>
                <w:i/>
                <w:sz w:val="18"/>
                <w:szCs w:val="18"/>
                <w:lang w:eastAsia="en-AU"/>
              </w:rPr>
            </w:pPr>
            <w:r w:rsidRPr="00D76CC5">
              <w:rPr>
                <w:rFonts w:eastAsia="Times New Roman" w:cs="Segoe UI"/>
                <w:sz w:val="18"/>
                <w:szCs w:val="18"/>
                <w:lang w:eastAsia="en-AU"/>
              </w:rPr>
              <w:t xml:space="preserve">Community perspective on  number of alcohol related issues </w:t>
            </w:r>
            <w:r>
              <w:rPr>
                <w:rFonts w:eastAsia="Times New Roman" w:cs="Segoe UI"/>
                <w:sz w:val="18"/>
                <w:szCs w:val="18"/>
                <w:lang w:eastAsia="en-AU"/>
              </w:rPr>
              <w:t>–</w:t>
            </w:r>
            <w:r w:rsidRPr="00D76CC5">
              <w:rPr>
                <w:rFonts w:eastAsia="Times New Roman" w:cs="Segoe UI"/>
                <w:sz w:val="18"/>
                <w:szCs w:val="18"/>
                <w:lang w:eastAsia="en-AU"/>
              </w:rPr>
              <w:t xml:space="preserve"> </w:t>
            </w:r>
            <w:r w:rsidRPr="00E41C73">
              <w:rPr>
                <w:rFonts w:eastAsia="Times New Roman" w:cs="Segoe UI"/>
                <w:i/>
                <w:sz w:val="18"/>
                <w:szCs w:val="18"/>
                <w:lang w:eastAsia="en-AU"/>
              </w:rPr>
              <w:t>same</w:t>
            </w:r>
          </w:p>
        </w:tc>
        <w:tc>
          <w:tcPr>
            <w:tcW w:w="1570" w:type="dxa"/>
            <w:shd w:val="clear" w:color="auto" w:fill="F2F2F2" w:themeFill="background1" w:themeFillShade="F2"/>
            <w:noWrap/>
          </w:tcPr>
          <w:p w14:paraId="2EBE2B88"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33%</w:t>
            </w:r>
          </w:p>
        </w:tc>
        <w:tc>
          <w:tcPr>
            <w:tcW w:w="1531" w:type="dxa"/>
            <w:shd w:val="clear" w:color="auto" w:fill="F2F2F2" w:themeFill="background1" w:themeFillShade="F2"/>
            <w:noWrap/>
          </w:tcPr>
          <w:p w14:paraId="2EBE2B89"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35%</w:t>
            </w:r>
          </w:p>
        </w:tc>
        <w:tc>
          <w:tcPr>
            <w:tcW w:w="1559" w:type="dxa"/>
            <w:shd w:val="clear" w:color="auto" w:fill="F2F2F2" w:themeFill="background1" w:themeFillShade="F2"/>
            <w:noWrap/>
          </w:tcPr>
          <w:p w14:paraId="2EBE2B8A"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49%</w:t>
            </w:r>
          </w:p>
        </w:tc>
        <w:tc>
          <w:tcPr>
            <w:tcW w:w="1371" w:type="dxa"/>
            <w:shd w:val="clear" w:color="auto" w:fill="F2F2F2" w:themeFill="background1" w:themeFillShade="F2"/>
            <w:noWrap/>
          </w:tcPr>
          <w:p w14:paraId="2EBE2B8B"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34%</w:t>
            </w:r>
          </w:p>
        </w:tc>
      </w:tr>
      <w:tr w:rsidR="00204D69" w:rsidRPr="00D76CC5" w14:paraId="2EBE2B92" w14:textId="77777777" w:rsidTr="009A349C">
        <w:trPr>
          <w:trHeight w:val="680"/>
        </w:trPr>
        <w:tc>
          <w:tcPr>
            <w:tcW w:w="3500" w:type="dxa"/>
            <w:shd w:val="clear" w:color="auto" w:fill="F2F2F2" w:themeFill="background1" w:themeFillShade="F2"/>
          </w:tcPr>
          <w:p w14:paraId="2EBE2B8D" w14:textId="77777777" w:rsidR="00204D69" w:rsidRPr="00D76CC5" w:rsidRDefault="00204D69" w:rsidP="00782511">
            <w:pPr>
              <w:spacing w:after="0"/>
              <w:jc w:val="left"/>
              <w:rPr>
                <w:rFonts w:eastAsia="Times New Roman" w:cs="Segoe UI"/>
                <w:sz w:val="18"/>
                <w:szCs w:val="18"/>
                <w:lang w:eastAsia="en-AU"/>
              </w:rPr>
            </w:pPr>
            <w:r w:rsidRPr="00BA5152">
              <w:rPr>
                <w:rFonts w:eastAsia="Times New Roman" w:cs="Segoe UI"/>
                <w:sz w:val="18"/>
                <w:szCs w:val="18"/>
                <w:lang w:eastAsia="en-AU"/>
              </w:rPr>
              <w:t xml:space="preserve">Community perspective on  number of alcohol related issues – </w:t>
            </w:r>
            <w:r w:rsidRPr="00E41C73">
              <w:rPr>
                <w:rFonts w:eastAsia="Times New Roman" w:cs="Segoe UI"/>
                <w:i/>
                <w:sz w:val="18"/>
                <w:szCs w:val="18"/>
                <w:lang w:eastAsia="en-AU"/>
              </w:rPr>
              <w:t>worse</w:t>
            </w:r>
          </w:p>
        </w:tc>
        <w:tc>
          <w:tcPr>
            <w:tcW w:w="1570" w:type="dxa"/>
            <w:shd w:val="clear" w:color="auto" w:fill="F2F2F2" w:themeFill="background1" w:themeFillShade="F2"/>
            <w:noWrap/>
          </w:tcPr>
          <w:p w14:paraId="2EBE2B8E"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25%</w:t>
            </w:r>
          </w:p>
        </w:tc>
        <w:tc>
          <w:tcPr>
            <w:tcW w:w="1531" w:type="dxa"/>
            <w:shd w:val="clear" w:color="auto" w:fill="F2F2F2" w:themeFill="background1" w:themeFillShade="F2"/>
            <w:noWrap/>
          </w:tcPr>
          <w:p w14:paraId="2EBE2B8F"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0%</w:t>
            </w:r>
          </w:p>
        </w:tc>
        <w:tc>
          <w:tcPr>
            <w:tcW w:w="1559" w:type="dxa"/>
            <w:shd w:val="clear" w:color="auto" w:fill="F2F2F2" w:themeFill="background1" w:themeFillShade="F2"/>
            <w:noWrap/>
          </w:tcPr>
          <w:p w14:paraId="2EBE2B90"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25%</w:t>
            </w:r>
          </w:p>
        </w:tc>
        <w:tc>
          <w:tcPr>
            <w:tcW w:w="1371" w:type="dxa"/>
            <w:shd w:val="clear" w:color="auto" w:fill="F2F2F2" w:themeFill="background1" w:themeFillShade="F2"/>
            <w:noWrap/>
          </w:tcPr>
          <w:p w14:paraId="2EBE2B91" w14:textId="77777777" w:rsidR="00204D69"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12%</w:t>
            </w:r>
          </w:p>
        </w:tc>
      </w:tr>
      <w:tr w:rsidR="00204D69" w:rsidRPr="00D76CC5" w14:paraId="2EBE2B98" w14:textId="77777777" w:rsidTr="009A349C">
        <w:trPr>
          <w:trHeight w:val="680"/>
        </w:trPr>
        <w:tc>
          <w:tcPr>
            <w:tcW w:w="3500" w:type="dxa"/>
            <w:shd w:val="clear" w:color="auto" w:fill="F2F2F2" w:themeFill="background1" w:themeFillShade="F2"/>
            <w:hideMark/>
          </w:tcPr>
          <w:p w14:paraId="2EBE2B93" w14:textId="77777777" w:rsidR="00204D69" w:rsidRPr="00D76CC5" w:rsidRDefault="00204D69" w:rsidP="00782511">
            <w:pPr>
              <w:spacing w:after="0"/>
              <w:jc w:val="left"/>
              <w:rPr>
                <w:rFonts w:eastAsia="Times New Roman" w:cs="Segoe UI"/>
                <w:sz w:val="18"/>
                <w:szCs w:val="18"/>
                <w:lang w:eastAsia="en-AU"/>
              </w:rPr>
            </w:pPr>
            <w:r w:rsidRPr="00D76CC5">
              <w:rPr>
                <w:rFonts w:eastAsia="Times New Roman" w:cs="Segoe UI"/>
                <w:sz w:val="18"/>
                <w:szCs w:val="18"/>
                <w:lang w:eastAsia="en-AU"/>
              </w:rPr>
              <w:t>Trend in overall clinic presentations - alcohol primary reason since 2008/09</w:t>
            </w:r>
          </w:p>
        </w:tc>
        <w:tc>
          <w:tcPr>
            <w:tcW w:w="1570" w:type="dxa"/>
            <w:shd w:val="clear" w:color="auto" w:fill="F2F2F2" w:themeFill="background1" w:themeFillShade="F2"/>
            <w:noWrap/>
            <w:hideMark/>
          </w:tcPr>
          <w:p w14:paraId="2EBE2B94"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Improve</w:t>
            </w:r>
          </w:p>
        </w:tc>
        <w:tc>
          <w:tcPr>
            <w:tcW w:w="1531" w:type="dxa"/>
            <w:shd w:val="clear" w:color="auto" w:fill="F2F2F2" w:themeFill="background1" w:themeFillShade="F2"/>
            <w:noWrap/>
            <w:hideMark/>
          </w:tcPr>
          <w:p w14:paraId="2EBE2B95"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Improve</w:t>
            </w:r>
          </w:p>
        </w:tc>
        <w:tc>
          <w:tcPr>
            <w:tcW w:w="1559" w:type="dxa"/>
            <w:shd w:val="clear" w:color="auto" w:fill="F2F2F2" w:themeFill="background1" w:themeFillShade="F2"/>
            <w:noWrap/>
            <w:hideMark/>
          </w:tcPr>
          <w:p w14:paraId="2EBE2B96"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Improve</w:t>
            </w:r>
          </w:p>
        </w:tc>
        <w:tc>
          <w:tcPr>
            <w:tcW w:w="1371" w:type="dxa"/>
            <w:shd w:val="clear" w:color="auto" w:fill="F2F2F2" w:themeFill="background1" w:themeFillShade="F2"/>
            <w:noWrap/>
            <w:hideMark/>
          </w:tcPr>
          <w:p w14:paraId="2EBE2B97"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 xml:space="preserve">NA </w:t>
            </w:r>
          </w:p>
        </w:tc>
      </w:tr>
      <w:tr w:rsidR="00204D69" w:rsidRPr="00D76CC5" w14:paraId="2EBE2B9E" w14:textId="77777777" w:rsidTr="009A349C">
        <w:trPr>
          <w:trHeight w:val="794"/>
        </w:trPr>
        <w:tc>
          <w:tcPr>
            <w:tcW w:w="3500" w:type="dxa"/>
            <w:shd w:val="clear" w:color="auto" w:fill="F2F2F2" w:themeFill="background1" w:themeFillShade="F2"/>
            <w:hideMark/>
          </w:tcPr>
          <w:p w14:paraId="2EBE2B99" w14:textId="77777777" w:rsidR="00204D69" w:rsidRPr="00D76CC5" w:rsidRDefault="00204D69" w:rsidP="00782511">
            <w:pPr>
              <w:spacing w:after="0"/>
              <w:jc w:val="left"/>
              <w:rPr>
                <w:rFonts w:eastAsia="Times New Roman" w:cs="Segoe UI"/>
                <w:sz w:val="18"/>
                <w:szCs w:val="18"/>
                <w:lang w:eastAsia="en-AU"/>
              </w:rPr>
            </w:pPr>
            <w:r w:rsidRPr="00D76CC5">
              <w:rPr>
                <w:rFonts w:eastAsia="Times New Roman" w:cs="Segoe UI"/>
                <w:sz w:val="18"/>
                <w:szCs w:val="18"/>
                <w:lang w:eastAsia="en-AU"/>
              </w:rPr>
              <w:t>The trend in clinic presentations where alcohol was listed as a contributing factor since 2008/9</w:t>
            </w:r>
          </w:p>
        </w:tc>
        <w:tc>
          <w:tcPr>
            <w:tcW w:w="1570" w:type="dxa"/>
            <w:shd w:val="clear" w:color="auto" w:fill="F2F2F2" w:themeFill="background1" w:themeFillShade="F2"/>
            <w:noWrap/>
            <w:hideMark/>
          </w:tcPr>
          <w:p w14:paraId="2EBE2B9A"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531" w:type="dxa"/>
            <w:shd w:val="clear" w:color="auto" w:fill="F2F2F2" w:themeFill="background1" w:themeFillShade="F2"/>
            <w:noWrap/>
            <w:hideMark/>
          </w:tcPr>
          <w:p w14:paraId="2EBE2B9B"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Improve</w:t>
            </w:r>
          </w:p>
        </w:tc>
        <w:tc>
          <w:tcPr>
            <w:tcW w:w="1559" w:type="dxa"/>
            <w:shd w:val="clear" w:color="auto" w:fill="F2F2F2" w:themeFill="background1" w:themeFillShade="F2"/>
            <w:noWrap/>
            <w:hideMark/>
          </w:tcPr>
          <w:p w14:paraId="2EBE2B9C"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w:t>
            </w:r>
          </w:p>
        </w:tc>
        <w:tc>
          <w:tcPr>
            <w:tcW w:w="1371" w:type="dxa"/>
            <w:shd w:val="clear" w:color="auto" w:fill="F2F2F2" w:themeFill="background1" w:themeFillShade="F2"/>
            <w:noWrap/>
            <w:hideMark/>
          </w:tcPr>
          <w:p w14:paraId="2EBE2B9D"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r w:rsidR="00204D69" w:rsidRPr="00D76CC5" w14:paraId="2EBE2BA4" w14:textId="77777777" w:rsidTr="009A349C">
        <w:trPr>
          <w:trHeight w:val="680"/>
        </w:trPr>
        <w:tc>
          <w:tcPr>
            <w:tcW w:w="3500" w:type="dxa"/>
            <w:tcBorders>
              <w:bottom w:val="single" w:sz="4" w:space="0" w:color="FFFFFF"/>
            </w:tcBorders>
            <w:shd w:val="clear" w:color="auto" w:fill="F2F2F2" w:themeFill="background1" w:themeFillShade="F2"/>
            <w:hideMark/>
          </w:tcPr>
          <w:p w14:paraId="2EBE2B9F" w14:textId="77777777" w:rsidR="00204D69" w:rsidRPr="00D76CC5" w:rsidRDefault="00204D69" w:rsidP="00782511">
            <w:pPr>
              <w:spacing w:after="0"/>
              <w:jc w:val="left"/>
              <w:rPr>
                <w:rFonts w:eastAsia="Times New Roman" w:cs="Segoe UI"/>
                <w:bCs/>
                <w:sz w:val="18"/>
                <w:szCs w:val="18"/>
                <w:lang w:eastAsia="en-AU"/>
              </w:rPr>
            </w:pPr>
            <w:r w:rsidRPr="00D76CC5">
              <w:rPr>
                <w:rFonts w:eastAsia="Times New Roman" w:cs="Segoe UI"/>
                <w:bCs/>
                <w:sz w:val="18"/>
                <w:szCs w:val="18"/>
                <w:lang w:eastAsia="en-AU"/>
              </w:rPr>
              <w:t xml:space="preserve">Charges resulting in convictions for breaches of Sections 168B and 168C, 2010/11 to 2011/12 </w:t>
            </w:r>
            <w:r w:rsidRPr="00D76CC5">
              <w:rPr>
                <w:rFonts w:eastAsia="Times New Roman" w:cs="Segoe UI"/>
                <w:bCs/>
                <w:sz w:val="18"/>
                <w:szCs w:val="18"/>
                <w:vertAlign w:val="superscript"/>
                <w:lang w:eastAsia="en-AU"/>
              </w:rPr>
              <w:t>1</w:t>
            </w:r>
          </w:p>
        </w:tc>
        <w:tc>
          <w:tcPr>
            <w:tcW w:w="1570" w:type="dxa"/>
            <w:tcBorders>
              <w:bottom w:val="single" w:sz="4" w:space="0" w:color="FFFFFF"/>
            </w:tcBorders>
            <w:shd w:val="clear" w:color="auto" w:fill="F2F2F2" w:themeFill="background1" w:themeFillShade="F2"/>
            <w:hideMark/>
          </w:tcPr>
          <w:p w14:paraId="2EBE2BA0"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 sig improvement in 2010/11, 5% improve 2011/12</w:t>
            </w:r>
          </w:p>
        </w:tc>
        <w:tc>
          <w:tcPr>
            <w:tcW w:w="1531" w:type="dxa"/>
            <w:tcBorders>
              <w:bottom w:val="single" w:sz="4" w:space="0" w:color="FFFFFF"/>
            </w:tcBorders>
            <w:shd w:val="clear" w:color="auto" w:fill="F2F2F2" w:themeFill="background1" w:themeFillShade="F2"/>
            <w:noWrap/>
            <w:hideMark/>
          </w:tcPr>
          <w:p w14:paraId="2EBE2BA1"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c>
          <w:tcPr>
            <w:tcW w:w="1559" w:type="dxa"/>
            <w:tcBorders>
              <w:bottom w:val="single" w:sz="4" w:space="0" w:color="FFFFFF"/>
            </w:tcBorders>
            <w:shd w:val="clear" w:color="auto" w:fill="F2F2F2" w:themeFill="background1" w:themeFillShade="F2"/>
            <w:hideMark/>
          </w:tcPr>
          <w:p w14:paraId="2EBE2BA2"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 26.5% improve 2011/12</w:t>
            </w:r>
          </w:p>
        </w:tc>
        <w:tc>
          <w:tcPr>
            <w:tcW w:w="1371" w:type="dxa"/>
            <w:tcBorders>
              <w:bottom w:val="single" w:sz="4" w:space="0" w:color="FFFFFF"/>
            </w:tcBorders>
            <w:shd w:val="clear" w:color="auto" w:fill="F2F2F2" w:themeFill="background1" w:themeFillShade="F2"/>
            <w:noWrap/>
            <w:hideMark/>
          </w:tcPr>
          <w:p w14:paraId="2EBE2BA3"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r w:rsidR="00204D69" w:rsidRPr="00D76CC5" w14:paraId="2EBE2BAA" w14:textId="77777777" w:rsidTr="009A349C">
        <w:trPr>
          <w:trHeight w:val="794"/>
        </w:trPr>
        <w:tc>
          <w:tcPr>
            <w:tcW w:w="3500" w:type="dxa"/>
            <w:tcBorders>
              <w:bottom w:val="single" w:sz="4" w:space="0" w:color="FFFFFF"/>
            </w:tcBorders>
            <w:shd w:val="clear" w:color="auto" w:fill="F2F2F2" w:themeFill="background1" w:themeFillShade="F2"/>
          </w:tcPr>
          <w:p w14:paraId="2EBE2BA5" w14:textId="77777777" w:rsidR="00204D69" w:rsidRPr="009A349C" w:rsidRDefault="00204D69" w:rsidP="009A349C">
            <w:pPr>
              <w:spacing w:after="0"/>
              <w:rPr>
                <w:rFonts w:cs="Segoe UI"/>
                <w:sz w:val="18"/>
                <w:szCs w:val="18"/>
              </w:rPr>
            </w:pPr>
            <w:r w:rsidRPr="00D76CC5">
              <w:rPr>
                <w:rFonts w:eastAsia="Times New Roman" w:cs="Segoe UI"/>
                <w:bCs/>
                <w:sz w:val="18"/>
                <w:szCs w:val="18"/>
                <w:lang w:eastAsia="en-AU"/>
              </w:rPr>
              <w:t xml:space="preserve">Trend in hospital admissions </w:t>
            </w:r>
            <w:r w:rsidRPr="00D76CC5">
              <w:rPr>
                <w:rFonts w:cs="Segoe UI"/>
                <w:sz w:val="18"/>
                <w:szCs w:val="18"/>
              </w:rPr>
              <w:t xml:space="preserve">where principal diagnosis is mental health and behavioural disorders due to use of alcohol to 2008/09 to Dec 12. </w:t>
            </w:r>
          </w:p>
        </w:tc>
        <w:tc>
          <w:tcPr>
            <w:tcW w:w="1570" w:type="dxa"/>
            <w:tcBorders>
              <w:bottom w:val="single" w:sz="4" w:space="0" w:color="FFFFFF"/>
            </w:tcBorders>
            <w:shd w:val="clear" w:color="auto" w:fill="F2F2F2" w:themeFill="background1" w:themeFillShade="F2"/>
          </w:tcPr>
          <w:p w14:paraId="2EBE2BA6"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531" w:type="dxa"/>
            <w:tcBorders>
              <w:bottom w:val="single" w:sz="4" w:space="0" w:color="FFFFFF"/>
            </w:tcBorders>
            <w:shd w:val="clear" w:color="auto" w:fill="F2F2F2" w:themeFill="background1" w:themeFillShade="F2"/>
            <w:noWrap/>
          </w:tcPr>
          <w:p w14:paraId="2EBE2BA7"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 (low)</w:t>
            </w:r>
          </w:p>
        </w:tc>
        <w:tc>
          <w:tcPr>
            <w:tcW w:w="1559" w:type="dxa"/>
            <w:tcBorders>
              <w:bottom w:val="single" w:sz="4" w:space="0" w:color="FFFFFF"/>
            </w:tcBorders>
            <w:shd w:val="clear" w:color="auto" w:fill="F2F2F2" w:themeFill="background1" w:themeFillShade="F2"/>
          </w:tcPr>
          <w:p w14:paraId="2EBE2BA8"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371" w:type="dxa"/>
            <w:tcBorders>
              <w:bottom w:val="single" w:sz="4" w:space="0" w:color="FFFFFF"/>
            </w:tcBorders>
            <w:shd w:val="clear" w:color="auto" w:fill="F2F2F2" w:themeFill="background1" w:themeFillShade="F2"/>
            <w:noWrap/>
          </w:tcPr>
          <w:p w14:paraId="2EBE2BA9"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Fluctuations</w:t>
            </w:r>
          </w:p>
        </w:tc>
      </w:tr>
      <w:tr w:rsidR="00204D69" w:rsidRPr="00D76CC5" w14:paraId="2EBE2BB0" w14:textId="77777777" w:rsidTr="009A349C">
        <w:trPr>
          <w:trHeight w:val="680"/>
        </w:trPr>
        <w:tc>
          <w:tcPr>
            <w:tcW w:w="3500" w:type="dxa"/>
            <w:tcBorders>
              <w:bottom w:val="single" w:sz="4" w:space="0" w:color="FFFFFF"/>
            </w:tcBorders>
            <w:shd w:val="clear" w:color="auto" w:fill="F2F2F2" w:themeFill="background1" w:themeFillShade="F2"/>
          </w:tcPr>
          <w:p w14:paraId="2EBE2BAB" w14:textId="77777777" w:rsidR="00204D69" w:rsidRPr="009A349C" w:rsidRDefault="00204D69" w:rsidP="00782511">
            <w:pPr>
              <w:spacing w:after="0"/>
              <w:rPr>
                <w:rFonts w:cs="Segoe UI"/>
                <w:sz w:val="18"/>
                <w:szCs w:val="18"/>
              </w:rPr>
            </w:pPr>
            <w:r w:rsidRPr="00D76CC5">
              <w:rPr>
                <w:rFonts w:eastAsia="Times New Roman" w:cs="Segoe UI"/>
                <w:bCs/>
                <w:sz w:val="18"/>
                <w:szCs w:val="18"/>
                <w:lang w:eastAsia="en-AU"/>
              </w:rPr>
              <w:t xml:space="preserve">Trend in hospital admissions </w:t>
            </w:r>
            <w:r w:rsidRPr="00D76CC5">
              <w:rPr>
                <w:rFonts w:cs="Segoe UI"/>
                <w:sz w:val="18"/>
                <w:szCs w:val="18"/>
              </w:rPr>
              <w:t>where other diagnosis is mental health and behavioural disorders due to use of alcohol</w:t>
            </w:r>
          </w:p>
        </w:tc>
        <w:tc>
          <w:tcPr>
            <w:tcW w:w="1570" w:type="dxa"/>
            <w:tcBorders>
              <w:bottom w:val="single" w:sz="4" w:space="0" w:color="FFFFFF"/>
            </w:tcBorders>
            <w:shd w:val="clear" w:color="auto" w:fill="F2F2F2" w:themeFill="background1" w:themeFillShade="F2"/>
          </w:tcPr>
          <w:p w14:paraId="2EBE2BAC"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531" w:type="dxa"/>
            <w:tcBorders>
              <w:bottom w:val="single" w:sz="4" w:space="0" w:color="FFFFFF"/>
            </w:tcBorders>
            <w:shd w:val="clear" w:color="auto" w:fill="F2F2F2" w:themeFill="background1" w:themeFillShade="F2"/>
            <w:noWrap/>
          </w:tcPr>
          <w:p w14:paraId="2EBE2BAD"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 (low)</w:t>
            </w:r>
          </w:p>
        </w:tc>
        <w:tc>
          <w:tcPr>
            <w:tcW w:w="1559" w:type="dxa"/>
            <w:tcBorders>
              <w:bottom w:val="single" w:sz="4" w:space="0" w:color="FFFFFF"/>
            </w:tcBorders>
            <w:shd w:val="clear" w:color="auto" w:fill="F2F2F2" w:themeFill="background1" w:themeFillShade="F2"/>
          </w:tcPr>
          <w:p w14:paraId="2EBE2BAE"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371" w:type="dxa"/>
            <w:tcBorders>
              <w:bottom w:val="single" w:sz="4" w:space="0" w:color="FFFFFF"/>
            </w:tcBorders>
            <w:shd w:val="clear" w:color="auto" w:fill="F2F2F2" w:themeFill="background1" w:themeFillShade="F2"/>
            <w:noWrap/>
          </w:tcPr>
          <w:p w14:paraId="2EBE2BAF" w14:textId="77777777" w:rsidR="00204D69" w:rsidRPr="00D76CC5" w:rsidRDefault="00204D69"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r>
    </w:tbl>
    <w:p w14:paraId="2EBE2BB1" w14:textId="77777777" w:rsidR="00653EDA" w:rsidRDefault="00653EDA"/>
    <w:tbl>
      <w:tblPr>
        <w:tblStyle w:val="Hoi2"/>
        <w:tblW w:w="9531" w:type="dxa"/>
        <w:tblLook w:val="04A0" w:firstRow="1" w:lastRow="0" w:firstColumn="1" w:lastColumn="0" w:noHBand="0" w:noVBand="1"/>
        <w:tblCaption w:val="Table 2.3: Snapshot of AOD impact indicators by community"/>
        <w:tblDescription w:val="Table 2.3 provides a statistical changes in the scores of the questionnaires provided to the four Cape York communities on the impact the Wellbeing Centres have had on alcohol, other drug and community safety and security issues. The first column lists the indicator analysed and the next four columns provide the change in scores for Aurukun, Coen, Hope Vale and Mossman Gorge respectively."/>
      </w:tblPr>
      <w:tblGrid>
        <w:gridCol w:w="3500"/>
        <w:gridCol w:w="1570"/>
        <w:gridCol w:w="1531"/>
        <w:gridCol w:w="1559"/>
        <w:gridCol w:w="1371"/>
      </w:tblGrid>
      <w:tr w:rsidR="00204D69" w:rsidRPr="00D76CC5" w14:paraId="2EBE2BB3" w14:textId="77777777" w:rsidTr="00377FC2">
        <w:trPr>
          <w:cnfStyle w:val="100000000000" w:firstRow="1" w:lastRow="0" w:firstColumn="0" w:lastColumn="0" w:oddVBand="0" w:evenVBand="0" w:oddHBand="0" w:evenHBand="0" w:firstRowFirstColumn="0" w:firstRowLastColumn="0" w:lastRowFirstColumn="0" w:lastRowLastColumn="0"/>
          <w:trHeight w:val="283"/>
          <w:tblHeader/>
        </w:trPr>
        <w:tc>
          <w:tcPr>
            <w:tcW w:w="9531" w:type="dxa"/>
            <w:gridSpan w:val="5"/>
            <w:shd w:val="clear" w:color="auto" w:fill="DBE5F1" w:themeFill="accent1" w:themeFillTint="33"/>
          </w:tcPr>
          <w:p w14:paraId="2EBE2BB2" w14:textId="77777777" w:rsidR="00204D69" w:rsidRPr="00D76CC5" w:rsidRDefault="00204D69" w:rsidP="00782511">
            <w:pPr>
              <w:spacing w:after="0"/>
              <w:jc w:val="center"/>
              <w:rPr>
                <w:rFonts w:eastAsia="Times New Roman" w:cs="Segoe UI"/>
                <w:b/>
                <w:sz w:val="18"/>
                <w:szCs w:val="18"/>
                <w:lang w:eastAsia="en-AU"/>
              </w:rPr>
            </w:pPr>
            <w:r w:rsidRPr="00D76CC5">
              <w:rPr>
                <w:rFonts w:eastAsia="Times New Roman" w:cs="Segoe UI"/>
                <w:b/>
                <w:sz w:val="18"/>
                <w:szCs w:val="18"/>
                <w:lang w:eastAsia="en-AU"/>
              </w:rPr>
              <w:t>Other drug related</w:t>
            </w:r>
          </w:p>
        </w:tc>
      </w:tr>
      <w:tr w:rsidR="00653EDA" w:rsidRPr="00D76CC5" w14:paraId="2EBE2BB9" w14:textId="77777777" w:rsidTr="00377FC2">
        <w:trPr>
          <w:cnfStyle w:val="100000000000" w:firstRow="1" w:lastRow="0" w:firstColumn="0" w:lastColumn="0" w:oddVBand="0" w:evenVBand="0" w:oddHBand="0" w:evenHBand="0" w:firstRowFirstColumn="0" w:firstRowLastColumn="0" w:lastRowFirstColumn="0" w:lastRowLastColumn="0"/>
          <w:trHeight w:val="495"/>
          <w:tblHeader/>
        </w:trPr>
        <w:tc>
          <w:tcPr>
            <w:tcW w:w="3500" w:type="dxa"/>
            <w:shd w:val="clear" w:color="auto" w:fill="B8CCE4" w:themeFill="accent1" w:themeFillTint="66"/>
          </w:tcPr>
          <w:p w14:paraId="2EBE2BB4" w14:textId="77777777" w:rsidR="00653EDA" w:rsidRPr="00D76CC5" w:rsidRDefault="00653EDA" w:rsidP="008D4ADC">
            <w:pPr>
              <w:spacing w:after="0"/>
              <w:jc w:val="left"/>
              <w:rPr>
                <w:rFonts w:ascii="Segoe UI" w:eastAsia="Times New Roman" w:hAnsi="Segoe UI" w:cs="Segoe UI"/>
                <w:sz w:val="18"/>
                <w:szCs w:val="18"/>
                <w:lang w:eastAsia="en-AU"/>
              </w:rPr>
            </w:pPr>
          </w:p>
        </w:tc>
        <w:tc>
          <w:tcPr>
            <w:tcW w:w="1570" w:type="dxa"/>
            <w:shd w:val="clear" w:color="auto" w:fill="B8CCE4" w:themeFill="accent1" w:themeFillTint="66"/>
            <w:noWrap/>
          </w:tcPr>
          <w:p w14:paraId="2EBE2BB5" w14:textId="77777777" w:rsidR="00653EDA" w:rsidRPr="00D76CC5" w:rsidRDefault="00653ED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Aurukun</w:t>
            </w:r>
          </w:p>
        </w:tc>
        <w:tc>
          <w:tcPr>
            <w:tcW w:w="1531" w:type="dxa"/>
            <w:shd w:val="clear" w:color="auto" w:fill="B8CCE4" w:themeFill="accent1" w:themeFillTint="66"/>
            <w:noWrap/>
          </w:tcPr>
          <w:p w14:paraId="2EBE2BB6" w14:textId="77777777" w:rsidR="00653EDA" w:rsidRPr="00D76CC5" w:rsidRDefault="00653ED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Coen</w:t>
            </w:r>
          </w:p>
        </w:tc>
        <w:tc>
          <w:tcPr>
            <w:tcW w:w="1559" w:type="dxa"/>
            <w:shd w:val="clear" w:color="auto" w:fill="B8CCE4" w:themeFill="accent1" w:themeFillTint="66"/>
            <w:noWrap/>
          </w:tcPr>
          <w:p w14:paraId="2EBE2BB7" w14:textId="77777777" w:rsidR="00653EDA" w:rsidRPr="00D76CC5" w:rsidRDefault="00653ED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Hope Vale</w:t>
            </w:r>
          </w:p>
        </w:tc>
        <w:tc>
          <w:tcPr>
            <w:tcW w:w="1371" w:type="dxa"/>
            <w:shd w:val="clear" w:color="auto" w:fill="B8CCE4" w:themeFill="accent1" w:themeFillTint="66"/>
            <w:noWrap/>
          </w:tcPr>
          <w:p w14:paraId="2EBE2BB8" w14:textId="77777777" w:rsidR="00653EDA" w:rsidRPr="00D76CC5" w:rsidRDefault="00653ED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Mossman Gorge</w:t>
            </w:r>
          </w:p>
        </w:tc>
      </w:tr>
      <w:tr w:rsidR="00653EDA" w:rsidRPr="00D76CC5" w14:paraId="2EBE2BC2" w14:textId="77777777" w:rsidTr="00782511">
        <w:trPr>
          <w:trHeight w:val="495"/>
        </w:trPr>
        <w:tc>
          <w:tcPr>
            <w:tcW w:w="3500" w:type="dxa"/>
            <w:shd w:val="clear" w:color="auto" w:fill="F2F2F2" w:themeFill="background1" w:themeFillShade="F2"/>
          </w:tcPr>
          <w:p w14:paraId="2EBE2BBA" w14:textId="77777777" w:rsidR="00653EDA" w:rsidRDefault="00653EDA" w:rsidP="00782511">
            <w:pPr>
              <w:spacing w:after="0"/>
              <w:jc w:val="left"/>
              <w:rPr>
                <w:rFonts w:eastAsia="Times New Roman" w:cs="Segoe UI"/>
                <w:sz w:val="18"/>
                <w:szCs w:val="18"/>
                <w:lang w:eastAsia="en-AU"/>
              </w:rPr>
            </w:pPr>
            <w:r w:rsidRPr="00B91937">
              <w:rPr>
                <w:rFonts w:eastAsia="Times New Roman" w:cs="Segoe UI"/>
                <w:sz w:val="18"/>
                <w:szCs w:val="18"/>
                <w:lang w:eastAsia="en-AU"/>
              </w:rPr>
              <w:t>Ind</w:t>
            </w:r>
            <w:r>
              <w:rPr>
                <w:rFonts w:eastAsia="Times New Roman" w:cs="Segoe UI"/>
                <w:sz w:val="18"/>
                <w:szCs w:val="18"/>
                <w:lang w:eastAsia="en-AU"/>
              </w:rPr>
              <w:t>ividual change – impact on SDS</w:t>
            </w:r>
          </w:p>
        </w:tc>
        <w:tc>
          <w:tcPr>
            <w:tcW w:w="1570" w:type="dxa"/>
            <w:shd w:val="clear" w:color="auto" w:fill="F2F2F2" w:themeFill="background1" w:themeFillShade="F2"/>
            <w:noWrap/>
          </w:tcPr>
          <w:p w14:paraId="2EBE2BBB" w14:textId="77777777" w:rsidR="00653EDA" w:rsidRPr="006E2DC1" w:rsidRDefault="00653EDA" w:rsidP="00782511">
            <w:pPr>
              <w:rPr>
                <w:sz w:val="18"/>
                <w:szCs w:val="18"/>
              </w:rPr>
            </w:pPr>
            <w:r w:rsidRPr="006E2DC1">
              <w:rPr>
                <w:sz w:val="18"/>
                <w:szCs w:val="18"/>
              </w:rPr>
              <w:t>0.07 (none)</w:t>
            </w:r>
          </w:p>
          <w:p w14:paraId="2EBE2BBC" w14:textId="77777777" w:rsidR="00653EDA" w:rsidRPr="006E2DC1" w:rsidRDefault="00653EDA" w:rsidP="00782511">
            <w:pPr>
              <w:rPr>
                <w:sz w:val="18"/>
                <w:szCs w:val="18"/>
              </w:rPr>
            </w:pPr>
            <w:r w:rsidRPr="006E2DC1">
              <w:rPr>
                <w:sz w:val="18"/>
                <w:szCs w:val="18"/>
              </w:rPr>
              <w:t>not significant</w:t>
            </w:r>
          </w:p>
        </w:tc>
        <w:tc>
          <w:tcPr>
            <w:tcW w:w="1531" w:type="dxa"/>
            <w:shd w:val="clear" w:color="auto" w:fill="F2F2F2" w:themeFill="background1" w:themeFillShade="F2"/>
            <w:noWrap/>
          </w:tcPr>
          <w:p w14:paraId="2EBE2BBD" w14:textId="77777777" w:rsidR="00653EDA" w:rsidRPr="006E2DC1" w:rsidRDefault="00653EDA" w:rsidP="00782511">
            <w:pPr>
              <w:rPr>
                <w:sz w:val="18"/>
                <w:szCs w:val="18"/>
              </w:rPr>
            </w:pPr>
            <w:r w:rsidRPr="006E2DC1">
              <w:rPr>
                <w:sz w:val="18"/>
                <w:szCs w:val="18"/>
              </w:rPr>
              <w:t>0.15 (none)</w:t>
            </w:r>
          </w:p>
          <w:p w14:paraId="2EBE2BBE" w14:textId="77777777" w:rsidR="00653EDA" w:rsidRDefault="00653EDA" w:rsidP="00782511">
            <w:pPr>
              <w:rPr>
                <w:sz w:val="18"/>
                <w:szCs w:val="18"/>
              </w:rPr>
            </w:pPr>
            <w:r w:rsidRPr="006E2DC1">
              <w:rPr>
                <w:sz w:val="18"/>
                <w:szCs w:val="18"/>
              </w:rPr>
              <w:t>not significant</w:t>
            </w:r>
          </w:p>
          <w:p w14:paraId="2EBE2BBF" w14:textId="77777777" w:rsidR="00653EDA" w:rsidRPr="006E2DC1" w:rsidRDefault="00653EDA" w:rsidP="00782511">
            <w:pPr>
              <w:rPr>
                <w:sz w:val="18"/>
                <w:szCs w:val="18"/>
              </w:rPr>
            </w:pPr>
            <w:r>
              <w:rPr>
                <w:sz w:val="18"/>
                <w:szCs w:val="18"/>
              </w:rPr>
              <w:t>Low overall</w:t>
            </w:r>
          </w:p>
        </w:tc>
        <w:tc>
          <w:tcPr>
            <w:tcW w:w="1559" w:type="dxa"/>
            <w:shd w:val="clear" w:color="auto" w:fill="F2F2F2" w:themeFill="background1" w:themeFillShade="F2"/>
            <w:noWrap/>
          </w:tcPr>
          <w:p w14:paraId="2EBE2BC0" w14:textId="77777777" w:rsidR="00653EDA" w:rsidRPr="006E2DC1" w:rsidRDefault="00653EDA" w:rsidP="00782511">
            <w:pPr>
              <w:rPr>
                <w:sz w:val="18"/>
                <w:szCs w:val="18"/>
              </w:rPr>
            </w:pPr>
            <w:r w:rsidRPr="006E2DC1">
              <w:rPr>
                <w:sz w:val="18"/>
                <w:szCs w:val="18"/>
              </w:rPr>
              <w:t>0.44 (small to med)</w:t>
            </w:r>
          </w:p>
        </w:tc>
        <w:tc>
          <w:tcPr>
            <w:tcW w:w="1371" w:type="dxa"/>
            <w:shd w:val="clear" w:color="auto" w:fill="F2F2F2" w:themeFill="background1" w:themeFillShade="F2"/>
            <w:noWrap/>
          </w:tcPr>
          <w:p w14:paraId="2EBE2BC1" w14:textId="77777777" w:rsidR="00653EDA" w:rsidRPr="006E2DC1" w:rsidRDefault="00653EDA" w:rsidP="00782511">
            <w:pPr>
              <w:rPr>
                <w:sz w:val="18"/>
                <w:szCs w:val="18"/>
              </w:rPr>
            </w:pPr>
            <w:r w:rsidRPr="006E2DC1">
              <w:rPr>
                <w:sz w:val="18"/>
                <w:szCs w:val="18"/>
              </w:rPr>
              <w:t>0.47 (small - med)</w:t>
            </w:r>
          </w:p>
        </w:tc>
      </w:tr>
      <w:tr w:rsidR="00653EDA" w:rsidRPr="00D76CC5" w14:paraId="2EBE2BC8" w14:textId="77777777" w:rsidTr="00C05254">
        <w:trPr>
          <w:trHeight w:val="567"/>
        </w:trPr>
        <w:tc>
          <w:tcPr>
            <w:tcW w:w="3500" w:type="dxa"/>
            <w:shd w:val="clear" w:color="auto" w:fill="F2F2F2" w:themeFill="background1" w:themeFillShade="F2"/>
            <w:hideMark/>
          </w:tcPr>
          <w:p w14:paraId="2EBE2BC3" w14:textId="77777777" w:rsidR="00653EDA" w:rsidRPr="00D76CC5" w:rsidRDefault="00653EDA" w:rsidP="00782511">
            <w:pPr>
              <w:spacing w:after="0"/>
              <w:jc w:val="left"/>
              <w:rPr>
                <w:rFonts w:eastAsia="Times New Roman" w:cs="Segoe UI"/>
                <w:sz w:val="18"/>
                <w:szCs w:val="18"/>
                <w:lang w:eastAsia="en-AU"/>
              </w:rPr>
            </w:pPr>
            <w:r w:rsidRPr="00D76CC5">
              <w:rPr>
                <w:rFonts w:eastAsia="Times New Roman" w:cs="Segoe UI"/>
                <w:sz w:val="18"/>
                <w:szCs w:val="18"/>
                <w:lang w:eastAsia="en-AU"/>
              </w:rPr>
              <w:t xml:space="preserve">Community perspective on number of other drug related issues </w:t>
            </w:r>
            <w:r>
              <w:rPr>
                <w:rFonts w:eastAsia="Times New Roman" w:cs="Segoe UI"/>
                <w:sz w:val="18"/>
                <w:szCs w:val="18"/>
                <w:lang w:eastAsia="en-AU"/>
              </w:rPr>
              <w:t>–</w:t>
            </w:r>
            <w:r w:rsidRPr="00D76CC5">
              <w:rPr>
                <w:rFonts w:eastAsia="Times New Roman" w:cs="Segoe UI"/>
                <w:sz w:val="18"/>
                <w:szCs w:val="18"/>
                <w:lang w:eastAsia="en-AU"/>
              </w:rPr>
              <w:t xml:space="preserve"> </w:t>
            </w:r>
            <w:r w:rsidRPr="00E41C73">
              <w:rPr>
                <w:rFonts w:eastAsia="Times New Roman" w:cs="Segoe UI"/>
                <w:i/>
                <w:sz w:val="18"/>
                <w:szCs w:val="18"/>
                <w:lang w:eastAsia="en-AU"/>
              </w:rPr>
              <w:t>better</w:t>
            </w:r>
          </w:p>
        </w:tc>
        <w:tc>
          <w:tcPr>
            <w:tcW w:w="1570" w:type="dxa"/>
            <w:shd w:val="clear" w:color="auto" w:fill="F2F2F2" w:themeFill="background1" w:themeFillShade="F2"/>
            <w:noWrap/>
            <w:hideMark/>
          </w:tcPr>
          <w:p w14:paraId="2EBE2BC4"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4%</w:t>
            </w:r>
          </w:p>
        </w:tc>
        <w:tc>
          <w:tcPr>
            <w:tcW w:w="1531" w:type="dxa"/>
            <w:shd w:val="clear" w:color="auto" w:fill="F2F2F2" w:themeFill="background1" w:themeFillShade="F2"/>
            <w:noWrap/>
            <w:hideMark/>
          </w:tcPr>
          <w:p w14:paraId="2EBE2BC5"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0%</w:t>
            </w:r>
          </w:p>
        </w:tc>
        <w:tc>
          <w:tcPr>
            <w:tcW w:w="1559" w:type="dxa"/>
            <w:shd w:val="clear" w:color="auto" w:fill="F2F2F2" w:themeFill="background1" w:themeFillShade="F2"/>
            <w:noWrap/>
            <w:hideMark/>
          </w:tcPr>
          <w:p w14:paraId="2EBE2BC6"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0%</w:t>
            </w:r>
          </w:p>
        </w:tc>
        <w:tc>
          <w:tcPr>
            <w:tcW w:w="1371" w:type="dxa"/>
            <w:shd w:val="clear" w:color="auto" w:fill="F2F2F2" w:themeFill="background1" w:themeFillShade="F2"/>
            <w:noWrap/>
            <w:hideMark/>
          </w:tcPr>
          <w:p w14:paraId="2EBE2BC7"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8%</w:t>
            </w:r>
          </w:p>
        </w:tc>
      </w:tr>
      <w:tr w:rsidR="00653EDA" w:rsidRPr="00D76CC5" w14:paraId="2EBE2BCE" w14:textId="77777777" w:rsidTr="00C05254">
        <w:trPr>
          <w:trHeight w:val="624"/>
        </w:trPr>
        <w:tc>
          <w:tcPr>
            <w:tcW w:w="3500" w:type="dxa"/>
            <w:shd w:val="clear" w:color="auto" w:fill="F2F2F2" w:themeFill="background1" w:themeFillShade="F2"/>
          </w:tcPr>
          <w:p w14:paraId="2EBE2BC9" w14:textId="77777777" w:rsidR="00653EDA" w:rsidRPr="00D76CC5" w:rsidRDefault="00653EDA" w:rsidP="00782511">
            <w:pPr>
              <w:spacing w:after="0"/>
              <w:jc w:val="left"/>
              <w:rPr>
                <w:rFonts w:eastAsia="Times New Roman" w:cs="Segoe UI"/>
                <w:sz w:val="18"/>
                <w:szCs w:val="18"/>
                <w:lang w:eastAsia="en-AU"/>
              </w:rPr>
            </w:pPr>
            <w:r w:rsidRPr="00E41C73">
              <w:rPr>
                <w:rFonts w:eastAsia="Times New Roman" w:cs="Segoe UI"/>
                <w:sz w:val="18"/>
                <w:szCs w:val="18"/>
                <w:lang w:eastAsia="en-AU"/>
              </w:rPr>
              <w:t>Community perspective on number of other drug related issues –</w:t>
            </w:r>
            <w:r>
              <w:rPr>
                <w:rFonts w:eastAsia="Times New Roman" w:cs="Segoe UI"/>
                <w:sz w:val="18"/>
                <w:szCs w:val="18"/>
                <w:lang w:eastAsia="en-AU"/>
              </w:rPr>
              <w:t xml:space="preserve"> </w:t>
            </w:r>
            <w:r w:rsidRPr="00E41C73">
              <w:rPr>
                <w:rFonts w:eastAsia="Times New Roman" w:cs="Segoe UI"/>
                <w:i/>
                <w:sz w:val="18"/>
                <w:szCs w:val="18"/>
                <w:lang w:eastAsia="en-AU"/>
              </w:rPr>
              <w:t>same</w:t>
            </w:r>
          </w:p>
        </w:tc>
        <w:tc>
          <w:tcPr>
            <w:tcW w:w="1570" w:type="dxa"/>
            <w:shd w:val="clear" w:color="auto" w:fill="F2F2F2" w:themeFill="background1" w:themeFillShade="F2"/>
            <w:noWrap/>
          </w:tcPr>
          <w:p w14:paraId="2EBE2BCA"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23%</w:t>
            </w:r>
          </w:p>
        </w:tc>
        <w:tc>
          <w:tcPr>
            <w:tcW w:w="1531" w:type="dxa"/>
            <w:shd w:val="clear" w:color="auto" w:fill="F2F2F2" w:themeFill="background1" w:themeFillShade="F2"/>
            <w:noWrap/>
          </w:tcPr>
          <w:p w14:paraId="2EBE2BCB"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46%</w:t>
            </w:r>
          </w:p>
        </w:tc>
        <w:tc>
          <w:tcPr>
            <w:tcW w:w="1559" w:type="dxa"/>
            <w:shd w:val="clear" w:color="auto" w:fill="F2F2F2" w:themeFill="background1" w:themeFillShade="F2"/>
            <w:noWrap/>
          </w:tcPr>
          <w:p w14:paraId="2EBE2BCC"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40%</w:t>
            </w:r>
          </w:p>
        </w:tc>
        <w:tc>
          <w:tcPr>
            <w:tcW w:w="1371" w:type="dxa"/>
            <w:shd w:val="clear" w:color="auto" w:fill="F2F2F2" w:themeFill="background1" w:themeFillShade="F2"/>
            <w:noWrap/>
          </w:tcPr>
          <w:p w14:paraId="2EBE2BCD"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27%</w:t>
            </w:r>
          </w:p>
        </w:tc>
      </w:tr>
      <w:tr w:rsidR="00653EDA" w:rsidRPr="00D76CC5" w14:paraId="2EBE2BD4" w14:textId="77777777" w:rsidTr="00C05254">
        <w:trPr>
          <w:trHeight w:val="624"/>
        </w:trPr>
        <w:tc>
          <w:tcPr>
            <w:tcW w:w="3500" w:type="dxa"/>
            <w:shd w:val="clear" w:color="auto" w:fill="F2F2F2" w:themeFill="background1" w:themeFillShade="F2"/>
          </w:tcPr>
          <w:p w14:paraId="2EBE2BCF" w14:textId="77777777" w:rsidR="00653EDA" w:rsidRPr="00D76CC5" w:rsidRDefault="00653EDA" w:rsidP="00782511">
            <w:pPr>
              <w:spacing w:after="0"/>
              <w:jc w:val="left"/>
              <w:rPr>
                <w:rFonts w:eastAsia="Times New Roman" w:cs="Segoe UI"/>
                <w:sz w:val="18"/>
                <w:szCs w:val="18"/>
                <w:lang w:eastAsia="en-AU"/>
              </w:rPr>
            </w:pPr>
            <w:r w:rsidRPr="00E41C73">
              <w:rPr>
                <w:rFonts w:eastAsia="Times New Roman" w:cs="Segoe UI"/>
                <w:sz w:val="18"/>
                <w:szCs w:val="18"/>
                <w:lang w:eastAsia="en-AU"/>
              </w:rPr>
              <w:t>Community perspective on number of other drug related issues –</w:t>
            </w:r>
            <w:r>
              <w:rPr>
                <w:rFonts w:eastAsia="Times New Roman" w:cs="Segoe UI"/>
                <w:sz w:val="18"/>
                <w:szCs w:val="18"/>
                <w:lang w:eastAsia="en-AU"/>
              </w:rPr>
              <w:t xml:space="preserve"> </w:t>
            </w:r>
            <w:r w:rsidRPr="00E41C73">
              <w:rPr>
                <w:rFonts w:eastAsia="Times New Roman" w:cs="Segoe UI"/>
                <w:i/>
                <w:sz w:val="18"/>
                <w:szCs w:val="18"/>
                <w:lang w:eastAsia="en-AU"/>
              </w:rPr>
              <w:t>worse</w:t>
            </w:r>
          </w:p>
        </w:tc>
        <w:tc>
          <w:tcPr>
            <w:tcW w:w="1570" w:type="dxa"/>
            <w:shd w:val="clear" w:color="auto" w:fill="F2F2F2" w:themeFill="background1" w:themeFillShade="F2"/>
            <w:noWrap/>
          </w:tcPr>
          <w:p w14:paraId="2EBE2BD0"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39%</w:t>
            </w:r>
          </w:p>
        </w:tc>
        <w:tc>
          <w:tcPr>
            <w:tcW w:w="1531" w:type="dxa"/>
            <w:shd w:val="clear" w:color="auto" w:fill="F2F2F2" w:themeFill="background1" w:themeFillShade="F2"/>
            <w:noWrap/>
          </w:tcPr>
          <w:p w14:paraId="2EBE2BD1"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26%</w:t>
            </w:r>
          </w:p>
        </w:tc>
        <w:tc>
          <w:tcPr>
            <w:tcW w:w="1559" w:type="dxa"/>
            <w:shd w:val="clear" w:color="auto" w:fill="F2F2F2" w:themeFill="background1" w:themeFillShade="F2"/>
            <w:noWrap/>
          </w:tcPr>
          <w:p w14:paraId="2EBE2BD2"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36%</w:t>
            </w:r>
          </w:p>
        </w:tc>
        <w:tc>
          <w:tcPr>
            <w:tcW w:w="1371" w:type="dxa"/>
            <w:shd w:val="clear" w:color="auto" w:fill="F2F2F2" w:themeFill="background1" w:themeFillShade="F2"/>
            <w:noWrap/>
          </w:tcPr>
          <w:p w14:paraId="2EBE2BD3"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12%</w:t>
            </w:r>
          </w:p>
        </w:tc>
      </w:tr>
      <w:tr w:rsidR="00653EDA" w:rsidRPr="00D76CC5" w14:paraId="2EBE2BDA" w14:textId="77777777" w:rsidTr="00782511">
        <w:trPr>
          <w:trHeight w:val="495"/>
        </w:trPr>
        <w:tc>
          <w:tcPr>
            <w:tcW w:w="3500" w:type="dxa"/>
            <w:shd w:val="clear" w:color="auto" w:fill="F2F2F2" w:themeFill="background1" w:themeFillShade="F2"/>
            <w:hideMark/>
          </w:tcPr>
          <w:p w14:paraId="2EBE2BD5" w14:textId="77777777" w:rsidR="00653EDA" w:rsidRPr="00D76CC5" w:rsidRDefault="00653EDA" w:rsidP="00782511">
            <w:pPr>
              <w:spacing w:after="0"/>
              <w:jc w:val="left"/>
              <w:rPr>
                <w:rFonts w:eastAsia="Times New Roman" w:cs="Segoe UI"/>
                <w:sz w:val="18"/>
                <w:szCs w:val="18"/>
                <w:lang w:eastAsia="en-AU"/>
              </w:rPr>
            </w:pPr>
            <w:r w:rsidRPr="00D76CC5">
              <w:rPr>
                <w:rFonts w:eastAsia="Times New Roman" w:cs="Segoe UI"/>
                <w:sz w:val="18"/>
                <w:szCs w:val="18"/>
                <w:lang w:eastAsia="en-AU"/>
              </w:rPr>
              <w:t xml:space="preserve">Trend in overall clinic presentations - other drugs  primary reason since </w:t>
            </w:r>
            <w:r w:rsidRPr="00D76CC5">
              <w:rPr>
                <w:rFonts w:eastAsia="Times New Roman" w:cs="Segoe UI"/>
                <w:sz w:val="18"/>
                <w:szCs w:val="18"/>
                <w:lang w:eastAsia="en-AU"/>
              </w:rPr>
              <w:lastRenderedPageBreak/>
              <w:t>2008/09</w:t>
            </w:r>
          </w:p>
        </w:tc>
        <w:tc>
          <w:tcPr>
            <w:tcW w:w="1570" w:type="dxa"/>
            <w:shd w:val="clear" w:color="auto" w:fill="F2F2F2" w:themeFill="background1" w:themeFillShade="F2"/>
            <w:noWrap/>
            <w:hideMark/>
          </w:tcPr>
          <w:p w14:paraId="2EBE2BD6"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lastRenderedPageBreak/>
              <w:t>Improve</w:t>
            </w:r>
          </w:p>
        </w:tc>
        <w:tc>
          <w:tcPr>
            <w:tcW w:w="1531" w:type="dxa"/>
            <w:shd w:val="clear" w:color="auto" w:fill="F2F2F2" w:themeFill="background1" w:themeFillShade="F2"/>
            <w:noWrap/>
            <w:hideMark/>
          </w:tcPr>
          <w:p w14:paraId="2EBE2BD7"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Very low numbers</w:t>
            </w:r>
          </w:p>
        </w:tc>
        <w:tc>
          <w:tcPr>
            <w:tcW w:w="1559" w:type="dxa"/>
            <w:shd w:val="clear" w:color="auto" w:fill="F2F2F2" w:themeFill="background1" w:themeFillShade="F2"/>
            <w:noWrap/>
            <w:hideMark/>
          </w:tcPr>
          <w:p w14:paraId="2EBE2BD8"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Improve</w:t>
            </w:r>
          </w:p>
        </w:tc>
        <w:tc>
          <w:tcPr>
            <w:tcW w:w="1371" w:type="dxa"/>
            <w:shd w:val="clear" w:color="auto" w:fill="F2F2F2" w:themeFill="background1" w:themeFillShade="F2"/>
            <w:noWrap/>
            <w:hideMark/>
          </w:tcPr>
          <w:p w14:paraId="2EBE2BD9"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r w:rsidR="00653EDA" w:rsidRPr="00D76CC5" w14:paraId="2EBE2BE0" w14:textId="77777777" w:rsidTr="00782511">
        <w:trPr>
          <w:trHeight w:val="735"/>
        </w:trPr>
        <w:tc>
          <w:tcPr>
            <w:tcW w:w="3500" w:type="dxa"/>
            <w:tcBorders>
              <w:bottom w:val="single" w:sz="4" w:space="0" w:color="FFFFFF"/>
            </w:tcBorders>
            <w:shd w:val="clear" w:color="auto" w:fill="F2F2F2" w:themeFill="background1" w:themeFillShade="F2"/>
            <w:hideMark/>
          </w:tcPr>
          <w:p w14:paraId="2EBE2BDB" w14:textId="77777777" w:rsidR="00653EDA" w:rsidRPr="00D76CC5" w:rsidRDefault="00653EDA" w:rsidP="00782511">
            <w:pPr>
              <w:spacing w:after="0"/>
              <w:jc w:val="left"/>
              <w:rPr>
                <w:rFonts w:eastAsia="Times New Roman" w:cs="Segoe UI"/>
                <w:sz w:val="18"/>
                <w:szCs w:val="18"/>
                <w:lang w:eastAsia="en-AU"/>
              </w:rPr>
            </w:pPr>
            <w:r w:rsidRPr="00D76CC5">
              <w:rPr>
                <w:rFonts w:eastAsia="Times New Roman" w:cs="Segoe UI"/>
                <w:sz w:val="18"/>
                <w:szCs w:val="18"/>
                <w:lang w:eastAsia="en-AU"/>
              </w:rPr>
              <w:lastRenderedPageBreak/>
              <w:t>The trend in clinic presentations where other drugs was listed as a contributing factor since 2008/9</w:t>
            </w:r>
          </w:p>
        </w:tc>
        <w:tc>
          <w:tcPr>
            <w:tcW w:w="1570" w:type="dxa"/>
            <w:tcBorders>
              <w:bottom w:val="single" w:sz="4" w:space="0" w:color="FFFFFF"/>
            </w:tcBorders>
            <w:shd w:val="clear" w:color="auto" w:fill="F2F2F2" w:themeFill="background1" w:themeFillShade="F2"/>
            <w:noWrap/>
            <w:hideMark/>
          </w:tcPr>
          <w:p w14:paraId="2EBE2BDC"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w:t>
            </w:r>
          </w:p>
        </w:tc>
        <w:tc>
          <w:tcPr>
            <w:tcW w:w="1531" w:type="dxa"/>
            <w:tcBorders>
              <w:bottom w:val="single" w:sz="4" w:space="0" w:color="FFFFFF"/>
            </w:tcBorders>
            <w:shd w:val="clear" w:color="auto" w:fill="F2F2F2" w:themeFill="background1" w:themeFillShade="F2"/>
            <w:noWrap/>
            <w:hideMark/>
          </w:tcPr>
          <w:p w14:paraId="2EBE2BDD"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Very low numbers</w:t>
            </w:r>
          </w:p>
        </w:tc>
        <w:tc>
          <w:tcPr>
            <w:tcW w:w="1559" w:type="dxa"/>
            <w:tcBorders>
              <w:bottom w:val="single" w:sz="4" w:space="0" w:color="FFFFFF"/>
            </w:tcBorders>
            <w:shd w:val="clear" w:color="auto" w:fill="F2F2F2" w:themeFill="background1" w:themeFillShade="F2"/>
            <w:noWrap/>
            <w:hideMark/>
          </w:tcPr>
          <w:p w14:paraId="2EBE2BDE"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Low numbers</w:t>
            </w:r>
          </w:p>
        </w:tc>
        <w:tc>
          <w:tcPr>
            <w:tcW w:w="1371" w:type="dxa"/>
            <w:tcBorders>
              <w:bottom w:val="single" w:sz="4" w:space="0" w:color="FFFFFF"/>
            </w:tcBorders>
            <w:shd w:val="clear" w:color="auto" w:fill="F2F2F2" w:themeFill="background1" w:themeFillShade="F2"/>
            <w:noWrap/>
            <w:hideMark/>
          </w:tcPr>
          <w:p w14:paraId="2EBE2BDF"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bl>
    <w:p w14:paraId="2EBE2BE1" w14:textId="77777777" w:rsidR="00C05254" w:rsidRDefault="00C05254"/>
    <w:tbl>
      <w:tblPr>
        <w:tblStyle w:val="Hoi2"/>
        <w:tblW w:w="9531" w:type="dxa"/>
        <w:tblLook w:val="04A0" w:firstRow="1" w:lastRow="0" w:firstColumn="1" w:lastColumn="0" w:noHBand="0" w:noVBand="1"/>
        <w:tblCaption w:val="Table 2.3: Snapshot of AOD impact indicators by community"/>
        <w:tblDescription w:val="Table 2.3 provides a statistical changes in the scores of the questionnaires provided to the four Cape York communities on the impact the Wellbeing Centres have had on alcohol, other drug and community safety and security issues. The first column lists the indicator analysed and the next four columns provide the change in scores for Aurukun, Coen, Hope Vale and Mossman Gorge respectively. "/>
      </w:tblPr>
      <w:tblGrid>
        <w:gridCol w:w="3500"/>
        <w:gridCol w:w="1570"/>
        <w:gridCol w:w="1531"/>
        <w:gridCol w:w="1559"/>
        <w:gridCol w:w="1371"/>
      </w:tblGrid>
      <w:tr w:rsidR="00653EDA" w:rsidRPr="00D76CC5" w14:paraId="2EBE2BE3" w14:textId="77777777" w:rsidTr="00377FC2">
        <w:trPr>
          <w:cnfStyle w:val="100000000000" w:firstRow="1" w:lastRow="0" w:firstColumn="0" w:lastColumn="0" w:oddVBand="0" w:evenVBand="0" w:oddHBand="0" w:evenHBand="0" w:firstRowFirstColumn="0" w:firstRowLastColumn="0" w:lastRowFirstColumn="0" w:lastRowLastColumn="0"/>
          <w:trHeight w:val="283"/>
          <w:tblHeader/>
        </w:trPr>
        <w:tc>
          <w:tcPr>
            <w:tcW w:w="9531" w:type="dxa"/>
            <w:gridSpan w:val="5"/>
            <w:shd w:val="clear" w:color="auto" w:fill="DBE5F1" w:themeFill="accent1" w:themeFillTint="33"/>
          </w:tcPr>
          <w:p w14:paraId="2EBE2BE2" w14:textId="77777777" w:rsidR="00653EDA" w:rsidRPr="00D76CC5" w:rsidRDefault="00653EDA" w:rsidP="00782511">
            <w:pPr>
              <w:spacing w:after="0"/>
              <w:jc w:val="center"/>
              <w:rPr>
                <w:rFonts w:eastAsia="Times New Roman" w:cs="Segoe UI"/>
                <w:b/>
                <w:sz w:val="18"/>
                <w:szCs w:val="18"/>
                <w:lang w:eastAsia="en-AU"/>
              </w:rPr>
            </w:pPr>
            <w:r w:rsidRPr="00D76CC5">
              <w:rPr>
                <w:rFonts w:eastAsia="Times New Roman" w:cs="Segoe UI"/>
                <w:b/>
                <w:sz w:val="18"/>
                <w:szCs w:val="18"/>
                <w:lang w:eastAsia="en-AU"/>
              </w:rPr>
              <w:t>Community safety and security</w:t>
            </w:r>
          </w:p>
        </w:tc>
      </w:tr>
      <w:tr w:rsidR="00B4570A" w:rsidRPr="00D76CC5" w14:paraId="2EBE2BE9" w14:textId="77777777" w:rsidTr="00377FC2">
        <w:trPr>
          <w:cnfStyle w:val="100000000000" w:firstRow="1" w:lastRow="0" w:firstColumn="0" w:lastColumn="0" w:oddVBand="0" w:evenVBand="0" w:oddHBand="0" w:evenHBand="0" w:firstRowFirstColumn="0" w:firstRowLastColumn="0" w:lastRowFirstColumn="0" w:lastRowLastColumn="0"/>
          <w:trHeight w:val="495"/>
          <w:tblHeader/>
        </w:trPr>
        <w:tc>
          <w:tcPr>
            <w:tcW w:w="3500" w:type="dxa"/>
            <w:shd w:val="clear" w:color="auto" w:fill="B8CCE4" w:themeFill="accent1" w:themeFillTint="66"/>
          </w:tcPr>
          <w:p w14:paraId="2EBE2BE4" w14:textId="77777777" w:rsidR="00B4570A" w:rsidRPr="00D76CC5" w:rsidRDefault="00B4570A" w:rsidP="008D4ADC">
            <w:pPr>
              <w:spacing w:after="0"/>
              <w:jc w:val="left"/>
              <w:rPr>
                <w:rFonts w:ascii="Segoe UI" w:eastAsia="Times New Roman" w:hAnsi="Segoe UI" w:cs="Segoe UI"/>
                <w:sz w:val="18"/>
                <w:szCs w:val="18"/>
                <w:lang w:eastAsia="en-AU"/>
              </w:rPr>
            </w:pPr>
          </w:p>
        </w:tc>
        <w:tc>
          <w:tcPr>
            <w:tcW w:w="1570" w:type="dxa"/>
            <w:shd w:val="clear" w:color="auto" w:fill="B8CCE4" w:themeFill="accent1" w:themeFillTint="66"/>
            <w:noWrap/>
          </w:tcPr>
          <w:p w14:paraId="2EBE2BE5" w14:textId="77777777" w:rsidR="00B4570A" w:rsidRPr="00D76CC5" w:rsidRDefault="00B4570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Aurukun</w:t>
            </w:r>
          </w:p>
        </w:tc>
        <w:tc>
          <w:tcPr>
            <w:tcW w:w="1531" w:type="dxa"/>
            <w:shd w:val="clear" w:color="auto" w:fill="B8CCE4" w:themeFill="accent1" w:themeFillTint="66"/>
            <w:noWrap/>
          </w:tcPr>
          <w:p w14:paraId="2EBE2BE6" w14:textId="77777777" w:rsidR="00B4570A" w:rsidRPr="00D76CC5" w:rsidRDefault="00B4570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Coen</w:t>
            </w:r>
          </w:p>
        </w:tc>
        <w:tc>
          <w:tcPr>
            <w:tcW w:w="1559" w:type="dxa"/>
            <w:shd w:val="clear" w:color="auto" w:fill="B8CCE4" w:themeFill="accent1" w:themeFillTint="66"/>
            <w:noWrap/>
          </w:tcPr>
          <w:p w14:paraId="2EBE2BE7" w14:textId="77777777" w:rsidR="00B4570A" w:rsidRPr="00D76CC5" w:rsidRDefault="00B4570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Hope Vale</w:t>
            </w:r>
          </w:p>
        </w:tc>
        <w:tc>
          <w:tcPr>
            <w:tcW w:w="1371" w:type="dxa"/>
            <w:shd w:val="clear" w:color="auto" w:fill="B8CCE4" w:themeFill="accent1" w:themeFillTint="66"/>
            <w:noWrap/>
          </w:tcPr>
          <w:p w14:paraId="2EBE2BE8" w14:textId="77777777" w:rsidR="00B4570A" w:rsidRPr="00D76CC5" w:rsidRDefault="00B4570A" w:rsidP="008D4ADC">
            <w:pPr>
              <w:spacing w:after="0"/>
              <w:jc w:val="center"/>
              <w:rPr>
                <w:rFonts w:ascii="Segoe UI" w:eastAsia="Times New Roman" w:hAnsi="Segoe UI" w:cs="Segoe UI"/>
                <w:b/>
                <w:sz w:val="18"/>
                <w:szCs w:val="18"/>
                <w:lang w:eastAsia="en-AU"/>
              </w:rPr>
            </w:pPr>
            <w:r w:rsidRPr="00D76CC5">
              <w:rPr>
                <w:rFonts w:ascii="Segoe UI" w:eastAsia="Times New Roman" w:hAnsi="Segoe UI" w:cs="Segoe UI"/>
                <w:b/>
                <w:sz w:val="18"/>
                <w:szCs w:val="18"/>
                <w:lang w:eastAsia="en-AU"/>
              </w:rPr>
              <w:t>Mossman Gorge</w:t>
            </w:r>
          </w:p>
        </w:tc>
      </w:tr>
      <w:tr w:rsidR="00653EDA" w:rsidRPr="00D76CC5" w14:paraId="2EBE2BEF" w14:textId="77777777" w:rsidTr="00782511">
        <w:trPr>
          <w:trHeight w:val="495"/>
        </w:trPr>
        <w:tc>
          <w:tcPr>
            <w:tcW w:w="3500" w:type="dxa"/>
            <w:shd w:val="clear" w:color="auto" w:fill="F2F2F2" w:themeFill="background1" w:themeFillShade="F2"/>
            <w:hideMark/>
          </w:tcPr>
          <w:p w14:paraId="2EBE2BEA" w14:textId="77777777" w:rsidR="00653EDA" w:rsidRPr="00D76CC5" w:rsidRDefault="00653EDA" w:rsidP="00782511">
            <w:pPr>
              <w:spacing w:after="0"/>
              <w:jc w:val="left"/>
              <w:rPr>
                <w:rFonts w:eastAsia="Times New Roman" w:cs="Segoe UI"/>
                <w:sz w:val="18"/>
                <w:szCs w:val="18"/>
                <w:lang w:eastAsia="en-AU"/>
              </w:rPr>
            </w:pPr>
            <w:r w:rsidRPr="00D76CC5">
              <w:rPr>
                <w:rFonts w:eastAsia="Times New Roman" w:cs="Segoe UI"/>
                <w:sz w:val="18"/>
                <w:szCs w:val="18"/>
                <w:lang w:eastAsia="en-AU"/>
              </w:rPr>
              <w:t xml:space="preserve">Community perspective on change in safety and security </w:t>
            </w:r>
            <w:r>
              <w:rPr>
                <w:rFonts w:eastAsia="Times New Roman" w:cs="Segoe UI"/>
                <w:sz w:val="18"/>
                <w:szCs w:val="18"/>
                <w:lang w:eastAsia="en-AU"/>
              </w:rPr>
              <w:t>–</w:t>
            </w:r>
            <w:r w:rsidRPr="00E41C73">
              <w:rPr>
                <w:rFonts w:eastAsia="Times New Roman" w:cs="Segoe UI"/>
                <w:i/>
                <w:sz w:val="18"/>
                <w:szCs w:val="18"/>
                <w:lang w:eastAsia="en-AU"/>
              </w:rPr>
              <w:t xml:space="preserve"> better</w:t>
            </w:r>
          </w:p>
        </w:tc>
        <w:tc>
          <w:tcPr>
            <w:tcW w:w="1570" w:type="dxa"/>
            <w:shd w:val="clear" w:color="auto" w:fill="F2F2F2" w:themeFill="background1" w:themeFillShade="F2"/>
            <w:noWrap/>
            <w:hideMark/>
          </w:tcPr>
          <w:p w14:paraId="2EBE2BEB"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26%</w:t>
            </w:r>
          </w:p>
        </w:tc>
        <w:tc>
          <w:tcPr>
            <w:tcW w:w="1531" w:type="dxa"/>
            <w:shd w:val="clear" w:color="auto" w:fill="F2F2F2" w:themeFill="background1" w:themeFillShade="F2"/>
            <w:noWrap/>
            <w:hideMark/>
          </w:tcPr>
          <w:p w14:paraId="2EBE2BEC"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53%</w:t>
            </w:r>
          </w:p>
        </w:tc>
        <w:tc>
          <w:tcPr>
            <w:tcW w:w="1559" w:type="dxa"/>
            <w:shd w:val="clear" w:color="auto" w:fill="F2F2F2" w:themeFill="background1" w:themeFillShade="F2"/>
            <w:noWrap/>
            <w:hideMark/>
          </w:tcPr>
          <w:p w14:paraId="2EBE2BED"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3%</w:t>
            </w:r>
          </w:p>
        </w:tc>
        <w:tc>
          <w:tcPr>
            <w:tcW w:w="1371" w:type="dxa"/>
            <w:shd w:val="clear" w:color="auto" w:fill="F2F2F2" w:themeFill="background1" w:themeFillShade="F2"/>
            <w:noWrap/>
            <w:hideMark/>
          </w:tcPr>
          <w:p w14:paraId="2EBE2BEE"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52%</w:t>
            </w:r>
          </w:p>
        </w:tc>
      </w:tr>
      <w:tr w:rsidR="00653EDA" w:rsidRPr="00D76CC5" w14:paraId="2EBE2BF5" w14:textId="77777777" w:rsidTr="00782511">
        <w:trPr>
          <w:trHeight w:val="495"/>
        </w:trPr>
        <w:tc>
          <w:tcPr>
            <w:tcW w:w="3500" w:type="dxa"/>
            <w:shd w:val="clear" w:color="auto" w:fill="F2F2F2" w:themeFill="background1" w:themeFillShade="F2"/>
          </w:tcPr>
          <w:p w14:paraId="2EBE2BF0" w14:textId="77777777" w:rsidR="00653EDA" w:rsidRPr="00C05254" w:rsidRDefault="00653EDA" w:rsidP="00782511">
            <w:pPr>
              <w:spacing w:after="0"/>
              <w:jc w:val="left"/>
              <w:rPr>
                <w:rFonts w:eastAsia="Times New Roman" w:cs="Segoe UI"/>
                <w:i/>
                <w:sz w:val="18"/>
                <w:szCs w:val="18"/>
                <w:lang w:eastAsia="en-AU"/>
              </w:rPr>
            </w:pPr>
            <w:r w:rsidRPr="00D76CC5">
              <w:rPr>
                <w:rFonts w:eastAsia="Times New Roman" w:cs="Segoe UI"/>
                <w:sz w:val="18"/>
                <w:szCs w:val="18"/>
                <w:lang w:eastAsia="en-AU"/>
              </w:rPr>
              <w:t xml:space="preserve">Community perspective on change in safety and security </w:t>
            </w:r>
            <w:r>
              <w:rPr>
                <w:rFonts w:eastAsia="Times New Roman" w:cs="Segoe UI"/>
                <w:sz w:val="18"/>
                <w:szCs w:val="18"/>
                <w:lang w:eastAsia="en-AU"/>
              </w:rPr>
              <w:t>–</w:t>
            </w:r>
            <w:r w:rsidRPr="00D76CC5">
              <w:rPr>
                <w:rFonts w:eastAsia="Times New Roman" w:cs="Segoe UI"/>
                <w:sz w:val="18"/>
                <w:szCs w:val="18"/>
                <w:lang w:eastAsia="en-AU"/>
              </w:rPr>
              <w:t xml:space="preserve"> </w:t>
            </w:r>
            <w:r w:rsidRPr="00E41C73">
              <w:rPr>
                <w:rFonts w:eastAsia="Times New Roman" w:cs="Segoe UI"/>
                <w:i/>
                <w:sz w:val="18"/>
                <w:szCs w:val="18"/>
                <w:lang w:eastAsia="en-AU"/>
              </w:rPr>
              <w:t>same</w:t>
            </w:r>
          </w:p>
        </w:tc>
        <w:tc>
          <w:tcPr>
            <w:tcW w:w="1570" w:type="dxa"/>
            <w:shd w:val="clear" w:color="auto" w:fill="F2F2F2" w:themeFill="background1" w:themeFillShade="F2"/>
            <w:noWrap/>
          </w:tcPr>
          <w:p w14:paraId="2EBE2BF1"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42%</w:t>
            </w:r>
          </w:p>
        </w:tc>
        <w:tc>
          <w:tcPr>
            <w:tcW w:w="1531" w:type="dxa"/>
            <w:shd w:val="clear" w:color="auto" w:fill="F2F2F2" w:themeFill="background1" w:themeFillShade="F2"/>
            <w:noWrap/>
          </w:tcPr>
          <w:p w14:paraId="2EBE2BF2"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24%</w:t>
            </w:r>
          </w:p>
        </w:tc>
        <w:tc>
          <w:tcPr>
            <w:tcW w:w="1559" w:type="dxa"/>
            <w:shd w:val="clear" w:color="auto" w:fill="F2F2F2" w:themeFill="background1" w:themeFillShade="F2"/>
            <w:noWrap/>
          </w:tcPr>
          <w:p w14:paraId="2EBE2BF3"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51%</w:t>
            </w:r>
          </w:p>
        </w:tc>
        <w:tc>
          <w:tcPr>
            <w:tcW w:w="1371" w:type="dxa"/>
            <w:shd w:val="clear" w:color="auto" w:fill="F2F2F2" w:themeFill="background1" w:themeFillShade="F2"/>
            <w:noWrap/>
          </w:tcPr>
          <w:p w14:paraId="2EBE2BF4"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20%</w:t>
            </w:r>
          </w:p>
        </w:tc>
      </w:tr>
      <w:tr w:rsidR="00653EDA" w:rsidRPr="00D76CC5" w14:paraId="2EBE2BFB" w14:textId="77777777" w:rsidTr="00C05254">
        <w:trPr>
          <w:trHeight w:val="624"/>
        </w:trPr>
        <w:tc>
          <w:tcPr>
            <w:tcW w:w="3500" w:type="dxa"/>
            <w:shd w:val="clear" w:color="auto" w:fill="F2F2F2" w:themeFill="background1" w:themeFillShade="F2"/>
          </w:tcPr>
          <w:p w14:paraId="2EBE2BF6" w14:textId="77777777" w:rsidR="00653EDA" w:rsidRPr="00C05254" w:rsidRDefault="00653EDA" w:rsidP="00782511">
            <w:pPr>
              <w:spacing w:after="0"/>
              <w:jc w:val="left"/>
              <w:rPr>
                <w:rFonts w:eastAsia="Times New Roman" w:cs="Segoe UI"/>
                <w:i/>
                <w:sz w:val="18"/>
                <w:szCs w:val="18"/>
                <w:lang w:eastAsia="en-AU"/>
              </w:rPr>
            </w:pPr>
            <w:r w:rsidRPr="00D76CC5">
              <w:rPr>
                <w:rFonts w:eastAsia="Times New Roman" w:cs="Segoe UI"/>
                <w:sz w:val="18"/>
                <w:szCs w:val="18"/>
                <w:lang w:eastAsia="en-AU"/>
              </w:rPr>
              <w:t xml:space="preserve">Community perspective on change in safety and security </w:t>
            </w:r>
            <w:r>
              <w:rPr>
                <w:rFonts w:eastAsia="Times New Roman" w:cs="Segoe UI"/>
                <w:sz w:val="18"/>
                <w:szCs w:val="18"/>
                <w:lang w:eastAsia="en-AU"/>
              </w:rPr>
              <w:t>–</w:t>
            </w:r>
            <w:r w:rsidRPr="00D76CC5">
              <w:rPr>
                <w:rFonts w:eastAsia="Times New Roman" w:cs="Segoe UI"/>
                <w:sz w:val="18"/>
                <w:szCs w:val="18"/>
                <w:lang w:eastAsia="en-AU"/>
              </w:rPr>
              <w:t xml:space="preserve"> </w:t>
            </w:r>
            <w:r w:rsidRPr="00E41C73">
              <w:rPr>
                <w:rFonts w:eastAsia="Times New Roman" w:cs="Segoe UI"/>
                <w:i/>
                <w:sz w:val="18"/>
                <w:szCs w:val="18"/>
                <w:lang w:eastAsia="en-AU"/>
              </w:rPr>
              <w:t>worse</w:t>
            </w:r>
          </w:p>
        </w:tc>
        <w:tc>
          <w:tcPr>
            <w:tcW w:w="1570" w:type="dxa"/>
            <w:shd w:val="clear" w:color="auto" w:fill="F2F2F2" w:themeFill="background1" w:themeFillShade="F2"/>
            <w:noWrap/>
          </w:tcPr>
          <w:p w14:paraId="2EBE2BF7"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18%</w:t>
            </w:r>
          </w:p>
        </w:tc>
        <w:tc>
          <w:tcPr>
            <w:tcW w:w="1531" w:type="dxa"/>
            <w:shd w:val="clear" w:color="auto" w:fill="F2F2F2" w:themeFill="background1" w:themeFillShade="F2"/>
            <w:noWrap/>
          </w:tcPr>
          <w:p w14:paraId="2EBE2BF8"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0%</w:t>
            </w:r>
          </w:p>
        </w:tc>
        <w:tc>
          <w:tcPr>
            <w:tcW w:w="1559" w:type="dxa"/>
            <w:shd w:val="clear" w:color="auto" w:fill="F2F2F2" w:themeFill="background1" w:themeFillShade="F2"/>
            <w:noWrap/>
          </w:tcPr>
          <w:p w14:paraId="2EBE2BF9"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11%</w:t>
            </w:r>
          </w:p>
        </w:tc>
        <w:tc>
          <w:tcPr>
            <w:tcW w:w="1371" w:type="dxa"/>
            <w:shd w:val="clear" w:color="auto" w:fill="F2F2F2" w:themeFill="background1" w:themeFillShade="F2"/>
            <w:noWrap/>
          </w:tcPr>
          <w:p w14:paraId="2EBE2BFA" w14:textId="77777777" w:rsidR="00653EDA" w:rsidRPr="00D76CC5" w:rsidRDefault="00653EDA" w:rsidP="00782511">
            <w:pPr>
              <w:spacing w:after="0"/>
              <w:jc w:val="center"/>
              <w:rPr>
                <w:rFonts w:eastAsia="Times New Roman" w:cs="Segoe UI"/>
                <w:sz w:val="18"/>
                <w:szCs w:val="18"/>
                <w:lang w:eastAsia="en-AU"/>
              </w:rPr>
            </w:pPr>
            <w:r>
              <w:rPr>
                <w:rFonts w:eastAsia="Times New Roman" w:cs="Segoe UI"/>
                <w:sz w:val="18"/>
                <w:szCs w:val="18"/>
                <w:lang w:eastAsia="en-AU"/>
              </w:rPr>
              <w:t>5%</w:t>
            </w:r>
          </w:p>
        </w:tc>
      </w:tr>
      <w:tr w:rsidR="00653EDA" w:rsidRPr="00D76CC5" w14:paraId="2EBE2C01" w14:textId="77777777" w:rsidTr="00782511">
        <w:trPr>
          <w:trHeight w:val="735"/>
        </w:trPr>
        <w:tc>
          <w:tcPr>
            <w:tcW w:w="3500" w:type="dxa"/>
            <w:shd w:val="clear" w:color="auto" w:fill="F2F2F2" w:themeFill="background1" w:themeFillShade="F2"/>
            <w:hideMark/>
          </w:tcPr>
          <w:p w14:paraId="2EBE2BFC" w14:textId="77777777" w:rsidR="00653EDA" w:rsidRPr="00D76CC5" w:rsidRDefault="00653EDA" w:rsidP="00782511">
            <w:pPr>
              <w:spacing w:after="0"/>
              <w:jc w:val="left"/>
              <w:rPr>
                <w:rFonts w:eastAsia="Times New Roman" w:cs="Segoe UI"/>
                <w:sz w:val="18"/>
                <w:szCs w:val="18"/>
                <w:lang w:eastAsia="en-AU"/>
              </w:rPr>
            </w:pPr>
            <w:r w:rsidRPr="00D76CC5">
              <w:rPr>
                <w:rFonts w:eastAsia="Times New Roman" w:cs="Segoe UI"/>
                <w:sz w:val="18"/>
                <w:szCs w:val="18"/>
                <w:lang w:eastAsia="en-AU"/>
              </w:rPr>
              <w:t>The trend in clinic presentations where assault was listed as a primary presenting since 2008/9</w:t>
            </w:r>
          </w:p>
        </w:tc>
        <w:tc>
          <w:tcPr>
            <w:tcW w:w="1570" w:type="dxa"/>
            <w:shd w:val="clear" w:color="auto" w:fill="F2F2F2" w:themeFill="background1" w:themeFillShade="F2"/>
            <w:noWrap/>
            <w:hideMark/>
          </w:tcPr>
          <w:p w14:paraId="2EBE2BFD"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531" w:type="dxa"/>
            <w:shd w:val="clear" w:color="auto" w:fill="F2F2F2" w:themeFill="background1" w:themeFillShade="F2"/>
            <w:hideMark/>
          </w:tcPr>
          <w:p w14:paraId="2EBE2BFE"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Improve. Very low numbers</w:t>
            </w:r>
          </w:p>
        </w:tc>
        <w:tc>
          <w:tcPr>
            <w:tcW w:w="1559" w:type="dxa"/>
            <w:shd w:val="clear" w:color="auto" w:fill="F2F2F2" w:themeFill="background1" w:themeFillShade="F2"/>
            <w:noWrap/>
            <w:hideMark/>
          </w:tcPr>
          <w:p w14:paraId="2EBE2BFF"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w:t>
            </w:r>
          </w:p>
        </w:tc>
        <w:tc>
          <w:tcPr>
            <w:tcW w:w="1371" w:type="dxa"/>
            <w:shd w:val="clear" w:color="auto" w:fill="F2F2F2" w:themeFill="background1" w:themeFillShade="F2"/>
            <w:noWrap/>
            <w:hideMark/>
          </w:tcPr>
          <w:p w14:paraId="2EBE2C00"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r w:rsidR="00653EDA" w:rsidRPr="00D76CC5" w14:paraId="2EBE2C07" w14:textId="77777777" w:rsidTr="00782511">
        <w:trPr>
          <w:trHeight w:val="735"/>
        </w:trPr>
        <w:tc>
          <w:tcPr>
            <w:tcW w:w="3500" w:type="dxa"/>
            <w:shd w:val="clear" w:color="auto" w:fill="F2F2F2" w:themeFill="background1" w:themeFillShade="F2"/>
            <w:hideMark/>
          </w:tcPr>
          <w:p w14:paraId="2EBE2C02" w14:textId="77777777" w:rsidR="00653EDA" w:rsidRPr="00D76CC5" w:rsidRDefault="00653EDA" w:rsidP="00782511">
            <w:pPr>
              <w:spacing w:after="0"/>
              <w:jc w:val="left"/>
              <w:rPr>
                <w:rFonts w:eastAsia="Times New Roman" w:cs="Segoe UI"/>
                <w:sz w:val="18"/>
                <w:szCs w:val="18"/>
                <w:lang w:eastAsia="en-AU"/>
              </w:rPr>
            </w:pPr>
            <w:r w:rsidRPr="00D76CC5">
              <w:rPr>
                <w:rFonts w:eastAsia="Times New Roman" w:cs="Segoe UI"/>
                <w:sz w:val="18"/>
                <w:szCs w:val="18"/>
                <w:lang w:eastAsia="en-AU"/>
              </w:rPr>
              <w:t>The trend in clinic presentations where assault was listed as a contributing factor 2008/9</w:t>
            </w:r>
          </w:p>
        </w:tc>
        <w:tc>
          <w:tcPr>
            <w:tcW w:w="1570" w:type="dxa"/>
            <w:shd w:val="clear" w:color="auto" w:fill="F2F2F2" w:themeFill="background1" w:themeFillShade="F2"/>
            <w:noWrap/>
            <w:hideMark/>
          </w:tcPr>
          <w:p w14:paraId="2EBE2C03"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531" w:type="dxa"/>
            <w:shd w:val="clear" w:color="auto" w:fill="F2F2F2" w:themeFill="background1" w:themeFillShade="F2"/>
            <w:hideMark/>
          </w:tcPr>
          <w:p w14:paraId="2EBE2C04"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 Very low numbers</w:t>
            </w:r>
          </w:p>
        </w:tc>
        <w:tc>
          <w:tcPr>
            <w:tcW w:w="1559" w:type="dxa"/>
            <w:shd w:val="clear" w:color="auto" w:fill="F2F2F2" w:themeFill="background1" w:themeFillShade="F2"/>
            <w:noWrap/>
            <w:hideMark/>
          </w:tcPr>
          <w:p w14:paraId="2EBE2C05"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w:t>
            </w:r>
          </w:p>
        </w:tc>
        <w:tc>
          <w:tcPr>
            <w:tcW w:w="1371" w:type="dxa"/>
            <w:shd w:val="clear" w:color="auto" w:fill="F2F2F2" w:themeFill="background1" w:themeFillShade="F2"/>
            <w:noWrap/>
            <w:hideMark/>
          </w:tcPr>
          <w:p w14:paraId="2EBE2C06"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r w:rsidR="00653EDA" w:rsidRPr="00D76CC5" w14:paraId="2EBE2C0D" w14:textId="77777777" w:rsidTr="00782511">
        <w:trPr>
          <w:trHeight w:val="510"/>
        </w:trPr>
        <w:tc>
          <w:tcPr>
            <w:tcW w:w="3500" w:type="dxa"/>
            <w:shd w:val="clear" w:color="auto" w:fill="F2F2F2" w:themeFill="background1" w:themeFillShade="F2"/>
            <w:hideMark/>
          </w:tcPr>
          <w:p w14:paraId="2EBE2C08" w14:textId="77777777" w:rsidR="00653EDA" w:rsidRPr="00D76CC5" w:rsidRDefault="00653EDA" w:rsidP="00782511">
            <w:pPr>
              <w:spacing w:after="0"/>
              <w:jc w:val="left"/>
              <w:rPr>
                <w:rFonts w:eastAsia="Times New Roman" w:cs="Segoe UI"/>
                <w:bCs/>
                <w:sz w:val="18"/>
                <w:szCs w:val="18"/>
                <w:lang w:eastAsia="en-AU"/>
              </w:rPr>
            </w:pPr>
            <w:r w:rsidRPr="00D76CC5">
              <w:rPr>
                <w:rFonts w:eastAsia="Times New Roman" w:cs="Segoe UI"/>
                <w:bCs/>
                <w:sz w:val="18"/>
                <w:szCs w:val="18"/>
                <w:lang w:eastAsia="en-AU"/>
              </w:rPr>
              <w:t xml:space="preserve">Hospital admissions for assault-related conditions 2002/03 to 2011/12 </w:t>
            </w:r>
            <w:r w:rsidRPr="00D76CC5">
              <w:rPr>
                <w:rFonts w:eastAsia="Times New Roman" w:cs="Segoe UI"/>
                <w:bCs/>
                <w:sz w:val="18"/>
                <w:szCs w:val="18"/>
                <w:vertAlign w:val="superscript"/>
                <w:lang w:eastAsia="en-AU"/>
              </w:rPr>
              <w:t>1</w:t>
            </w:r>
          </w:p>
        </w:tc>
        <w:tc>
          <w:tcPr>
            <w:tcW w:w="1570" w:type="dxa"/>
            <w:shd w:val="clear" w:color="auto" w:fill="F2F2F2" w:themeFill="background1" w:themeFillShade="F2"/>
            <w:noWrap/>
            <w:hideMark/>
          </w:tcPr>
          <w:p w14:paraId="2EBE2C09"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c>
          <w:tcPr>
            <w:tcW w:w="1531" w:type="dxa"/>
            <w:shd w:val="clear" w:color="auto" w:fill="F2F2F2" w:themeFill="background1" w:themeFillShade="F2"/>
            <w:noWrap/>
            <w:hideMark/>
          </w:tcPr>
          <w:p w14:paraId="2EBE2C0A"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59" w:type="dxa"/>
            <w:shd w:val="clear" w:color="auto" w:fill="F2F2F2" w:themeFill="background1" w:themeFillShade="F2"/>
            <w:noWrap/>
            <w:hideMark/>
          </w:tcPr>
          <w:p w14:paraId="2EBE2C0B"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371" w:type="dxa"/>
            <w:shd w:val="clear" w:color="auto" w:fill="F2F2F2" w:themeFill="background1" w:themeFillShade="F2"/>
            <w:noWrap/>
            <w:hideMark/>
          </w:tcPr>
          <w:p w14:paraId="2EBE2C0C"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r>
      <w:tr w:rsidR="00653EDA" w:rsidRPr="00D76CC5" w14:paraId="2EBE2C13" w14:textId="77777777" w:rsidTr="00782511">
        <w:trPr>
          <w:trHeight w:val="510"/>
        </w:trPr>
        <w:tc>
          <w:tcPr>
            <w:tcW w:w="3500" w:type="dxa"/>
            <w:shd w:val="clear" w:color="auto" w:fill="F2F2F2" w:themeFill="background1" w:themeFillShade="F2"/>
            <w:hideMark/>
          </w:tcPr>
          <w:p w14:paraId="2EBE2C0E" w14:textId="77777777" w:rsidR="00653EDA" w:rsidRPr="00D76CC5" w:rsidRDefault="00653EDA" w:rsidP="00782511">
            <w:pPr>
              <w:spacing w:after="0"/>
              <w:jc w:val="left"/>
              <w:rPr>
                <w:rFonts w:eastAsia="Times New Roman" w:cs="Segoe UI"/>
                <w:bCs/>
                <w:sz w:val="18"/>
                <w:szCs w:val="18"/>
                <w:lang w:eastAsia="en-AU"/>
              </w:rPr>
            </w:pPr>
            <w:r w:rsidRPr="00D76CC5">
              <w:rPr>
                <w:rFonts w:eastAsia="Times New Roman" w:cs="Segoe UI"/>
                <w:bCs/>
                <w:sz w:val="18"/>
                <w:szCs w:val="18"/>
                <w:lang w:eastAsia="en-AU"/>
              </w:rPr>
              <w:t xml:space="preserve">Reported offences against the person 2002/03 to 2011/12 </w:t>
            </w:r>
            <w:r w:rsidRPr="00D76CC5">
              <w:rPr>
                <w:rFonts w:eastAsia="Times New Roman" w:cs="Segoe UI"/>
                <w:bCs/>
                <w:sz w:val="18"/>
                <w:szCs w:val="18"/>
                <w:vertAlign w:val="superscript"/>
                <w:lang w:eastAsia="en-AU"/>
              </w:rPr>
              <w:t>1</w:t>
            </w:r>
          </w:p>
        </w:tc>
        <w:tc>
          <w:tcPr>
            <w:tcW w:w="1570" w:type="dxa"/>
            <w:shd w:val="clear" w:color="auto" w:fill="F2F2F2" w:themeFill="background1" w:themeFillShade="F2"/>
            <w:noWrap/>
            <w:hideMark/>
          </w:tcPr>
          <w:p w14:paraId="2EBE2C0F"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31" w:type="dxa"/>
            <w:shd w:val="clear" w:color="auto" w:fill="F2F2F2" w:themeFill="background1" w:themeFillShade="F2"/>
            <w:noWrap/>
            <w:hideMark/>
          </w:tcPr>
          <w:p w14:paraId="2EBE2C10"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59" w:type="dxa"/>
            <w:shd w:val="clear" w:color="auto" w:fill="F2F2F2" w:themeFill="background1" w:themeFillShade="F2"/>
            <w:noWrap/>
            <w:hideMark/>
          </w:tcPr>
          <w:p w14:paraId="2EBE2C11"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371" w:type="dxa"/>
            <w:shd w:val="clear" w:color="auto" w:fill="F2F2F2" w:themeFill="background1" w:themeFillShade="F2"/>
            <w:noWrap/>
            <w:hideMark/>
          </w:tcPr>
          <w:p w14:paraId="2EBE2C12"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n.a.</w:t>
            </w:r>
          </w:p>
        </w:tc>
      </w:tr>
      <w:tr w:rsidR="00653EDA" w:rsidRPr="00D76CC5" w14:paraId="2EBE2C19" w14:textId="77777777" w:rsidTr="00782511">
        <w:trPr>
          <w:trHeight w:val="750"/>
        </w:trPr>
        <w:tc>
          <w:tcPr>
            <w:tcW w:w="3500" w:type="dxa"/>
            <w:shd w:val="clear" w:color="auto" w:fill="F2F2F2" w:themeFill="background1" w:themeFillShade="F2"/>
            <w:hideMark/>
          </w:tcPr>
          <w:p w14:paraId="2EBE2C14" w14:textId="77777777" w:rsidR="00653EDA" w:rsidRPr="00D76CC5" w:rsidRDefault="00653EDA" w:rsidP="00782511">
            <w:pPr>
              <w:spacing w:after="0"/>
              <w:jc w:val="left"/>
              <w:rPr>
                <w:rFonts w:eastAsia="Times New Roman" w:cs="Segoe UI"/>
                <w:bCs/>
                <w:sz w:val="18"/>
                <w:szCs w:val="18"/>
                <w:lang w:eastAsia="en-AU"/>
              </w:rPr>
            </w:pPr>
            <w:r w:rsidRPr="00D76CC5">
              <w:rPr>
                <w:rFonts w:eastAsia="Times New Roman" w:cs="Segoe UI"/>
                <w:bCs/>
                <w:sz w:val="18"/>
                <w:szCs w:val="18"/>
                <w:lang w:eastAsia="en-AU"/>
              </w:rPr>
              <w:t xml:space="preserve">Children subject of a substantiated notification of harm 2010/11 to 2011/12 </w:t>
            </w:r>
            <w:r w:rsidRPr="00D76CC5">
              <w:rPr>
                <w:rFonts w:eastAsia="Times New Roman" w:cs="Segoe UI"/>
                <w:bCs/>
                <w:sz w:val="18"/>
                <w:szCs w:val="18"/>
                <w:vertAlign w:val="superscript"/>
                <w:lang w:eastAsia="en-AU"/>
              </w:rPr>
              <w:t>1</w:t>
            </w:r>
          </w:p>
        </w:tc>
        <w:tc>
          <w:tcPr>
            <w:tcW w:w="1570" w:type="dxa"/>
            <w:shd w:val="clear" w:color="auto" w:fill="F2F2F2" w:themeFill="background1" w:themeFillShade="F2"/>
            <w:noWrap/>
            <w:hideMark/>
          </w:tcPr>
          <w:p w14:paraId="2EBE2C15"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31" w:type="dxa"/>
            <w:shd w:val="clear" w:color="auto" w:fill="F2F2F2" w:themeFill="background1" w:themeFillShade="F2"/>
            <w:noWrap/>
            <w:hideMark/>
          </w:tcPr>
          <w:p w14:paraId="2EBE2C16"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59" w:type="dxa"/>
            <w:shd w:val="clear" w:color="auto" w:fill="F2F2F2" w:themeFill="background1" w:themeFillShade="F2"/>
            <w:noWrap/>
            <w:hideMark/>
          </w:tcPr>
          <w:p w14:paraId="2EBE2C17"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371" w:type="dxa"/>
            <w:shd w:val="clear" w:color="auto" w:fill="F2F2F2" w:themeFill="background1" w:themeFillShade="F2"/>
            <w:noWrap/>
            <w:hideMark/>
          </w:tcPr>
          <w:p w14:paraId="2EBE2C18"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r>
      <w:tr w:rsidR="00653EDA" w:rsidRPr="00D76CC5" w14:paraId="2EBE2C1F" w14:textId="77777777" w:rsidTr="00782511">
        <w:trPr>
          <w:trHeight w:val="510"/>
        </w:trPr>
        <w:tc>
          <w:tcPr>
            <w:tcW w:w="3500" w:type="dxa"/>
            <w:shd w:val="clear" w:color="auto" w:fill="F2F2F2" w:themeFill="background1" w:themeFillShade="F2"/>
            <w:hideMark/>
          </w:tcPr>
          <w:p w14:paraId="2EBE2C1A" w14:textId="77777777" w:rsidR="00653EDA" w:rsidRPr="00D76CC5" w:rsidRDefault="00653EDA" w:rsidP="00782511">
            <w:pPr>
              <w:spacing w:after="0"/>
              <w:jc w:val="left"/>
              <w:rPr>
                <w:rFonts w:eastAsia="Times New Roman" w:cs="Segoe UI"/>
                <w:bCs/>
                <w:sz w:val="18"/>
                <w:szCs w:val="18"/>
                <w:lang w:eastAsia="en-AU"/>
              </w:rPr>
            </w:pPr>
            <w:r w:rsidRPr="00D76CC5">
              <w:rPr>
                <w:rFonts w:eastAsia="Times New Roman" w:cs="Segoe UI"/>
                <w:bCs/>
                <w:sz w:val="18"/>
                <w:szCs w:val="18"/>
                <w:lang w:eastAsia="en-AU"/>
              </w:rPr>
              <w:t xml:space="preserve">Children admitted to child protection orders 2010/11 to 2011/12 </w:t>
            </w:r>
            <w:r w:rsidRPr="00D76CC5">
              <w:rPr>
                <w:rFonts w:eastAsia="Times New Roman" w:cs="Segoe UI"/>
                <w:bCs/>
                <w:sz w:val="18"/>
                <w:szCs w:val="18"/>
                <w:vertAlign w:val="superscript"/>
                <w:lang w:eastAsia="en-AU"/>
              </w:rPr>
              <w:t>1</w:t>
            </w:r>
          </w:p>
        </w:tc>
        <w:tc>
          <w:tcPr>
            <w:tcW w:w="1570" w:type="dxa"/>
            <w:shd w:val="clear" w:color="auto" w:fill="F2F2F2" w:themeFill="background1" w:themeFillShade="F2"/>
            <w:noWrap/>
            <w:hideMark/>
          </w:tcPr>
          <w:p w14:paraId="2EBE2C1B"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31" w:type="dxa"/>
            <w:shd w:val="clear" w:color="auto" w:fill="F2F2F2" w:themeFill="background1" w:themeFillShade="F2"/>
            <w:noWrap/>
            <w:hideMark/>
          </w:tcPr>
          <w:p w14:paraId="2EBE2C1C"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559" w:type="dxa"/>
            <w:shd w:val="clear" w:color="auto" w:fill="F2F2F2" w:themeFill="background1" w:themeFillShade="F2"/>
            <w:noWrap/>
            <w:hideMark/>
          </w:tcPr>
          <w:p w14:paraId="2EBE2C1D"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c>
          <w:tcPr>
            <w:tcW w:w="1371" w:type="dxa"/>
            <w:shd w:val="clear" w:color="auto" w:fill="F2F2F2" w:themeFill="background1" w:themeFillShade="F2"/>
            <w:noWrap/>
            <w:hideMark/>
          </w:tcPr>
          <w:p w14:paraId="2EBE2C1E"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t>
            </w:r>
          </w:p>
        </w:tc>
      </w:tr>
      <w:tr w:rsidR="00653EDA" w:rsidRPr="00D76CC5" w14:paraId="2EBE2C25" w14:textId="77777777" w:rsidTr="00782511">
        <w:trPr>
          <w:trHeight w:val="510"/>
        </w:trPr>
        <w:tc>
          <w:tcPr>
            <w:tcW w:w="3500" w:type="dxa"/>
            <w:shd w:val="clear" w:color="auto" w:fill="F2F2F2" w:themeFill="background1" w:themeFillShade="F2"/>
          </w:tcPr>
          <w:p w14:paraId="2EBE2C20" w14:textId="77777777" w:rsidR="00653EDA" w:rsidRPr="00D76CC5" w:rsidRDefault="00653EDA" w:rsidP="00782511">
            <w:pPr>
              <w:spacing w:after="0"/>
              <w:jc w:val="left"/>
              <w:rPr>
                <w:rFonts w:eastAsia="Times New Roman" w:cs="Segoe UI"/>
                <w:bCs/>
                <w:sz w:val="18"/>
                <w:szCs w:val="18"/>
                <w:lang w:eastAsia="en-AU"/>
              </w:rPr>
            </w:pPr>
            <w:r w:rsidRPr="00D76CC5">
              <w:rPr>
                <w:rFonts w:eastAsia="Times New Roman" w:cs="Segoe UI"/>
                <w:bCs/>
                <w:sz w:val="18"/>
                <w:szCs w:val="18"/>
                <w:lang w:eastAsia="en-AU"/>
              </w:rPr>
              <w:t xml:space="preserve">Hospital admissions relating to assault from 2008/09  to December 2012 </w:t>
            </w:r>
          </w:p>
        </w:tc>
        <w:tc>
          <w:tcPr>
            <w:tcW w:w="1570" w:type="dxa"/>
            <w:shd w:val="clear" w:color="auto" w:fill="F2F2F2" w:themeFill="background1" w:themeFillShade="F2"/>
            <w:noWrap/>
          </w:tcPr>
          <w:p w14:paraId="2EBE2C21"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c>
          <w:tcPr>
            <w:tcW w:w="1531" w:type="dxa"/>
            <w:shd w:val="clear" w:color="auto" w:fill="F2F2F2" w:themeFill="background1" w:themeFillShade="F2"/>
            <w:noWrap/>
          </w:tcPr>
          <w:p w14:paraId="2EBE2C22"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 (low)</w:t>
            </w:r>
          </w:p>
        </w:tc>
        <w:tc>
          <w:tcPr>
            <w:tcW w:w="1559" w:type="dxa"/>
            <w:shd w:val="clear" w:color="auto" w:fill="F2F2F2" w:themeFill="background1" w:themeFillShade="F2"/>
            <w:noWrap/>
          </w:tcPr>
          <w:p w14:paraId="2EBE2C23"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Static (low)</w:t>
            </w:r>
          </w:p>
        </w:tc>
        <w:tc>
          <w:tcPr>
            <w:tcW w:w="1371" w:type="dxa"/>
            <w:shd w:val="clear" w:color="auto" w:fill="F2F2F2" w:themeFill="background1" w:themeFillShade="F2"/>
            <w:noWrap/>
          </w:tcPr>
          <w:p w14:paraId="2EBE2C24" w14:textId="77777777" w:rsidR="00653EDA" w:rsidRPr="00D76CC5" w:rsidRDefault="00653EDA" w:rsidP="00782511">
            <w:pPr>
              <w:spacing w:after="0"/>
              <w:jc w:val="center"/>
              <w:rPr>
                <w:rFonts w:eastAsia="Times New Roman" w:cs="Segoe UI"/>
                <w:sz w:val="18"/>
                <w:szCs w:val="18"/>
                <w:lang w:eastAsia="en-AU"/>
              </w:rPr>
            </w:pPr>
            <w:r w:rsidRPr="00D76CC5">
              <w:rPr>
                <w:rFonts w:eastAsia="Times New Roman" w:cs="Segoe UI"/>
                <w:sz w:val="18"/>
                <w:szCs w:val="18"/>
                <w:lang w:eastAsia="en-AU"/>
              </w:rPr>
              <w:t>Worse</w:t>
            </w:r>
          </w:p>
        </w:tc>
      </w:tr>
    </w:tbl>
    <w:p w14:paraId="2EBE2C26" w14:textId="77777777" w:rsidR="00204D69" w:rsidRPr="0074554D" w:rsidRDefault="00204D69" w:rsidP="00204D69">
      <w:pPr>
        <w:rPr>
          <w:sz w:val="16"/>
          <w:szCs w:val="16"/>
        </w:rPr>
      </w:pPr>
      <w:r w:rsidRPr="0074554D">
        <w:rPr>
          <w:sz w:val="16"/>
          <w:szCs w:val="16"/>
        </w:rPr>
        <w:t>Note (1): Queensland Government discrete indigenous community key indicator.</w:t>
      </w:r>
    </w:p>
    <w:p w14:paraId="2EBE2C27" w14:textId="77777777" w:rsidR="00204D69" w:rsidRDefault="00204D69" w:rsidP="00204D69">
      <w:r w:rsidRPr="009F74EB">
        <w:rPr>
          <w:lang w:eastAsia="x-none"/>
        </w:rPr>
        <w:t>In conclusion based on</w:t>
      </w:r>
      <w:r>
        <w:rPr>
          <w:lang w:eastAsia="x-none"/>
        </w:rPr>
        <w:t xml:space="preserve"> individual outcome measures </w:t>
      </w:r>
      <w:r w:rsidRPr="009F74EB">
        <w:rPr>
          <w:lang w:eastAsia="x-none"/>
        </w:rPr>
        <w:t xml:space="preserve">overall the WBCs (excluding Aurukun) are having a clinically and statistically significant positive effect on the level of risky drinking and the level of cannabis dependency and these changes are being replicated with FRC clients. </w:t>
      </w:r>
    </w:p>
    <w:p w14:paraId="2EBE2C28" w14:textId="77777777" w:rsidR="00204D69" w:rsidRPr="008F7FC9" w:rsidRDefault="00204D69" w:rsidP="00204D69">
      <w:pPr>
        <w:pStyle w:val="Heading2"/>
      </w:pPr>
      <w:bookmarkStart w:id="79" w:name="_Mental_health_and"/>
      <w:bookmarkStart w:id="80" w:name="_Toc440038433"/>
      <w:bookmarkEnd w:id="79"/>
      <w:r>
        <w:t>Mental health and SEWB</w:t>
      </w:r>
      <w:bookmarkEnd w:id="80"/>
    </w:p>
    <w:p w14:paraId="2EBE2C29" w14:textId="3C529058" w:rsidR="00204D69" w:rsidRDefault="00204D69" w:rsidP="00204D69">
      <w:pPr>
        <w:rPr>
          <w:lang w:eastAsia="x-none"/>
        </w:rPr>
      </w:pPr>
      <w:r w:rsidRPr="001A4A12">
        <w:rPr>
          <w:lang w:eastAsia="x-none"/>
        </w:rPr>
        <w:t xml:space="preserve">This section presents </w:t>
      </w:r>
      <w:r>
        <w:rPr>
          <w:lang w:eastAsia="x-none"/>
        </w:rPr>
        <w:t xml:space="preserve">for mental health and SEWB </w:t>
      </w:r>
      <w:r w:rsidRPr="001A4A12">
        <w:rPr>
          <w:lang w:eastAsia="x-none"/>
        </w:rPr>
        <w:t>the impact of WBC services on client</w:t>
      </w:r>
      <w:r w:rsidRPr="00862694">
        <w:rPr>
          <w:lang w:eastAsia="x-none"/>
        </w:rPr>
        <w:t>s</w:t>
      </w:r>
      <w:r>
        <w:rPr>
          <w:lang w:eastAsia="x-none"/>
        </w:rPr>
        <w:t xml:space="preserve">. </w:t>
      </w:r>
      <w:r>
        <w:t>As no community wide measures of SEWB were available to the evaluation we have also presented the perspective of community members on how the whole communi</w:t>
      </w:r>
      <w:r w:rsidR="00312279">
        <w:t>ty has changed in this section.</w:t>
      </w:r>
    </w:p>
    <w:p w14:paraId="2EBE2C2A" w14:textId="77777777" w:rsidR="00204D69" w:rsidRDefault="00204D69" w:rsidP="00BC0A26">
      <w:pPr>
        <w:pStyle w:val="Heading3"/>
        <w:rPr>
          <w:lang w:val="en-AU"/>
        </w:rPr>
      </w:pPr>
      <w:bookmarkStart w:id="81" w:name="_Ref387328466"/>
      <w:r>
        <w:lastRenderedPageBreak/>
        <w:t>Individual outcomes</w:t>
      </w:r>
      <w:bookmarkEnd w:id="81"/>
    </w:p>
    <w:p w14:paraId="2EBE2C2B" w14:textId="77777777" w:rsidR="00204D69" w:rsidRDefault="00204D69" w:rsidP="00FF37EE">
      <w:pPr>
        <w:pStyle w:val="Heading4"/>
      </w:pPr>
      <w:r>
        <w:t>Outcome measures</w:t>
      </w:r>
    </w:p>
    <w:p w14:paraId="2EBE2C2C" w14:textId="77777777" w:rsidR="00204D69" w:rsidRDefault="00204D69" w:rsidP="00204D69">
      <w:r>
        <w:t>This sub-section presents the impact on clients mental health and SEWB as measured by the</w:t>
      </w:r>
      <w:r w:rsidRPr="00F77702">
        <w:t xml:space="preserve"> Health of th</w:t>
      </w:r>
      <w:r>
        <w:t>e Nation Outcome Scales (HoNOS),</w:t>
      </w:r>
      <w:r w:rsidRPr="00F77702">
        <w:t xml:space="preserve"> the Kessler Psychological Distress scale (K10)</w:t>
      </w:r>
      <w:r>
        <w:t xml:space="preserve"> and the relevant section of the Indigenous Risk Impact Screen (IRIS). This sub-section also reports individual impacts reported by clients and community members where relevant.</w:t>
      </w:r>
    </w:p>
    <w:p w14:paraId="2EBE2C2D" w14:textId="77777777" w:rsidR="00204D69" w:rsidRDefault="00204D69" w:rsidP="00204D69">
      <w:r w:rsidRPr="00CF3F2F">
        <w:t xml:space="preserve">The </w:t>
      </w:r>
      <w:r>
        <w:t>K10</w:t>
      </w:r>
      <w:r w:rsidRPr="00CF3F2F">
        <w:t xml:space="preserve"> is a 10-item questionnaire intended to yield a global measure of </w:t>
      </w:r>
      <w:r>
        <w:t xml:space="preserve">psychological </w:t>
      </w:r>
      <w:r w:rsidRPr="00CF3F2F">
        <w:t>distress based on questions about anxiety and depressive symptoms that a person has e</w:t>
      </w:r>
      <w:r>
        <w:t>xperienced in the most recent 4-</w:t>
      </w:r>
      <w:r w:rsidRPr="00CF3F2F">
        <w:t xml:space="preserve">week period. </w:t>
      </w:r>
      <w:r>
        <w:t>RFDS c</w:t>
      </w:r>
      <w:r w:rsidRPr="009E7A1B">
        <w:t xml:space="preserve">linicians report that by and large the K10 is accepted, but as it is a self-report tool and a number of clients are illiterate, it has its difficulties. At times it has been </w:t>
      </w:r>
      <w:r>
        <w:t>reported that the K10 interfere</w:t>
      </w:r>
      <w:r w:rsidRPr="009E7A1B">
        <w:t>s with the counselling session with Indigenous clients. The K1</w:t>
      </w:r>
      <w:r>
        <w:t xml:space="preserve">0 </w:t>
      </w:r>
      <w:r w:rsidRPr="009E7A1B">
        <w:t>process can be slow for these reasons.</w:t>
      </w:r>
    </w:p>
    <w:p w14:paraId="2EBE2C2E" w14:textId="77777777" w:rsidR="00204D69" w:rsidRDefault="00204D69" w:rsidP="00204D69">
      <w:pPr>
        <w:rPr>
          <w:rFonts w:eastAsia="Times New Roman" w:cs="Segoe UI"/>
          <w:color w:val="auto"/>
          <w:szCs w:val="20"/>
          <w:lang w:eastAsia="en-AU"/>
        </w:rPr>
      </w:pPr>
      <w:r>
        <w:rPr>
          <w:rFonts w:cs="Segoe UI"/>
          <w:color w:val="auto"/>
          <w:szCs w:val="20"/>
        </w:rPr>
        <w:t>The HoNOS</w:t>
      </w:r>
      <w:r w:rsidRPr="00C40F5F">
        <w:rPr>
          <w:rFonts w:cs="Segoe UI"/>
          <w:color w:val="auto"/>
          <w:szCs w:val="20"/>
        </w:rPr>
        <w:t xml:space="preserve"> was developed to become a standardised assessment tool to be used routinely by all mental health practitioners to measure health outcomes. </w:t>
      </w:r>
      <w:r w:rsidRPr="00C40F5F">
        <w:rPr>
          <w:rFonts w:eastAsia="Times New Roman" w:cs="Segoe UI"/>
          <w:color w:val="auto"/>
          <w:szCs w:val="20"/>
          <w:lang w:eastAsia="en-AU"/>
        </w:rPr>
        <w:t>The developers of HoNOS state that it is acceptable, clinically useful, reliable, sensitive to change and useful for administration and planning within such settings</w:t>
      </w:r>
      <w:r>
        <w:rPr>
          <w:rFonts w:eastAsia="Times New Roman" w:cs="Segoe UI"/>
          <w:color w:val="auto"/>
          <w:szCs w:val="20"/>
          <w:lang w:eastAsia="en-AU"/>
        </w:rPr>
        <w:t>.</w:t>
      </w:r>
      <w:r w:rsidRPr="00C40F5F">
        <w:rPr>
          <w:rStyle w:val="FootnoteReference"/>
          <w:rFonts w:eastAsia="Times New Roman" w:cs="Segoe UI"/>
          <w:color w:val="auto"/>
          <w:szCs w:val="20"/>
          <w:lang w:eastAsia="en-AU"/>
        </w:rPr>
        <w:footnoteReference w:id="8"/>
      </w:r>
      <w:r w:rsidRPr="00C40F5F">
        <w:rPr>
          <w:rFonts w:eastAsia="Times New Roman" w:cs="Segoe UI"/>
          <w:color w:val="auto"/>
          <w:szCs w:val="20"/>
          <w:lang w:eastAsia="en-AU"/>
        </w:rPr>
        <w:t xml:space="preserve"> </w:t>
      </w:r>
    </w:p>
    <w:p w14:paraId="2EBE2C2F" w14:textId="77777777" w:rsidR="00204D69" w:rsidRDefault="00204D69" w:rsidP="00204D69">
      <w:pPr>
        <w:rPr>
          <w:rFonts w:eastAsia="Times New Roman" w:cs="Segoe UI"/>
          <w:color w:val="auto"/>
          <w:szCs w:val="20"/>
          <w:lang w:eastAsia="en-AU"/>
        </w:rPr>
      </w:pPr>
      <w:r w:rsidRPr="00531E11">
        <w:rPr>
          <w:rFonts w:eastAsia="Times New Roman" w:cs="Segoe UI"/>
          <w:color w:val="auto"/>
          <w:szCs w:val="20"/>
          <w:lang w:eastAsia="en-AU"/>
        </w:rPr>
        <w:t>HoNOS is being used in the evaluation as it is widely used in Australian mental health services including in Indigenous populations. HoNOS has not been validated for use in Indigenous Australian populations and there are questions in relation to inter-rater reliability. Its use is supported with appropriate training and support for raters (which has occurred at the RFDS) pending the introduction of a more suitable tool</w:t>
      </w:r>
      <w:r>
        <w:rPr>
          <w:rFonts w:eastAsia="Times New Roman" w:cs="Segoe UI"/>
          <w:color w:val="auto"/>
          <w:szCs w:val="20"/>
          <w:lang w:eastAsia="en-AU"/>
        </w:rPr>
        <w:t>.</w:t>
      </w:r>
      <w:r>
        <w:rPr>
          <w:rStyle w:val="FootnoteReference"/>
          <w:rFonts w:eastAsia="Times New Roman" w:cs="Segoe UI"/>
          <w:color w:val="auto"/>
          <w:szCs w:val="20"/>
          <w:lang w:eastAsia="en-AU"/>
        </w:rPr>
        <w:footnoteReference w:id="9"/>
      </w:r>
      <w:r>
        <w:rPr>
          <w:rFonts w:eastAsia="Times New Roman" w:cs="Segoe UI"/>
          <w:color w:val="auto"/>
          <w:szCs w:val="20"/>
          <w:lang w:eastAsia="en-AU"/>
        </w:rPr>
        <w:t xml:space="preserve"> </w:t>
      </w:r>
      <w:r w:rsidRPr="009E7A1B">
        <w:rPr>
          <w:rFonts w:eastAsia="Times New Roman" w:cs="Segoe UI"/>
          <w:color w:val="auto"/>
          <w:szCs w:val="20"/>
          <w:lang w:eastAsia="en-AU"/>
        </w:rPr>
        <w:t xml:space="preserve">The HoNOS is a clinician rated tool and the client does not need to contribute. It takes approximately five minutes to complete.  </w:t>
      </w:r>
    </w:p>
    <w:p w14:paraId="2EBE2C30" w14:textId="77777777" w:rsidR="00204D69" w:rsidRDefault="00204D69" w:rsidP="00204D69">
      <w:pPr>
        <w:rPr>
          <w:lang w:eastAsia="x-none"/>
        </w:rPr>
      </w:pPr>
      <w:r w:rsidRPr="001A4A12">
        <w:rPr>
          <w:lang w:eastAsia="x-none"/>
        </w:rPr>
        <w:t>Additionally there was on average 168 days between the date of the initial and latest review observations (for both the HoNOS and K10) thus allowing sufficient time for any benefit to accrue (within the context of client fluctuations that can and do occur</w:t>
      </w:r>
      <w:r>
        <w:rPr>
          <w:lang w:eastAsia="x-none"/>
        </w:rPr>
        <w:t>).</w:t>
      </w:r>
    </w:p>
    <w:p w14:paraId="2EBE2C31" w14:textId="77777777" w:rsidR="00204D69" w:rsidRDefault="00204D69" w:rsidP="00FF37EE">
      <w:pPr>
        <w:pStyle w:val="Heading4"/>
      </w:pPr>
      <w:r w:rsidRPr="001A30FD">
        <w:t>K10</w:t>
      </w:r>
    </w:p>
    <w:p w14:paraId="2EBE2C32" w14:textId="77777777" w:rsidR="00204D69" w:rsidRDefault="00204D69" w:rsidP="001A30FD">
      <w:pPr>
        <w:shd w:val="clear" w:color="auto" w:fill="FFFFFF"/>
        <w:spacing w:before="120" w:after="120"/>
        <w:rPr>
          <w:rFonts w:eastAsia="Times New Roman" w:cs="Segoe UI"/>
          <w:color w:val="auto"/>
          <w:szCs w:val="20"/>
          <w:lang w:eastAsia="en-AU"/>
        </w:rPr>
      </w:pPr>
      <w:r>
        <w:rPr>
          <w:rFonts w:eastAsia="Times New Roman" w:cs="Segoe UI"/>
          <w:color w:val="auto"/>
          <w:szCs w:val="20"/>
          <w:lang w:eastAsia="en-AU"/>
        </w:rPr>
        <w:fldChar w:fldCharType="begin"/>
      </w:r>
      <w:r>
        <w:rPr>
          <w:rFonts w:eastAsia="Times New Roman" w:cs="Segoe UI"/>
          <w:color w:val="auto"/>
          <w:szCs w:val="20"/>
          <w:lang w:eastAsia="en-AU"/>
        </w:rPr>
        <w:instrText xml:space="preserve"> REF _Ref387392715 \h </w:instrText>
      </w:r>
      <w:r>
        <w:rPr>
          <w:rFonts w:eastAsia="Times New Roman" w:cs="Segoe UI"/>
          <w:color w:val="auto"/>
          <w:szCs w:val="20"/>
          <w:lang w:eastAsia="en-AU"/>
        </w:rPr>
      </w:r>
      <w:r>
        <w:rPr>
          <w:rFonts w:eastAsia="Times New Roman" w:cs="Segoe UI"/>
          <w:color w:val="auto"/>
          <w:szCs w:val="20"/>
          <w:lang w:eastAsia="en-AU"/>
        </w:rPr>
        <w:fldChar w:fldCharType="separate"/>
      </w:r>
      <w:r w:rsidR="009A19EB">
        <w:t xml:space="preserve">Table </w:t>
      </w:r>
      <w:r w:rsidR="009A19EB">
        <w:rPr>
          <w:noProof/>
        </w:rPr>
        <w:t>2</w:t>
      </w:r>
      <w:r w:rsidR="009A19EB">
        <w:t>.</w:t>
      </w:r>
      <w:r w:rsidR="009A19EB">
        <w:rPr>
          <w:noProof/>
        </w:rPr>
        <w:t>4</w:t>
      </w:r>
      <w:r>
        <w:rPr>
          <w:rFonts w:eastAsia="Times New Roman" w:cs="Segoe UI"/>
          <w:color w:val="auto"/>
          <w:szCs w:val="20"/>
          <w:lang w:eastAsia="en-AU"/>
        </w:rPr>
        <w:fldChar w:fldCharType="end"/>
      </w:r>
      <w:r>
        <w:rPr>
          <w:rFonts w:eastAsia="Times New Roman" w:cs="Segoe UI"/>
          <w:color w:val="auto"/>
          <w:szCs w:val="20"/>
          <w:lang w:eastAsia="en-AU"/>
        </w:rPr>
        <w:t xml:space="preserve"> presents the percentage change in K10 mean scores and the associated clinical and statistical significance by WBC and for FRC clients and the RFDS Cairns </w:t>
      </w:r>
      <w:r w:rsidR="00B27B14">
        <w:rPr>
          <w:rFonts w:eastAsia="Times New Roman" w:cs="Segoe UI"/>
          <w:color w:val="auto"/>
          <w:szCs w:val="20"/>
          <w:lang w:eastAsia="en-AU"/>
        </w:rPr>
        <w:t xml:space="preserve">and Far North </w:t>
      </w:r>
      <w:r>
        <w:rPr>
          <w:rFonts w:eastAsia="Times New Roman" w:cs="Segoe UI"/>
          <w:color w:val="auto"/>
          <w:szCs w:val="20"/>
          <w:lang w:eastAsia="en-AU"/>
        </w:rPr>
        <w:t>SEWB team</w:t>
      </w:r>
      <w:r w:rsidR="00B27B14">
        <w:rPr>
          <w:rFonts w:eastAsia="Times New Roman" w:cs="Segoe UI"/>
          <w:color w:val="auto"/>
          <w:szCs w:val="20"/>
          <w:lang w:eastAsia="en-AU"/>
        </w:rPr>
        <w:t xml:space="preserve"> which delivers services to remote indigenous communities</w:t>
      </w:r>
      <w:r>
        <w:rPr>
          <w:rFonts w:eastAsia="Times New Roman" w:cs="Segoe UI"/>
          <w:color w:val="auto"/>
          <w:szCs w:val="20"/>
          <w:lang w:eastAsia="en-AU"/>
        </w:rPr>
        <w:t xml:space="preserve"> for comparative purposes.</w:t>
      </w:r>
      <w:r w:rsidR="00AD4D47">
        <w:rPr>
          <w:rFonts w:eastAsia="Times New Roman" w:cs="Segoe UI"/>
          <w:color w:val="auto"/>
          <w:szCs w:val="20"/>
          <w:lang w:eastAsia="en-AU"/>
        </w:rPr>
        <w:t xml:space="preserve"> In the case of Mossman Gorge, whilst a number of entry or baseline </w:t>
      </w:r>
      <w:r w:rsidR="002E7F18">
        <w:rPr>
          <w:rFonts w:eastAsia="Times New Roman" w:cs="Segoe UI"/>
          <w:color w:val="auto"/>
          <w:szCs w:val="20"/>
          <w:lang w:eastAsia="en-AU"/>
        </w:rPr>
        <w:t xml:space="preserve">K10 </w:t>
      </w:r>
      <w:r w:rsidR="00AD4D47">
        <w:rPr>
          <w:rFonts w:eastAsia="Times New Roman" w:cs="Segoe UI"/>
          <w:color w:val="auto"/>
          <w:szCs w:val="20"/>
          <w:lang w:eastAsia="en-AU"/>
        </w:rPr>
        <w:t>scores were available for analysis</w:t>
      </w:r>
      <w:r w:rsidR="002E7F18">
        <w:rPr>
          <w:rFonts w:eastAsia="Times New Roman" w:cs="Segoe UI"/>
          <w:color w:val="auto"/>
          <w:szCs w:val="20"/>
          <w:lang w:eastAsia="en-AU"/>
        </w:rPr>
        <w:t xml:space="preserve">, </w:t>
      </w:r>
      <w:r w:rsidR="00AD4D47">
        <w:rPr>
          <w:rFonts w:eastAsia="Times New Roman" w:cs="Segoe UI"/>
          <w:color w:val="auto"/>
          <w:szCs w:val="20"/>
          <w:lang w:eastAsia="en-AU"/>
        </w:rPr>
        <w:t xml:space="preserve">there were </w:t>
      </w:r>
      <w:r w:rsidR="002E7F18">
        <w:rPr>
          <w:rFonts w:eastAsia="Times New Roman" w:cs="Segoe UI"/>
          <w:color w:val="auto"/>
          <w:szCs w:val="20"/>
          <w:lang w:eastAsia="en-AU"/>
        </w:rPr>
        <w:t>an insufficient number of follow-up scores available to allow for any potential change in score to be reliably interpreted.</w:t>
      </w:r>
    </w:p>
    <w:p w14:paraId="2EBE2C33" w14:textId="77777777" w:rsidR="00204D69" w:rsidRDefault="00204D69" w:rsidP="001A30FD">
      <w:pPr>
        <w:spacing w:before="120" w:after="120"/>
      </w:pPr>
      <w:r w:rsidRPr="00A90955">
        <w:t xml:space="preserve">As shown in </w:t>
      </w:r>
      <w:r w:rsidR="00CB46EB">
        <w:fldChar w:fldCharType="begin"/>
      </w:r>
      <w:r w:rsidR="00CB46EB">
        <w:instrText xml:space="preserve"> REF _Ref387392715 \h </w:instrText>
      </w:r>
      <w:r w:rsidR="00CB46EB">
        <w:fldChar w:fldCharType="separate"/>
      </w:r>
      <w:r w:rsidR="009A19EB">
        <w:t xml:space="preserve">Table </w:t>
      </w:r>
      <w:r w:rsidR="009A19EB">
        <w:rPr>
          <w:noProof/>
        </w:rPr>
        <w:t>2</w:t>
      </w:r>
      <w:r w:rsidR="009A19EB">
        <w:t>.</w:t>
      </w:r>
      <w:r w:rsidR="009A19EB">
        <w:rPr>
          <w:noProof/>
        </w:rPr>
        <w:t>4</w:t>
      </w:r>
      <w:r w:rsidR="00CB46EB">
        <w:fldChar w:fldCharType="end"/>
      </w:r>
      <w:r w:rsidR="00CB46EB">
        <w:t xml:space="preserve"> </w:t>
      </w:r>
      <w:r w:rsidRPr="00B51A29">
        <w:t xml:space="preserve">the WBC clients </w:t>
      </w:r>
      <w:r w:rsidR="00E77485">
        <w:t xml:space="preserve">of Coen and Hopevale </w:t>
      </w:r>
      <w:r w:rsidRPr="00B51A29">
        <w:t xml:space="preserve">showed statistically (p&lt;0.05) and clinically significant changes (Cohen’s d&gt;0.2) in the K10 scale. </w:t>
      </w:r>
      <w:r w:rsidR="005356F4">
        <w:t>A</w:t>
      </w:r>
      <w:r w:rsidR="00486CD5">
        <w:t xml:space="preserve">cross the </w:t>
      </w:r>
      <w:r w:rsidR="00487537">
        <w:t xml:space="preserve"> WBC</w:t>
      </w:r>
      <w:r w:rsidR="002E7F18">
        <w:t>s</w:t>
      </w:r>
      <w:r w:rsidR="00487537">
        <w:t xml:space="preserve">  </w:t>
      </w:r>
      <w:r w:rsidR="00E77485">
        <w:t xml:space="preserve">of Coen and Hopevale </w:t>
      </w:r>
      <w:r w:rsidR="007C6616">
        <w:t xml:space="preserve">there </w:t>
      </w:r>
      <w:r w:rsidR="00487537">
        <w:t>was a</w:t>
      </w:r>
      <w:r w:rsidR="00486CD5">
        <w:t xml:space="preserve"> medium effe</w:t>
      </w:r>
      <w:r w:rsidR="00487537">
        <w:t>ct (0.5)</w:t>
      </w:r>
      <w:r>
        <w:t xml:space="preserve">. FRC clients also showed a small clinical significance </w:t>
      </w:r>
      <w:r w:rsidR="002B474C">
        <w:t xml:space="preserve">effect </w:t>
      </w:r>
      <w:r>
        <w:t xml:space="preserve">but not at a statistically significant level. Overall </w:t>
      </w:r>
      <w:r w:rsidR="002B474C">
        <w:t>76</w:t>
      </w:r>
      <w:r>
        <w:t xml:space="preserve"> WBC clients (</w:t>
      </w:r>
      <w:r w:rsidR="002B474C">
        <w:t>59</w:t>
      </w:r>
      <w:r>
        <w:t xml:space="preserve">%) improved their score. </w:t>
      </w:r>
    </w:p>
    <w:p w14:paraId="2EBE2C34" w14:textId="117812BF" w:rsidR="00204D69" w:rsidRDefault="00204D69" w:rsidP="001A30FD">
      <w:pPr>
        <w:spacing w:before="120" w:after="120"/>
      </w:pPr>
      <w:r>
        <w:t xml:space="preserve">There were variations between WBCs. Aurukun had no clinically significant effect, Coen had a small effect, and Hopevale had a large effect. The changes were statistically significant at </w:t>
      </w:r>
      <w:r w:rsidR="005356F4">
        <w:t xml:space="preserve">the Coen and Hopevale </w:t>
      </w:r>
      <w:r>
        <w:t xml:space="preserve">WBCs </w:t>
      </w:r>
      <w:r w:rsidR="005356F4">
        <w:t xml:space="preserve">but not at </w:t>
      </w:r>
      <w:r>
        <w:t>Aurukun.</w:t>
      </w:r>
    </w:p>
    <w:p w14:paraId="2EBE2C35" w14:textId="77777777" w:rsidR="00204D69" w:rsidRDefault="00204D69" w:rsidP="001A30FD">
      <w:pPr>
        <w:spacing w:before="120" w:after="120"/>
      </w:pPr>
      <w:r w:rsidRPr="00B51A29">
        <w:lastRenderedPageBreak/>
        <w:t xml:space="preserve">These findings indicate a positive improvement in the anxiety and depressive symptoms of the clients, with </w:t>
      </w:r>
      <w:r>
        <w:t xml:space="preserve">WBC clients remaining on average in </w:t>
      </w:r>
      <w:r w:rsidRPr="00B51A29">
        <w:t>Risk Zone II (Likely to have a moderate disorder, K10 score 16-21).</w:t>
      </w:r>
      <w:r w:rsidRPr="00B51A29">
        <w:rPr>
          <w:rStyle w:val="FootnoteReference"/>
        </w:rPr>
        <w:footnoteReference w:id="10"/>
      </w:r>
      <w:r>
        <w:t xml:space="preserve"> </w:t>
      </w:r>
      <w:r w:rsidRPr="00092D7C">
        <w:t>More detailed level of information is provided at Appendix 7.</w:t>
      </w:r>
    </w:p>
    <w:p w14:paraId="2EBE2C36" w14:textId="75783300" w:rsidR="00204D69" w:rsidRPr="00C20E49" w:rsidRDefault="00FF37EE" w:rsidP="00FF37EE">
      <w:pPr>
        <w:pStyle w:val="Caption"/>
      </w:pPr>
      <w:bookmarkStart w:id="82" w:name="_Toc392686432"/>
      <w:bookmarkStart w:id="83" w:name="_Ref387392715"/>
      <w:r>
        <w:t xml:space="preserve">Table </w:t>
      </w:r>
      <w:r w:rsidR="00AA7DC9">
        <w:fldChar w:fldCharType="begin"/>
      </w:r>
      <w:r w:rsidR="00AA7DC9">
        <w:instrText xml:space="preserve"> STYLEREF 1 \s </w:instrText>
      </w:r>
      <w:r w:rsidR="00AA7DC9">
        <w:fldChar w:fldCharType="separate"/>
      </w:r>
      <w:r w:rsidR="00AA7DC9">
        <w:rPr>
          <w:noProof/>
        </w:rPr>
        <w:t>2</w:t>
      </w:r>
      <w:r w:rsidR="00AA7DC9">
        <w:fldChar w:fldCharType="end"/>
      </w:r>
      <w:r w:rsidR="00AA7DC9">
        <w:t>.</w:t>
      </w:r>
      <w:r w:rsidR="00AA7DC9">
        <w:fldChar w:fldCharType="begin"/>
      </w:r>
      <w:r w:rsidR="00AA7DC9">
        <w:instrText xml:space="preserve"> SEQ Table \* ARABIC \s 1 </w:instrText>
      </w:r>
      <w:r w:rsidR="00AA7DC9">
        <w:fldChar w:fldCharType="separate"/>
      </w:r>
      <w:r w:rsidR="00AA7DC9">
        <w:rPr>
          <w:noProof/>
        </w:rPr>
        <w:t>4</w:t>
      </w:r>
      <w:r w:rsidR="00AA7DC9">
        <w:fldChar w:fldCharType="end"/>
      </w:r>
      <w:bookmarkEnd w:id="83"/>
      <w:r w:rsidR="00204D69">
        <w:t xml:space="preserve">: </w:t>
      </w:r>
      <w:r w:rsidR="00204D69" w:rsidRPr="001C6EE6">
        <w:t xml:space="preserve">K10 – </w:t>
      </w:r>
      <w:r w:rsidR="00204D69">
        <w:t>Statistical o</w:t>
      </w:r>
      <w:r w:rsidR="00204D69" w:rsidRPr="001C6EE6">
        <w:t>verview of score changes (n=153)</w:t>
      </w:r>
      <w:bookmarkEnd w:id="82"/>
    </w:p>
    <w:tbl>
      <w:tblPr>
        <w:tblStyle w:val="Hoi2"/>
        <w:tblW w:w="8547" w:type="dxa"/>
        <w:jc w:val="center"/>
        <w:tblLook w:val="04A0" w:firstRow="1" w:lastRow="0" w:firstColumn="1" w:lastColumn="0" w:noHBand="0" w:noVBand="1"/>
        <w:tblCaption w:val="Table 2.4: K10 - Statistical overview of score changes (n=153)"/>
        <w:tblDescription w:val="Table 2.4 displays the statistical overview of score changes for the four Cape York communities. The first column has the statistical measures, which are % reduction in mean, Clinical Significance (Effect Size), and Statistical Significance. Columns 2,3,4 and 5 show the statistical details for Aurukun, Coen, Hopevale and Mossman Gorge and Column 6 shows the Total values. Columns 7 and 8 provide statistical details for Families Responsibilities Commission and Social and Emotional Wellbeing clients. "/>
      </w:tblPr>
      <w:tblGrid>
        <w:gridCol w:w="1919"/>
        <w:gridCol w:w="987"/>
        <w:gridCol w:w="907"/>
        <w:gridCol w:w="1323"/>
        <w:gridCol w:w="1365"/>
        <w:gridCol w:w="1012"/>
        <w:gridCol w:w="1034"/>
      </w:tblGrid>
      <w:tr w:rsidR="002E7F18" w:rsidRPr="00CB0A20" w14:paraId="2EBE2C3E" w14:textId="77777777" w:rsidTr="00377FC2">
        <w:trPr>
          <w:cnfStyle w:val="100000000000" w:firstRow="1" w:lastRow="0" w:firstColumn="0" w:lastColumn="0" w:oddVBand="0" w:evenVBand="0" w:oddHBand="0" w:evenHBand="0" w:firstRowFirstColumn="0" w:firstRowLastColumn="0" w:lastRowFirstColumn="0" w:lastRowLastColumn="0"/>
          <w:trHeight w:val="735"/>
          <w:tblHeader/>
          <w:jc w:val="center"/>
        </w:trPr>
        <w:tc>
          <w:tcPr>
            <w:tcW w:w="1919" w:type="dxa"/>
          </w:tcPr>
          <w:p w14:paraId="2EBE2C37" w14:textId="77777777" w:rsidR="002E7F18" w:rsidRPr="00CB0A20" w:rsidRDefault="002E7F18" w:rsidP="00782511">
            <w:pPr>
              <w:spacing w:after="0"/>
              <w:jc w:val="left"/>
              <w:rPr>
                <w:rFonts w:eastAsia="Times New Roman" w:cs="Segoe UI"/>
                <w:color w:val="auto"/>
                <w:sz w:val="18"/>
                <w:szCs w:val="18"/>
                <w:lang w:eastAsia="en-AU"/>
              </w:rPr>
            </w:pPr>
          </w:p>
        </w:tc>
        <w:tc>
          <w:tcPr>
            <w:tcW w:w="987" w:type="dxa"/>
            <w:hideMark/>
          </w:tcPr>
          <w:p w14:paraId="2EBE2C38" w14:textId="77777777" w:rsidR="002E7F18" w:rsidRPr="00CB0A20" w:rsidRDefault="002E7F18" w:rsidP="00782511">
            <w:pPr>
              <w:spacing w:after="0"/>
              <w:jc w:val="center"/>
              <w:rPr>
                <w:rFonts w:eastAsia="Times New Roman" w:cs="Segoe UI"/>
                <w:b/>
                <w:bCs/>
                <w:color w:val="auto"/>
                <w:sz w:val="18"/>
                <w:szCs w:val="18"/>
                <w:lang w:eastAsia="en-AU"/>
              </w:rPr>
            </w:pPr>
            <w:r w:rsidRPr="00CB0A20">
              <w:rPr>
                <w:rFonts w:eastAsia="Times New Roman" w:cs="Segoe UI"/>
                <w:b/>
                <w:bCs/>
                <w:color w:val="auto"/>
                <w:sz w:val="18"/>
                <w:szCs w:val="18"/>
                <w:lang w:eastAsia="en-AU"/>
              </w:rPr>
              <w:t>Aurukun (n=46)</w:t>
            </w:r>
          </w:p>
        </w:tc>
        <w:tc>
          <w:tcPr>
            <w:tcW w:w="907" w:type="dxa"/>
            <w:hideMark/>
          </w:tcPr>
          <w:p w14:paraId="2EBE2C39" w14:textId="77777777" w:rsidR="002E7F18" w:rsidRPr="00CB0A20" w:rsidRDefault="002E7F18" w:rsidP="00782511">
            <w:pPr>
              <w:spacing w:after="0"/>
              <w:jc w:val="center"/>
              <w:rPr>
                <w:rFonts w:eastAsia="Times New Roman" w:cs="Segoe UI"/>
                <w:b/>
                <w:bCs/>
                <w:color w:val="auto"/>
                <w:sz w:val="18"/>
                <w:szCs w:val="18"/>
                <w:lang w:eastAsia="en-AU"/>
              </w:rPr>
            </w:pPr>
            <w:r w:rsidRPr="00CB0A20">
              <w:rPr>
                <w:rFonts w:eastAsia="Times New Roman" w:cs="Segoe UI"/>
                <w:b/>
                <w:bCs/>
                <w:color w:val="auto"/>
                <w:sz w:val="18"/>
                <w:szCs w:val="18"/>
                <w:lang w:eastAsia="en-AU"/>
              </w:rPr>
              <w:t>Coen (n=46)</w:t>
            </w:r>
          </w:p>
        </w:tc>
        <w:tc>
          <w:tcPr>
            <w:tcW w:w="1323" w:type="dxa"/>
            <w:hideMark/>
          </w:tcPr>
          <w:p w14:paraId="2EBE2C3A" w14:textId="77777777" w:rsidR="002E7F18" w:rsidRPr="00CB0A20" w:rsidRDefault="002E7F18" w:rsidP="00782511">
            <w:pPr>
              <w:spacing w:after="0"/>
              <w:jc w:val="center"/>
              <w:rPr>
                <w:rFonts w:eastAsia="Times New Roman" w:cs="Segoe UI"/>
                <w:b/>
                <w:bCs/>
                <w:color w:val="auto"/>
                <w:sz w:val="18"/>
                <w:szCs w:val="18"/>
                <w:lang w:eastAsia="en-AU"/>
              </w:rPr>
            </w:pPr>
            <w:r w:rsidRPr="00CB0A20">
              <w:rPr>
                <w:rFonts w:eastAsia="Times New Roman" w:cs="Segoe UI"/>
                <w:b/>
                <w:bCs/>
                <w:color w:val="auto"/>
                <w:sz w:val="18"/>
                <w:szCs w:val="18"/>
                <w:lang w:eastAsia="en-AU"/>
              </w:rPr>
              <w:t>Hopevale (n=37)</w:t>
            </w:r>
          </w:p>
        </w:tc>
        <w:tc>
          <w:tcPr>
            <w:tcW w:w="1365" w:type="dxa"/>
            <w:hideMark/>
          </w:tcPr>
          <w:p w14:paraId="2EBE2C3B" w14:textId="77777777" w:rsidR="002E7F18" w:rsidRPr="00CB0A20" w:rsidRDefault="002E7F18" w:rsidP="002E7F18">
            <w:pPr>
              <w:spacing w:after="0"/>
              <w:jc w:val="center"/>
              <w:rPr>
                <w:rFonts w:eastAsia="Times New Roman" w:cs="Segoe UI"/>
                <w:b/>
                <w:bCs/>
                <w:color w:val="auto"/>
                <w:sz w:val="18"/>
                <w:szCs w:val="18"/>
                <w:lang w:eastAsia="en-AU"/>
              </w:rPr>
            </w:pPr>
            <w:r w:rsidRPr="00CB0A20">
              <w:rPr>
                <w:rFonts w:eastAsia="Times New Roman" w:cs="Segoe UI"/>
                <w:b/>
                <w:bCs/>
                <w:color w:val="auto"/>
                <w:sz w:val="18"/>
                <w:szCs w:val="18"/>
                <w:lang w:eastAsia="en-AU"/>
              </w:rPr>
              <w:t>Total (n=1</w:t>
            </w:r>
            <w:r>
              <w:rPr>
                <w:rFonts w:eastAsia="Times New Roman" w:cs="Segoe UI"/>
                <w:b/>
                <w:bCs/>
                <w:color w:val="auto"/>
                <w:sz w:val="18"/>
                <w:szCs w:val="18"/>
                <w:lang w:eastAsia="en-AU"/>
              </w:rPr>
              <w:t>29</w:t>
            </w:r>
            <w:r w:rsidRPr="00CB0A20">
              <w:rPr>
                <w:rFonts w:eastAsia="Times New Roman" w:cs="Segoe UI"/>
                <w:b/>
                <w:bCs/>
                <w:color w:val="auto"/>
                <w:sz w:val="18"/>
                <w:szCs w:val="18"/>
                <w:lang w:eastAsia="en-AU"/>
              </w:rPr>
              <w:t>)</w:t>
            </w:r>
          </w:p>
        </w:tc>
        <w:tc>
          <w:tcPr>
            <w:tcW w:w="1012" w:type="dxa"/>
            <w:hideMark/>
          </w:tcPr>
          <w:p w14:paraId="2EBE2C3C" w14:textId="77777777" w:rsidR="002E7F18" w:rsidRPr="00CB0A20" w:rsidRDefault="002E7F18" w:rsidP="002E7F18">
            <w:pPr>
              <w:spacing w:after="0"/>
              <w:jc w:val="center"/>
              <w:rPr>
                <w:rFonts w:eastAsia="Times New Roman" w:cs="Segoe UI"/>
                <w:b/>
                <w:bCs/>
                <w:color w:val="auto"/>
                <w:sz w:val="18"/>
                <w:szCs w:val="18"/>
                <w:lang w:eastAsia="en-AU"/>
              </w:rPr>
            </w:pPr>
            <w:r w:rsidRPr="00CB0A20">
              <w:rPr>
                <w:rFonts w:eastAsia="Times New Roman" w:cs="Segoe UI"/>
                <w:b/>
                <w:bCs/>
                <w:color w:val="auto"/>
                <w:sz w:val="18"/>
                <w:szCs w:val="18"/>
                <w:lang w:eastAsia="en-AU"/>
              </w:rPr>
              <w:t>FRC</w:t>
            </w:r>
            <w:r>
              <w:rPr>
                <w:rFonts w:eastAsia="Times New Roman" w:cs="Segoe UI"/>
                <w:b/>
                <w:bCs/>
                <w:color w:val="auto"/>
                <w:sz w:val="18"/>
                <w:szCs w:val="18"/>
                <w:lang w:eastAsia="en-AU"/>
              </w:rPr>
              <w:br/>
            </w:r>
            <w:r w:rsidRPr="00CB0A20">
              <w:rPr>
                <w:rFonts w:eastAsia="Times New Roman" w:cs="Segoe UI"/>
                <w:b/>
                <w:bCs/>
                <w:color w:val="auto"/>
                <w:sz w:val="18"/>
                <w:szCs w:val="18"/>
                <w:lang w:eastAsia="en-AU"/>
              </w:rPr>
              <w:t>(n= 38)</w:t>
            </w:r>
          </w:p>
        </w:tc>
        <w:tc>
          <w:tcPr>
            <w:tcW w:w="1034" w:type="dxa"/>
            <w:hideMark/>
          </w:tcPr>
          <w:p w14:paraId="2EBE2C3D" w14:textId="77777777" w:rsidR="002E7F18" w:rsidRPr="00CB0A20" w:rsidRDefault="002E7F18" w:rsidP="00782511">
            <w:pPr>
              <w:spacing w:after="0"/>
              <w:jc w:val="center"/>
              <w:rPr>
                <w:rFonts w:eastAsia="Times New Roman" w:cs="Segoe UI"/>
                <w:b/>
                <w:bCs/>
                <w:color w:val="auto"/>
                <w:sz w:val="18"/>
                <w:szCs w:val="18"/>
                <w:lang w:eastAsia="en-AU"/>
              </w:rPr>
            </w:pPr>
            <w:r w:rsidRPr="00CB0A20">
              <w:rPr>
                <w:rFonts w:eastAsia="Times New Roman" w:cs="Segoe UI"/>
                <w:b/>
                <w:bCs/>
                <w:color w:val="auto"/>
                <w:sz w:val="18"/>
                <w:szCs w:val="18"/>
                <w:lang w:eastAsia="en-AU"/>
              </w:rPr>
              <w:t>SEWB Cairns (n=43)</w:t>
            </w:r>
          </w:p>
        </w:tc>
      </w:tr>
      <w:tr w:rsidR="002E7F18" w:rsidRPr="00CB0A20" w14:paraId="2EBE2C47" w14:textId="77777777" w:rsidTr="006E4F76">
        <w:trPr>
          <w:trHeight w:val="315"/>
          <w:jc w:val="center"/>
        </w:trPr>
        <w:tc>
          <w:tcPr>
            <w:tcW w:w="1919" w:type="dxa"/>
            <w:shd w:val="clear" w:color="auto" w:fill="F2F2F2" w:themeFill="background1" w:themeFillShade="F2"/>
            <w:hideMark/>
          </w:tcPr>
          <w:p w14:paraId="2EBE2C3F" w14:textId="77777777" w:rsidR="002E7F18" w:rsidRPr="00CB0A20" w:rsidRDefault="002E7F18" w:rsidP="00782511">
            <w:pPr>
              <w:spacing w:after="0"/>
              <w:jc w:val="left"/>
              <w:rPr>
                <w:rFonts w:eastAsia="Times New Roman" w:cs="Segoe UI"/>
                <w:sz w:val="18"/>
                <w:szCs w:val="18"/>
                <w:lang w:eastAsia="en-AU"/>
              </w:rPr>
            </w:pPr>
            <w:r w:rsidRPr="00CB0A20">
              <w:rPr>
                <w:rFonts w:eastAsia="Times New Roman" w:cs="Segoe UI"/>
                <w:sz w:val="18"/>
                <w:szCs w:val="18"/>
                <w:lang w:eastAsia="en-AU"/>
              </w:rPr>
              <w:t xml:space="preserve">% </w:t>
            </w:r>
            <w:r>
              <w:rPr>
                <w:rFonts w:eastAsia="Times New Roman" w:cs="Segoe UI"/>
                <w:sz w:val="18"/>
                <w:szCs w:val="18"/>
                <w:lang w:eastAsia="en-AU"/>
              </w:rPr>
              <w:t>reduction in mean</w:t>
            </w:r>
          </w:p>
        </w:tc>
        <w:tc>
          <w:tcPr>
            <w:tcW w:w="987" w:type="dxa"/>
            <w:shd w:val="clear" w:color="auto" w:fill="F2F2F2" w:themeFill="background1" w:themeFillShade="F2"/>
            <w:hideMark/>
          </w:tcPr>
          <w:p w14:paraId="2EBE2C40"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-0.22%</w:t>
            </w:r>
          </w:p>
        </w:tc>
        <w:tc>
          <w:tcPr>
            <w:tcW w:w="907" w:type="dxa"/>
            <w:shd w:val="clear" w:color="auto" w:fill="F2F2F2" w:themeFill="background1" w:themeFillShade="F2"/>
            <w:hideMark/>
          </w:tcPr>
          <w:p w14:paraId="2EBE2C41"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5.84%</w:t>
            </w:r>
          </w:p>
        </w:tc>
        <w:tc>
          <w:tcPr>
            <w:tcW w:w="1323" w:type="dxa"/>
            <w:shd w:val="clear" w:color="auto" w:fill="F2F2F2" w:themeFill="background1" w:themeFillShade="F2"/>
            <w:hideMark/>
          </w:tcPr>
          <w:p w14:paraId="2EBE2C42"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12.86%</w:t>
            </w:r>
          </w:p>
        </w:tc>
        <w:tc>
          <w:tcPr>
            <w:tcW w:w="1365" w:type="dxa"/>
            <w:shd w:val="clear" w:color="auto" w:fill="F2F2F2" w:themeFill="background1" w:themeFillShade="F2"/>
            <w:hideMark/>
          </w:tcPr>
          <w:p w14:paraId="2EBE2C43" w14:textId="77777777" w:rsidR="002E7F18" w:rsidRDefault="003D11C9" w:rsidP="00782511">
            <w:pPr>
              <w:spacing w:after="0"/>
              <w:jc w:val="center"/>
              <w:rPr>
                <w:rFonts w:eastAsia="Times New Roman" w:cs="Segoe UI"/>
                <w:b/>
                <w:bCs/>
                <w:color w:val="auto"/>
                <w:sz w:val="18"/>
                <w:szCs w:val="18"/>
                <w:lang w:eastAsia="en-AU"/>
              </w:rPr>
            </w:pPr>
            <w:r>
              <w:rPr>
                <w:rFonts w:eastAsia="Times New Roman" w:cs="Segoe UI"/>
                <w:b/>
                <w:bCs/>
                <w:color w:val="auto"/>
                <w:sz w:val="18"/>
                <w:szCs w:val="18"/>
                <w:lang w:eastAsia="en-AU"/>
              </w:rPr>
              <w:t>5.69</w:t>
            </w:r>
            <w:r w:rsidR="002E7F18" w:rsidRPr="00CB0A20">
              <w:rPr>
                <w:rFonts w:eastAsia="Times New Roman" w:cs="Segoe UI"/>
                <w:b/>
                <w:bCs/>
                <w:color w:val="auto"/>
                <w:sz w:val="18"/>
                <w:szCs w:val="18"/>
                <w:lang w:eastAsia="en-AU"/>
              </w:rPr>
              <w:t>%</w:t>
            </w:r>
          </w:p>
          <w:p w14:paraId="2EBE2C44" w14:textId="77777777" w:rsidR="002E7F18" w:rsidRPr="00CB0A20" w:rsidRDefault="002E7F18" w:rsidP="00E77485">
            <w:pPr>
              <w:spacing w:after="0"/>
              <w:jc w:val="center"/>
              <w:rPr>
                <w:rFonts w:eastAsia="Times New Roman" w:cs="Segoe UI"/>
                <w:b/>
                <w:bCs/>
                <w:color w:val="auto"/>
                <w:sz w:val="18"/>
                <w:szCs w:val="18"/>
                <w:lang w:eastAsia="en-AU"/>
              </w:rPr>
            </w:pPr>
            <w:r>
              <w:rPr>
                <w:rFonts w:eastAsia="Times New Roman" w:cs="Segoe UI"/>
                <w:b/>
                <w:bCs/>
                <w:color w:val="auto"/>
                <w:sz w:val="18"/>
                <w:szCs w:val="18"/>
                <w:lang w:eastAsia="en-AU"/>
              </w:rPr>
              <w:t>(</w:t>
            </w:r>
            <w:r w:rsidR="00E77485">
              <w:rPr>
                <w:rFonts w:eastAsia="Times New Roman" w:cs="Segoe UI"/>
                <w:b/>
                <w:bCs/>
                <w:color w:val="auto"/>
                <w:sz w:val="18"/>
                <w:szCs w:val="18"/>
                <w:lang w:eastAsia="en-AU"/>
              </w:rPr>
              <w:t>8.96</w:t>
            </w:r>
            <w:r w:rsidRPr="00486CD5">
              <w:rPr>
                <w:rFonts w:eastAsia="Times New Roman" w:cs="Segoe UI"/>
                <w:b/>
                <w:bCs/>
                <w:color w:val="auto"/>
                <w:sz w:val="16"/>
                <w:szCs w:val="16"/>
                <w:lang w:eastAsia="en-AU"/>
              </w:rPr>
              <w:t>%</w:t>
            </w:r>
            <w:r>
              <w:rPr>
                <w:rFonts w:eastAsia="Times New Roman" w:cs="Segoe UI"/>
                <w:b/>
                <w:bCs/>
                <w:color w:val="auto"/>
                <w:sz w:val="16"/>
                <w:szCs w:val="16"/>
                <w:lang w:eastAsia="en-AU"/>
              </w:rPr>
              <w:t xml:space="preserve"> excl Aurukun</w:t>
            </w:r>
            <w:r w:rsidRPr="00486CD5">
              <w:rPr>
                <w:rFonts w:eastAsia="Times New Roman" w:cs="Segoe UI"/>
                <w:b/>
                <w:bCs/>
                <w:color w:val="auto"/>
                <w:sz w:val="16"/>
                <w:szCs w:val="16"/>
                <w:lang w:eastAsia="en-AU"/>
              </w:rPr>
              <w:t>)</w:t>
            </w:r>
          </w:p>
        </w:tc>
        <w:tc>
          <w:tcPr>
            <w:tcW w:w="1012" w:type="dxa"/>
            <w:shd w:val="clear" w:color="auto" w:fill="F2F2F2" w:themeFill="background1" w:themeFillShade="F2"/>
            <w:hideMark/>
          </w:tcPr>
          <w:p w14:paraId="2EBE2C45" w14:textId="77777777" w:rsidR="002E7F18" w:rsidRPr="00CB0A20" w:rsidRDefault="002B474C" w:rsidP="00A71D5B">
            <w:pPr>
              <w:tabs>
                <w:tab w:val="center" w:pos="398"/>
              </w:tabs>
              <w:spacing w:after="0"/>
              <w:rPr>
                <w:rFonts w:eastAsia="Times New Roman" w:cs="Segoe UI"/>
                <w:color w:val="auto"/>
                <w:sz w:val="18"/>
                <w:szCs w:val="18"/>
                <w:lang w:eastAsia="en-AU"/>
              </w:rPr>
            </w:pPr>
            <w:r>
              <w:rPr>
                <w:rFonts w:eastAsia="Times New Roman" w:cs="Segoe UI"/>
                <w:color w:val="auto"/>
                <w:sz w:val="18"/>
                <w:szCs w:val="18"/>
                <w:lang w:eastAsia="en-AU"/>
              </w:rPr>
              <w:t>3.69</w:t>
            </w:r>
            <w:r w:rsidR="002E7F18" w:rsidRPr="00CB0A20">
              <w:rPr>
                <w:rFonts w:eastAsia="Times New Roman" w:cs="Segoe UI"/>
                <w:color w:val="auto"/>
                <w:sz w:val="18"/>
                <w:szCs w:val="18"/>
                <w:lang w:eastAsia="en-AU"/>
              </w:rPr>
              <w:t>%</w:t>
            </w:r>
          </w:p>
        </w:tc>
        <w:tc>
          <w:tcPr>
            <w:tcW w:w="1034" w:type="dxa"/>
            <w:shd w:val="clear" w:color="auto" w:fill="F2F2F2" w:themeFill="background1" w:themeFillShade="F2"/>
            <w:hideMark/>
          </w:tcPr>
          <w:p w14:paraId="2EBE2C46"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8.42%</w:t>
            </w:r>
          </w:p>
        </w:tc>
      </w:tr>
      <w:tr w:rsidR="002E7F18" w:rsidRPr="00CB0A20" w14:paraId="2EBE2C50" w14:textId="77777777" w:rsidTr="006E4F76">
        <w:trPr>
          <w:trHeight w:val="495"/>
          <w:jc w:val="center"/>
        </w:trPr>
        <w:tc>
          <w:tcPr>
            <w:tcW w:w="1919" w:type="dxa"/>
            <w:vMerge w:val="restart"/>
            <w:shd w:val="clear" w:color="auto" w:fill="F2F2F2" w:themeFill="background1" w:themeFillShade="F2"/>
            <w:hideMark/>
          </w:tcPr>
          <w:p w14:paraId="2EBE2C48" w14:textId="77777777" w:rsidR="002E7F18" w:rsidRPr="00CB0A20" w:rsidRDefault="002E7F18" w:rsidP="00782511">
            <w:pPr>
              <w:spacing w:after="0"/>
              <w:jc w:val="left"/>
              <w:rPr>
                <w:rFonts w:eastAsia="Times New Roman" w:cs="Segoe UI"/>
                <w:sz w:val="18"/>
                <w:szCs w:val="18"/>
                <w:lang w:eastAsia="en-AU"/>
              </w:rPr>
            </w:pPr>
            <w:r w:rsidRPr="00CB0A20">
              <w:rPr>
                <w:rFonts w:eastAsia="Times New Roman" w:cs="Segoe UI"/>
                <w:sz w:val="18"/>
                <w:szCs w:val="18"/>
                <w:lang w:eastAsia="en-AU"/>
              </w:rPr>
              <w:t>Clinical Significance (Effect Size)</w:t>
            </w:r>
          </w:p>
        </w:tc>
        <w:tc>
          <w:tcPr>
            <w:tcW w:w="987" w:type="dxa"/>
            <w:vMerge w:val="restart"/>
            <w:shd w:val="clear" w:color="auto" w:fill="F2F2F2" w:themeFill="background1" w:themeFillShade="F2"/>
            <w:hideMark/>
          </w:tcPr>
          <w:p w14:paraId="2EBE2C49"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-0.01 (none)</w:t>
            </w:r>
          </w:p>
        </w:tc>
        <w:tc>
          <w:tcPr>
            <w:tcW w:w="907" w:type="dxa"/>
            <w:vMerge w:val="restart"/>
            <w:shd w:val="clear" w:color="auto" w:fill="F2F2F2" w:themeFill="background1" w:themeFillShade="F2"/>
            <w:hideMark/>
          </w:tcPr>
          <w:p w14:paraId="2EBE2C4A"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0.33 (small)</w:t>
            </w:r>
          </w:p>
        </w:tc>
        <w:tc>
          <w:tcPr>
            <w:tcW w:w="1323" w:type="dxa"/>
            <w:vMerge w:val="restart"/>
            <w:shd w:val="clear" w:color="auto" w:fill="F2F2F2" w:themeFill="background1" w:themeFillShade="F2"/>
            <w:hideMark/>
          </w:tcPr>
          <w:p w14:paraId="2EBE2C4B"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0.85 (large)</w:t>
            </w:r>
          </w:p>
        </w:tc>
        <w:tc>
          <w:tcPr>
            <w:tcW w:w="1365" w:type="dxa"/>
            <w:vMerge w:val="restart"/>
            <w:shd w:val="clear" w:color="auto" w:fill="F2F2F2" w:themeFill="background1" w:themeFillShade="F2"/>
            <w:hideMark/>
          </w:tcPr>
          <w:p w14:paraId="2EBE2C4C" w14:textId="77777777" w:rsidR="002E7F18" w:rsidRPr="00650C89" w:rsidRDefault="002E7F18" w:rsidP="00782511">
            <w:pPr>
              <w:spacing w:after="0"/>
              <w:jc w:val="center"/>
              <w:rPr>
                <w:rFonts w:eastAsia="Times New Roman" w:cs="Segoe UI"/>
                <w:b/>
                <w:bCs/>
                <w:color w:val="auto"/>
                <w:sz w:val="16"/>
                <w:szCs w:val="16"/>
                <w:lang w:eastAsia="en-AU"/>
              </w:rPr>
            </w:pPr>
            <w:r w:rsidRPr="00CB0A20">
              <w:rPr>
                <w:rFonts w:eastAsia="Times New Roman" w:cs="Segoe UI"/>
                <w:b/>
                <w:bCs/>
                <w:color w:val="auto"/>
                <w:sz w:val="18"/>
                <w:szCs w:val="18"/>
                <w:lang w:eastAsia="en-AU"/>
              </w:rPr>
              <w:t>0.3</w:t>
            </w:r>
            <w:r w:rsidR="003D11C9">
              <w:rPr>
                <w:rFonts w:eastAsia="Times New Roman" w:cs="Segoe UI"/>
                <w:b/>
                <w:bCs/>
                <w:color w:val="auto"/>
                <w:sz w:val="18"/>
                <w:szCs w:val="18"/>
                <w:lang w:eastAsia="en-AU"/>
              </w:rPr>
              <w:t>1</w:t>
            </w:r>
            <w:r w:rsidRPr="00CB0A20">
              <w:rPr>
                <w:rFonts w:eastAsia="Times New Roman" w:cs="Segoe UI"/>
                <w:b/>
                <w:bCs/>
                <w:color w:val="auto"/>
                <w:sz w:val="18"/>
                <w:szCs w:val="18"/>
                <w:lang w:eastAsia="en-AU"/>
              </w:rPr>
              <w:t xml:space="preserve"> </w:t>
            </w:r>
            <w:r w:rsidRPr="00650C89">
              <w:rPr>
                <w:rFonts w:eastAsia="Times New Roman" w:cs="Segoe UI"/>
                <w:b/>
                <w:bCs/>
                <w:color w:val="auto"/>
                <w:sz w:val="16"/>
                <w:szCs w:val="16"/>
                <w:lang w:eastAsia="en-AU"/>
              </w:rPr>
              <w:t>(small)</w:t>
            </w:r>
          </w:p>
          <w:p w14:paraId="2EBE2C4D" w14:textId="77777777" w:rsidR="002E7F18" w:rsidRPr="00CB0A20" w:rsidRDefault="002E7F18" w:rsidP="00486CD5">
            <w:pPr>
              <w:spacing w:after="0"/>
              <w:jc w:val="center"/>
              <w:rPr>
                <w:rFonts w:eastAsia="Times New Roman" w:cs="Segoe UI"/>
                <w:b/>
                <w:bCs/>
                <w:color w:val="auto"/>
                <w:sz w:val="18"/>
                <w:szCs w:val="18"/>
                <w:lang w:eastAsia="en-AU"/>
              </w:rPr>
            </w:pPr>
            <w:r>
              <w:rPr>
                <w:rFonts w:eastAsia="Times New Roman" w:cs="Segoe UI"/>
                <w:b/>
                <w:bCs/>
                <w:color w:val="auto"/>
                <w:sz w:val="18"/>
                <w:szCs w:val="18"/>
                <w:lang w:eastAsia="en-AU"/>
              </w:rPr>
              <w:t>(</w:t>
            </w:r>
            <w:r>
              <w:rPr>
                <w:rFonts w:eastAsia="Times New Roman" w:cs="Segoe UI"/>
                <w:b/>
                <w:bCs/>
                <w:color w:val="auto"/>
                <w:sz w:val="16"/>
                <w:szCs w:val="16"/>
                <w:lang w:eastAsia="en-AU"/>
              </w:rPr>
              <w:t>0</w:t>
            </w:r>
            <w:r w:rsidRPr="00486CD5">
              <w:rPr>
                <w:rFonts w:eastAsia="Times New Roman" w:cs="Segoe UI"/>
                <w:b/>
                <w:bCs/>
                <w:color w:val="auto"/>
                <w:sz w:val="16"/>
                <w:szCs w:val="16"/>
                <w:lang w:eastAsia="en-AU"/>
              </w:rPr>
              <w:t>.5 medium</w:t>
            </w:r>
            <w:r>
              <w:rPr>
                <w:rFonts w:eastAsia="Times New Roman" w:cs="Segoe UI"/>
                <w:b/>
                <w:bCs/>
                <w:color w:val="auto"/>
                <w:sz w:val="16"/>
                <w:szCs w:val="16"/>
                <w:lang w:eastAsia="en-AU"/>
              </w:rPr>
              <w:t xml:space="preserve"> </w:t>
            </w:r>
            <w:r w:rsidRPr="00486CD5">
              <w:rPr>
                <w:rFonts w:eastAsia="Times New Roman" w:cs="Segoe UI"/>
                <w:b/>
                <w:bCs/>
                <w:color w:val="auto"/>
                <w:sz w:val="16"/>
                <w:szCs w:val="16"/>
                <w:lang w:eastAsia="en-AU"/>
              </w:rPr>
              <w:t>excl Aurukun)</w:t>
            </w:r>
          </w:p>
        </w:tc>
        <w:tc>
          <w:tcPr>
            <w:tcW w:w="1012" w:type="dxa"/>
            <w:vMerge w:val="restart"/>
            <w:shd w:val="clear" w:color="auto" w:fill="F2F2F2" w:themeFill="background1" w:themeFillShade="F2"/>
            <w:hideMark/>
          </w:tcPr>
          <w:p w14:paraId="2EBE2C4E" w14:textId="77777777" w:rsidR="002E7F18" w:rsidRPr="00CB0A20" w:rsidRDefault="002E7F18" w:rsidP="002B474C">
            <w:pPr>
              <w:spacing w:after="0"/>
              <w:jc w:val="center"/>
              <w:rPr>
                <w:rFonts w:eastAsia="Times New Roman" w:cs="Segoe UI"/>
                <w:sz w:val="18"/>
                <w:szCs w:val="18"/>
                <w:lang w:eastAsia="en-AU"/>
              </w:rPr>
            </w:pPr>
            <w:r w:rsidRPr="00CB0A20">
              <w:rPr>
                <w:rFonts w:eastAsia="Times New Roman" w:cs="Segoe UI"/>
                <w:sz w:val="18"/>
                <w:szCs w:val="18"/>
                <w:lang w:eastAsia="en-AU"/>
              </w:rPr>
              <w:t>0.2</w:t>
            </w:r>
            <w:r w:rsidR="002B474C">
              <w:rPr>
                <w:rFonts w:eastAsia="Times New Roman" w:cs="Segoe UI"/>
                <w:sz w:val="18"/>
                <w:szCs w:val="18"/>
                <w:lang w:eastAsia="en-AU"/>
              </w:rPr>
              <w:t>3</w:t>
            </w:r>
            <w:r w:rsidRPr="00CB0A20">
              <w:rPr>
                <w:rFonts w:eastAsia="Times New Roman" w:cs="Segoe UI"/>
                <w:sz w:val="18"/>
                <w:szCs w:val="18"/>
                <w:lang w:eastAsia="en-AU"/>
              </w:rPr>
              <w:t xml:space="preserve"> (small)</w:t>
            </w:r>
          </w:p>
        </w:tc>
        <w:tc>
          <w:tcPr>
            <w:tcW w:w="1034" w:type="dxa"/>
            <w:vMerge w:val="restart"/>
            <w:shd w:val="clear" w:color="auto" w:fill="F2F2F2" w:themeFill="background1" w:themeFillShade="F2"/>
            <w:hideMark/>
          </w:tcPr>
          <w:p w14:paraId="2EBE2C4F" w14:textId="77777777" w:rsidR="002E7F18" w:rsidRPr="00CB0A20" w:rsidRDefault="002E7F18" w:rsidP="00782511">
            <w:pPr>
              <w:spacing w:after="0"/>
              <w:jc w:val="center"/>
              <w:rPr>
                <w:rFonts w:eastAsia="Times New Roman" w:cs="Segoe UI"/>
                <w:color w:val="auto"/>
                <w:sz w:val="18"/>
                <w:szCs w:val="18"/>
                <w:lang w:eastAsia="en-AU"/>
              </w:rPr>
            </w:pPr>
            <w:r w:rsidRPr="00CB0A20">
              <w:rPr>
                <w:rFonts w:eastAsia="Times New Roman" w:cs="Segoe UI"/>
                <w:color w:val="auto"/>
                <w:sz w:val="18"/>
                <w:szCs w:val="18"/>
                <w:lang w:eastAsia="en-AU"/>
              </w:rPr>
              <w:t>0.46 (small to med)</w:t>
            </w:r>
          </w:p>
        </w:tc>
      </w:tr>
      <w:tr w:rsidR="002E7F18" w:rsidRPr="00CB0A20" w14:paraId="2EBE2C58" w14:textId="77777777" w:rsidTr="006E4F76">
        <w:trPr>
          <w:trHeight w:val="315"/>
          <w:jc w:val="center"/>
        </w:trPr>
        <w:tc>
          <w:tcPr>
            <w:tcW w:w="1919" w:type="dxa"/>
            <w:vMerge/>
            <w:shd w:val="clear" w:color="auto" w:fill="F2F2F2" w:themeFill="background1" w:themeFillShade="F2"/>
            <w:hideMark/>
          </w:tcPr>
          <w:p w14:paraId="2EBE2C51" w14:textId="77777777" w:rsidR="002E7F18" w:rsidRPr="00CB0A20" w:rsidRDefault="002E7F18" w:rsidP="00782511">
            <w:pPr>
              <w:spacing w:after="0"/>
              <w:jc w:val="left"/>
              <w:rPr>
                <w:rFonts w:eastAsia="Times New Roman" w:cs="Segoe UI"/>
                <w:sz w:val="18"/>
                <w:szCs w:val="18"/>
                <w:lang w:eastAsia="en-AU"/>
              </w:rPr>
            </w:pPr>
          </w:p>
        </w:tc>
        <w:tc>
          <w:tcPr>
            <w:tcW w:w="987" w:type="dxa"/>
            <w:vMerge/>
            <w:shd w:val="clear" w:color="auto" w:fill="F2F2F2" w:themeFill="background1" w:themeFillShade="F2"/>
            <w:hideMark/>
          </w:tcPr>
          <w:p w14:paraId="2EBE2C52" w14:textId="77777777" w:rsidR="002E7F18" w:rsidRPr="00CB0A20" w:rsidRDefault="002E7F18" w:rsidP="00782511">
            <w:pPr>
              <w:spacing w:after="0"/>
              <w:jc w:val="left"/>
              <w:rPr>
                <w:rFonts w:eastAsia="Times New Roman" w:cs="Segoe UI"/>
                <w:color w:val="auto"/>
                <w:sz w:val="18"/>
                <w:szCs w:val="18"/>
                <w:lang w:eastAsia="en-AU"/>
              </w:rPr>
            </w:pPr>
          </w:p>
        </w:tc>
        <w:tc>
          <w:tcPr>
            <w:tcW w:w="907" w:type="dxa"/>
            <w:vMerge/>
            <w:shd w:val="clear" w:color="auto" w:fill="F2F2F2" w:themeFill="background1" w:themeFillShade="F2"/>
            <w:hideMark/>
          </w:tcPr>
          <w:p w14:paraId="2EBE2C53" w14:textId="77777777" w:rsidR="002E7F18" w:rsidRPr="00CB0A20" w:rsidRDefault="002E7F18" w:rsidP="00782511">
            <w:pPr>
              <w:spacing w:after="0"/>
              <w:jc w:val="left"/>
              <w:rPr>
                <w:rFonts w:eastAsia="Times New Roman" w:cs="Segoe UI"/>
                <w:color w:val="auto"/>
                <w:sz w:val="18"/>
                <w:szCs w:val="18"/>
                <w:lang w:eastAsia="en-AU"/>
              </w:rPr>
            </w:pPr>
          </w:p>
        </w:tc>
        <w:tc>
          <w:tcPr>
            <w:tcW w:w="1323" w:type="dxa"/>
            <w:vMerge/>
            <w:shd w:val="clear" w:color="auto" w:fill="F2F2F2" w:themeFill="background1" w:themeFillShade="F2"/>
            <w:hideMark/>
          </w:tcPr>
          <w:p w14:paraId="2EBE2C54" w14:textId="77777777" w:rsidR="002E7F18" w:rsidRPr="00CB0A20" w:rsidRDefault="002E7F18" w:rsidP="00782511">
            <w:pPr>
              <w:spacing w:after="0"/>
              <w:jc w:val="left"/>
              <w:rPr>
                <w:rFonts w:eastAsia="Times New Roman" w:cs="Segoe UI"/>
                <w:color w:val="auto"/>
                <w:sz w:val="18"/>
                <w:szCs w:val="18"/>
                <w:lang w:eastAsia="en-AU"/>
              </w:rPr>
            </w:pPr>
          </w:p>
        </w:tc>
        <w:tc>
          <w:tcPr>
            <w:tcW w:w="1365" w:type="dxa"/>
            <w:vMerge/>
            <w:shd w:val="clear" w:color="auto" w:fill="F2F2F2" w:themeFill="background1" w:themeFillShade="F2"/>
            <w:hideMark/>
          </w:tcPr>
          <w:p w14:paraId="2EBE2C55" w14:textId="77777777" w:rsidR="002E7F18" w:rsidRPr="00CB0A20" w:rsidRDefault="002E7F18" w:rsidP="00782511">
            <w:pPr>
              <w:spacing w:after="0"/>
              <w:jc w:val="left"/>
              <w:rPr>
                <w:rFonts w:eastAsia="Times New Roman" w:cs="Segoe UI"/>
                <w:b/>
                <w:bCs/>
                <w:color w:val="auto"/>
                <w:sz w:val="18"/>
                <w:szCs w:val="18"/>
                <w:lang w:eastAsia="en-AU"/>
              </w:rPr>
            </w:pPr>
          </w:p>
        </w:tc>
        <w:tc>
          <w:tcPr>
            <w:tcW w:w="1012" w:type="dxa"/>
            <w:vMerge/>
            <w:shd w:val="clear" w:color="auto" w:fill="F2F2F2" w:themeFill="background1" w:themeFillShade="F2"/>
            <w:hideMark/>
          </w:tcPr>
          <w:p w14:paraId="2EBE2C56" w14:textId="77777777" w:rsidR="002E7F18" w:rsidRPr="00CB0A20" w:rsidRDefault="002E7F18" w:rsidP="00782511">
            <w:pPr>
              <w:spacing w:after="0"/>
              <w:jc w:val="left"/>
              <w:rPr>
                <w:rFonts w:eastAsia="Times New Roman" w:cs="Segoe UI"/>
                <w:sz w:val="18"/>
                <w:szCs w:val="18"/>
                <w:lang w:eastAsia="en-AU"/>
              </w:rPr>
            </w:pPr>
          </w:p>
        </w:tc>
        <w:tc>
          <w:tcPr>
            <w:tcW w:w="1034" w:type="dxa"/>
            <w:vMerge/>
            <w:shd w:val="clear" w:color="auto" w:fill="F2F2F2" w:themeFill="background1" w:themeFillShade="F2"/>
            <w:hideMark/>
          </w:tcPr>
          <w:p w14:paraId="2EBE2C57" w14:textId="77777777" w:rsidR="002E7F18" w:rsidRPr="00CB0A20" w:rsidRDefault="002E7F18" w:rsidP="00782511">
            <w:pPr>
              <w:spacing w:after="0"/>
              <w:jc w:val="left"/>
              <w:rPr>
                <w:rFonts w:eastAsia="Times New Roman" w:cs="Segoe UI"/>
                <w:color w:val="auto"/>
                <w:sz w:val="18"/>
                <w:szCs w:val="18"/>
                <w:lang w:eastAsia="en-AU"/>
              </w:rPr>
            </w:pPr>
          </w:p>
        </w:tc>
      </w:tr>
      <w:tr w:rsidR="002E7F18" w:rsidRPr="00CB0A20" w14:paraId="2EBE2C60" w14:textId="77777777" w:rsidTr="006E4F76">
        <w:trPr>
          <w:trHeight w:val="495"/>
          <w:jc w:val="center"/>
        </w:trPr>
        <w:tc>
          <w:tcPr>
            <w:tcW w:w="1919" w:type="dxa"/>
            <w:shd w:val="clear" w:color="auto" w:fill="F2F2F2" w:themeFill="background1" w:themeFillShade="F2"/>
            <w:hideMark/>
          </w:tcPr>
          <w:p w14:paraId="2EBE2C59" w14:textId="77777777" w:rsidR="002E7F18" w:rsidRPr="00CB0A20" w:rsidRDefault="002E7F18" w:rsidP="00782511">
            <w:pPr>
              <w:spacing w:after="0"/>
              <w:jc w:val="left"/>
              <w:rPr>
                <w:rFonts w:eastAsia="Times New Roman" w:cs="Segoe UI"/>
                <w:sz w:val="18"/>
                <w:szCs w:val="18"/>
                <w:lang w:eastAsia="en-AU"/>
              </w:rPr>
            </w:pPr>
            <w:r w:rsidRPr="00CB0A20">
              <w:rPr>
                <w:rFonts w:eastAsia="Times New Roman" w:cs="Segoe UI"/>
                <w:sz w:val="18"/>
                <w:szCs w:val="18"/>
                <w:lang w:eastAsia="en-AU"/>
              </w:rPr>
              <w:t>Statistically Significant</w:t>
            </w:r>
          </w:p>
        </w:tc>
        <w:tc>
          <w:tcPr>
            <w:tcW w:w="987" w:type="dxa"/>
            <w:shd w:val="clear" w:color="auto" w:fill="F2F2F2" w:themeFill="background1" w:themeFillShade="F2"/>
            <w:hideMark/>
          </w:tcPr>
          <w:p w14:paraId="2EBE2C5A" w14:textId="77777777" w:rsidR="002E7F18" w:rsidRPr="00CB0A20" w:rsidRDefault="002E7F18" w:rsidP="00782511">
            <w:pPr>
              <w:spacing w:after="0"/>
              <w:jc w:val="center"/>
              <w:rPr>
                <w:rFonts w:ascii="Wingdings" w:eastAsia="Times New Roman" w:hAnsi="Wingdings" w:cs="Calibri"/>
                <w:sz w:val="18"/>
                <w:szCs w:val="18"/>
                <w:lang w:eastAsia="en-AU"/>
              </w:rPr>
            </w:pPr>
            <w:r w:rsidRPr="00CB0A20">
              <w:rPr>
                <w:rFonts w:ascii="Wingdings" w:eastAsia="Times New Roman" w:hAnsi="Wingdings" w:cs="Tahoma"/>
                <w:sz w:val="18"/>
                <w:szCs w:val="18"/>
                <w:lang w:eastAsia="en-AU"/>
              </w:rPr>
              <w:t></w:t>
            </w:r>
          </w:p>
        </w:tc>
        <w:tc>
          <w:tcPr>
            <w:tcW w:w="907" w:type="dxa"/>
            <w:shd w:val="clear" w:color="auto" w:fill="F2F2F2" w:themeFill="background1" w:themeFillShade="F2"/>
            <w:hideMark/>
          </w:tcPr>
          <w:p w14:paraId="2EBE2C5B" w14:textId="77777777" w:rsidR="002E7F18" w:rsidRPr="00CB0A20" w:rsidRDefault="002E7F18" w:rsidP="00782511">
            <w:pPr>
              <w:spacing w:after="0"/>
              <w:jc w:val="center"/>
              <w:rPr>
                <w:rFonts w:ascii="Wingdings" w:eastAsia="Times New Roman" w:hAnsi="Wingdings" w:cs="Calibri"/>
                <w:sz w:val="18"/>
                <w:szCs w:val="18"/>
                <w:lang w:eastAsia="en-AU"/>
              </w:rPr>
            </w:pPr>
            <w:r w:rsidRPr="00CB0A20">
              <w:rPr>
                <w:rFonts w:ascii="Wingdings" w:eastAsia="Times New Roman" w:hAnsi="Wingdings" w:cs="Tahoma"/>
                <w:sz w:val="18"/>
                <w:szCs w:val="18"/>
                <w:lang w:eastAsia="en-AU"/>
              </w:rPr>
              <w:t></w:t>
            </w:r>
          </w:p>
        </w:tc>
        <w:tc>
          <w:tcPr>
            <w:tcW w:w="1323" w:type="dxa"/>
            <w:shd w:val="clear" w:color="auto" w:fill="F2F2F2" w:themeFill="background1" w:themeFillShade="F2"/>
            <w:hideMark/>
          </w:tcPr>
          <w:p w14:paraId="2EBE2C5C" w14:textId="77777777" w:rsidR="002E7F18" w:rsidRPr="00CB0A20" w:rsidRDefault="002E7F18" w:rsidP="00782511">
            <w:pPr>
              <w:spacing w:after="0"/>
              <w:jc w:val="center"/>
              <w:rPr>
                <w:rFonts w:ascii="Wingdings" w:eastAsia="Times New Roman" w:hAnsi="Wingdings" w:cs="Calibri"/>
                <w:sz w:val="18"/>
                <w:szCs w:val="18"/>
                <w:lang w:eastAsia="en-AU"/>
              </w:rPr>
            </w:pPr>
            <w:r w:rsidRPr="00CB0A20">
              <w:rPr>
                <w:rFonts w:ascii="Wingdings" w:eastAsia="Times New Roman" w:hAnsi="Wingdings" w:cs="Tahoma"/>
                <w:sz w:val="18"/>
                <w:szCs w:val="18"/>
                <w:lang w:eastAsia="en-AU"/>
              </w:rPr>
              <w:t></w:t>
            </w:r>
          </w:p>
        </w:tc>
        <w:tc>
          <w:tcPr>
            <w:tcW w:w="1365" w:type="dxa"/>
            <w:shd w:val="clear" w:color="auto" w:fill="F2F2F2" w:themeFill="background1" w:themeFillShade="F2"/>
            <w:hideMark/>
          </w:tcPr>
          <w:p w14:paraId="2EBE2C5D" w14:textId="77777777" w:rsidR="002E7F18" w:rsidRPr="00CB0A20" w:rsidRDefault="002E7F18" w:rsidP="00782511">
            <w:pPr>
              <w:spacing w:after="0"/>
              <w:jc w:val="center"/>
              <w:rPr>
                <w:rFonts w:ascii="Wingdings" w:eastAsia="Times New Roman" w:hAnsi="Wingdings" w:cs="Calibri"/>
                <w:b/>
                <w:bCs/>
                <w:sz w:val="18"/>
                <w:szCs w:val="18"/>
                <w:lang w:eastAsia="en-AU"/>
              </w:rPr>
            </w:pPr>
            <w:r w:rsidRPr="00CB0A20">
              <w:rPr>
                <w:rFonts w:ascii="Wingdings" w:eastAsia="Times New Roman" w:hAnsi="Wingdings" w:cs="Tahoma"/>
                <w:b/>
                <w:bCs/>
                <w:sz w:val="18"/>
                <w:szCs w:val="18"/>
                <w:lang w:eastAsia="en-AU"/>
              </w:rPr>
              <w:t></w:t>
            </w:r>
          </w:p>
        </w:tc>
        <w:tc>
          <w:tcPr>
            <w:tcW w:w="1012" w:type="dxa"/>
            <w:shd w:val="clear" w:color="auto" w:fill="F2F2F2" w:themeFill="background1" w:themeFillShade="F2"/>
            <w:hideMark/>
          </w:tcPr>
          <w:p w14:paraId="2EBE2C5E" w14:textId="77777777" w:rsidR="002E7F18" w:rsidRPr="00CB0A20" w:rsidRDefault="002E7F18" w:rsidP="00782511">
            <w:pPr>
              <w:spacing w:after="0"/>
              <w:jc w:val="center"/>
              <w:rPr>
                <w:rFonts w:ascii="Wingdings" w:eastAsia="Times New Roman" w:hAnsi="Wingdings" w:cs="Calibri"/>
                <w:sz w:val="18"/>
                <w:szCs w:val="18"/>
                <w:lang w:eastAsia="en-AU"/>
              </w:rPr>
            </w:pPr>
            <w:r w:rsidRPr="00CB0A20">
              <w:rPr>
                <w:rFonts w:ascii="Wingdings" w:eastAsia="Times New Roman" w:hAnsi="Wingdings" w:cs="Tahoma"/>
                <w:sz w:val="18"/>
                <w:szCs w:val="18"/>
                <w:lang w:eastAsia="en-AU"/>
              </w:rPr>
              <w:t></w:t>
            </w:r>
          </w:p>
        </w:tc>
        <w:tc>
          <w:tcPr>
            <w:tcW w:w="1034" w:type="dxa"/>
            <w:shd w:val="clear" w:color="auto" w:fill="F2F2F2" w:themeFill="background1" w:themeFillShade="F2"/>
            <w:hideMark/>
          </w:tcPr>
          <w:p w14:paraId="2EBE2C5F" w14:textId="77777777" w:rsidR="002E7F18" w:rsidRPr="00CB0A20" w:rsidRDefault="002E7F18" w:rsidP="00782511">
            <w:pPr>
              <w:spacing w:after="0"/>
              <w:jc w:val="center"/>
              <w:rPr>
                <w:rFonts w:ascii="Wingdings" w:eastAsia="Times New Roman" w:hAnsi="Wingdings" w:cs="Calibri"/>
                <w:sz w:val="18"/>
                <w:szCs w:val="18"/>
                <w:lang w:eastAsia="en-AU"/>
              </w:rPr>
            </w:pPr>
            <w:r w:rsidRPr="00CB0A20">
              <w:rPr>
                <w:rFonts w:ascii="Wingdings" w:eastAsia="Times New Roman" w:hAnsi="Wingdings" w:cs="Tahoma"/>
                <w:sz w:val="18"/>
                <w:szCs w:val="18"/>
                <w:lang w:eastAsia="en-AU"/>
              </w:rPr>
              <w:t></w:t>
            </w:r>
          </w:p>
        </w:tc>
      </w:tr>
    </w:tbl>
    <w:p w14:paraId="2EBE2C61" w14:textId="77777777" w:rsidR="00204D69" w:rsidRPr="00155444" w:rsidRDefault="00204D69" w:rsidP="00204D69">
      <w:pPr>
        <w:spacing w:after="120"/>
        <w:rPr>
          <w:sz w:val="16"/>
          <w:szCs w:val="16"/>
        </w:rPr>
      </w:pPr>
      <w:r w:rsidRPr="00155444">
        <w:rPr>
          <w:sz w:val="16"/>
          <w:szCs w:val="16"/>
        </w:rPr>
        <w:t>Note (1): 13% of the adult population will score 20 and over and about 1 in 4 patients seen in primary care will score 20 and over.</w:t>
      </w:r>
      <w:r w:rsidRPr="00155444">
        <w:rPr>
          <w:rStyle w:val="FootnoteReference"/>
          <w:sz w:val="16"/>
          <w:szCs w:val="16"/>
        </w:rPr>
        <w:footnoteReference w:id="11"/>
      </w:r>
      <w:r w:rsidRPr="00155444">
        <w:rPr>
          <w:sz w:val="16"/>
          <w:szCs w:val="16"/>
          <w:vertAlign w:val="superscript"/>
        </w:rPr>
        <w:t>,</w:t>
      </w:r>
      <w:r w:rsidRPr="00155444">
        <w:rPr>
          <w:rStyle w:val="FootnoteReference"/>
          <w:sz w:val="16"/>
          <w:szCs w:val="16"/>
        </w:rPr>
        <w:footnoteReference w:id="12"/>
      </w:r>
    </w:p>
    <w:p w14:paraId="2EBE2C62" w14:textId="77777777" w:rsidR="00204D69" w:rsidRDefault="00204D69" w:rsidP="00204D69">
      <w:pPr>
        <w:spacing w:after="120"/>
        <w:rPr>
          <w:sz w:val="16"/>
          <w:szCs w:val="16"/>
        </w:rPr>
      </w:pPr>
      <w:r w:rsidRPr="00155444">
        <w:rPr>
          <w:sz w:val="16"/>
          <w:szCs w:val="16"/>
        </w:rPr>
        <w:t xml:space="preserve">Note (2): Cohen’s </w:t>
      </w:r>
      <w:r w:rsidRPr="00155444">
        <w:rPr>
          <w:i/>
          <w:sz w:val="16"/>
          <w:szCs w:val="16"/>
        </w:rPr>
        <w:t>d</w:t>
      </w:r>
      <w:r w:rsidRPr="00155444">
        <w:rPr>
          <w:sz w:val="16"/>
          <w:szCs w:val="16"/>
        </w:rPr>
        <w:t xml:space="preserve"> was calculated to establish the clinical significance and size of effect, where a value of &gt;0.2 indicates a small clinical significance and effect, 0.5 a medium effect and 0.8 large effect. A two tailed paired </w:t>
      </w:r>
      <w:r w:rsidRPr="00155444">
        <w:rPr>
          <w:i/>
          <w:sz w:val="16"/>
          <w:szCs w:val="16"/>
        </w:rPr>
        <w:t>t</w:t>
      </w:r>
      <w:r w:rsidRPr="00155444">
        <w:rPr>
          <w:sz w:val="16"/>
          <w:szCs w:val="16"/>
        </w:rPr>
        <w:t xml:space="preserve"> test was then undertaken. The </w:t>
      </w:r>
      <w:r w:rsidRPr="00155444">
        <w:rPr>
          <w:i/>
          <w:sz w:val="16"/>
          <w:szCs w:val="16"/>
        </w:rPr>
        <w:t>t</w:t>
      </w:r>
      <w:r w:rsidRPr="00155444">
        <w:rPr>
          <w:sz w:val="16"/>
          <w:szCs w:val="16"/>
        </w:rPr>
        <w:t xml:space="preserve"> value represents statistical significance, with a value of &lt;0.05 indicating statistical significance.</w:t>
      </w:r>
    </w:p>
    <w:p w14:paraId="2EBE2C63" w14:textId="77777777" w:rsidR="00204D69" w:rsidRDefault="00204D69" w:rsidP="00FF37EE">
      <w:pPr>
        <w:pStyle w:val="Heading4"/>
        <w:rPr>
          <w:lang w:val="en-AU"/>
        </w:rPr>
      </w:pPr>
      <w:r>
        <w:t>HoNOS</w:t>
      </w:r>
    </w:p>
    <w:p w14:paraId="2EBE2C64" w14:textId="77777777" w:rsidR="00204D69" w:rsidRDefault="00204D69" w:rsidP="001A30FD">
      <w:pPr>
        <w:shd w:val="clear" w:color="auto" w:fill="FFFFFF"/>
        <w:spacing w:before="120" w:after="120"/>
        <w:rPr>
          <w:rFonts w:eastAsia="Times New Roman" w:cs="Segoe UI"/>
          <w:color w:val="auto"/>
          <w:szCs w:val="20"/>
          <w:lang w:eastAsia="en-AU"/>
        </w:rPr>
      </w:pPr>
      <w:r>
        <w:rPr>
          <w:rFonts w:eastAsia="Times New Roman" w:cs="Segoe UI"/>
          <w:color w:val="auto"/>
          <w:szCs w:val="20"/>
          <w:lang w:eastAsia="en-AU"/>
        </w:rPr>
        <w:fldChar w:fldCharType="begin"/>
      </w:r>
      <w:r>
        <w:rPr>
          <w:rFonts w:eastAsia="Times New Roman" w:cs="Segoe UI"/>
          <w:color w:val="auto"/>
          <w:szCs w:val="20"/>
          <w:lang w:eastAsia="en-AU"/>
        </w:rPr>
        <w:instrText xml:space="preserve"> REF _Ref387392758 \h </w:instrText>
      </w:r>
      <w:r>
        <w:rPr>
          <w:rFonts w:eastAsia="Times New Roman" w:cs="Segoe UI"/>
          <w:color w:val="auto"/>
          <w:szCs w:val="20"/>
          <w:lang w:eastAsia="en-AU"/>
        </w:rPr>
      </w:r>
      <w:r>
        <w:rPr>
          <w:rFonts w:eastAsia="Times New Roman" w:cs="Segoe UI"/>
          <w:color w:val="auto"/>
          <w:szCs w:val="20"/>
          <w:lang w:eastAsia="en-AU"/>
        </w:rPr>
        <w:fldChar w:fldCharType="separate"/>
      </w:r>
      <w:r w:rsidR="009A19EB">
        <w:t xml:space="preserve">Table </w:t>
      </w:r>
      <w:r w:rsidR="009A19EB">
        <w:rPr>
          <w:noProof/>
        </w:rPr>
        <w:t>2</w:t>
      </w:r>
      <w:r w:rsidR="009A19EB">
        <w:t>.</w:t>
      </w:r>
      <w:r w:rsidR="009A19EB">
        <w:rPr>
          <w:noProof/>
        </w:rPr>
        <w:t>5</w:t>
      </w:r>
      <w:r>
        <w:rPr>
          <w:rFonts w:eastAsia="Times New Roman" w:cs="Segoe UI"/>
          <w:color w:val="auto"/>
          <w:szCs w:val="20"/>
          <w:lang w:eastAsia="en-AU"/>
        </w:rPr>
        <w:fldChar w:fldCharType="end"/>
      </w:r>
      <w:r>
        <w:rPr>
          <w:rFonts w:eastAsia="Times New Roman" w:cs="Segoe UI"/>
          <w:color w:val="auto"/>
          <w:szCs w:val="20"/>
          <w:lang w:eastAsia="en-AU"/>
        </w:rPr>
        <w:t xml:space="preserve"> presents the percentage in mean scores by HoNOS subscales and the associated clinical and statistical significance by WBC and for FRC clients (and the RFDS Cairns SEWB team for comparative purposes).</w:t>
      </w:r>
    </w:p>
    <w:p w14:paraId="2EBE2C65" w14:textId="77777777" w:rsidR="00204D69" w:rsidRDefault="00204D69" w:rsidP="001A30FD">
      <w:pPr>
        <w:shd w:val="clear" w:color="auto" w:fill="FFFFFF"/>
        <w:spacing w:before="120" w:after="120"/>
        <w:rPr>
          <w:rFonts w:eastAsia="Times New Roman" w:cs="Segoe UI"/>
          <w:color w:val="auto"/>
          <w:szCs w:val="20"/>
          <w:lang w:eastAsia="en-AU"/>
        </w:rPr>
      </w:pPr>
      <w:r>
        <w:rPr>
          <w:rFonts w:eastAsia="Times New Roman" w:cs="Segoe UI"/>
          <w:color w:val="auto"/>
          <w:szCs w:val="20"/>
          <w:lang w:eastAsia="en-AU"/>
        </w:rPr>
        <w:t>As r</w:t>
      </w:r>
      <w:r w:rsidRPr="00926C5F">
        <w:rPr>
          <w:rFonts w:eastAsia="Times New Roman" w:cs="Segoe UI"/>
          <w:color w:val="auto"/>
          <w:szCs w:val="20"/>
          <w:lang w:eastAsia="en-AU"/>
        </w:rPr>
        <w:t>eflected i</w:t>
      </w:r>
      <w:r>
        <w:rPr>
          <w:rFonts w:eastAsia="Times New Roman" w:cs="Segoe UI"/>
          <w:color w:val="auto"/>
          <w:szCs w:val="20"/>
          <w:lang w:eastAsia="en-AU"/>
        </w:rPr>
        <w:t xml:space="preserve">n </w:t>
      </w:r>
      <w:r>
        <w:rPr>
          <w:rFonts w:eastAsia="Times New Roman" w:cs="Segoe UI"/>
          <w:color w:val="auto"/>
          <w:szCs w:val="20"/>
          <w:lang w:eastAsia="en-AU"/>
        </w:rPr>
        <w:fldChar w:fldCharType="begin"/>
      </w:r>
      <w:r>
        <w:rPr>
          <w:rFonts w:eastAsia="Times New Roman" w:cs="Segoe UI"/>
          <w:color w:val="auto"/>
          <w:szCs w:val="20"/>
          <w:lang w:eastAsia="en-AU"/>
        </w:rPr>
        <w:instrText xml:space="preserve"> REF _Ref387392758 \h </w:instrText>
      </w:r>
      <w:r>
        <w:rPr>
          <w:rFonts w:eastAsia="Times New Roman" w:cs="Segoe UI"/>
          <w:color w:val="auto"/>
          <w:szCs w:val="20"/>
          <w:lang w:eastAsia="en-AU"/>
        </w:rPr>
      </w:r>
      <w:r>
        <w:rPr>
          <w:rFonts w:eastAsia="Times New Roman" w:cs="Segoe UI"/>
          <w:color w:val="auto"/>
          <w:szCs w:val="20"/>
          <w:lang w:eastAsia="en-AU"/>
        </w:rPr>
        <w:fldChar w:fldCharType="separate"/>
      </w:r>
      <w:r w:rsidR="009A19EB">
        <w:t xml:space="preserve">Table </w:t>
      </w:r>
      <w:r w:rsidR="009A19EB">
        <w:rPr>
          <w:noProof/>
        </w:rPr>
        <w:t>2</w:t>
      </w:r>
      <w:r w:rsidR="009A19EB">
        <w:t>.</w:t>
      </w:r>
      <w:r w:rsidR="009A19EB">
        <w:rPr>
          <w:noProof/>
        </w:rPr>
        <w:t>5</w:t>
      </w:r>
      <w:r>
        <w:rPr>
          <w:rFonts w:eastAsia="Times New Roman" w:cs="Segoe UI"/>
          <w:color w:val="auto"/>
          <w:szCs w:val="20"/>
          <w:lang w:eastAsia="en-AU"/>
        </w:rPr>
        <w:fldChar w:fldCharType="end"/>
      </w:r>
      <w:r>
        <w:rPr>
          <w:rFonts w:eastAsia="Times New Roman" w:cs="Segoe UI"/>
          <w:color w:val="auto"/>
          <w:szCs w:val="20"/>
          <w:lang w:eastAsia="en-AU"/>
        </w:rPr>
        <w:t xml:space="preserve"> and </w:t>
      </w:r>
      <w:r w:rsidRPr="00092D7C">
        <w:rPr>
          <w:rFonts w:eastAsia="Times New Roman" w:cs="Segoe UI"/>
          <w:color w:val="auto"/>
          <w:szCs w:val="20"/>
          <w:lang w:eastAsia="en-AU"/>
        </w:rPr>
        <w:t>Appendix 7,</w:t>
      </w:r>
      <w:r>
        <w:rPr>
          <w:rFonts w:eastAsia="Times New Roman" w:cs="Segoe UI"/>
          <w:color w:val="auto"/>
          <w:szCs w:val="20"/>
          <w:lang w:eastAsia="en-AU"/>
        </w:rPr>
        <w:t xml:space="preserve"> </w:t>
      </w:r>
      <w:r w:rsidRPr="00926C5F">
        <w:rPr>
          <w:rFonts w:eastAsia="Times New Roman" w:cs="Segoe UI"/>
          <w:color w:val="auto"/>
          <w:szCs w:val="20"/>
          <w:lang w:eastAsia="en-AU"/>
        </w:rPr>
        <w:t>in aggregate WBC clients showed no clinically significant effect changes (effect size &lt;0.2) and the change demonstrated was not statistically significant (p&gt;0.05). This was replicated at subscale level. Of the 199 matched scores, 112 clients (57%) improved</w:t>
      </w:r>
      <w:r>
        <w:rPr>
          <w:rFonts w:eastAsia="Times New Roman" w:cs="Segoe UI"/>
          <w:color w:val="auto"/>
          <w:szCs w:val="20"/>
          <w:lang w:eastAsia="en-AU"/>
        </w:rPr>
        <w:t xml:space="preserve"> their score</w:t>
      </w:r>
      <w:r w:rsidRPr="00926C5F">
        <w:rPr>
          <w:rFonts w:eastAsia="Times New Roman" w:cs="Segoe UI"/>
          <w:color w:val="auto"/>
          <w:szCs w:val="20"/>
          <w:lang w:eastAsia="en-AU"/>
        </w:rPr>
        <w:t>.</w:t>
      </w:r>
    </w:p>
    <w:p w14:paraId="2EBE2C66" w14:textId="77777777" w:rsidR="00204D69" w:rsidRDefault="00204D69" w:rsidP="001A30FD">
      <w:pPr>
        <w:spacing w:before="120" w:after="120"/>
        <w:rPr>
          <w:color w:val="auto"/>
        </w:rPr>
      </w:pPr>
      <w:r w:rsidRPr="00926C5F">
        <w:rPr>
          <w:rFonts w:eastAsia="Times New Roman" w:cs="Segoe UI"/>
          <w:color w:val="auto"/>
          <w:szCs w:val="20"/>
          <w:lang w:eastAsia="en-AU"/>
        </w:rPr>
        <w:t xml:space="preserve">However there are significant differences </w:t>
      </w:r>
      <w:r>
        <w:rPr>
          <w:rFonts w:eastAsia="Times New Roman" w:cs="Segoe UI"/>
          <w:color w:val="auto"/>
          <w:szCs w:val="20"/>
          <w:lang w:eastAsia="en-AU"/>
        </w:rPr>
        <w:t>between WBCs as discussed below</w:t>
      </w:r>
      <w:r w:rsidRPr="00226BD3">
        <w:rPr>
          <w:color w:val="auto"/>
        </w:rPr>
        <w:t>. On a total score level, there was a medium statistically significant clinical change at Coen and Hopevale</w:t>
      </w:r>
      <w:r w:rsidRPr="00360CBE">
        <w:rPr>
          <w:color w:val="auto"/>
        </w:rPr>
        <w:t xml:space="preserve"> and </w:t>
      </w:r>
      <w:r>
        <w:rPr>
          <w:color w:val="auto"/>
        </w:rPr>
        <w:t xml:space="preserve">a </w:t>
      </w:r>
      <w:r w:rsidRPr="00360CBE">
        <w:rPr>
          <w:color w:val="auto"/>
        </w:rPr>
        <w:t>small change at Mossman Gorge. Scores at Aurukun did not improve</w:t>
      </w:r>
      <w:r>
        <w:rPr>
          <w:color w:val="auto"/>
        </w:rPr>
        <w:t xml:space="preserve"> and </w:t>
      </w:r>
      <w:r w:rsidRPr="00360CBE">
        <w:rPr>
          <w:color w:val="auto"/>
        </w:rPr>
        <w:t xml:space="preserve">in fact they deteriorated. </w:t>
      </w:r>
      <w:r w:rsidR="00317F68">
        <w:rPr>
          <w:color w:val="auto"/>
        </w:rPr>
        <w:t xml:space="preserve">Overall excluding Aurukun there was a statistically significant medium </w:t>
      </w:r>
      <w:r w:rsidR="00317F68" w:rsidRPr="00926C5F">
        <w:rPr>
          <w:rFonts w:eastAsia="Times New Roman" w:cs="Segoe UI"/>
          <w:color w:val="auto"/>
          <w:szCs w:val="20"/>
          <w:lang w:eastAsia="en-AU"/>
        </w:rPr>
        <w:t xml:space="preserve">clinically significant </w:t>
      </w:r>
      <w:r w:rsidR="00317F68">
        <w:rPr>
          <w:rFonts w:eastAsia="Times New Roman" w:cs="Segoe UI"/>
          <w:color w:val="auto"/>
          <w:szCs w:val="20"/>
          <w:lang w:eastAsia="en-AU"/>
        </w:rPr>
        <w:t>effect changes (effect size 0.5)</w:t>
      </w:r>
      <w:r w:rsidR="00317F68" w:rsidRPr="00926C5F">
        <w:rPr>
          <w:rFonts w:eastAsia="Times New Roman" w:cs="Segoe UI"/>
          <w:color w:val="auto"/>
          <w:szCs w:val="20"/>
          <w:lang w:eastAsia="en-AU"/>
        </w:rPr>
        <w:t>)</w:t>
      </w:r>
    </w:p>
    <w:p w14:paraId="2EBE2C67" w14:textId="77777777" w:rsidR="00204D69" w:rsidRDefault="00204D69" w:rsidP="001A30FD">
      <w:pPr>
        <w:spacing w:before="120" w:after="120"/>
        <w:rPr>
          <w:color w:val="auto"/>
        </w:rPr>
      </w:pPr>
      <w:r w:rsidRPr="00360CBE">
        <w:rPr>
          <w:color w:val="auto"/>
        </w:rPr>
        <w:t>Excluding Aurukun</w:t>
      </w:r>
      <w:r>
        <w:rPr>
          <w:color w:val="auto"/>
        </w:rPr>
        <w:t>,</w:t>
      </w:r>
      <w:r w:rsidRPr="00360CBE">
        <w:rPr>
          <w:color w:val="auto"/>
        </w:rPr>
        <w:t xml:space="preserve"> the behaviour, symptoms and social subscales were the areas where there was greatest level of improvement although there was a statistically significant improvement in the impairment subscale at Coen, which is to be expected given the focus of the WBCs in behaviour and social areas. One reason for the lack of improvement in Aurukun is likely to be the high level of recent community disruption in that community which in turn has a disruptive impact on individuals.  </w:t>
      </w:r>
    </w:p>
    <w:p w14:paraId="2EBE2C68" w14:textId="0F792CAB" w:rsidR="00204D69" w:rsidRPr="00992AC2" w:rsidRDefault="00AA7DC9" w:rsidP="00AA7DC9">
      <w:pPr>
        <w:pStyle w:val="Caption"/>
      </w:pPr>
      <w:bookmarkStart w:id="84" w:name="_Toc392686433"/>
      <w:bookmarkStart w:id="85" w:name="_Ref387392758"/>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5</w:t>
      </w:r>
      <w:r>
        <w:fldChar w:fldCharType="end"/>
      </w:r>
      <w:bookmarkEnd w:id="85"/>
      <w:r w:rsidR="00204D69">
        <w:t xml:space="preserve">: Statistical overview </w:t>
      </w:r>
      <w:r w:rsidR="00204D69" w:rsidRPr="004420B7">
        <w:t xml:space="preserve">HONOS </w:t>
      </w:r>
      <w:r w:rsidR="00204D69">
        <w:t>score changes</w:t>
      </w:r>
      <w:bookmarkEnd w:id="84"/>
    </w:p>
    <w:tbl>
      <w:tblPr>
        <w:tblW w:w="9769" w:type="dxa"/>
        <w:tblInd w:w="93" w:type="dxa"/>
        <w:tblLook w:val="04A0" w:firstRow="1" w:lastRow="0" w:firstColumn="1" w:lastColumn="0" w:noHBand="0" w:noVBand="1"/>
        <w:tblCaption w:val="Table 2.5: Statistical overview HONOS score changes"/>
        <w:tblDescription w:val="Table 2.5 displays the statistical overview of the Health of the Nations Outcomes Scale (HONOS) score changes for the four Cape York communities. The first column is broken into Behaviour, Impairment, Symptoms, Social and Totals groups and shows the statistical analysis of HONOS score changes that were measured, which are % reduction in mean, Clinical Significance (Effect Size), and Statistical Significance. Columns 2,3,4 and 5 show the statistical details for Aurukun, Coen, Hopevale and Mossman Gorge and Column 6 shows the Total values. Columns 7 and 8 provide statistical details for Families Responsibilities Commission and Social and Emotional Wellbeing clients. "/>
      </w:tblPr>
      <w:tblGrid>
        <w:gridCol w:w="2709"/>
        <w:gridCol w:w="960"/>
        <w:gridCol w:w="960"/>
        <w:gridCol w:w="1016"/>
        <w:gridCol w:w="1028"/>
        <w:gridCol w:w="1280"/>
        <w:gridCol w:w="856"/>
        <w:gridCol w:w="960"/>
      </w:tblGrid>
      <w:tr w:rsidR="00204D69" w:rsidRPr="00ED5FAC" w14:paraId="2EBE2C71" w14:textId="77777777" w:rsidTr="00317F68">
        <w:trPr>
          <w:trHeight w:val="735"/>
          <w:tblHeader/>
        </w:trPr>
        <w:tc>
          <w:tcPr>
            <w:tcW w:w="2709" w:type="dxa"/>
            <w:tcBorders>
              <w:top w:val="single" w:sz="8" w:space="0" w:color="FFFFFF"/>
              <w:left w:val="single" w:sz="8" w:space="0" w:color="FFFFFF"/>
              <w:bottom w:val="single" w:sz="8" w:space="0" w:color="FFFFFF"/>
              <w:right w:val="single" w:sz="8" w:space="0" w:color="FFFFFF"/>
            </w:tcBorders>
            <w:shd w:val="clear" w:color="000000" w:fill="B8CCE4"/>
            <w:vAlign w:val="center"/>
            <w:hideMark/>
          </w:tcPr>
          <w:p w14:paraId="2EBE2C69"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 </w:t>
            </w:r>
          </w:p>
        </w:tc>
        <w:tc>
          <w:tcPr>
            <w:tcW w:w="960" w:type="dxa"/>
            <w:tcBorders>
              <w:top w:val="single" w:sz="8" w:space="0" w:color="FFFFFF"/>
              <w:left w:val="nil"/>
              <w:bottom w:val="single" w:sz="8" w:space="0" w:color="FFFFFF"/>
              <w:right w:val="single" w:sz="8" w:space="0" w:color="FFFFFF"/>
            </w:tcBorders>
            <w:shd w:val="clear" w:color="000000" w:fill="B8CCE4"/>
            <w:vAlign w:val="center"/>
            <w:hideMark/>
          </w:tcPr>
          <w:p w14:paraId="2EBE2C6A"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Aurukun (n=71)</w:t>
            </w:r>
          </w:p>
        </w:tc>
        <w:tc>
          <w:tcPr>
            <w:tcW w:w="960" w:type="dxa"/>
            <w:tcBorders>
              <w:top w:val="single" w:sz="8" w:space="0" w:color="FFFFFF"/>
              <w:left w:val="nil"/>
              <w:bottom w:val="single" w:sz="8" w:space="0" w:color="FFFFFF"/>
              <w:right w:val="single" w:sz="8" w:space="0" w:color="FFFFFF"/>
            </w:tcBorders>
            <w:shd w:val="clear" w:color="000000" w:fill="B8CCE4"/>
            <w:vAlign w:val="center"/>
            <w:hideMark/>
          </w:tcPr>
          <w:p w14:paraId="2EBE2C6B"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Coen (n=47)</w:t>
            </w:r>
          </w:p>
        </w:tc>
        <w:tc>
          <w:tcPr>
            <w:tcW w:w="1016" w:type="dxa"/>
            <w:tcBorders>
              <w:top w:val="single" w:sz="8" w:space="0" w:color="FFFFFF"/>
              <w:left w:val="nil"/>
              <w:bottom w:val="single" w:sz="8" w:space="0" w:color="FFFFFF"/>
              <w:right w:val="single" w:sz="8" w:space="0" w:color="FFFFFF"/>
            </w:tcBorders>
            <w:shd w:val="clear" w:color="000000" w:fill="B8CCE4"/>
            <w:vAlign w:val="center"/>
            <w:hideMark/>
          </w:tcPr>
          <w:p w14:paraId="2EBE2C6C"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Hopevale (n=53)</w:t>
            </w:r>
          </w:p>
        </w:tc>
        <w:tc>
          <w:tcPr>
            <w:tcW w:w="1028" w:type="dxa"/>
            <w:tcBorders>
              <w:top w:val="single" w:sz="8" w:space="0" w:color="FFFFFF"/>
              <w:left w:val="nil"/>
              <w:bottom w:val="single" w:sz="8" w:space="0" w:color="FFFFFF"/>
              <w:right w:val="single" w:sz="8" w:space="0" w:color="FFFFFF"/>
            </w:tcBorders>
            <w:shd w:val="clear" w:color="000000" w:fill="B8CCE4"/>
            <w:vAlign w:val="center"/>
            <w:hideMark/>
          </w:tcPr>
          <w:p w14:paraId="2EBE2C6D"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Mossman Gorge (n=28)</w:t>
            </w:r>
          </w:p>
        </w:tc>
        <w:tc>
          <w:tcPr>
            <w:tcW w:w="1280" w:type="dxa"/>
            <w:tcBorders>
              <w:top w:val="single" w:sz="8" w:space="0" w:color="FFFFFF"/>
              <w:left w:val="nil"/>
              <w:bottom w:val="single" w:sz="8" w:space="0" w:color="FFFFFF"/>
              <w:right w:val="single" w:sz="8" w:space="0" w:color="FFFFFF"/>
            </w:tcBorders>
            <w:shd w:val="clear" w:color="000000" w:fill="B8CCE4"/>
            <w:vAlign w:val="center"/>
            <w:hideMark/>
          </w:tcPr>
          <w:p w14:paraId="2EBE2C6E"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Total (n=199)</w:t>
            </w:r>
          </w:p>
        </w:tc>
        <w:tc>
          <w:tcPr>
            <w:tcW w:w="856" w:type="dxa"/>
            <w:tcBorders>
              <w:top w:val="single" w:sz="8" w:space="0" w:color="FFFFFF"/>
              <w:left w:val="nil"/>
              <w:bottom w:val="single" w:sz="8" w:space="0" w:color="FFFFFF"/>
              <w:right w:val="single" w:sz="8" w:space="0" w:color="FFFFFF"/>
            </w:tcBorders>
            <w:shd w:val="clear" w:color="000000" w:fill="B8CCE4"/>
            <w:vAlign w:val="center"/>
            <w:hideMark/>
          </w:tcPr>
          <w:p w14:paraId="2EBE2C6F"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Total FRC (n= 46)</w:t>
            </w:r>
          </w:p>
        </w:tc>
        <w:tc>
          <w:tcPr>
            <w:tcW w:w="960" w:type="dxa"/>
            <w:tcBorders>
              <w:top w:val="single" w:sz="8" w:space="0" w:color="FFFFFF"/>
              <w:left w:val="nil"/>
              <w:bottom w:val="single" w:sz="8" w:space="0" w:color="FFFFFF"/>
              <w:right w:val="single" w:sz="8" w:space="0" w:color="FFFFFF"/>
            </w:tcBorders>
            <w:shd w:val="clear" w:color="000000" w:fill="B8CCE4"/>
            <w:vAlign w:val="center"/>
            <w:hideMark/>
          </w:tcPr>
          <w:p w14:paraId="2EBE2C70" w14:textId="77777777" w:rsidR="00204D69" w:rsidRPr="00ED5FAC"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SEWB Cairns (n=77)</w:t>
            </w:r>
          </w:p>
        </w:tc>
      </w:tr>
      <w:tr w:rsidR="00204D69" w:rsidRPr="00ED5FAC" w14:paraId="2EBE2C7A" w14:textId="77777777" w:rsidTr="00317F68">
        <w:trPr>
          <w:trHeight w:val="360"/>
        </w:trPr>
        <w:tc>
          <w:tcPr>
            <w:tcW w:w="2709" w:type="dxa"/>
            <w:tcBorders>
              <w:top w:val="nil"/>
              <w:left w:val="single" w:sz="8" w:space="0" w:color="FFFFFF"/>
              <w:bottom w:val="single" w:sz="8" w:space="0" w:color="FFFFFF"/>
              <w:right w:val="single" w:sz="8" w:space="0" w:color="FFFFFF"/>
            </w:tcBorders>
            <w:shd w:val="clear" w:color="000000" w:fill="DBE5F1"/>
            <w:vAlign w:val="center"/>
            <w:hideMark/>
          </w:tcPr>
          <w:p w14:paraId="2EBE2C72"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Behaviour</w:t>
            </w:r>
          </w:p>
        </w:tc>
        <w:tc>
          <w:tcPr>
            <w:tcW w:w="960" w:type="dxa"/>
            <w:tcBorders>
              <w:top w:val="nil"/>
              <w:left w:val="nil"/>
              <w:bottom w:val="single" w:sz="8" w:space="0" w:color="FFFFFF"/>
              <w:right w:val="single" w:sz="8" w:space="0" w:color="FFFFFF"/>
            </w:tcBorders>
            <w:shd w:val="clear" w:color="000000" w:fill="DBE5F1"/>
            <w:vAlign w:val="center"/>
            <w:hideMark/>
          </w:tcPr>
          <w:p w14:paraId="2EBE2C73"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74"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16" w:type="dxa"/>
            <w:tcBorders>
              <w:top w:val="nil"/>
              <w:left w:val="nil"/>
              <w:bottom w:val="single" w:sz="8" w:space="0" w:color="FFFFFF"/>
              <w:right w:val="single" w:sz="8" w:space="0" w:color="FFFFFF"/>
            </w:tcBorders>
            <w:shd w:val="clear" w:color="000000" w:fill="DBE5F1"/>
            <w:vAlign w:val="center"/>
            <w:hideMark/>
          </w:tcPr>
          <w:p w14:paraId="2EBE2C75"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28" w:type="dxa"/>
            <w:tcBorders>
              <w:top w:val="nil"/>
              <w:left w:val="nil"/>
              <w:bottom w:val="single" w:sz="8" w:space="0" w:color="FFFFFF"/>
              <w:right w:val="single" w:sz="8" w:space="0" w:color="FFFFFF"/>
            </w:tcBorders>
            <w:shd w:val="clear" w:color="000000" w:fill="DBE5F1"/>
            <w:vAlign w:val="center"/>
            <w:hideMark/>
          </w:tcPr>
          <w:p w14:paraId="2EBE2C76"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280" w:type="dxa"/>
            <w:tcBorders>
              <w:top w:val="nil"/>
              <w:left w:val="nil"/>
              <w:bottom w:val="single" w:sz="8" w:space="0" w:color="FFFFFF"/>
              <w:right w:val="single" w:sz="8" w:space="0" w:color="FFFFFF"/>
            </w:tcBorders>
            <w:shd w:val="clear" w:color="000000" w:fill="DCE6F1"/>
            <w:noWrap/>
            <w:vAlign w:val="center"/>
            <w:hideMark/>
          </w:tcPr>
          <w:p w14:paraId="2EBE2C77" w14:textId="77777777" w:rsidR="00204D69" w:rsidRPr="00ED5FAC" w:rsidRDefault="00204D69" w:rsidP="00782511">
            <w:pPr>
              <w:spacing w:after="0"/>
              <w:jc w:val="left"/>
              <w:rPr>
                <w:rFonts w:ascii="Tahoma" w:eastAsia="Times New Roman" w:hAnsi="Tahoma" w:cs="Tahoma"/>
                <w:color w:val="auto"/>
                <w:szCs w:val="20"/>
                <w:lang w:eastAsia="en-AU"/>
              </w:rPr>
            </w:pPr>
            <w:r w:rsidRPr="00ED5FAC">
              <w:rPr>
                <w:rFonts w:ascii="Tahoma" w:eastAsia="Times New Roman" w:hAnsi="Tahoma" w:cs="Tahoma"/>
                <w:color w:val="auto"/>
                <w:szCs w:val="20"/>
                <w:lang w:eastAsia="en-AU"/>
              </w:rPr>
              <w:t> </w:t>
            </w:r>
          </w:p>
        </w:tc>
        <w:tc>
          <w:tcPr>
            <w:tcW w:w="856" w:type="dxa"/>
            <w:tcBorders>
              <w:top w:val="nil"/>
              <w:left w:val="nil"/>
              <w:bottom w:val="single" w:sz="8" w:space="0" w:color="FFFFFF"/>
              <w:right w:val="single" w:sz="8" w:space="0" w:color="FFFFFF"/>
            </w:tcBorders>
            <w:shd w:val="clear" w:color="000000" w:fill="DCE6F1"/>
            <w:noWrap/>
            <w:vAlign w:val="center"/>
            <w:hideMark/>
          </w:tcPr>
          <w:p w14:paraId="2EBE2C78" w14:textId="77777777" w:rsidR="00204D69" w:rsidRPr="00ED5FAC" w:rsidRDefault="00204D69" w:rsidP="00782511">
            <w:pPr>
              <w:spacing w:after="0"/>
              <w:jc w:val="left"/>
              <w:rPr>
                <w:rFonts w:ascii="Tahoma" w:eastAsia="Times New Roman" w:hAnsi="Tahoma" w:cs="Tahoma"/>
                <w:color w:val="auto"/>
                <w:szCs w:val="20"/>
                <w:lang w:eastAsia="en-AU"/>
              </w:rPr>
            </w:pPr>
            <w:r w:rsidRPr="00ED5FAC">
              <w:rPr>
                <w:rFonts w:ascii="Tahoma" w:eastAsia="Times New Roman" w:hAnsi="Tahoma" w:cs="Tahoma"/>
                <w:color w:val="auto"/>
                <w:szCs w:val="20"/>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79"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r>
      <w:tr w:rsidR="00204D69" w:rsidRPr="00ED5FAC" w14:paraId="2EBE2C83" w14:textId="77777777" w:rsidTr="00317F68">
        <w:trPr>
          <w:trHeight w:val="431"/>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7B"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lastRenderedPageBreak/>
              <w:t xml:space="preserve">% </w:t>
            </w:r>
            <w:r>
              <w:rPr>
                <w:rFonts w:eastAsia="Times New Roman" w:cs="Segoe UI"/>
                <w:sz w:val="18"/>
                <w:szCs w:val="18"/>
                <w:lang w:eastAsia="en-AU"/>
              </w:rPr>
              <w:t>reduction in mean</w:t>
            </w:r>
          </w:p>
        </w:tc>
        <w:tc>
          <w:tcPr>
            <w:tcW w:w="960" w:type="dxa"/>
            <w:tcBorders>
              <w:top w:val="nil"/>
              <w:left w:val="nil"/>
              <w:bottom w:val="single" w:sz="8" w:space="0" w:color="FFFFFF"/>
              <w:right w:val="single" w:sz="8" w:space="0" w:color="FFFFFF"/>
            </w:tcBorders>
            <w:shd w:val="clear" w:color="000000" w:fill="F2F2F2"/>
            <w:vAlign w:val="center"/>
            <w:hideMark/>
          </w:tcPr>
          <w:p w14:paraId="2EBE2C7C"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-3.52%</w:t>
            </w:r>
          </w:p>
        </w:tc>
        <w:tc>
          <w:tcPr>
            <w:tcW w:w="960" w:type="dxa"/>
            <w:tcBorders>
              <w:top w:val="nil"/>
              <w:left w:val="nil"/>
              <w:bottom w:val="single" w:sz="8" w:space="0" w:color="FFFFFF"/>
              <w:right w:val="single" w:sz="8" w:space="0" w:color="FFFFFF"/>
            </w:tcBorders>
            <w:shd w:val="clear" w:color="000000" w:fill="F2F2F2"/>
            <w:vAlign w:val="center"/>
            <w:hideMark/>
          </w:tcPr>
          <w:p w14:paraId="2EBE2C7D"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7.45%</w:t>
            </w:r>
          </w:p>
        </w:tc>
        <w:tc>
          <w:tcPr>
            <w:tcW w:w="1016" w:type="dxa"/>
            <w:tcBorders>
              <w:top w:val="nil"/>
              <w:left w:val="nil"/>
              <w:bottom w:val="single" w:sz="8" w:space="0" w:color="FFFFFF"/>
              <w:right w:val="single" w:sz="8" w:space="0" w:color="FFFFFF"/>
            </w:tcBorders>
            <w:shd w:val="clear" w:color="000000" w:fill="F2F2F2"/>
            <w:vAlign w:val="center"/>
            <w:hideMark/>
          </w:tcPr>
          <w:p w14:paraId="2EBE2C7E"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5.50%</w:t>
            </w:r>
          </w:p>
        </w:tc>
        <w:tc>
          <w:tcPr>
            <w:tcW w:w="1028" w:type="dxa"/>
            <w:tcBorders>
              <w:top w:val="nil"/>
              <w:left w:val="nil"/>
              <w:bottom w:val="single" w:sz="8" w:space="0" w:color="FFFFFF"/>
              <w:right w:val="single" w:sz="8" w:space="0" w:color="FFFFFF"/>
            </w:tcBorders>
            <w:shd w:val="clear" w:color="000000" w:fill="F2F2F2"/>
            <w:vAlign w:val="center"/>
            <w:hideMark/>
          </w:tcPr>
          <w:p w14:paraId="2EBE2C7F"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4.17%</w:t>
            </w:r>
          </w:p>
        </w:tc>
        <w:tc>
          <w:tcPr>
            <w:tcW w:w="1280" w:type="dxa"/>
            <w:tcBorders>
              <w:top w:val="nil"/>
              <w:left w:val="nil"/>
              <w:bottom w:val="single" w:sz="8" w:space="0" w:color="FFFFFF"/>
              <w:right w:val="single" w:sz="8" w:space="0" w:color="FFFFFF"/>
            </w:tcBorders>
            <w:shd w:val="clear" w:color="000000" w:fill="F2F2F2"/>
            <w:vAlign w:val="center"/>
            <w:hideMark/>
          </w:tcPr>
          <w:p w14:paraId="2EBE2C80"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2.55%</w:t>
            </w:r>
          </w:p>
        </w:tc>
        <w:tc>
          <w:tcPr>
            <w:tcW w:w="856" w:type="dxa"/>
            <w:tcBorders>
              <w:top w:val="nil"/>
              <w:left w:val="nil"/>
              <w:bottom w:val="single" w:sz="8" w:space="0" w:color="FFFFFF"/>
              <w:right w:val="single" w:sz="8" w:space="0" w:color="FFFFFF"/>
            </w:tcBorders>
            <w:shd w:val="clear" w:color="000000" w:fill="F2F2F2"/>
            <w:vAlign w:val="center"/>
            <w:hideMark/>
          </w:tcPr>
          <w:p w14:paraId="2EBE2C81"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0.49%</w:t>
            </w:r>
          </w:p>
        </w:tc>
        <w:tc>
          <w:tcPr>
            <w:tcW w:w="960" w:type="dxa"/>
            <w:tcBorders>
              <w:top w:val="nil"/>
              <w:left w:val="nil"/>
              <w:bottom w:val="single" w:sz="8" w:space="0" w:color="FFFFFF"/>
              <w:right w:val="single" w:sz="8" w:space="0" w:color="FFFFFF"/>
            </w:tcBorders>
            <w:shd w:val="clear" w:color="000000" w:fill="F2F2F2"/>
            <w:vAlign w:val="center"/>
            <w:hideMark/>
          </w:tcPr>
          <w:p w14:paraId="2EBE2C82"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2.92%</w:t>
            </w:r>
          </w:p>
        </w:tc>
      </w:tr>
      <w:tr w:rsidR="00204D69" w:rsidRPr="00ED5FAC" w14:paraId="2EBE2C8C" w14:textId="77777777" w:rsidTr="00317F68">
        <w:trPr>
          <w:trHeight w:val="49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84"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Clinical Significance (Effect Size)</w:t>
            </w:r>
            <w:r>
              <w:rPr>
                <w:rFonts w:eastAsia="Times New Roman" w:cs="Segoe UI"/>
                <w:sz w:val="18"/>
                <w:szCs w:val="18"/>
                <w:lang w:eastAsia="en-AU"/>
              </w:rPr>
              <w:t xml:space="preserve"> </w:t>
            </w:r>
            <w:r w:rsidRPr="006540C4">
              <w:rPr>
                <w:rFonts w:eastAsia="Times New Roman" w:cs="Segoe UI"/>
                <w:sz w:val="18"/>
                <w:szCs w:val="18"/>
                <w:vertAlign w:val="superscript"/>
                <w:lang w:eastAsia="en-AU"/>
              </w:rPr>
              <w:t>1</w:t>
            </w:r>
          </w:p>
        </w:tc>
        <w:tc>
          <w:tcPr>
            <w:tcW w:w="960" w:type="dxa"/>
            <w:tcBorders>
              <w:top w:val="nil"/>
              <w:left w:val="nil"/>
              <w:bottom w:val="single" w:sz="8" w:space="0" w:color="FFFFFF"/>
              <w:right w:val="single" w:sz="8" w:space="0" w:color="FFFFFF"/>
            </w:tcBorders>
            <w:shd w:val="clear" w:color="000000" w:fill="F2F2F2"/>
            <w:vAlign w:val="center"/>
            <w:hideMark/>
          </w:tcPr>
          <w:p w14:paraId="2EBE2C85"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-.23 (none)</w:t>
            </w:r>
          </w:p>
        </w:tc>
        <w:tc>
          <w:tcPr>
            <w:tcW w:w="960" w:type="dxa"/>
            <w:tcBorders>
              <w:top w:val="nil"/>
              <w:left w:val="nil"/>
              <w:bottom w:val="single" w:sz="8" w:space="0" w:color="FFFFFF"/>
              <w:right w:val="single" w:sz="8" w:space="0" w:color="FFFFFF"/>
            </w:tcBorders>
            <w:shd w:val="clear" w:color="000000" w:fill="F2F2F2"/>
            <w:vAlign w:val="center"/>
            <w:hideMark/>
          </w:tcPr>
          <w:p w14:paraId="2EBE2C86"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.48 (small to med)</w:t>
            </w:r>
          </w:p>
        </w:tc>
        <w:tc>
          <w:tcPr>
            <w:tcW w:w="1016" w:type="dxa"/>
            <w:tcBorders>
              <w:top w:val="nil"/>
              <w:left w:val="nil"/>
              <w:bottom w:val="single" w:sz="8" w:space="0" w:color="FFFFFF"/>
              <w:right w:val="single" w:sz="8" w:space="0" w:color="FFFFFF"/>
            </w:tcBorders>
            <w:shd w:val="clear" w:color="000000" w:fill="F2F2F2"/>
            <w:vAlign w:val="center"/>
            <w:hideMark/>
          </w:tcPr>
          <w:p w14:paraId="2EBE2C87"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.39 (small)</w:t>
            </w:r>
          </w:p>
        </w:tc>
        <w:tc>
          <w:tcPr>
            <w:tcW w:w="1028" w:type="dxa"/>
            <w:tcBorders>
              <w:top w:val="nil"/>
              <w:left w:val="nil"/>
              <w:bottom w:val="single" w:sz="8" w:space="0" w:color="FFFFFF"/>
              <w:right w:val="single" w:sz="8" w:space="0" w:color="FFFFFF"/>
            </w:tcBorders>
            <w:shd w:val="clear" w:color="000000" w:fill="F2F2F2"/>
            <w:vAlign w:val="center"/>
            <w:hideMark/>
          </w:tcPr>
          <w:p w14:paraId="2EBE2C88"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.24 (small)</w:t>
            </w:r>
          </w:p>
        </w:tc>
        <w:tc>
          <w:tcPr>
            <w:tcW w:w="1280" w:type="dxa"/>
            <w:tcBorders>
              <w:top w:val="nil"/>
              <w:left w:val="nil"/>
              <w:bottom w:val="single" w:sz="8" w:space="0" w:color="FFFFFF"/>
              <w:right w:val="single" w:sz="8" w:space="0" w:color="FFFFFF"/>
            </w:tcBorders>
            <w:shd w:val="clear" w:color="000000" w:fill="F2F2F2"/>
            <w:vAlign w:val="center"/>
            <w:hideMark/>
          </w:tcPr>
          <w:p w14:paraId="2EBE2C89" w14:textId="77777777" w:rsidR="00204D69" w:rsidRPr="00ED5FAC" w:rsidRDefault="00204D69" w:rsidP="00782511">
            <w:pPr>
              <w:spacing w:after="0"/>
              <w:jc w:val="center"/>
              <w:rPr>
                <w:rFonts w:eastAsia="Times New Roman" w:cs="Segoe UI"/>
                <w:color w:val="auto"/>
                <w:sz w:val="18"/>
                <w:szCs w:val="18"/>
                <w:lang w:eastAsia="en-AU"/>
              </w:rPr>
            </w:pPr>
            <w:r w:rsidRPr="00ED5FAC">
              <w:rPr>
                <w:rFonts w:eastAsia="Times New Roman" w:cs="Segoe UI"/>
                <w:color w:val="auto"/>
                <w:sz w:val="18"/>
                <w:szCs w:val="18"/>
                <w:lang w:eastAsia="en-AU"/>
              </w:rPr>
              <w:t>.16 (none)</w:t>
            </w:r>
          </w:p>
        </w:tc>
        <w:tc>
          <w:tcPr>
            <w:tcW w:w="856" w:type="dxa"/>
            <w:tcBorders>
              <w:top w:val="nil"/>
              <w:left w:val="nil"/>
              <w:bottom w:val="single" w:sz="8" w:space="0" w:color="FFFFFF"/>
              <w:right w:val="single" w:sz="8" w:space="0" w:color="FFFFFF"/>
            </w:tcBorders>
            <w:shd w:val="clear" w:color="000000" w:fill="F2F2F2"/>
            <w:vAlign w:val="center"/>
            <w:hideMark/>
          </w:tcPr>
          <w:p w14:paraId="2EBE2C8A"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.03 (none)</w:t>
            </w:r>
          </w:p>
        </w:tc>
        <w:tc>
          <w:tcPr>
            <w:tcW w:w="960" w:type="dxa"/>
            <w:tcBorders>
              <w:top w:val="nil"/>
              <w:left w:val="nil"/>
              <w:bottom w:val="single" w:sz="8" w:space="0" w:color="FFFFFF"/>
              <w:right w:val="single" w:sz="8" w:space="0" w:color="FFFFFF"/>
            </w:tcBorders>
            <w:shd w:val="clear" w:color="000000" w:fill="F2F2F2"/>
            <w:vAlign w:val="center"/>
            <w:hideMark/>
          </w:tcPr>
          <w:p w14:paraId="2EBE2C8B"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.19 (small)</w:t>
            </w:r>
          </w:p>
        </w:tc>
      </w:tr>
      <w:tr w:rsidR="00204D69" w:rsidRPr="00ED5FAC" w14:paraId="2EBE2C95"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8D"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Statistically Significant</w:t>
            </w:r>
            <w:r w:rsidRPr="006540C4">
              <w:rPr>
                <w:rFonts w:eastAsia="Times New Roman" w:cs="Segoe UI"/>
                <w:sz w:val="18"/>
                <w:szCs w:val="18"/>
                <w:vertAlign w:val="superscript"/>
                <w:lang w:eastAsia="en-AU"/>
              </w:rPr>
              <w:t xml:space="preserve"> 1</w:t>
            </w:r>
          </w:p>
        </w:tc>
        <w:tc>
          <w:tcPr>
            <w:tcW w:w="960" w:type="dxa"/>
            <w:tcBorders>
              <w:top w:val="nil"/>
              <w:left w:val="nil"/>
              <w:bottom w:val="single" w:sz="8" w:space="0" w:color="FFFFFF"/>
              <w:right w:val="single" w:sz="8" w:space="0" w:color="FFFFFF"/>
            </w:tcBorders>
            <w:shd w:val="clear" w:color="000000" w:fill="F2F2F2"/>
            <w:vAlign w:val="center"/>
            <w:hideMark/>
          </w:tcPr>
          <w:p w14:paraId="2EBE2C8E"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8F"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16" w:type="dxa"/>
            <w:tcBorders>
              <w:top w:val="nil"/>
              <w:left w:val="nil"/>
              <w:bottom w:val="single" w:sz="8" w:space="0" w:color="FFFFFF"/>
              <w:right w:val="single" w:sz="8" w:space="0" w:color="FFFFFF"/>
            </w:tcBorders>
            <w:shd w:val="clear" w:color="000000" w:fill="F2F2F2"/>
            <w:vAlign w:val="center"/>
            <w:hideMark/>
          </w:tcPr>
          <w:p w14:paraId="2EBE2C90"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28" w:type="dxa"/>
            <w:tcBorders>
              <w:top w:val="nil"/>
              <w:left w:val="nil"/>
              <w:bottom w:val="single" w:sz="8" w:space="0" w:color="FFFFFF"/>
              <w:right w:val="single" w:sz="8" w:space="0" w:color="FFFFFF"/>
            </w:tcBorders>
            <w:shd w:val="clear" w:color="000000" w:fill="F2F2F2"/>
            <w:vAlign w:val="center"/>
            <w:hideMark/>
          </w:tcPr>
          <w:p w14:paraId="2EBE2C91"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1280" w:type="dxa"/>
            <w:tcBorders>
              <w:top w:val="nil"/>
              <w:left w:val="nil"/>
              <w:bottom w:val="single" w:sz="8" w:space="0" w:color="FFFFFF"/>
              <w:right w:val="single" w:sz="8" w:space="0" w:color="FFFFFF"/>
            </w:tcBorders>
            <w:shd w:val="clear" w:color="000000" w:fill="F2F2F2"/>
            <w:vAlign w:val="center"/>
            <w:hideMark/>
          </w:tcPr>
          <w:p w14:paraId="2EBE2C92"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856" w:type="dxa"/>
            <w:tcBorders>
              <w:top w:val="nil"/>
              <w:left w:val="nil"/>
              <w:bottom w:val="single" w:sz="8" w:space="0" w:color="FFFFFF"/>
              <w:right w:val="single" w:sz="8" w:space="0" w:color="FFFFFF"/>
            </w:tcBorders>
            <w:shd w:val="clear" w:color="000000" w:fill="F2F2F2"/>
            <w:vAlign w:val="center"/>
            <w:hideMark/>
          </w:tcPr>
          <w:p w14:paraId="2EBE2C93"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94"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r>
      <w:tr w:rsidR="00204D69" w:rsidRPr="00ED5FAC" w14:paraId="2EBE2C9E" w14:textId="77777777" w:rsidTr="00317F68">
        <w:trPr>
          <w:trHeight w:val="441"/>
        </w:trPr>
        <w:tc>
          <w:tcPr>
            <w:tcW w:w="2709" w:type="dxa"/>
            <w:tcBorders>
              <w:top w:val="nil"/>
              <w:left w:val="single" w:sz="8" w:space="0" w:color="FFFFFF"/>
              <w:bottom w:val="single" w:sz="8" w:space="0" w:color="FFFFFF"/>
              <w:right w:val="single" w:sz="8" w:space="0" w:color="FFFFFF"/>
            </w:tcBorders>
            <w:shd w:val="clear" w:color="000000" w:fill="DBE5F1"/>
            <w:vAlign w:val="center"/>
            <w:hideMark/>
          </w:tcPr>
          <w:p w14:paraId="2EBE2C96"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Impairment</w:t>
            </w:r>
          </w:p>
        </w:tc>
        <w:tc>
          <w:tcPr>
            <w:tcW w:w="960" w:type="dxa"/>
            <w:tcBorders>
              <w:top w:val="nil"/>
              <w:left w:val="nil"/>
              <w:bottom w:val="single" w:sz="8" w:space="0" w:color="FFFFFF"/>
              <w:right w:val="single" w:sz="8" w:space="0" w:color="FFFFFF"/>
            </w:tcBorders>
            <w:shd w:val="clear" w:color="000000" w:fill="DBE5F1"/>
            <w:vAlign w:val="center"/>
            <w:hideMark/>
          </w:tcPr>
          <w:p w14:paraId="2EBE2C97"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98"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16" w:type="dxa"/>
            <w:tcBorders>
              <w:top w:val="nil"/>
              <w:left w:val="nil"/>
              <w:bottom w:val="single" w:sz="8" w:space="0" w:color="FFFFFF"/>
              <w:right w:val="single" w:sz="8" w:space="0" w:color="FFFFFF"/>
            </w:tcBorders>
            <w:shd w:val="clear" w:color="000000" w:fill="DBE5F1"/>
            <w:vAlign w:val="center"/>
            <w:hideMark/>
          </w:tcPr>
          <w:p w14:paraId="2EBE2C99"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28" w:type="dxa"/>
            <w:tcBorders>
              <w:top w:val="nil"/>
              <w:left w:val="nil"/>
              <w:bottom w:val="single" w:sz="8" w:space="0" w:color="FFFFFF"/>
              <w:right w:val="single" w:sz="8" w:space="0" w:color="FFFFFF"/>
            </w:tcBorders>
            <w:shd w:val="clear" w:color="000000" w:fill="DBE5F1"/>
            <w:vAlign w:val="center"/>
            <w:hideMark/>
          </w:tcPr>
          <w:p w14:paraId="2EBE2C9A"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280" w:type="dxa"/>
            <w:tcBorders>
              <w:top w:val="nil"/>
              <w:left w:val="nil"/>
              <w:bottom w:val="single" w:sz="8" w:space="0" w:color="FFFFFF"/>
              <w:right w:val="single" w:sz="8" w:space="0" w:color="FFFFFF"/>
            </w:tcBorders>
            <w:shd w:val="clear" w:color="000000" w:fill="DBE5F1"/>
            <w:vAlign w:val="center"/>
            <w:hideMark/>
          </w:tcPr>
          <w:p w14:paraId="2EBE2C9B"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856" w:type="dxa"/>
            <w:tcBorders>
              <w:top w:val="nil"/>
              <w:left w:val="nil"/>
              <w:bottom w:val="single" w:sz="8" w:space="0" w:color="FFFFFF"/>
              <w:right w:val="single" w:sz="8" w:space="0" w:color="FFFFFF"/>
            </w:tcBorders>
            <w:shd w:val="clear" w:color="000000" w:fill="DBE5F1"/>
            <w:vAlign w:val="center"/>
            <w:hideMark/>
          </w:tcPr>
          <w:p w14:paraId="2EBE2C9C"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9D"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r>
      <w:tr w:rsidR="00204D69" w:rsidRPr="00ED5FAC" w14:paraId="2EBE2CA7" w14:textId="77777777" w:rsidTr="00317F68">
        <w:trPr>
          <w:trHeight w:val="548"/>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9F"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 xml:space="preserve">% </w:t>
            </w:r>
            <w:r>
              <w:rPr>
                <w:rFonts w:eastAsia="Times New Roman" w:cs="Segoe UI"/>
                <w:sz w:val="18"/>
                <w:szCs w:val="18"/>
                <w:lang w:eastAsia="en-AU"/>
              </w:rPr>
              <w:t>reduction in mean</w:t>
            </w:r>
          </w:p>
        </w:tc>
        <w:tc>
          <w:tcPr>
            <w:tcW w:w="960" w:type="dxa"/>
            <w:tcBorders>
              <w:top w:val="nil"/>
              <w:left w:val="nil"/>
              <w:bottom w:val="single" w:sz="8" w:space="0" w:color="FFFFFF"/>
              <w:right w:val="single" w:sz="8" w:space="0" w:color="FFFFFF"/>
            </w:tcBorders>
            <w:shd w:val="clear" w:color="000000" w:fill="F2F2F2"/>
            <w:vAlign w:val="center"/>
            <w:hideMark/>
          </w:tcPr>
          <w:p w14:paraId="2EBE2CA0"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-4.23%</w:t>
            </w:r>
          </w:p>
        </w:tc>
        <w:tc>
          <w:tcPr>
            <w:tcW w:w="960" w:type="dxa"/>
            <w:tcBorders>
              <w:top w:val="nil"/>
              <w:left w:val="nil"/>
              <w:bottom w:val="single" w:sz="8" w:space="0" w:color="FFFFFF"/>
              <w:right w:val="single" w:sz="8" w:space="0" w:color="FFFFFF"/>
            </w:tcBorders>
            <w:shd w:val="clear" w:color="000000" w:fill="F2F2F2"/>
            <w:vAlign w:val="center"/>
            <w:hideMark/>
          </w:tcPr>
          <w:p w14:paraId="2EBE2CA1"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5.05%</w:t>
            </w:r>
          </w:p>
        </w:tc>
        <w:tc>
          <w:tcPr>
            <w:tcW w:w="1016" w:type="dxa"/>
            <w:tcBorders>
              <w:top w:val="nil"/>
              <w:left w:val="nil"/>
              <w:bottom w:val="single" w:sz="8" w:space="0" w:color="FFFFFF"/>
              <w:right w:val="single" w:sz="8" w:space="0" w:color="FFFFFF"/>
            </w:tcBorders>
            <w:shd w:val="clear" w:color="000000" w:fill="F2F2F2"/>
            <w:vAlign w:val="center"/>
            <w:hideMark/>
          </w:tcPr>
          <w:p w14:paraId="2EBE2CA2"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0.24%</w:t>
            </w:r>
          </w:p>
        </w:tc>
        <w:tc>
          <w:tcPr>
            <w:tcW w:w="1028" w:type="dxa"/>
            <w:tcBorders>
              <w:top w:val="nil"/>
              <w:left w:val="nil"/>
              <w:bottom w:val="single" w:sz="8" w:space="0" w:color="FFFFFF"/>
              <w:right w:val="single" w:sz="8" w:space="0" w:color="FFFFFF"/>
            </w:tcBorders>
            <w:shd w:val="clear" w:color="000000" w:fill="F2F2F2"/>
            <w:vAlign w:val="center"/>
            <w:hideMark/>
          </w:tcPr>
          <w:p w14:paraId="2EBE2CA3"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4.46%</w:t>
            </w:r>
          </w:p>
        </w:tc>
        <w:tc>
          <w:tcPr>
            <w:tcW w:w="1280" w:type="dxa"/>
            <w:tcBorders>
              <w:top w:val="nil"/>
              <w:left w:val="nil"/>
              <w:bottom w:val="single" w:sz="8" w:space="0" w:color="FFFFFF"/>
              <w:right w:val="single" w:sz="8" w:space="0" w:color="FFFFFF"/>
            </w:tcBorders>
            <w:shd w:val="clear" w:color="000000" w:fill="F2F2F2"/>
            <w:vAlign w:val="center"/>
            <w:hideMark/>
          </w:tcPr>
          <w:p w14:paraId="2EBE2CA4"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0.38%</w:t>
            </w:r>
          </w:p>
        </w:tc>
        <w:tc>
          <w:tcPr>
            <w:tcW w:w="856" w:type="dxa"/>
            <w:tcBorders>
              <w:top w:val="nil"/>
              <w:left w:val="nil"/>
              <w:bottom w:val="single" w:sz="8" w:space="0" w:color="FFFFFF"/>
              <w:right w:val="single" w:sz="8" w:space="0" w:color="FFFFFF"/>
            </w:tcBorders>
            <w:shd w:val="clear" w:color="000000" w:fill="F2F2F2"/>
            <w:vAlign w:val="center"/>
            <w:hideMark/>
          </w:tcPr>
          <w:p w14:paraId="2EBE2CA5"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0.74%</w:t>
            </w:r>
          </w:p>
        </w:tc>
        <w:tc>
          <w:tcPr>
            <w:tcW w:w="960" w:type="dxa"/>
            <w:tcBorders>
              <w:top w:val="nil"/>
              <w:left w:val="nil"/>
              <w:bottom w:val="single" w:sz="8" w:space="0" w:color="FFFFFF"/>
              <w:right w:val="single" w:sz="8" w:space="0" w:color="FFFFFF"/>
            </w:tcBorders>
            <w:shd w:val="clear" w:color="000000" w:fill="F2F2F2"/>
            <w:vAlign w:val="center"/>
            <w:hideMark/>
          </w:tcPr>
          <w:p w14:paraId="2EBE2CA6"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2.76%</w:t>
            </w:r>
          </w:p>
        </w:tc>
      </w:tr>
      <w:tr w:rsidR="00204D69" w:rsidRPr="00ED5FAC" w14:paraId="2EBE2CB0" w14:textId="77777777" w:rsidTr="00317F68">
        <w:trPr>
          <w:trHeight w:val="49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A8"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Clinical Significance (Effect Size)</w:t>
            </w:r>
          </w:p>
        </w:tc>
        <w:tc>
          <w:tcPr>
            <w:tcW w:w="960" w:type="dxa"/>
            <w:tcBorders>
              <w:top w:val="nil"/>
              <w:left w:val="nil"/>
              <w:bottom w:val="single" w:sz="8" w:space="0" w:color="FFFFFF"/>
              <w:right w:val="single" w:sz="8" w:space="0" w:color="FFFFFF"/>
            </w:tcBorders>
            <w:shd w:val="clear" w:color="000000" w:fill="F2F2F2"/>
            <w:vAlign w:val="center"/>
            <w:hideMark/>
          </w:tcPr>
          <w:p w14:paraId="2EBE2CA9"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-.29 (none)</w:t>
            </w:r>
          </w:p>
        </w:tc>
        <w:tc>
          <w:tcPr>
            <w:tcW w:w="960" w:type="dxa"/>
            <w:tcBorders>
              <w:top w:val="nil"/>
              <w:left w:val="nil"/>
              <w:bottom w:val="single" w:sz="8" w:space="0" w:color="FFFFFF"/>
              <w:right w:val="single" w:sz="8" w:space="0" w:color="FFFFFF"/>
            </w:tcBorders>
            <w:shd w:val="clear" w:color="000000" w:fill="F2F2F2"/>
            <w:vAlign w:val="center"/>
            <w:hideMark/>
          </w:tcPr>
          <w:p w14:paraId="2EBE2CAA"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.40 (small)</w:t>
            </w:r>
          </w:p>
        </w:tc>
        <w:tc>
          <w:tcPr>
            <w:tcW w:w="1016" w:type="dxa"/>
            <w:tcBorders>
              <w:top w:val="nil"/>
              <w:left w:val="nil"/>
              <w:bottom w:val="single" w:sz="8" w:space="0" w:color="FFFFFF"/>
              <w:right w:val="single" w:sz="8" w:space="0" w:color="FFFFFF"/>
            </w:tcBorders>
            <w:shd w:val="clear" w:color="000000" w:fill="F2F2F2"/>
            <w:vAlign w:val="center"/>
            <w:hideMark/>
          </w:tcPr>
          <w:p w14:paraId="2EBE2CAB"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.02 (none)</w:t>
            </w:r>
          </w:p>
        </w:tc>
        <w:tc>
          <w:tcPr>
            <w:tcW w:w="1028" w:type="dxa"/>
            <w:tcBorders>
              <w:top w:val="nil"/>
              <w:left w:val="nil"/>
              <w:bottom w:val="single" w:sz="8" w:space="0" w:color="FFFFFF"/>
              <w:right w:val="single" w:sz="8" w:space="0" w:color="FFFFFF"/>
            </w:tcBorders>
            <w:shd w:val="clear" w:color="000000" w:fill="F2F2F2"/>
            <w:vAlign w:val="center"/>
            <w:hideMark/>
          </w:tcPr>
          <w:p w14:paraId="2EBE2CAC"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.27 (small)</w:t>
            </w:r>
          </w:p>
        </w:tc>
        <w:tc>
          <w:tcPr>
            <w:tcW w:w="1280" w:type="dxa"/>
            <w:tcBorders>
              <w:top w:val="nil"/>
              <w:left w:val="nil"/>
              <w:bottom w:val="single" w:sz="8" w:space="0" w:color="FFFFFF"/>
              <w:right w:val="single" w:sz="8" w:space="0" w:color="FFFFFF"/>
            </w:tcBorders>
            <w:shd w:val="clear" w:color="000000" w:fill="F2F2F2"/>
            <w:vAlign w:val="center"/>
            <w:hideMark/>
          </w:tcPr>
          <w:p w14:paraId="2EBE2CAD" w14:textId="77777777" w:rsidR="00204D69" w:rsidRPr="00ED5FAC" w:rsidRDefault="00204D69" w:rsidP="00782511">
            <w:pPr>
              <w:spacing w:after="0"/>
              <w:jc w:val="center"/>
              <w:rPr>
                <w:rFonts w:eastAsia="Times New Roman" w:cs="Segoe UI"/>
                <w:color w:val="auto"/>
                <w:sz w:val="18"/>
                <w:szCs w:val="18"/>
                <w:lang w:eastAsia="en-AU"/>
              </w:rPr>
            </w:pPr>
            <w:r w:rsidRPr="00ED5FAC">
              <w:rPr>
                <w:rFonts w:eastAsia="Times New Roman" w:cs="Segoe UI"/>
                <w:color w:val="auto"/>
                <w:sz w:val="18"/>
                <w:szCs w:val="18"/>
                <w:lang w:eastAsia="en-AU"/>
              </w:rPr>
              <w:t>.03 (none)</w:t>
            </w:r>
          </w:p>
        </w:tc>
        <w:tc>
          <w:tcPr>
            <w:tcW w:w="856" w:type="dxa"/>
            <w:tcBorders>
              <w:top w:val="nil"/>
              <w:left w:val="nil"/>
              <w:bottom w:val="single" w:sz="8" w:space="0" w:color="FFFFFF"/>
              <w:right w:val="single" w:sz="8" w:space="0" w:color="FFFFFF"/>
            </w:tcBorders>
            <w:shd w:val="clear" w:color="000000" w:fill="F2F2F2"/>
            <w:vAlign w:val="center"/>
            <w:hideMark/>
          </w:tcPr>
          <w:p w14:paraId="2EBE2CAE"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.05 (none)</w:t>
            </w:r>
          </w:p>
        </w:tc>
        <w:tc>
          <w:tcPr>
            <w:tcW w:w="960" w:type="dxa"/>
            <w:tcBorders>
              <w:top w:val="nil"/>
              <w:left w:val="nil"/>
              <w:bottom w:val="single" w:sz="8" w:space="0" w:color="FFFFFF"/>
              <w:right w:val="single" w:sz="8" w:space="0" w:color="FFFFFF"/>
            </w:tcBorders>
            <w:shd w:val="clear" w:color="000000" w:fill="F2F2F2"/>
            <w:vAlign w:val="center"/>
            <w:hideMark/>
          </w:tcPr>
          <w:p w14:paraId="2EBE2CAF"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.14 (none)</w:t>
            </w:r>
          </w:p>
        </w:tc>
      </w:tr>
      <w:tr w:rsidR="00204D69" w:rsidRPr="00ED5FAC" w14:paraId="2EBE2CB9"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B1"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Statistically Significant</w:t>
            </w:r>
          </w:p>
        </w:tc>
        <w:tc>
          <w:tcPr>
            <w:tcW w:w="960" w:type="dxa"/>
            <w:tcBorders>
              <w:top w:val="nil"/>
              <w:left w:val="nil"/>
              <w:bottom w:val="single" w:sz="8" w:space="0" w:color="FFFFFF"/>
              <w:right w:val="single" w:sz="8" w:space="0" w:color="FFFFFF"/>
            </w:tcBorders>
            <w:shd w:val="clear" w:color="000000" w:fill="F2F2F2"/>
            <w:vAlign w:val="center"/>
            <w:hideMark/>
          </w:tcPr>
          <w:p w14:paraId="2EBE2CB2"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B3"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16" w:type="dxa"/>
            <w:tcBorders>
              <w:top w:val="nil"/>
              <w:left w:val="nil"/>
              <w:bottom w:val="single" w:sz="8" w:space="0" w:color="FFFFFF"/>
              <w:right w:val="single" w:sz="8" w:space="0" w:color="FFFFFF"/>
            </w:tcBorders>
            <w:shd w:val="clear" w:color="000000" w:fill="F2F2F2"/>
            <w:vAlign w:val="center"/>
            <w:hideMark/>
          </w:tcPr>
          <w:p w14:paraId="2EBE2CB4"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1028" w:type="dxa"/>
            <w:tcBorders>
              <w:top w:val="nil"/>
              <w:left w:val="nil"/>
              <w:bottom w:val="single" w:sz="8" w:space="0" w:color="FFFFFF"/>
              <w:right w:val="single" w:sz="8" w:space="0" w:color="FFFFFF"/>
            </w:tcBorders>
            <w:shd w:val="clear" w:color="000000" w:fill="F2F2F2"/>
            <w:vAlign w:val="center"/>
            <w:hideMark/>
          </w:tcPr>
          <w:p w14:paraId="2EBE2CB5"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1280" w:type="dxa"/>
            <w:tcBorders>
              <w:top w:val="nil"/>
              <w:left w:val="nil"/>
              <w:bottom w:val="single" w:sz="8" w:space="0" w:color="FFFFFF"/>
              <w:right w:val="single" w:sz="8" w:space="0" w:color="FFFFFF"/>
            </w:tcBorders>
            <w:shd w:val="clear" w:color="000000" w:fill="F2F2F2"/>
            <w:vAlign w:val="center"/>
            <w:hideMark/>
          </w:tcPr>
          <w:p w14:paraId="2EBE2CB6"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856" w:type="dxa"/>
            <w:tcBorders>
              <w:top w:val="nil"/>
              <w:left w:val="nil"/>
              <w:bottom w:val="single" w:sz="8" w:space="0" w:color="FFFFFF"/>
              <w:right w:val="single" w:sz="8" w:space="0" w:color="FFFFFF"/>
            </w:tcBorders>
            <w:shd w:val="clear" w:color="000000" w:fill="F2F2F2"/>
            <w:vAlign w:val="center"/>
            <w:hideMark/>
          </w:tcPr>
          <w:p w14:paraId="2EBE2CB7"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B8"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r>
      <w:tr w:rsidR="00204D69" w:rsidRPr="00ED5FAC" w14:paraId="2EBE2CC2" w14:textId="77777777" w:rsidTr="00317F68">
        <w:trPr>
          <w:trHeight w:val="411"/>
        </w:trPr>
        <w:tc>
          <w:tcPr>
            <w:tcW w:w="2709" w:type="dxa"/>
            <w:tcBorders>
              <w:top w:val="nil"/>
              <w:left w:val="single" w:sz="8" w:space="0" w:color="FFFFFF"/>
              <w:bottom w:val="single" w:sz="8" w:space="0" w:color="FFFFFF"/>
              <w:right w:val="single" w:sz="8" w:space="0" w:color="FFFFFF"/>
            </w:tcBorders>
            <w:shd w:val="clear" w:color="000000" w:fill="DBE5F1"/>
            <w:vAlign w:val="center"/>
            <w:hideMark/>
          </w:tcPr>
          <w:p w14:paraId="2EBE2CBA"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Symptoms</w:t>
            </w:r>
          </w:p>
        </w:tc>
        <w:tc>
          <w:tcPr>
            <w:tcW w:w="960" w:type="dxa"/>
            <w:tcBorders>
              <w:top w:val="nil"/>
              <w:left w:val="nil"/>
              <w:bottom w:val="single" w:sz="8" w:space="0" w:color="FFFFFF"/>
              <w:right w:val="single" w:sz="8" w:space="0" w:color="FFFFFF"/>
            </w:tcBorders>
            <w:shd w:val="clear" w:color="000000" w:fill="DBE5F1"/>
            <w:vAlign w:val="center"/>
            <w:hideMark/>
          </w:tcPr>
          <w:p w14:paraId="2EBE2CBB"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BC"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16" w:type="dxa"/>
            <w:tcBorders>
              <w:top w:val="nil"/>
              <w:left w:val="nil"/>
              <w:bottom w:val="single" w:sz="8" w:space="0" w:color="FFFFFF"/>
              <w:right w:val="single" w:sz="8" w:space="0" w:color="FFFFFF"/>
            </w:tcBorders>
            <w:shd w:val="clear" w:color="000000" w:fill="DBE5F1"/>
            <w:vAlign w:val="center"/>
            <w:hideMark/>
          </w:tcPr>
          <w:p w14:paraId="2EBE2CBD"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28" w:type="dxa"/>
            <w:tcBorders>
              <w:top w:val="nil"/>
              <w:left w:val="nil"/>
              <w:bottom w:val="single" w:sz="8" w:space="0" w:color="FFFFFF"/>
              <w:right w:val="single" w:sz="8" w:space="0" w:color="FFFFFF"/>
            </w:tcBorders>
            <w:shd w:val="clear" w:color="000000" w:fill="DBE5F1"/>
            <w:vAlign w:val="center"/>
            <w:hideMark/>
          </w:tcPr>
          <w:p w14:paraId="2EBE2CBE"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280" w:type="dxa"/>
            <w:tcBorders>
              <w:top w:val="nil"/>
              <w:left w:val="nil"/>
              <w:bottom w:val="single" w:sz="8" w:space="0" w:color="FFFFFF"/>
              <w:right w:val="single" w:sz="8" w:space="0" w:color="FFFFFF"/>
            </w:tcBorders>
            <w:shd w:val="clear" w:color="000000" w:fill="DCE6F1"/>
            <w:noWrap/>
            <w:vAlign w:val="center"/>
            <w:hideMark/>
          </w:tcPr>
          <w:p w14:paraId="2EBE2CBF" w14:textId="77777777" w:rsidR="00204D69" w:rsidRPr="00ED5FAC" w:rsidRDefault="00204D69" w:rsidP="00782511">
            <w:pPr>
              <w:spacing w:after="0"/>
              <w:jc w:val="left"/>
              <w:rPr>
                <w:rFonts w:ascii="Tahoma" w:eastAsia="Times New Roman" w:hAnsi="Tahoma" w:cs="Tahoma"/>
                <w:color w:val="auto"/>
                <w:szCs w:val="20"/>
                <w:lang w:eastAsia="en-AU"/>
              </w:rPr>
            </w:pPr>
            <w:r w:rsidRPr="00ED5FAC">
              <w:rPr>
                <w:rFonts w:ascii="Tahoma" w:eastAsia="Times New Roman" w:hAnsi="Tahoma" w:cs="Tahoma"/>
                <w:color w:val="auto"/>
                <w:szCs w:val="20"/>
                <w:lang w:eastAsia="en-AU"/>
              </w:rPr>
              <w:t> </w:t>
            </w:r>
          </w:p>
        </w:tc>
        <w:tc>
          <w:tcPr>
            <w:tcW w:w="856" w:type="dxa"/>
            <w:tcBorders>
              <w:top w:val="nil"/>
              <w:left w:val="nil"/>
              <w:bottom w:val="single" w:sz="8" w:space="0" w:color="FFFFFF"/>
              <w:right w:val="single" w:sz="8" w:space="0" w:color="FFFFFF"/>
            </w:tcBorders>
            <w:shd w:val="clear" w:color="000000" w:fill="DBE5F1"/>
            <w:vAlign w:val="center"/>
            <w:hideMark/>
          </w:tcPr>
          <w:p w14:paraId="2EBE2CC0"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C1"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r>
      <w:tr w:rsidR="00204D69" w:rsidRPr="00ED5FAC" w14:paraId="2EBE2CCB" w14:textId="77777777" w:rsidTr="00317F68">
        <w:trPr>
          <w:trHeight w:val="421"/>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C3"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 xml:space="preserve">% </w:t>
            </w:r>
            <w:r>
              <w:rPr>
                <w:rFonts w:eastAsia="Times New Roman" w:cs="Segoe UI"/>
                <w:sz w:val="18"/>
                <w:szCs w:val="18"/>
                <w:lang w:eastAsia="en-AU"/>
              </w:rPr>
              <w:t>reduction in mean</w:t>
            </w:r>
          </w:p>
        </w:tc>
        <w:tc>
          <w:tcPr>
            <w:tcW w:w="960" w:type="dxa"/>
            <w:tcBorders>
              <w:top w:val="nil"/>
              <w:left w:val="nil"/>
              <w:bottom w:val="single" w:sz="8" w:space="0" w:color="FFFFFF"/>
              <w:right w:val="single" w:sz="8" w:space="0" w:color="FFFFFF"/>
            </w:tcBorders>
            <w:shd w:val="clear" w:color="000000" w:fill="F2F2F2"/>
            <w:vAlign w:val="center"/>
            <w:hideMark/>
          </w:tcPr>
          <w:p w14:paraId="2EBE2CC4"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-2.82%</w:t>
            </w:r>
          </w:p>
        </w:tc>
        <w:tc>
          <w:tcPr>
            <w:tcW w:w="960" w:type="dxa"/>
            <w:tcBorders>
              <w:top w:val="nil"/>
              <w:left w:val="nil"/>
              <w:bottom w:val="single" w:sz="8" w:space="0" w:color="FFFFFF"/>
              <w:right w:val="single" w:sz="8" w:space="0" w:color="FFFFFF"/>
            </w:tcBorders>
            <w:shd w:val="clear" w:color="000000" w:fill="F2F2F2"/>
            <w:vAlign w:val="center"/>
            <w:hideMark/>
          </w:tcPr>
          <w:p w14:paraId="2EBE2CC5"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5.14%</w:t>
            </w:r>
          </w:p>
        </w:tc>
        <w:tc>
          <w:tcPr>
            <w:tcW w:w="1016" w:type="dxa"/>
            <w:tcBorders>
              <w:top w:val="nil"/>
              <w:left w:val="nil"/>
              <w:bottom w:val="single" w:sz="8" w:space="0" w:color="FFFFFF"/>
              <w:right w:val="single" w:sz="8" w:space="0" w:color="FFFFFF"/>
            </w:tcBorders>
            <w:shd w:val="clear" w:color="000000" w:fill="F2F2F2"/>
            <w:vAlign w:val="center"/>
            <w:hideMark/>
          </w:tcPr>
          <w:p w14:paraId="2EBE2CC6"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2.04%</w:t>
            </w:r>
          </w:p>
        </w:tc>
        <w:tc>
          <w:tcPr>
            <w:tcW w:w="1028" w:type="dxa"/>
            <w:tcBorders>
              <w:top w:val="nil"/>
              <w:left w:val="nil"/>
              <w:bottom w:val="single" w:sz="8" w:space="0" w:color="FFFFFF"/>
              <w:right w:val="single" w:sz="8" w:space="0" w:color="FFFFFF"/>
            </w:tcBorders>
            <w:shd w:val="clear" w:color="000000" w:fill="F2F2F2"/>
            <w:vAlign w:val="center"/>
            <w:hideMark/>
          </w:tcPr>
          <w:p w14:paraId="2EBE2CC7"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3.57%</w:t>
            </w:r>
          </w:p>
        </w:tc>
        <w:tc>
          <w:tcPr>
            <w:tcW w:w="1280" w:type="dxa"/>
            <w:tcBorders>
              <w:top w:val="nil"/>
              <w:left w:val="nil"/>
              <w:bottom w:val="single" w:sz="8" w:space="0" w:color="FFFFFF"/>
              <w:right w:val="single" w:sz="8" w:space="0" w:color="FFFFFF"/>
            </w:tcBorders>
            <w:shd w:val="clear" w:color="000000" w:fill="F2F2F2"/>
            <w:vAlign w:val="center"/>
            <w:hideMark/>
          </w:tcPr>
          <w:p w14:paraId="2EBE2CC8"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1.26%</w:t>
            </w:r>
          </w:p>
        </w:tc>
        <w:tc>
          <w:tcPr>
            <w:tcW w:w="856" w:type="dxa"/>
            <w:tcBorders>
              <w:top w:val="nil"/>
              <w:left w:val="nil"/>
              <w:bottom w:val="single" w:sz="8" w:space="0" w:color="FFFFFF"/>
              <w:right w:val="single" w:sz="8" w:space="0" w:color="FFFFFF"/>
            </w:tcBorders>
            <w:shd w:val="clear" w:color="000000" w:fill="F2F2F2"/>
            <w:vAlign w:val="center"/>
            <w:hideMark/>
          </w:tcPr>
          <w:p w14:paraId="2EBE2CC9"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0.65%</w:t>
            </w:r>
          </w:p>
        </w:tc>
        <w:tc>
          <w:tcPr>
            <w:tcW w:w="960" w:type="dxa"/>
            <w:tcBorders>
              <w:top w:val="nil"/>
              <w:left w:val="nil"/>
              <w:bottom w:val="single" w:sz="8" w:space="0" w:color="FFFFFF"/>
              <w:right w:val="single" w:sz="8" w:space="0" w:color="FFFFFF"/>
            </w:tcBorders>
            <w:shd w:val="clear" w:color="000000" w:fill="F2F2F2"/>
            <w:vAlign w:val="center"/>
            <w:hideMark/>
          </w:tcPr>
          <w:p w14:paraId="2EBE2CCA"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13.31%</w:t>
            </w:r>
          </w:p>
        </w:tc>
      </w:tr>
      <w:tr w:rsidR="00204D69" w:rsidRPr="00ED5FAC" w14:paraId="2EBE2CD4" w14:textId="77777777" w:rsidTr="00317F68">
        <w:trPr>
          <w:trHeight w:val="49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CC"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Clinical Significance (Effect Size)</w:t>
            </w:r>
          </w:p>
        </w:tc>
        <w:tc>
          <w:tcPr>
            <w:tcW w:w="960" w:type="dxa"/>
            <w:tcBorders>
              <w:top w:val="nil"/>
              <w:left w:val="nil"/>
              <w:bottom w:val="single" w:sz="8" w:space="0" w:color="FFFFFF"/>
              <w:right w:val="single" w:sz="8" w:space="0" w:color="FFFFFF"/>
            </w:tcBorders>
            <w:shd w:val="clear" w:color="000000" w:fill="F2F2F2"/>
            <w:vAlign w:val="center"/>
            <w:hideMark/>
          </w:tcPr>
          <w:p w14:paraId="2EBE2CCD"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-.19 (none)</w:t>
            </w:r>
          </w:p>
        </w:tc>
        <w:tc>
          <w:tcPr>
            <w:tcW w:w="960" w:type="dxa"/>
            <w:tcBorders>
              <w:top w:val="nil"/>
              <w:left w:val="nil"/>
              <w:bottom w:val="single" w:sz="8" w:space="0" w:color="FFFFFF"/>
              <w:right w:val="single" w:sz="8" w:space="0" w:color="FFFFFF"/>
            </w:tcBorders>
            <w:shd w:val="clear" w:color="000000" w:fill="F2F2F2"/>
            <w:vAlign w:val="center"/>
            <w:hideMark/>
          </w:tcPr>
          <w:p w14:paraId="2EBE2CCE"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.36 (small)</w:t>
            </w:r>
          </w:p>
        </w:tc>
        <w:tc>
          <w:tcPr>
            <w:tcW w:w="1016" w:type="dxa"/>
            <w:tcBorders>
              <w:top w:val="nil"/>
              <w:left w:val="nil"/>
              <w:bottom w:val="single" w:sz="8" w:space="0" w:color="FFFFFF"/>
              <w:right w:val="single" w:sz="8" w:space="0" w:color="FFFFFF"/>
            </w:tcBorders>
            <w:shd w:val="clear" w:color="000000" w:fill="F2F2F2"/>
            <w:vAlign w:val="center"/>
            <w:hideMark/>
          </w:tcPr>
          <w:p w14:paraId="2EBE2CCF"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.18 (small)</w:t>
            </w:r>
          </w:p>
        </w:tc>
        <w:tc>
          <w:tcPr>
            <w:tcW w:w="1028" w:type="dxa"/>
            <w:tcBorders>
              <w:top w:val="nil"/>
              <w:left w:val="nil"/>
              <w:bottom w:val="single" w:sz="8" w:space="0" w:color="FFFFFF"/>
              <w:right w:val="single" w:sz="8" w:space="0" w:color="FFFFFF"/>
            </w:tcBorders>
            <w:shd w:val="clear" w:color="000000" w:fill="F2F2F2"/>
            <w:vAlign w:val="center"/>
            <w:hideMark/>
          </w:tcPr>
          <w:p w14:paraId="2EBE2CD0"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.31 (small)</w:t>
            </w:r>
          </w:p>
        </w:tc>
        <w:tc>
          <w:tcPr>
            <w:tcW w:w="1280" w:type="dxa"/>
            <w:tcBorders>
              <w:top w:val="nil"/>
              <w:left w:val="nil"/>
              <w:bottom w:val="single" w:sz="8" w:space="0" w:color="FFFFFF"/>
              <w:right w:val="single" w:sz="8" w:space="0" w:color="FFFFFF"/>
            </w:tcBorders>
            <w:shd w:val="clear" w:color="000000" w:fill="F2F2F2"/>
            <w:vAlign w:val="center"/>
            <w:hideMark/>
          </w:tcPr>
          <w:p w14:paraId="2EBE2CD1" w14:textId="77777777" w:rsidR="00204D69" w:rsidRPr="00ED5FAC" w:rsidRDefault="00204D69" w:rsidP="00782511">
            <w:pPr>
              <w:spacing w:after="0"/>
              <w:jc w:val="center"/>
              <w:rPr>
                <w:rFonts w:eastAsia="Times New Roman" w:cs="Segoe UI"/>
                <w:color w:val="auto"/>
                <w:sz w:val="18"/>
                <w:szCs w:val="18"/>
                <w:lang w:eastAsia="en-AU"/>
              </w:rPr>
            </w:pPr>
            <w:r w:rsidRPr="00ED5FAC">
              <w:rPr>
                <w:rFonts w:eastAsia="Times New Roman" w:cs="Segoe UI"/>
                <w:color w:val="auto"/>
                <w:sz w:val="18"/>
                <w:szCs w:val="18"/>
                <w:lang w:eastAsia="en-AU"/>
              </w:rPr>
              <w:t>.09 (none)</w:t>
            </w:r>
          </w:p>
        </w:tc>
        <w:tc>
          <w:tcPr>
            <w:tcW w:w="856" w:type="dxa"/>
            <w:tcBorders>
              <w:top w:val="nil"/>
              <w:left w:val="nil"/>
              <w:bottom w:val="single" w:sz="8" w:space="0" w:color="FFFFFF"/>
              <w:right w:val="single" w:sz="8" w:space="0" w:color="FFFFFF"/>
            </w:tcBorders>
            <w:shd w:val="clear" w:color="000000" w:fill="F2F2F2"/>
            <w:vAlign w:val="center"/>
            <w:hideMark/>
          </w:tcPr>
          <w:p w14:paraId="2EBE2CD2" w14:textId="77777777" w:rsidR="00204D69" w:rsidRPr="00ED5FAC" w:rsidRDefault="00204D69" w:rsidP="00782511">
            <w:pPr>
              <w:spacing w:after="0"/>
              <w:jc w:val="center"/>
              <w:rPr>
                <w:rFonts w:eastAsia="Times New Roman" w:cs="Segoe UI"/>
                <w:color w:val="auto"/>
                <w:sz w:val="18"/>
                <w:szCs w:val="18"/>
                <w:lang w:eastAsia="en-AU"/>
              </w:rPr>
            </w:pPr>
            <w:r w:rsidRPr="00ED5FAC">
              <w:rPr>
                <w:rFonts w:eastAsia="Times New Roman" w:cs="Segoe UI"/>
                <w:color w:val="auto"/>
                <w:sz w:val="18"/>
                <w:szCs w:val="18"/>
                <w:lang w:eastAsia="en-AU"/>
              </w:rPr>
              <w:t>.05 (none)</w:t>
            </w:r>
          </w:p>
        </w:tc>
        <w:tc>
          <w:tcPr>
            <w:tcW w:w="960" w:type="dxa"/>
            <w:tcBorders>
              <w:top w:val="nil"/>
              <w:left w:val="nil"/>
              <w:bottom w:val="single" w:sz="8" w:space="0" w:color="FFFFFF"/>
              <w:right w:val="single" w:sz="8" w:space="0" w:color="FFFFFF"/>
            </w:tcBorders>
            <w:shd w:val="clear" w:color="000000" w:fill="F2F2F2"/>
            <w:vAlign w:val="center"/>
            <w:hideMark/>
          </w:tcPr>
          <w:p w14:paraId="2EBE2CD3"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.88 (large)</w:t>
            </w:r>
          </w:p>
        </w:tc>
      </w:tr>
      <w:tr w:rsidR="00204D69" w:rsidRPr="00ED5FAC" w14:paraId="2EBE2CDD"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D5"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Statistically Significant</w:t>
            </w:r>
          </w:p>
        </w:tc>
        <w:tc>
          <w:tcPr>
            <w:tcW w:w="960" w:type="dxa"/>
            <w:tcBorders>
              <w:top w:val="nil"/>
              <w:left w:val="nil"/>
              <w:bottom w:val="single" w:sz="8" w:space="0" w:color="FFFFFF"/>
              <w:right w:val="single" w:sz="8" w:space="0" w:color="FFFFFF"/>
            </w:tcBorders>
            <w:shd w:val="clear" w:color="000000" w:fill="F2F2F2"/>
            <w:vAlign w:val="center"/>
            <w:hideMark/>
          </w:tcPr>
          <w:p w14:paraId="2EBE2CD6"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D7"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16" w:type="dxa"/>
            <w:tcBorders>
              <w:top w:val="nil"/>
              <w:left w:val="nil"/>
              <w:bottom w:val="single" w:sz="8" w:space="0" w:color="FFFFFF"/>
              <w:right w:val="single" w:sz="8" w:space="0" w:color="FFFFFF"/>
            </w:tcBorders>
            <w:shd w:val="clear" w:color="000000" w:fill="F2F2F2"/>
            <w:vAlign w:val="center"/>
            <w:hideMark/>
          </w:tcPr>
          <w:p w14:paraId="2EBE2CD8"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1028" w:type="dxa"/>
            <w:tcBorders>
              <w:top w:val="nil"/>
              <w:left w:val="nil"/>
              <w:bottom w:val="single" w:sz="8" w:space="0" w:color="FFFFFF"/>
              <w:right w:val="single" w:sz="8" w:space="0" w:color="FFFFFF"/>
            </w:tcBorders>
            <w:shd w:val="clear" w:color="000000" w:fill="F2F2F2"/>
            <w:vAlign w:val="center"/>
            <w:hideMark/>
          </w:tcPr>
          <w:p w14:paraId="2EBE2CD9"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1280" w:type="dxa"/>
            <w:tcBorders>
              <w:top w:val="nil"/>
              <w:left w:val="nil"/>
              <w:bottom w:val="single" w:sz="8" w:space="0" w:color="FFFFFF"/>
              <w:right w:val="single" w:sz="8" w:space="0" w:color="FFFFFF"/>
            </w:tcBorders>
            <w:shd w:val="clear" w:color="000000" w:fill="F2F2F2"/>
            <w:vAlign w:val="center"/>
            <w:hideMark/>
          </w:tcPr>
          <w:p w14:paraId="2EBE2CDA"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856" w:type="dxa"/>
            <w:tcBorders>
              <w:top w:val="nil"/>
              <w:left w:val="nil"/>
              <w:bottom w:val="single" w:sz="8" w:space="0" w:color="FFFFFF"/>
              <w:right w:val="single" w:sz="8" w:space="0" w:color="FFFFFF"/>
            </w:tcBorders>
            <w:shd w:val="clear" w:color="000000" w:fill="F2F2F2"/>
            <w:vAlign w:val="center"/>
            <w:hideMark/>
          </w:tcPr>
          <w:p w14:paraId="2EBE2CDB"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DC"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r>
      <w:tr w:rsidR="00204D69" w:rsidRPr="00ED5FAC" w14:paraId="2EBE2CE6" w14:textId="77777777" w:rsidTr="00317F68">
        <w:trPr>
          <w:trHeight w:val="409"/>
        </w:trPr>
        <w:tc>
          <w:tcPr>
            <w:tcW w:w="2709" w:type="dxa"/>
            <w:tcBorders>
              <w:top w:val="nil"/>
              <w:left w:val="single" w:sz="8" w:space="0" w:color="FFFFFF"/>
              <w:bottom w:val="single" w:sz="8" w:space="0" w:color="FFFFFF"/>
              <w:right w:val="single" w:sz="8" w:space="0" w:color="FFFFFF"/>
            </w:tcBorders>
            <w:shd w:val="clear" w:color="000000" w:fill="DBE5F1"/>
            <w:vAlign w:val="center"/>
            <w:hideMark/>
          </w:tcPr>
          <w:p w14:paraId="2EBE2CDE"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xml:space="preserve">Social </w:t>
            </w:r>
          </w:p>
        </w:tc>
        <w:tc>
          <w:tcPr>
            <w:tcW w:w="960" w:type="dxa"/>
            <w:tcBorders>
              <w:top w:val="nil"/>
              <w:left w:val="nil"/>
              <w:bottom w:val="single" w:sz="8" w:space="0" w:color="FFFFFF"/>
              <w:right w:val="single" w:sz="8" w:space="0" w:color="FFFFFF"/>
            </w:tcBorders>
            <w:shd w:val="clear" w:color="000000" w:fill="DBE5F1"/>
            <w:vAlign w:val="center"/>
            <w:hideMark/>
          </w:tcPr>
          <w:p w14:paraId="2EBE2CDF"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E0"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16" w:type="dxa"/>
            <w:tcBorders>
              <w:top w:val="nil"/>
              <w:left w:val="nil"/>
              <w:bottom w:val="single" w:sz="8" w:space="0" w:color="FFFFFF"/>
              <w:right w:val="single" w:sz="8" w:space="0" w:color="FFFFFF"/>
            </w:tcBorders>
            <w:shd w:val="clear" w:color="000000" w:fill="DBE5F1"/>
            <w:vAlign w:val="center"/>
            <w:hideMark/>
          </w:tcPr>
          <w:p w14:paraId="2EBE2CE1"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028" w:type="dxa"/>
            <w:tcBorders>
              <w:top w:val="nil"/>
              <w:left w:val="nil"/>
              <w:bottom w:val="single" w:sz="8" w:space="0" w:color="FFFFFF"/>
              <w:right w:val="single" w:sz="8" w:space="0" w:color="FFFFFF"/>
            </w:tcBorders>
            <w:shd w:val="clear" w:color="000000" w:fill="DBE5F1"/>
            <w:vAlign w:val="center"/>
            <w:hideMark/>
          </w:tcPr>
          <w:p w14:paraId="2EBE2CE2"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1280" w:type="dxa"/>
            <w:tcBorders>
              <w:top w:val="nil"/>
              <w:left w:val="nil"/>
              <w:bottom w:val="single" w:sz="8" w:space="0" w:color="FFFFFF"/>
              <w:right w:val="single" w:sz="8" w:space="0" w:color="FFFFFF"/>
            </w:tcBorders>
            <w:shd w:val="clear" w:color="000000" w:fill="DBE5F1"/>
            <w:vAlign w:val="center"/>
            <w:hideMark/>
          </w:tcPr>
          <w:p w14:paraId="2EBE2CE3"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856" w:type="dxa"/>
            <w:tcBorders>
              <w:top w:val="nil"/>
              <w:left w:val="nil"/>
              <w:bottom w:val="single" w:sz="8" w:space="0" w:color="FFFFFF"/>
              <w:right w:val="single" w:sz="8" w:space="0" w:color="FFFFFF"/>
            </w:tcBorders>
            <w:shd w:val="clear" w:color="000000" w:fill="DBE5F1"/>
            <w:vAlign w:val="center"/>
            <w:hideMark/>
          </w:tcPr>
          <w:p w14:paraId="2EBE2CE4"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c>
          <w:tcPr>
            <w:tcW w:w="960" w:type="dxa"/>
            <w:tcBorders>
              <w:top w:val="nil"/>
              <w:left w:val="nil"/>
              <w:bottom w:val="single" w:sz="8" w:space="0" w:color="FFFFFF"/>
              <w:right w:val="single" w:sz="8" w:space="0" w:color="FFFFFF"/>
            </w:tcBorders>
            <w:shd w:val="clear" w:color="000000" w:fill="DBE5F1"/>
            <w:vAlign w:val="center"/>
            <w:hideMark/>
          </w:tcPr>
          <w:p w14:paraId="2EBE2CE5"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 </w:t>
            </w:r>
          </w:p>
        </w:tc>
      </w:tr>
      <w:tr w:rsidR="00204D69" w:rsidRPr="00ED5FAC" w14:paraId="2EBE2CEF"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E7"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 xml:space="preserve">% </w:t>
            </w:r>
            <w:r>
              <w:rPr>
                <w:rFonts w:eastAsia="Times New Roman" w:cs="Segoe UI"/>
                <w:sz w:val="18"/>
                <w:szCs w:val="18"/>
                <w:lang w:eastAsia="en-AU"/>
              </w:rPr>
              <w:t>reduction in mean</w:t>
            </w:r>
          </w:p>
        </w:tc>
        <w:tc>
          <w:tcPr>
            <w:tcW w:w="960" w:type="dxa"/>
            <w:tcBorders>
              <w:top w:val="nil"/>
              <w:left w:val="nil"/>
              <w:bottom w:val="single" w:sz="8" w:space="0" w:color="FFFFFF"/>
              <w:right w:val="single" w:sz="8" w:space="0" w:color="FFFFFF"/>
            </w:tcBorders>
            <w:shd w:val="clear" w:color="000000" w:fill="F2F2F2"/>
            <w:vAlign w:val="center"/>
            <w:hideMark/>
          </w:tcPr>
          <w:p w14:paraId="2EBE2CE8"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-8.69%</w:t>
            </w:r>
          </w:p>
        </w:tc>
        <w:tc>
          <w:tcPr>
            <w:tcW w:w="960" w:type="dxa"/>
            <w:tcBorders>
              <w:top w:val="nil"/>
              <w:left w:val="nil"/>
              <w:bottom w:val="single" w:sz="8" w:space="0" w:color="FFFFFF"/>
              <w:right w:val="single" w:sz="8" w:space="0" w:color="FFFFFF"/>
            </w:tcBorders>
            <w:shd w:val="clear" w:color="000000" w:fill="F2F2F2"/>
            <w:vAlign w:val="center"/>
            <w:hideMark/>
          </w:tcPr>
          <w:p w14:paraId="2EBE2CE9"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8.16%</w:t>
            </w:r>
          </w:p>
        </w:tc>
        <w:tc>
          <w:tcPr>
            <w:tcW w:w="1016" w:type="dxa"/>
            <w:tcBorders>
              <w:top w:val="nil"/>
              <w:left w:val="nil"/>
              <w:bottom w:val="single" w:sz="8" w:space="0" w:color="FFFFFF"/>
              <w:right w:val="single" w:sz="8" w:space="0" w:color="FFFFFF"/>
            </w:tcBorders>
            <w:shd w:val="clear" w:color="000000" w:fill="F2F2F2"/>
            <w:vAlign w:val="center"/>
            <w:hideMark/>
          </w:tcPr>
          <w:p w14:paraId="2EBE2CEA"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10.58%</w:t>
            </w:r>
          </w:p>
        </w:tc>
        <w:tc>
          <w:tcPr>
            <w:tcW w:w="1028" w:type="dxa"/>
            <w:tcBorders>
              <w:top w:val="nil"/>
              <w:left w:val="nil"/>
              <w:bottom w:val="single" w:sz="8" w:space="0" w:color="FFFFFF"/>
              <w:right w:val="single" w:sz="8" w:space="0" w:color="FFFFFF"/>
            </w:tcBorders>
            <w:shd w:val="clear" w:color="000000" w:fill="F2F2F2"/>
            <w:vAlign w:val="center"/>
            <w:hideMark/>
          </w:tcPr>
          <w:p w14:paraId="2EBE2CEB"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7.14%</w:t>
            </w:r>
          </w:p>
        </w:tc>
        <w:tc>
          <w:tcPr>
            <w:tcW w:w="1280" w:type="dxa"/>
            <w:tcBorders>
              <w:top w:val="nil"/>
              <w:left w:val="nil"/>
              <w:bottom w:val="single" w:sz="8" w:space="0" w:color="FFFFFF"/>
              <w:right w:val="single" w:sz="8" w:space="0" w:color="FFFFFF"/>
            </w:tcBorders>
            <w:shd w:val="clear" w:color="000000" w:fill="F2F2F2"/>
            <w:vAlign w:val="center"/>
            <w:hideMark/>
          </w:tcPr>
          <w:p w14:paraId="2EBE2CEC"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2.64%</w:t>
            </w:r>
          </w:p>
        </w:tc>
        <w:tc>
          <w:tcPr>
            <w:tcW w:w="856" w:type="dxa"/>
            <w:tcBorders>
              <w:top w:val="nil"/>
              <w:left w:val="nil"/>
              <w:bottom w:val="single" w:sz="8" w:space="0" w:color="FFFFFF"/>
              <w:right w:val="single" w:sz="8" w:space="0" w:color="FFFFFF"/>
            </w:tcBorders>
            <w:shd w:val="clear" w:color="000000" w:fill="F2F2F2"/>
            <w:vAlign w:val="center"/>
            <w:hideMark/>
          </w:tcPr>
          <w:p w14:paraId="2EBE2CED"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-0.65%</w:t>
            </w:r>
          </w:p>
        </w:tc>
        <w:tc>
          <w:tcPr>
            <w:tcW w:w="960" w:type="dxa"/>
            <w:tcBorders>
              <w:top w:val="nil"/>
              <w:left w:val="nil"/>
              <w:bottom w:val="single" w:sz="8" w:space="0" w:color="FFFFFF"/>
              <w:right w:val="single" w:sz="8" w:space="0" w:color="FFFFFF"/>
            </w:tcBorders>
            <w:shd w:val="clear" w:color="000000" w:fill="F2F2F2"/>
            <w:vAlign w:val="center"/>
            <w:hideMark/>
          </w:tcPr>
          <w:p w14:paraId="2EBE2CEE"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4.00%</w:t>
            </w:r>
          </w:p>
        </w:tc>
      </w:tr>
      <w:tr w:rsidR="00204D69" w:rsidRPr="00ED5FAC" w14:paraId="2EBE2CF8" w14:textId="77777777" w:rsidTr="00317F68">
        <w:trPr>
          <w:trHeight w:val="49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F0" w14:textId="77777777" w:rsidR="00204D69" w:rsidRPr="00ED5FAC" w:rsidRDefault="00204D69" w:rsidP="00782511">
            <w:pPr>
              <w:spacing w:after="0"/>
              <w:jc w:val="left"/>
              <w:rPr>
                <w:rFonts w:eastAsia="Times New Roman" w:cs="Segoe UI"/>
                <w:sz w:val="18"/>
                <w:szCs w:val="18"/>
                <w:lang w:eastAsia="en-AU"/>
              </w:rPr>
            </w:pPr>
            <w:r w:rsidRPr="00ED5FAC">
              <w:rPr>
                <w:rFonts w:eastAsia="Times New Roman" w:cs="Segoe UI"/>
                <w:sz w:val="18"/>
                <w:szCs w:val="18"/>
                <w:lang w:eastAsia="en-AU"/>
              </w:rPr>
              <w:t>Clinical Significance (Effect Size)</w:t>
            </w:r>
          </w:p>
        </w:tc>
        <w:tc>
          <w:tcPr>
            <w:tcW w:w="960" w:type="dxa"/>
            <w:tcBorders>
              <w:top w:val="nil"/>
              <w:left w:val="nil"/>
              <w:bottom w:val="single" w:sz="8" w:space="0" w:color="FFFFFF"/>
              <w:right w:val="single" w:sz="8" w:space="0" w:color="FFFFFF"/>
            </w:tcBorders>
            <w:shd w:val="clear" w:color="000000" w:fill="F2F2F2"/>
            <w:vAlign w:val="center"/>
            <w:hideMark/>
          </w:tcPr>
          <w:p w14:paraId="2EBE2CF1"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-.28 (none)</w:t>
            </w:r>
          </w:p>
        </w:tc>
        <w:tc>
          <w:tcPr>
            <w:tcW w:w="960" w:type="dxa"/>
            <w:tcBorders>
              <w:top w:val="nil"/>
              <w:left w:val="nil"/>
              <w:bottom w:val="single" w:sz="8" w:space="0" w:color="FFFFFF"/>
              <w:right w:val="single" w:sz="8" w:space="0" w:color="FFFFFF"/>
            </w:tcBorders>
            <w:shd w:val="clear" w:color="000000" w:fill="F2F2F2"/>
            <w:vAlign w:val="center"/>
            <w:hideMark/>
          </w:tcPr>
          <w:p w14:paraId="2EBE2CF2"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.48 (small - med)</w:t>
            </w:r>
          </w:p>
        </w:tc>
        <w:tc>
          <w:tcPr>
            <w:tcW w:w="1016" w:type="dxa"/>
            <w:tcBorders>
              <w:top w:val="nil"/>
              <w:left w:val="nil"/>
              <w:bottom w:val="single" w:sz="8" w:space="0" w:color="FFFFFF"/>
              <w:right w:val="single" w:sz="8" w:space="0" w:color="FFFFFF"/>
            </w:tcBorders>
            <w:shd w:val="clear" w:color="000000" w:fill="F2F2F2"/>
            <w:vAlign w:val="center"/>
            <w:hideMark/>
          </w:tcPr>
          <w:p w14:paraId="2EBE2CF3"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.63 (med)</w:t>
            </w:r>
          </w:p>
        </w:tc>
        <w:tc>
          <w:tcPr>
            <w:tcW w:w="1028" w:type="dxa"/>
            <w:tcBorders>
              <w:top w:val="nil"/>
              <w:left w:val="nil"/>
              <w:bottom w:val="single" w:sz="8" w:space="0" w:color="FFFFFF"/>
              <w:right w:val="single" w:sz="8" w:space="0" w:color="FFFFFF"/>
            </w:tcBorders>
            <w:shd w:val="clear" w:color="000000" w:fill="F2F2F2"/>
            <w:vAlign w:val="center"/>
            <w:hideMark/>
          </w:tcPr>
          <w:p w14:paraId="2EBE2CF4"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(.35 small)</w:t>
            </w:r>
          </w:p>
        </w:tc>
        <w:tc>
          <w:tcPr>
            <w:tcW w:w="1280" w:type="dxa"/>
            <w:tcBorders>
              <w:top w:val="nil"/>
              <w:left w:val="nil"/>
              <w:bottom w:val="single" w:sz="8" w:space="0" w:color="FFFFFF"/>
              <w:right w:val="single" w:sz="8" w:space="0" w:color="FFFFFF"/>
            </w:tcBorders>
            <w:shd w:val="clear" w:color="000000" w:fill="F2F2F2"/>
            <w:vAlign w:val="center"/>
            <w:hideMark/>
          </w:tcPr>
          <w:p w14:paraId="2EBE2CF5" w14:textId="77777777" w:rsidR="00204D69" w:rsidRPr="00ED5FAC" w:rsidRDefault="00204D69" w:rsidP="00782511">
            <w:pPr>
              <w:spacing w:after="0"/>
              <w:jc w:val="center"/>
              <w:rPr>
                <w:rFonts w:eastAsia="Times New Roman" w:cs="Segoe UI"/>
                <w:color w:val="auto"/>
                <w:sz w:val="18"/>
                <w:szCs w:val="18"/>
                <w:lang w:eastAsia="en-AU"/>
              </w:rPr>
            </w:pPr>
            <w:r w:rsidRPr="00ED5FAC">
              <w:rPr>
                <w:rFonts w:eastAsia="Times New Roman" w:cs="Segoe UI"/>
                <w:color w:val="auto"/>
                <w:sz w:val="18"/>
                <w:szCs w:val="18"/>
                <w:lang w:eastAsia="en-AU"/>
              </w:rPr>
              <w:t>.10 (none)</w:t>
            </w:r>
          </w:p>
        </w:tc>
        <w:tc>
          <w:tcPr>
            <w:tcW w:w="856" w:type="dxa"/>
            <w:tcBorders>
              <w:top w:val="nil"/>
              <w:left w:val="nil"/>
              <w:bottom w:val="single" w:sz="8" w:space="0" w:color="FFFFFF"/>
              <w:right w:val="single" w:sz="8" w:space="0" w:color="FFFFFF"/>
            </w:tcBorders>
            <w:shd w:val="clear" w:color="000000" w:fill="F2F2F2"/>
            <w:vAlign w:val="center"/>
            <w:hideMark/>
          </w:tcPr>
          <w:p w14:paraId="2EBE2CF6"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.03 (none)</w:t>
            </w:r>
          </w:p>
        </w:tc>
        <w:tc>
          <w:tcPr>
            <w:tcW w:w="960" w:type="dxa"/>
            <w:tcBorders>
              <w:top w:val="nil"/>
              <w:left w:val="nil"/>
              <w:bottom w:val="single" w:sz="8" w:space="0" w:color="FFFFFF"/>
              <w:right w:val="single" w:sz="8" w:space="0" w:color="FFFFFF"/>
            </w:tcBorders>
            <w:shd w:val="clear" w:color="000000" w:fill="F2F2F2"/>
            <w:vAlign w:val="center"/>
            <w:hideMark/>
          </w:tcPr>
          <w:p w14:paraId="2EBE2CF7" w14:textId="77777777" w:rsidR="00204D69" w:rsidRPr="00ED5FAC" w:rsidRDefault="00204D69" w:rsidP="00782511">
            <w:pPr>
              <w:spacing w:after="0"/>
              <w:jc w:val="center"/>
              <w:rPr>
                <w:rFonts w:eastAsia="Times New Roman" w:cs="Segoe UI"/>
                <w:sz w:val="18"/>
                <w:szCs w:val="18"/>
                <w:lang w:eastAsia="en-AU"/>
              </w:rPr>
            </w:pPr>
            <w:r w:rsidRPr="00ED5FAC">
              <w:rPr>
                <w:rFonts w:eastAsia="Times New Roman" w:cs="Segoe UI"/>
                <w:sz w:val="18"/>
                <w:szCs w:val="18"/>
                <w:lang w:eastAsia="en-AU"/>
              </w:rPr>
              <w:t>.18 (none)</w:t>
            </w:r>
          </w:p>
        </w:tc>
      </w:tr>
      <w:tr w:rsidR="00204D69" w:rsidRPr="00ED5FAC" w14:paraId="2EBE2D02"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CF9" w14:textId="77777777" w:rsidR="00204D69" w:rsidRDefault="00204D69" w:rsidP="002C3027">
            <w:pPr>
              <w:spacing w:after="0"/>
              <w:jc w:val="left"/>
              <w:rPr>
                <w:rFonts w:eastAsia="Times New Roman" w:cs="Segoe UI"/>
                <w:sz w:val="18"/>
                <w:szCs w:val="18"/>
                <w:lang w:eastAsia="en-AU"/>
              </w:rPr>
            </w:pPr>
            <w:r w:rsidRPr="00ED5FAC">
              <w:rPr>
                <w:rFonts w:eastAsia="Times New Roman" w:cs="Segoe UI"/>
                <w:sz w:val="18"/>
                <w:szCs w:val="18"/>
                <w:lang w:eastAsia="en-AU"/>
              </w:rPr>
              <w:t>Statistically Significant</w:t>
            </w:r>
          </w:p>
          <w:p w14:paraId="2EBE2CFA" w14:textId="77777777" w:rsidR="002C3027" w:rsidRPr="00ED5FAC" w:rsidRDefault="002C3027" w:rsidP="002C3027">
            <w:pPr>
              <w:spacing w:after="0"/>
              <w:jc w:val="left"/>
              <w:rPr>
                <w:rFonts w:eastAsia="Times New Roman" w:cs="Segoe UI"/>
                <w:sz w:val="18"/>
                <w:szCs w:val="18"/>
                <w:lang w:eastAsia="en-AU"/>
              </w:rPr>
            </w:pPr>
          </w:p>
        </w:tc>
        <w:tc>
          <w:tcPr>
            <w:tcW w:w="960" w:type="dxa"/>
            <w:tcBorders>
              <w:top w:val="nil"/>
              <w:left w:val="nil"/>
              <w:bottom w:val="single" w:sz="8" w:space="0" w:color="FFFFFF"/>
              <w:right w:val="single" w:sz="8" w:space="0" w:color="FFFFFF"/>
            </w:tcBorders>
            <w:shd w:val="clear" w:color="000000" w:fill="F2F2F2"/>
            <w:vAlign w:val="center"/>
            <w:hideMark/>
          </w:tcPr>
          <w:p w14:paraId="2EBE2CFB"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CFC"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16" w:type="dxa"/>
            <w:tcBorders>
              <w:top w:val="nil"/>
              <w:left w:val="nil"/>
              <w:bottom w:val="single" w:sz="8" w:space="0" w:color="FFFFFF"/>
              <w:right w:val="single" w:sz="8" w:space="0" w:color="FFFFFF"/>
            </w:tcBorders>
            <w:shd w:val="clear" w:color="000000" w:fill="F2F2F2"/>
            <w:vAlign w:val="center"/>
            <w:hideMark/>
          </w:tcPr>
          <w:p w14:paraId="2EBE2CFD"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28" w:type="dxa"/>
            <w:tcBorders>
              <w:top w:val="nil"/>
              <w:left w:val="nil"/>
              <w:bottom w:val="single" w:sz="8" w:space="0" w:color="FFFFFF"/>
              <w:right w:val="single" w:sz="8" w:space="0" w:color="FFFFFF"/>
            </w:tcBorders>
            <w:shd w:val="clear" w:color="000000" w:fill="F2F2F2"/>
            <w:vAlign w:val="center"/>
            <w:hideMark/>
          </w:tcPr>
          <w:p w14:paraId="2EBE2CFE"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1280" w:type="dxa"/>
            <w:tcBorders>
              <w:top w:val="nil"/>
              <w:left w:val="nil"/>
              <w:bottom w:val="single" w:sz="8" w:space="0" w:color="FFFFFF"/>
              <w:right w:val="single" w:sz="8" w:space="0" w:color="FFFFFF"/>
            </w:tcBorders>
            <w:shd w:val="clear" w:color="000000" w:fill="F2F2F2"/>
            <w:vAlign w:val="center"/>
            <w:hideMark/>
          </w:tcPr>
          <w:p w14:paraId="2EBE2CFF"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856" w:type="dxa"/>
            <w:tcBorders>
              <w:top w:val="nil"/>
              <w:left w:val="nil"/>
              <w:bottom w:val="single" w:sz="8" w:space="0" w:color="FFFFFF"/>
              <w:right w:val="single" w:sz="8" w:space="0" w:color="FFFFFF"/>
            </w:tcBorders>
            <w:shd w:val="clear" w:color="000000" w:fill="F2F2F2"/>
            <w:vAlign w:val="center"/>
            <w:hideMark/>
          </w:tcPr>
          <w:p w14:paraId="2EBE2D00"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D01"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r>
      <w:tr w:rsidR="00204D69" w:rsidRPr="00ED5FAC" w14:paraId="2EBE2D0B"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DCE6F1"/>
            <w:vAlign w:val="center"/>
            <w:hideMark/>
          </w:tcPr>
          <w:p w14:paraId="2EBE2D03"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Total</w:t>
            </w:r>
          </w:p>
        </w:tc>
        <w:tc>
          <w:tcPr>
            <w:tcW w:w="960" w:type="dxa"/>
            <w:tcBorders>
              <w:top w:val="nil"/>
              <w:left w:val="nil"/>
              <w:bottom w:val="single" w:sz="8" w:space="0" w:color="FFFFFF"/>
              <w:right w:val="single" w:sz="8" w:space="0" w:color="FFFFFF"/>
            </w:tcBorders>
            <w:shd w:val="clear" w:color="000000" w:fill="DCE6F1"/>
            <w:noWrap/>
            <w:vAlign w:val="center"/>
            <w:hideMark/>
          </w:tcPr>
          <w:p w14:paraId="2EBE2D04" w14:textId="77777777" w:rsidR="00204D69" w:rsidRPr="00ED5FAC" w:rsidRDefault="00204D69" w:rsidP="00782511">
            <w:pPr>
              <w:spacing w:after="0"/>
              <w:jc w:val="center"/>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c>
          <w:tcPr>
            <w:tcW w:w="960" w:type="dxa"/>
            <w:tcBorders>
              <w:top w:val="nil"/>
              <w:left w:val="nil"/>
              <w:bottom w:val="single" w:sz="8" w:space="0" w:color="FFFFFF"/>
              <w:right w:val="single" w:sz="8" w:space="0" w:color="FFFFFF"/>
            </w:tcBorders>
            <w:shd w:val="clear" w:color="000000" w:fill="DCE6F1"/>
            <w:noWrap/>
            <w:vAlign w:val="center"/>
            <w:hideMark/>
          </w:tcPr>
          <w:p w14:paraId="2EBE2D05" w14:textId="77777777" w:rsidR="00204D69" w:rsidRPr="00ED5FAC" w:rsidRDefault="00204D69" w:rsidP="00782511">
            <w:pPr>
              <w:spacing w:after="0"/>
              <w:jc w:val="left"/>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c>
          <w:tcPr>
            <w:tcW w:w="1016" w:type="dxa"/>
            <w:tcBorders>
              <w:top w:val="nil"/>
              <w:left w:val="nil"/>
              <w:bottom w:val="single" w:sz="8" w:space="0" w:color="FFFFFF"/>
              <w:right w:val="single" w:sz="8" w:space="0" w:color="FFFFFF"/>
            </w:tcBorders>
            <w:shd w:val="clear" w:color="000000" w:fill="DCE6F1"/>
            <w:noWrap/>
            <w:vAlign w:val="center"/>
            <w:hideMark/>
          </w:tcPr>
          <w:p w14:paraId="2EBE2D06" w14:textId="77777777" w:rsidR="00204D69" w:rsidRPr="00ED5FAC" w:rsidRDefault="00204D69" w:rsidP="00782511">
            <w:pPr>
              <w:spacing w:after="0"/>
              <w:jc w:val="left"/>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c>
          <w:tcPr>
            <w:tcW w:w="1028" w:type="dxa"/>
            <w:tcBorders>
              <w:top w:val="nil"/>
              <w:left w:val="nil"/>
              <w:bottom w:val="single" w:sz="8" w:space="0" w:color="FFFFFF"/>
              <w:right w:val="single" w:sz="8" w:space="0" w:color="FFFFFF"/>
            </w:tcBorders>
            <w:shd w:val="clear" w:color="000000" w:fill="DCE6F1"/>
            <w:noWrap/>
            <w:vAlign w:val="center"/>
            <w:hideMark/>
          </w:tcPr>
          <w:p w14:paraId="2EBE2D07" w14:textId="77777777" w:rsidR="00204D69" w:rsidRPr="00ED5FAC" w:rsidRDefault="00204D69" w:rsidP="00782511">
            <w:pPr>
              <w:spacing w:after="0"/>
              <w:jc w:val="left"/>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c>
          <w:tcPr>
            <w:tcW w:w="1280" w:type="dxa"/>
            <w:tcBorders>
              <w:top w:val="nil"/>
              <w:left w:val="nil"/>
              <w:bottom w:val="single" w:sz="8" w:space="0" w:color="FFFFFF"/>
              <w:right w:val="single" w:sz="8" w:space="0" w:color="FFFFFF"/>
            </w:tcBorders>
            <w:shd w:val="clear" w:color="000000" w:fill="DCE6F1"/>
            <w:noWrap/>
            <w:vAlign w:val="center"/>
            <w:hideMark/>
          </w:tcPr>
          <w:p w14:paraId="2EBE2D08" w14:textId="77777777" w:rsidR="00204D69" w:rsidRPr="00ED5FAC" w:rsidRDefault="00204D69" w:rsidP="00782511">
            <w:pPr>
              <w:spacing w:after="0"/>
              <w:jc w:val="left"/>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c>
          <w:tcPr>
            <w:tcW w:w="856" w:type="dxa"/>
            <w:tcBorders>
              <w:top w:val="nil"/>
              <w:left w:val="nil"/>
              <w:bottom w:val="single" w:sz="8" w:space="0" w:color="FFFFFF"/>
              <w:right w:val="single" w:sz="8" w:space="0" w:color="FFFFFF"/>
            </w:tcBorders>
            <w:shd w:val="clear" w:color="000000" w:fill="DCE6F1"/>
            <w:noWrap/>
            <w:vAlign w:val="center"/>
            <w:hideMark/>
          </w:tcPr>
          <w:p w14:paraId="2EBE2D09" w14:textId="77777777" w:rsidR="00204D69" w:rsidRPr="00ED5FAC" w:rsidRDefault="00204D69" w:rsidP="00782511">
            <w:pPr>
              <w:spacing w:after="0"/>
              <w:jc w:val="left"/>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c>
          <w:tcPr>
            <w:tcW w:w="960" w:type="dxa"/>
            <w:tcBorders>
              <w:top w:val="nil"/>
              <w:left w:val="nil"/>
              <w:bottom w:val="single" w:sz="8" w:space="0" w:color="FFFFFF"/>
              <w:right w:val="single" w:sz="8" w:space="0" w:color="FFFFFF"/>
            </w:tcBorders>
            <w:shd w:val="clear" w:color="000000" w:fill="DCE6F1"/>
            <w:noWrap/>
            <w:vAlign w:val="center"/>
            <w:hideMark/>
          </w:tcPr>
          <w:p w14:paraId="2EBE2D0A" w14:textId="77777777" w:rsidR="00204D69" w:rsidRPr="00ED5FAC" w:rsidRDefault="00204D69" w:rsidP="00782511">
            <w:pPr>
              <w:spacing w:after="0"/>
              <w:jc w:val="left"/>
              <w:rPr>
                <w:rFonts w:ascii="Tahoma" w:eastAsia="Times New Roman" w:hAnsi="Tahoma" w:cs="Tahoma"/>
                <w:b/>
                <w:bCs/>
                <w:color w:val="auto"/>
                <w:szCs w:val="20"/>
                <w:lang w:eastAsia="en-AU"/>
              </w:rPr>
            </w:pPr>
            <w:r w:rsidRPr="00ED5FAC">
              <w:rPr>
                <w:rFonts w:ascii="Tahoma" w:eastAsia="Times New Roman" w:hAnsi="Tahoma" w:cs="Tahoma"/>
                <w:b/>
                <w:bCs/>
                <w:color w:val="auto"/>
                <w:szCs w:val="20"/>
                <w:lang w:eastAsia="en-AU"/>
              </w:rPr>
              <w:t> </w:t>
            </w:r>
          </w:p>
        </w:tc>
      </w:tr>
      <w:tr w:rsidR="00204D69" w:rsidRPr="00ED5FAC" w14:paraId="2EBE2D15"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D0C"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sz w:val="18"/>
                <w:szCs w:val="18"/>
                <w:lang w:eastAsia="en-AU"/>
              </w:rPr>
              <w:t xml:space="preserve">% </w:t>
            </w:r>
            <w:r w:rsidRPr="00226BD3">
              <w:rPr>
                <w:rFonts w:eastAsia="Times New Roman" w:cs="Segoe UI"/>
                <w:b/>
                <w:sz w:val="18"/>
                <w:szCs w:val="18"/>
                <w:lang w:eastAsia="en-AU"/>
              </w:rPr>
              <w:t>reduction in mean</w:t>
            </w:r>
          </w:p>
        </w:tc>
        <w:tc>
          <w:tcPr>
            <w:tcW w:w="960" w:type="dxa"/>
            <w:tcBorders>
              <w:top w:val="nil"/>
              <w:left w:val="nil"/>
              <w:bottom w:val="single" w:sz="8" w:space="0" w:color="FFFFFF"/>
              <w:right w:val="single" w:sz="8" w:space="0" w:color="FFFFFF"/>
            </w:tcBorders>
            <w:shd w:val="clear" w:color="000000" w:fill="F2F2F2"/>
            <w:vAlign w:val="center"/>
            <w:hideMark/>
          </w:tcPr>
          <w:p w14:paraId="2EBE2D0D"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-4.46%</w:t>
            </w:r>
          </w:p>
        </w:tc>
        <w:tc>
          <w:tcPr>
            <w:tcW w:w="960" w:type="dxa"/>
            <w:tcBorders>
              <w:top w:val="nil"/>
              <w:left w:val="nil"/>
              <w:bottom w:val="single" w:sz="8" w:space="0" w:color="FFFFFF"/>
              <w:right w:val="single" w:sz="8" w:space="0" w:color="FFFFFF"/>
            </w:tcBorders>
            <w:shd w:val="clear" w:color="000000" w:fill="F2F2F2"/>
            <w:vAlign w:val="center"/>
            <w:hideMark/>
          </w:tcPr>
          <w:p w14:paraId="2EBE2D0E"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6.03%</w:t>
            </w:r>
          </w:p>
        </w:tc>
        <w:tc>
          <w:tcPr>
            <w:tcW w:w="1016" w:type="dxa"/>
            <w:tcBorders>
              <w:top w:val="nil"/>
              <w:left w:val="nil"/>
              <w:bottom w:val="single" w:sz="8" w:space="0" w:color="FFFFFF"/>
              <w:right w:val="single" w:sz="8" w:space="0" w:color="FFFFFF"/>
            </w:tcBorders>
            <w:shd w:val="clear" w:color="000000" w:fill="F2F2F2"/>
            <w:vAlign w:val="center"/>
            <w:hideMark/>
          </w:tcPr>
          <w:p w14:paraId="2EBE2D0F"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4.56%</w:t>
            </w:r>
          </w:p>
        </w:tc>
        <w:tc>
          <w:tcPr>
            <w:tcW w:w="1028" w:type="dxa"/>
            <w:tcBorders>
              <w:top w:val="nil"/>
              <w:left w:val="nil"/>
              <w:bottom w:val="single" w:sz="8" w:space="0" w:color="FFFFFF"/>
              <w:right w:val="single" w:sz="8" w:space="0" w:color="FFFFFF"/>
            </w:tcBorders>
            <w:shd w:val="clear" w:color="000000" w:fill="F2F2F2"/>
            <w:vAlign w:val="center"/>
            <w:hideMark/>
          </w:tcPr>
          <w:p w14:paraId="2EBE2D10"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4.46%</w:t>
            </w:r>
          </w:p>
        </w:tc>
        <w:tc>
          <w:tcPr>
            <w:tcW w:w="1280" w:type="dxa"/>
            <w:tcBorders>
              <w:top w:val="nil"/>
              <w:left w:val="nil"/>
              <w:bottom w:val="single" w:sz="8" w:space="0" w:color="FFFFFF"/>
              <w:right w:val="single" w:sz="8" w:space="0" w:color="FFFFFF"/>
            </w:tcBorders>
            <w:shd w:val="clear" w:color="000000" w:fill="F2F2F2"/>
            <w:vAlign w:val="center"/>
            <w:hideMark/>
          </w:tcPr>
          <w:p w14:paraId="2EBE2D11" w14:textId="77777777" w:rsidR="00204D69"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1.67%</w:t>
            </w:r>
          </w:p>
          <w:p w14:paraId="2EBE2D12" w14:textId="77777777" w:rsidR="00125488" w:rsidRPr="00ED5FAC" w:rsidRDefault="00487537" w:rsidP="00782511">
            <w:pPr>
              <w:spacing w:after="0"/>
              <w:jc w:val="center"/>
              <w:rPr>
                <w:rFonts w:eastAsia="Times New Roman" w:cs="Segoe UI"/>
                <w:b/>
                <w:bCs/>
                <w:sz w:val="18"/>
                <w:szCs w:val="18"/>
                <w:lang w:eastAsia="en-AU"/>
              </w:rPr>
            </w:pPr>
            <w:r>
              <w:rPr>
                <w:rFonts w:eastAsia="Times New Roman" w:cs="Segoe UI"/>
                <w:b/>
                <w:bCs/>
                <w:sz w:val="16"/>
                <w:szCs w:val="16"/>
                <w:lang w:eastAsia="en-AU"/>
              </w:rPr>
              <w:t>(</w:t>
            </w:r>
            <w:r w:rsidR="00125488" w:rsidRPr="00125488">
              <w:rPr>
                <w:rFonts w:eastAsia="Times New Roman" w:cs="Segoe UI"/>
                <w:b/>
                <w:bCs/>
                <w:sz w:val="16"/>
                <w:szCs w:val="16"/>
                <w:lang w:eastAsia="en-AU"/>
              </w:rPr>
              <w:t>5% excl Aurukun</w:t>
            </w:r>
            <w:r w:rsidR="00125488">
              <w:rPr>
                <w:rFonts w:eastAsia="Times New Roman" w:cs="Segoe UI"/>
                <w:b/>
                <w:bCs/>
                <w:sz w:val="18"/>
                <w:szCs w:val="18"/>
                <w:lang w:eastAsia="en-AU"/>
              </w:rPr>
              <w:t>)</w:t>
            </w:r>
          </w:p>
        </w:tc>
        <w:tc>
          <w:tcPr>
            <w:tcW w:w="856" w:type="dxa"/>
            <w:tcBorders>
              <w:top w:val="nil"/>
              <w:left w:val="nil"/>
              <w:bottom w:val="single" w:sz="8" w:space="0" w:color="FFFFFF"/>
              <w:right w:val="single" w:sz="8" w:space="0" w:color="FFFFFF"/>
            </w:tcBorders>
            <w:shd w:val="clear" w:color="000000" w:fill="F2F2F2"/>
            <w:vAlign w:val="center"/>
            <w:hideMark/>
          </w:tcPr>
          <w:p w14:paraId="2EBE2D13"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0.25%</w:t>
            </w:r>
          </w:p>
        </w:tc>
        <w:tc>
          <w:tcPr>
            <w:tcW w:w="960" w:type="dxa"/>
            <w:tcBorders>
              <w:top w:val="nil"/>
              <w:left w:val="nil"/>
              <w:bottom w:val="single" w:sz="8" w:space="0" w:color="FFFFFF"/>
              <w:right w:val="single" w:sz="8" w:space="0" w:color="FFFFFF"/>
            </w:tcBorders>
            <w:shd w:val="clear" w:color="000000" w:fill="F2F2F2"/>
            <w:vAlign w:val="center"/>
            <w:hideMark/>
          </w:tcPr>
          <w:p w14:paraId="2EBE2D14"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5.52%</w:t>
            </w:r>
          </w:p>
        </w:tc>
      </w:tr>
      <w:tr w:rsidR="00204D69" w:rsidRPr="00ED5FAC" w14:paraId="2EBE2D1F" w14:textId="77777777" w:rsidTr="00317F68">
        <w:trPr>
          <w:trHeight w:val="49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D16"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Clinical Significance (Effect Size)</w:t>
            </w:r>
          </w:p>
        </w:tc>
        <w:tc>
          <w:tcPr>
            <w:tcW w:w="960" w:type="dxa"/>
            <w:tcBorders>
              <w:top w:val="nil"/>
              <w:left w:val="nil"/>
              <w:bottom w:val="single" w:sz="8" w:space="0" w:color="FFFFFF"/>
              <w:right w:val="single" w:sz="8" w:space="0" w:color="FFFFFF"/>
            </w:tcBorders>
            <w:shd w:val="clear" w:color="000000" w:fill="F2F2F2"/>
            <w:vAlign w:val="center"/>
            <w:hideMark/>
          </w:tcPr>
          <w:p w14:paraId="2EBE2D17"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-.32 (none)</w:t>
            </w:r>
          </w:p>
        </w:tc>
        <w:tc>
          <w:tcPr>
            <w:tcW w:w="960" w:type="dxa"/>
            <w:tcBorders>
              <w:top w:val="nil"/>
              <w:left w:val="nil"/>
              <w:bottom w:val="single" w:sz="8" w:space="0" w:color="FFFFFF"/>
              <w:right w:val="single" w:sz="8" w:space="0" w:color="FFFFFF"/>
            </w:tcBorders>
            <w:shd w:val="clear" w:color="000000" w:fill="F2F2F2"/>
            <w:vAlign w:val="center"/>
            <w:hideMark/>
          </w:tcPr>
          <w:p w14:paraId="2EBE2D18"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.58 (med)</w:t>
            </w:r>
          </w:p>
        </w:tc>
        <w:tc>
          <w:tcPr>
            <w:tcW w:w="1016" w:type="dxa"/>
            <w:tcBorders>
              <w:top w:val="nil"/>
              <w:left w:val="nil"/>
              <w:bottom w:val="single" w:sz="8" w:space="0" w:color="FFFFFF"/>
              <w:right w:val="single" w:sz="8" w:space="0" w:color="FFFFFF"/>
            </w:tcBorders>
            <w:shd w:val="clear" w:color="000000" w:fill="F2F2F2"/>
            <w:vAlign w:val="center"/>
            <w:hideMark/>
          </w:tcPr>
          <w:p w14:paraId="2EBE2D19"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.56 (med)</w:t>
            </w:r>
          </w:p>
        </w:tc>
        <w:tc>
          <w:tcPr>
            <w:tcW w:w="1028" w:type="dxa"/>
            <w:tcBorders>
              <w:top w:val="nil"/>
              <w:left w:val="nil"/>
              <w:bottom w:val="single" w:sz="8" w:space="0" w:color="FFFFFF"/>
              <w:right w:val="single" w:sz="8" w:space="0" w:color="FFFFFF"/>
            </w:tcBorders>
            <w:shd w:val="clear" w:color="000000" w:fill="F2F2F2"/>
            <w:vAlign w:val="center"/>
            <w:hideMark/>
          </w:tcPr>
          <w:p w14:paraId="2EBE2D1A"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.37 (small)</w:t>
            </w:r>
          </w:p>
        </w:tc>
        <w:tc>
          <w:tcPr>
            <w:tcW w:w="1280" w:type="dxa"/>
            <w:tcBorders>
              <w:top w:val="nil"/>
              <w:left w:val="nil"/>
              <w:bottom w:val="single" w:sz="8" w:space="0" w:color="FFFFFF"/>
              <w:right w:val="single" w:sz="8" w:space="0" w:color="FFFFFF"/>
            </w:tcBorders>
            <w:shd w:val="clear" w:color="000000" w:fill="F2F2F2"/>
            <w:vAlign w:val="center"/>
            <w:hideMark/>
          </w:tcPr>
          <w:p w14:paraId="2EBE2D1B" w14:textId="77777777" w:rsidR="00204D69" w:rsidRDefault="00204D69" w:rsidP="00782511">
            <w:pPr>
              <w:spacing w:after="0"/>
              <w:jc w:val="center"/>
              <w:rPr>
                <w:rFonts w:eastAsia="Times New Roman" w:cs="Segoe UI"/>
                <w:b/>
                <w:bCs/>
                <w:color w:val="auto"/>
                <w:sz w:val="18"/>
                <w:szCs w:val="18"/>
                <w:lang w:eastAsia="en-AU"/>
              </w:rPr>
            </w:pPr>
            <w:r w:rsidRPr="00ED5FAC">
              <w:rPr>
                <w:rFonts w:eastAsia="Times New Roman" w:cs="Segoe UI"/>
                <w:b/>
                <w:bCs/>
                <w:color w:val="auto"/>
                <w:sz w:val="18"/>
                <w:szCs w:val="18"/>
                <w:lang w:eastAsia="en-AU"/>
              </w:rPr>
              <w:t>.14 (none)</w:t>
            </w:r>
          </w:p>
          <w:p w14:paraId="2EBE2D1C" w14:textId="77777777" w:rsidR="00125488" w:rsidRPr="00125488" w:rsidRDefault="00B27DD0" w:rsidP="00782511">
            <w:pPr>
              <w:spacing w:after="0"/>
              <w:jc w:val="center"/>
              <w:rPr>
                <w:rFonts w:eastAsia="Times New Roman" w:cs="Segoe UI"/>
                <w:b/>
                <w:bCs/>
                <w:color w:val="auto"/>
                <w:sz w:val="16"/>
                <w:szCs w:val="16"/>
                <w:lang w:eastAsia="en-AU"/>
              </w:rPr>
            </w:pPr>
            <w:r>
              <w:rPr>
                <w:rFonts w:eastAsia="Times New Roman" w:cs="Segoe UI"/>
                <w:b/>
                <w:bCs/>
                <w:color w:val="auto"/>
                <w:sz w:val="16"/>
                <w:szCs w:val="16"/>
                <w:lang w:eastAsia="en-AU"/>
              </w:rPr>
              <w:t>(</w:t>
            </w:r>
            <w:r w:rsidR="002C3027">
              <w:rPr>
                <w:rFonts w:eastAsia="Times New Roman" w:cs="Segoe UI"/>
                <w:b/>
                <w:bCs/>
                <w:color w:val="auto"/>
                <w:sz w:val="16"/>
                <w:szCs w:val="16"/>
                <w:lang w:eastAsia="en-AU"/>
              </w:rPr>
              <w:t xml:space="preserve">excl </w:t>
            </w:r>
            <w:r w:rsidR="00125488" w:rsidRPr="00125488">
              <w:rPr>
                <w:rFonts w:eastAsia="Times New Roman" w:cs="Segoe UI"/>
                <w:b/>
                <w:bCs/>
                <w:color w:val="auto"/>
                <w:sz w:val="16"/>
                <w:szCs w:val="16"/>
                <w:lang w:eastAsia="en-AU"/>
              </w:rPr>
              <w:t>Aurukun 0.5 med)</w:t>
            </w:r>
          </w:p>
        </w:tc>
        <w:tc>
          <w:tcPr>
            <w:tcW w:w="856" w:type="dxa"/>
            <w:tcBorders>
              <w:top w:val="nil"/>
              <w:left w:val="nil"/>
              <w:bottom w:val="single" w:sz="8" w:space="0" w:color="FFFFFF"/>
              <w:right w:val="single" w:sz="8" w:space="0" w:color="FFFFFF"/>
            </w:tcBorders>
            <w:shd w:val="clear" w:color="000000" w:fill="F2F2F2"/>
            <w:vAlign w:val="center"/>
            <w:hideMark/>
          </w:tcPr>
          <w:p w14:paraId="2EBE2D1D"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.02 (none)</w:t>
            </w:r>
          </w:p>
        </w:tc>
        <w:tc>
          <w:tcPr>
            <w:tcW w:w="960" w:type="dxa"/>
            <w:tcBorders>
              <w:top w:val="nil"/>
              <w:left w:val="nil"/>
              <w:bottom w:val="single" w:sz="8" w:space="0" w:color="FFFFFF"/>
              <w:right w:val="single" w:sz="8" w:space="0" w:color="FFFFFF"/>
            </w:tcBorders>
            <w:shd w:val="clear" w:color="000000" w:fill="F2F2F2"/>
            <w:vAlign w:val="center"/>
            <w:hideMark/>
          </w:tcPr>
          <w:p w14:paraId="2EBE2D1E" w14:textId="77777777" w:rsidR="00204D69" w:rsidRPr="00ED5FAC" w:rsidRDefault="00204D69" w:rsidP="00782511">
            <w:pPr>
              <w:spacing w:after="0"/>
              <w:jc w:val="center"/>
              <w:rPr>
                <w:rFonts w:eastAsia="Times New Roman" w:cs="Segoe UI"/>
                <w:b/>
                <w:bCs/>
                <w:sz w:val="18"/>
                <w:szCs w:val="18"/>
                <w:lang w:eastAsia="en-AU"/>
              </w:rPr>
            </w:pPr>
            <w:r w:rsidRPr="00ED5FAC">
              <w:rPr>
                <w:rFonts w:eastAsia="Times New Roman" w:cs="Segoe UI"/>
                <w:b/>
                <w:bCs/>
                <w:sz w:val="18"/>
                <w:szCs w:val="18"/>
                <w:lang w:eastAsia="en-AU"/>
              </w:rPr>
              <w:t>.43 (med)</w:t>
            </w:r>
          </w:p>
        </w:tc>
      </w:tr>
      <w:tr w:rsidR="00204D69" w:rsidRPr="00ED5FAC" w14:paraId="2EBE2D28" w14:textId="77777777" w:rsidTr="00317F68">
        <w:trPr>
          <w:trHeight w:val="315"/>
        </w:trPr>
        <w:tc>
          <w:tcPr>
            <w:tcW w:w="2709" w:type="dxa"/>
            <w:tcBorders>
              <w:top w:val="nil"/>
              <w:left w:val="single" w:sz="8" w:space="0" w:color="FFFFFF"/>
              <w:bottom w:val="single" w:sz="8" w:space="0" w:color="FFFFFF"/>
              <w:right w:val="single" w:sz="8" w:space="0" w:color="FFFFFF"/>
            </w:tcBorders>
            <w:shd w:val="clear" w:color="000000" w:fill="F2F2F2"/>
            <w:vAlign w:val="center"/>
            <w:hideMark/>
          </w:tcPr>
          <w:p w14:paraId="2EBE2D20" w14:textId="77777777" w:rsidR="00204D69" w:rsidRPr="00ED5FAC" w:rsidRDefault="00204D69" w:rsidP="00782511">
            <w:pPr>
              <w:spacing w:after="0"/>
              <w:jc w:val="left"/>
              <w:rPr>
                <w:rFonts w:eastAsia="Times New Roman" w:cs="Segoe UI"/>
                <w:b/>
                <w:bCs/>
                <w:sz w:val="18"/>
                <w:szCs w:val="18"/>
                <w:lang w:eastAsia="en-AU"/>
              </w:rPr>
            </w:pPr>
            <w:r w:rsidRPr="00ED5FAC">
              <w:rPr>
                <w:rFonts w:eastAsia="Times New Roman" w:cs="Segoe UI"/>
                <w:b/>
                <w:bCs/>
                <w:sz w:val="18"/>
                <w:szCs w:val="18"/>
                <w:lang w:eastAsia="en-AU"/>
              </w:rPr>
              <w:t>Statistically Significant</w:t>
            </w:r>
          </w:p>
        </w:tc>
        <w:tc>
          <w:tcPr>
            <w:tcW w:w="960" w:type="dxa"/>
            <w:tcBorders>
              <w:top w:val="nil"/>
              <w:left w:val="nil"/>
              <w:bottom w:val="single" w:sz="8" w:space="0" w:color="FFFFFF"/>
              <w:right w:val="single" w:sz="8" w:space="0" w:color="FFFFFF"/>
            </w:tcBorders>
            <w:shd w:val="clear" w:color="000000" w:fill="F2F2F2"/>
            <w:vAlign w:val="center"/>
            <w:hideMark/>
          </w:tcPr>
          <w:p w14:paraId="2EBE2D21"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D22"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16" w:type="dxa"/>
            <w:tcBorders>
              <w:top w:val="nil"/>
              <w:left w:val="nil"/>
              <w:bottom w:val="single" w:sz="8" w:space="0" w:color="FFFFFF"/>
              <w:right w:val="single" w:sz="8" w:space="0" w:color="FFFFFF"/>
            </w:tcBorders>
            <w:shd w:val="clear" w:color="000000" w:fill="F2F2F2"/>
            <w:vAlign w:val="center"/>
            <w:hideMark/>
          </w:tcPr>
          <w:p w14:paraId="2EBE2D23"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028" w:type="dxa"/>
            <w:tcBorders>
              <w:top w:val="nil"/>
              <w:left w:val="nil"/>
              <w:bottom w:val="single" w:sz="8" w:space="0" w:color="FFFFFF"/>
              <w:right w:val="single" w:sz="8" w:space="0" w:color="FFFFFF"/>
            </w:tcBorders>
            <w:shd w:val="clear" w:color="000000" w:fill="F2F2F2"/>
            <w:vAlign w:val="center"/>
            <w:hideMark/>
          </w:tcPr>
          <w:p w14:paraId="2EBE2D24"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c>
          <w:tcPr>
            <w:tcW w:w="1280" w:type="dxa"/>
            <w:tcBorders>
              <w:top w:val="nil"/>
              <w:left w:val="nil"/>
              <w:bottom w:val="single" w:sz="8" w:space="0" w:color="FFFFFF"/>
              <w:right w:val="single" w:sz="8" w:space="0" w:color="FFFFFF"/>
            </w:tcBorders>
            <w:shd w:val="clear" w:color="000000" w:fill="F2F2F2"/>
            <w:vAlign w:val="center"/>
            <w:hideMark/>
          </w:tcPr>
          <w:p w14:paraId="2EBE2D25" w14:textId="77777777" w:rsidR="00204D69" w:rsidRPr="00ED5FAC" w:rsidRDefault="002C3027"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b/>
                <w:bCs/>
                <w:color w:val="auto"/>
                <w:sz w:val="18"/>
                <w:szCs w:val="18"/>
                <w:lang w:eastAsia="en-AU"/>
              </w:rPr>
              <w:t></w:t>
            </w:r>
            <w:r>
              <w:rPr>
                <w:rFonts w:ascii="Wingdings" w:eastAsia="Times New Roman" w:hAnsi="Wingdings" w:cs="Calibri"/>
                <w:b/>
                <w:bCs/>
                <w:color w:val="auto"/>
                <w:sz w:val="18"/>
                <w:szCs w:val="18"/>
                <w:lang w:eastAsia="en-AU"/>
              </w:rPr>
              <w:t></w:t>
            </w:r>
            <w:r w:rsidRPr="002C3027">
              <w:rPr>
                <w:rFonts w:eastAsia="Times New Roman" w:cs="Segoe UI"/>
                <w:b/>
                <w:bCs/>
                <w:color w:val="auto"/>
                <w:sz w:val="18"/>
                <w:szCs w:val="18"/>
                <w:lang w:eastAsia="en-AU"/>
              </w:rPr>
              <w:t xml:space="preserve">(excl </w:t>
            </w:r>
            <w:r w:rsidRPr="00317F68">
              <w:rPr>
                <w:rFonts w:eastAsia="Times New Roman" w:cs="Segoe UI"/>
                <w:b/>
                <w:bCs/>
                <w:color w:val="auto"/>
                <w:sz w:val="16"/>
                <w:szCs w:val="16"/>
                <w:lang w:eastAsia="en-AU"/>
              </w:rPr>
              <w:t>Aurukun</w:t>
            </w:r>
            <w:r w:rsidRPr="002C3027">
              <w:rPr>
                <w:rFonts w:eastAsia="Times New Roman" w:cs="Segoe UI"/>
                <w:b/>
                <w:bCs/>
                <w:color w:val="auto"/>
                <w:sz w:val="18"/>
                <w:szCs w:val="18"/>
                <w:lang w:eastAsia="en-AU"/>
              </w:rPr>
              <w:t>)</w:t>
            </w:r>
          </w:p>
        </w:tc>
        <w:tc>
          <w:tcPr>
            <w:tcW w:w="856" w:type="dxa"/>
            <w:tcBorders>
              <w:top w:val="nil"/>
              <w:left w:val="nil"/>
              <w:bottom w:val="single" w:sz="8" w:space="0" w:color="FFFFFF"/>
              <w:right w:val="single" w:sz="8" w:space="0" w:color="FFFFFF"/>
            </w:tcBorders>
            <w:shd w:val="clear" w:color="000000" w:fill="F2F2F2"/>
            <w:vAlign w:val="center"/>
            <w:hideMark/>
          </w:tcPr>
          <w:p w14:paraId="2EBE2D26" w14:textId="77777777" w:rsidR="00204D69" w:rsidRPr="00ED5FAC" w:rsidRDefault="00204D69" w:rsidP="00782511">
            <w:pPr>
              <w:spacing w:after="0"/>
              <w:jc w:val="center"/>
              <w:rPr>
                <w:rFonts w:ascii="Wingdings" w:eastAsia="Times New Roman" w:hAnsi="Wingdings" w:cs="Calibri"/>
                <w:color w:val="auto"/>
                <w:sz w:val="18"/>
                <w:szCs w:val="18"/>
                <w:lang w:eastAsia="en-AU"/>
              </w:rPr>
            </w:pPr>
            <w:r w:rsidRPr="00ED5FAC">
              <w:rPr>
                <w:rFonts w:ascii="Wingdings" w:eastAsia="Times New Roman" w:hAnsi="Wingdings" w:cs="Calibri"/>
                <w:color w:val="auto"/>
                <w:sz w:val="18"/>
                <w:szCs w:val="18"/>
                <w:lang w:eastAsia="en-AU"/>
              </w:rPr>
              <w:t></w:t>
            </w:r>
          </w:p>
        </w:tc>
        <w:tc>
          <w:tcPr>
            <w:tcW w:w="960" w:type="dxa"/>
            <w:tcBorders>
              <w:top w:val="nil"/>
              <w:left w:val="nil"/>
              <w:bottom w:val="single" w:sz="8" w:space="0" w:color="FFFFFF"/>
              <w:right w:val="single" w:sz="8" w:space="0" w:color="FFFFFF"/>
            </w:tcBorders>
            <w:shd w:val="clear" w:color="000000" w:fill="F2F2F2"/>
            <w:vAlign w:val="center"/>
            <w:hideMark/>
          </w:tcPr>
          <w:p w14:paraId="2EBE2D27" w14:textId="77777777" w:rsidR="00204D69" w:rsidRPr="00ED5FAC" w:rsidRDefault="00204D69" w:rsidP="00782511">
            <w:pPr>
              <w:spacing w:after="0"/>
              <w:jc w:val="center"/>
              <w:rPr>
                <w:rFonts w:ascii="Wingdings" w:eastAsia="Times New Roman" w:hAnsi="Wingdings" w:cs="Calibri"/>
                <w:b/>
                <w:bCs/>
                <w:color w:val="auto"/>
                <w:sz w:val="18"/>
                <w:szCs w:val="18"/>
                <w:lang w:eastAsia="en-AU"/>
              </w:rPr>
            </w:pPr>
            <w:r w:rsidRPr="00ED5FAC">
              <w:rPr>
                <w:rFonts w:ascii="Wingdings" w:eastAsia="Times New Roman" w:hAnsi="Wingdings" w:cs="Calibri"/>
                <w:b/>
                <w:bCs/>
                <w:color w:val="auto"/>
                <w:sz w:val="18"/>
                <w:szCs w:val="18"/>
                <w:lang w:eastAsia="en-AU"/>
              </w:rPr>
              <w:t></w:t>
            </w:r>
          </w:p>
        </w:tc>
      </w:tr>
    </w:tbl>
    <w:p w14:paraId="2EBE2D29" w14:textId="77777777" w:rsidR="00204D69" w:rsidRPr="006540C4" w:rsidRDefault="00204D69" w:rsidP="00204D69">
      <w:pPr>
        <w:rPr>
          <w:sz w:val="16"/>
          <w:szCs w:val="16"/>
        </w:rPr>
      </w:pPr>
      <w:r w:rsidRPr="00A534EC">
        <w:rPr>
          <w:sz w:val="16"/>
          <w:szCs w:val="16"/>
        </w:rPr>
        <w:t xml:space="preserve">Note (1): </w:t>
      </w:r>
      <w:r w:rsidRPr="006540C4">
        <w:rPr>
          <w:sz w:val="16"/>
          <w:szCs w:val="16"/>
        </w:rPr>
        <w:t xml:space="preserve">Cohen’s </w:t>
      </w:r>
      <w:r w:rsidRPr="006540C4">
        <w:rPr>
          <w:i/>
          <w:sz w:val="16"/>
          <w:szCs w:val="16"/>
        </w:rPr>
        <w:t>d</w:t>
      </w:r>
      <w:r w:rsidRPr="006540C4">
        <w:rPr>
          <w:sz w:val="16"/>
          <w:szCs w:val="16"/>
        </w:rPr>
        <w:t xml:space="preserve"> was calculated to establish the clinical significance and size of effect, where a value of &gt;0.2 indicates a small clinical significance and effect, 0.5 a medium effect and 0.8 large effect. Where the review score is higher than initial score the effect size has been listed as none. A two tailed paired </w:t>
      </w:r>
      <w:r w:rsidRPr="006540C4">
        <w:rPr>
          <w:i/>
          <w:sz w:val="16"/>
          <w:szCs w:val="16"/>
        </w:rPr>
        <w:t>t</w:t>
      </w:r>
      <w:r w:rsidRPr="006540C4">
        <w:rPr>
          <w:sz w:val="16"/>
          <w:szCs w:val="16"/>
        </w:rPr>
        <w:t xml:space="preserve"> test was then undertaken. The </w:t>
      </w:r>
      <w:r w:rsidRPr="006540C4">
        <w:rPr>
          <w:i/>
          <w:sz w:val="16"/>
          <w:szCs w:val="16"/>
        </w:rPr>
        <w:t>t</w:t>
      </w:r>
      <w:r w:rsidRPr="006540C4">
        <w:rPr>
          <w:sz w:val="16"/>
          <w:szCs w:val="16"/>
        </w:rPr>
        <w:t xml:space="preserve"> value represents statistical significance, with a value of &lt;0.05 indicating statistical significance.</w:t>
      </w:r>
    </w:p>
    <w:p w14:paraId="2EBE2D2A" w14:textId="77777777" w:rsidR="00204D69" w:rsidRDefault="00204D69" w:rsidP="00FF37EE">
      <w:pPr>
        <w:pStyle w:val="Heading4"/>
        <w:rPr>
          <w:lang w:val="en-AU"/>
        </w:rPr>
      </w:pPr>
      <w:r w:rsidRPr="0034786C">
        <w:t>Indigenous risk impact screen (IRIS)</w:t>
      </w:r>
    </w:p>
    <w:p w14:paraId="2EBE2D2B" w14:textId="77777777" w:rsidR="0005223E" w:rsidRDefault="00204D69" w:rsidP="00204D69">
      <w:pPr>
        <w:rPr>
          <w:lang w:eastAsia="x-none"/>
        </w:rPr>
      </w:pPr>
      <w:r>
        <w:rPr>
          <w:lang w:eastAsia="x-none"/>
        </w:rPr>
        <w:fldChar w:fldCharType="begin"/>
      </w:r>
      <w:r>
        <w:rPr>
          <w:lang w:eastAsia="x-none"/>
        </w:rPr>
        <w:instrText xml:space="preserve"> REF _Ref387392803 \h </w:instrText>
      </w:r>
      <w:r>
        <w:rPr>
          <w:lang w:eastAsia="x-none"/>
        </w:rPr>
      </w:r>
      <w:r>
        <w:rPr>
          <w:lang w:eastAsia="x-none"/>
        </w:rPr>
        <w:fldChar w:fldCharType="separate"/>
      </w:r>
      <w:r w:rsidR="009A19EB">
        <w:t xml:space="preserve">Table </w:t>
      </w:r>
      <w:r w:rsidR="009A19EB">
        <w:rPr>
          <w:noProof/>
        </w:rPr>
        <w:t>2</w:t>
      </w:r>
      <w:r w:rsidR="009A19EB">
        <w:t>.</w:t>
      </w:r>
      <w:r w:rsidR="009A19EB">
        <w:rPr>
          <w:noProof/>
        </w:rPr>
        <w:t>6</w:t>
      </w:r>
      <w:r>
        <w:rPr>
          <w:lang w:eastAsia="x-none"/>
        </w:rPr>
        <w:fldChar w:fldCharType="end"/>
      </w:r>
      <w:r>
        <w:rPr>
          <w:lang w:eastAsia="x-none"/>
        </w:rPr>
        <w:t xml:space="preserve"> presents the IRIS profile of WBC matched clients for the mental health and emotional well-being risk. Note there is a high degree of convergence in the questions asked in this screen with the K10 tool. Overall there was clinically significant effect which was statistically significant (medium). All WBCs demonstrated either a small, medium or large effect (with Aurukun being not statistically significant due to small numbers).</w:t>
      </w:r>
    </w:p>
    <w:p w14:paraId="2EBE2D2D" w14:textId="449E9C95" w:rsidR="00204D69" w:rsidRPr="00B66939" w:rsidRDefault="00AA7DC9" w:rsidP="00AA7DC9">
      <w:pPr>
        <w:pStyle w:val="Caption"/>
      </w:pPr>
      <w:bookmarkStart w:id="86" w:name="_Toc392686434"/>
      <w:bookmarkStart w:id="87" w:name="_Ref387392803"/>
      <w:r>
        <w:lastRenderedPageBreak/>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6</w:t>
      </w:r>
      <w:r>
        <w:fldChar w:fldCharType="end"/>
      </w:r>
      <w:bookmarkEnd w:id="87"/>
      <w:r w:rsidR="00204D69">
        <w:t>: IRIS profile of WBC clients – mean scores</w:t>
      </w:r>
      <w:bookmarkEnd w:id="86"/>
    </w:p>
    <w:tbl>
      <w:tblPr>
        <w:tblStyle w:val="Hoi2"/>
        <w:tblW w:w="6503" w:type="dxa"/>
        <w:jc w:val="center"/>
        <w:tblLook w:val="04A0" w:firstRow="1" w:lastRow="0" w:firstColumn="1" w:lastColumn="0" w:noHBand="0" w:noVBand="1"/>
        <w:tblCaption w:val="Table 2.6: IRIS profile of WBC clients - mean scores"/>
        <w:tblDescription w:val="Table 2. displays the IRIS profile of the Wellbeing Centre clients in the four Cape York communities.  The first column lists the communities as well as the sample sizes, the second column shows the percentage in reduction in mean IRIS scores at each community, the third column shows the clinical significance score and the last column shows the rating of statistical significance represented by a tick or a cross. "/>
      </w:tblPr>
      <w:tblGrid>
        <w:gridCol w:w="2436"/>
        <w:gridCol w:w="1213"/>
        <w:gridCol w:w="1348"/>
        <w:gridCol w:w="1506"/>
      </w:tblGrid>
      <w:tr w:rsidR="00204D69" w:rsidRPr="008665D2" w14:paraId="2EBE2D32" w14:textId="77777777" w:rsidTr="0005223E">
        <w:trPr>
          <w:cnfStyle w:val="100000000000" w:firstRow="1" w:lastRow="0" w:firstColumn="0" w:lastColumn="0" w:oddVBand="0" w:evenVBand="0" w:oddHBand="0" w:evenHBand="0" w:firstRowFirstColumn="0" w:firstRowLastColumn="0" w:lastRowFirstColumn="0" w:lastRowLastColumn="0"/>
          <w:trHeight w:val="255"/>
          <w:tblHeader/>
          <w:jc w:val="center"/>
        </w:trPr>
        <w:tc>
          <w:tcPr>
            <w:tcW w:w="2436" w:type="dxa"/>
            <w:tcBorders>
              <w:bottom w:val="single" w:sz="4" w:space="0" w:color="FFFFFF"/>
            </w:tcBorders>
            <w:noWrap/>
            <w:hideMark/>
          </w:tcPr>
          <w:p w14:paraId="2EBE2D2E" w14:textId="77777777" w:rsidR="00204D69" w:rsidRPr="008665D2" w:rsidRDefault="00204D69" w:rsidP="00782511">
            <w:pPr>
              <w:spacing w:after="0"/>
              <w:jc w:val="left"/>
              <w:rPr>
                <w:rFonts w:ascii="Segoe UI" w:eastAsia="Times New Roman" w:hAnsi="Segoe UI" w:cs="Segoe UI"/>
                <w:color w:val="auto"/>
                <w:sz w:val="18"/>
                <w:szCs w:val="18"/>
                <w:lang w:eastAsia="en-AU"/>
              </w:rPr>
            </w:pPr>
          </w:p>
        </w:tc>
        <w:tc>
          <w:tcPr>
            <w:tcW w:w="1213" w:type="dxa"/>
            <w:tcBorders>
              <w:bottom w:val="single" w:sz="4" w:space="0" w:color="FFFFFF"/>
            </w:tcBorders>
            <w:noWrap/>
            <w:hideMark/>
          </w:tcPr>
          <w:p w14:paraId="2EBE2D2F" w14:textId="77777777" w:rsidR="00204D69" w:rsidRPr="008665D2" w:rsidRDefault="00204D69" w:rsidP="00782511">
            <w:pPr>
              <w:spacing w:after="0"/>
              <w:jc w:val="left"/>
              <w:rPr>
                <w:rFonts w:ascii="Segoe UI" w:eastAsia="Times New Roman" w:hAnsi="Segoe UI" w:cs="Segoe UI"/>
                <w:b/>
                <w:color w:val="auto"/>
                <w:sz w:val="18"/>
                <w:szCs w:val="18"/>
                <w:lang w:eastAsia="en-AU"/>
              </w:rPr>
            </w:pPr>
            <w:r>
              <w:rPr>
                <w:rFonts w:ascii="Segoe UI" w:eastAsia="Times New Roman" w:hAnsi="Segoe UI" w:cs="Segoe UI"/>
                <w:b/>
                <w:color w:val="auto"/>
                <w:sz w:val="18"/>
                <w:szCs w:val="18"/>
                <w:lang w:eastAsia="en-AU"/>
              </w:rPr>
              <w:t xml:space="preserve">Percentage </w:t>
            </w:r>
            <w:r w:rsidRPr="008665D2">
              <w:rPr>
                <w:rFonts w:ascii="Segoe UI" w:eastAsia="Times New Roman" w:hAnsi="Segoe UI" w:cs="Segoe UI"/>
                <w:b/>
                <w:color w:val="auto"/>
                <w:sz w:val="18"/>
                <w:szCs w:val="18"/>
                <w:lang w:eastAsia="en-AU"/>
              </w:rPr>
              <w:t xml:space="preserve"> </w:t>
            </w:r>
            <w:r>
              <w:rPr>
                <w:rFonts w:ascii="Segoe UI" w:eastAsia="Times New Roman" w:hAnsi="Segoe UI" w:cs="Segoe UI"/>
                <w:b/>
                <w:color w:val="auto"/>
                <w:sz w:val="18"/>
                <w:szCs w:val="18"/>
                <w:lang w:eastAsia="en-AU"/>
              </w:rPr>
              <w:t xml:space="preserve">reduction in mean </w:t>
            </w:r>
          </w:p>
        </w:tc>
        <w:tc>
          <w:tcPr>
            <w:tcW w:w="1348" w:type="dxa"/>
            <w:tcBorders>
              <w:bottom w:val="single" w:sz="4" w:space="0" w:color="FFFFFF"/>
            </w:tcBorders>
            <w:noWrap/>
            <w:hideMark/>
          </w:tcPr>
          <w:p w14:paraId="2EBE2D30" w14:textId="77777777" w:rsidR="00204D69" w:rsidRPr="008665D2" w:rsidRDefault="00204D69" w:rsidP="00782511">
            <w:pPr>
              <w:spacing w:after="0"/>
              <w:jc w:val="left"/>
              <w:rPr>
                <w:rFonts w:ascii="Segoe UI" w:eastAsia="Times New Roman" w:hAnsi="Segoe UI" w:cs="Segoe UI"/>
                <w:b/>
                <w:color w:val="auto"/>
                <w:sz w:val="18"/>
                <w:szCs w:val="18"/>
                <w:lang w:eastAsia="en-AU"/>
              </w:rPr>
            </w:pPr>
            <w:r w:rsidRPr="008665D2">
              <w:rPr>
                <w:rFonts w:ascii="Segoe UI" w:eastAsia="Times New Roman" w:hAnsi="Segoe UI" w:cs="Segoe UI"/>
                <w:b/>
                <w:color w:val="auto"/>
                <w:sz w:val="18"/>
                <w:szCs w:val="18"/>
                <w:lang w:eastAsia="en-AU"/>
              </w:rPr>
              <w:t>Clinical significance</w:t>
            </w:r>
            <w:r>
              <w:rPr>
                <w:rFonts w:ascii="Segoe UI" w:eastAsia="Times New Roman" w:hAnsi="Segoe UI" w:cs="Segoe UI"/>
                <w:b/>
                <w:color w:val="auto"/>
                <w:sz w:val="18"/>
                <w:szCs w:val="18"/>
                <w:lang w:eastAsia="en-AU"/>
              </w:rPr>
              <w:t xml:space="preserve"> </w:t>
            </w:r>
            <w:r w:rsidRPr="00C07774">
              <w:rPr>
                <w:rFonts w:ascii="Segoe UI" w:eastAsia="Times New Roman" w:hAnsi="Segoe UI" w:cs="Segoe UI"/>
                <w:b/>
                <w:color w:val="auto"/>
                <w:sz w:val="18"/>
                <w:szCs w:val="18"/>
                <w:vertAlign w:val="superscript"/>
                <w:lang w:eastAsia="en-AU"/>
              </w:rPr>
              <w:t>1</w:t>
            </w:r>
          </w:p>
        </w:tc>
        <w:tc>
          <w:tcPr>
            <w:tcW w:w="1506" w:type="dxa"/>
            <w:tcBorders>
              <w:bottom w:val="single" w:sz="4" w:space="0" w:color="FFFFFF"/>
            </w:tcBorders>
            <w:noWrap/>
            <w:hideMark/>
          </w:tcPr>
          <w:p w14:paraId="2EBE2D31" w14:textId="77777777" w:rsidR="00204D69" w:rsidRPr="008665D2" w:rsidRDefault="00204D69" w:rsidP="00782511">
            <w:pPr>
              <w:spacing w:after="0"/>
              <w:jc w:val="left"/>
              <w:rPr>
                <w:rFonts w:ascii="Segoe UI" w:eastAsia="Times New Roman" w:hAnsi="Segoe UI" w:cs="Segoe UI"/>
                <w:b/>
                <w:color w:val="auto"/>
                <w:sz w:val="18"/>
                <w:szCs w:val="18"/>
                <w:lang w:eastAsia="en-AU"/>
              </w:rPr>
            </w:pPr>
            <w:r w:rsidRPr="008665D2">
              <w:rPr>
                <w:rFonts w:ascii="Segoe UI" w:eastAsia="Times New Roman" w:hAnsi="Segoe UI" w:cs="Segoe UI"/>
                <w:b/>
                <w:color w:val="auto"/>
                <w:sz w:val="18"/>
                <w:szCs w:val="18"/>
                <w:lang w:eastAsia="en-AU"/>
              </w:rPr>
              <w:t xml:space="preserve">Statistically significant </w:t>
            </w:r>
            <w:r w:rsidRPr="00C07774">
              <w:rPr>
                <w:rFonts w:ascii="Segoe UI" w:eastAsia="Times New Roman" w:hAnsi="Segoe UI" w:cs="Segoe UI"/>
                <w:b/>
                <w:color w:val="auto"/>
                <w:sz w:val="18"/>
                <w:szCs w:val="18"/>
                <w:vertAlign w:val="superscript"/>
                <w:lang w:eastAsia="en-AU"/>
              </w:rPr>
              <w:t>1</w:t>
            </w:r>
          </w:p>
        </w:tc>
      </w:tr>
      <w:tr w:rsidR="00204D69" w:rsidRPr="008665D2" w14:paraId="2EBE2D37" w14:textId="77777777" w:rsidTr="00782511">
        <w:trPr>
          <w:trHeight w:val="255"/>
          <w:jc w:val="center"/>
        </w:trPr>
        <w:tc>
          <w:tcPr>
            <w:tcW w:w="2436" w:type="dxa"/>
            <w:shd w:val="clear" w:color="auto" w:fill="F2F2F2" w:themeFill="background1" w:themeFillShade="F2"/>
            <w:noWrap/>
            <w:hideMark/>
          </w:tcPr>
          <w:p w14:paraId="2EBE2D33" w14:textId="77777777" w:rsidR="00204D69" w:rsidRPr="008665D2" w:rsidRDefault="00204D69" w:rsidP="00782511">
            <w:pPr>
              <w:spacing w:after="0"/>
              <w:jc w:val="left"/>
              <w:rPr>
                <w:rFonts w:eastAsia="Times New Roman" w:cs="Segoe UI"/>
                <w:color w:val="auto"/>
                <w:sz w:val="18"/>
                <w:szCs w:val="18"/>
                <w:lang w:eastAsia="en-AU"/>
              </w:rPr>
            </w:pPr>
            <w:r w:rsidRPr="008665D2">
              <w:rPr>
                <w:rFonts w:eastAsia="Times New Roman" w:cs="Segoe UI"/>
                <w:color w:val="auto"/>
                <w:sz w:val="18"/>
                <w:szCs w:val="18"/>
                <w:lang w:eastAsia="en-AU"/>
              </w:rPr>
              <w:t>Aurukun (n= 5 )</w:t>
            </w:r>
          </w:p>
        </w:tc>
        <w:tc>
          <w:tcPr>
            <w:tcW w:w="1213" w:type="dxa"/>
            <w:shd w:val="clear" w:color="auto" w:fill="F2F2F2" w:themeFill="background1" w:themeFillShade="F2"/>
            <w:noWrap/>
            <w:hideMark/>
          </w:tcPr>
          <w:p w14:paraId="2EBE2D34"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16.67%</w:t>
            </w:r>
          </w:p>
        </w:tc>
        <w:tc>
          <w:tcPr>
            <w:tcW w:w="1348" w:type="dxa"/>
            <w:shd w:val="clear" w:color="auto" w:fill="F2F2F2" w:themeFill="background1" w:themeFillShade="F2"/>
            <w:noWrap/>
            <w:hideMark/>
          </w:tcPr>
          <w:p w14:paraId="2EBE2D35"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0.83</w:t>
            </w:r>
            <w:r>
              <w:rPr>
                <w:rFonts w:eastAsia="Times New Roman" w:cs="Segoe UI"/>
                <w:color w:val="auto"/>
                <w:sz w:val="18"/>
                <w:szCs w:val="18"/>
                <w:lang w:eastAsia="en-AU"/>
              </w:rPr>
              <w:t xml:space="preserve"> (large)</w:t>
            </w:r>
          </w:p>
        </w:tc>
        <w:tc>
          <w:tcPr>
            <w:tcW w:w="1506" w:type="dxa"/>
            <w:shd w:val="clear" w:color="auto" w:fill="F2F2F2" w:themeFill="background1" w:themeFillShade="F2"/>
            <w:noWrap/>
            <w:vAlign w:val="bottom"/>
            <w:hideMark/>
          </w:tcPr>
          <w:p w14:paraId="2EBE2D36" w14:textId="77777777" w:rsidR="00204D69" w:rsidRDefault="00204D69" w:rsidP="00782511">
            <w:pPr>
              <w:jc w:val="center"/>
              <w:rPr>
                <w:rFonts w:ascii="Wingdings" w:hAnsi="Wingdings" w:cs="Tahoma"/>
                <w:szCs w:val="20"/>
              </w:rPr>
            </w:pPr>
            <w:r>
              <w:rPr>
                <w:rFonts w:ascii="Wingdings" w:hAnsi="Wingdings" w:cs="Tahoma"/>
                <w:szCs w:val="20"/>
              </w:rPr>
              <w:t></w:t>
            </w:r>
          </w:p>
        </w:tc>
      </w:tr>
      <w:tr w:rsidR="00204D69" w:rsidRPr="008665D2" w14:paraId="2EBE2D3C" w14:textId="77777777" w:rsidTr="00782511">
        <w:trPr>
          <w:trHeight w:val="255"/>
          <w:jc w:val="center"/>
        </w:trPr>
        <w:tc>
          <w:tcPr>
            <w:tcW w:w="2436" w:type="dxa"/>
            <w:shd w:val="clear" w:color="auto" w:fill="F2F2F2" w:themeFill="background1" w:themeFillShade="F2"/>
            <w:noWrap/>
            <w:hideMark/>
          </w:tcPr>
          <w:p w14:paraId="2EBE2D38" w14:textId="77777777" w:rsidR="00204D69" w:rsidRPr="008665D2" w:rsidRDefault="00204D69" w:rsidP="00782511">
            <w:pPr>
              <w:spacing w:after="0"/>
              <w:jc w:val="left"/>
              <w:rPr>
                <w:rFonts w:eastAsia="Times New Roman" w:cs="Segoe UI"/>
                <w:color w:val="auto"/>
                <w:sz w:val="18"/>
                <w:szCs w:val="18"/>
                <w:lang w:eastAsia="en-AU"/>
              </w:rPr>
            </w:pPr>
            <w:r w:rsidRPr="008665D2">
              <w:rPr>
                <w:rFonts w:eastAsia="Times New Roman" w:cs="Segoe UI"/>
                <w:color w:val="auto"/>
                <w:sz w:val="18"/>
                <w:szCs w:val="18"/>
                <w:lang w:eastAsia="en-AU"/>
              </w:rPr>
              <w:t>Coen (n= 46)</w:t>
            </w:r>
          </w:p>
        </w:tc>
        <w:tc>
          <w:tcPr>
            <w:tcW w:w="1213" w:type="dxa"/>
            <w:shd w:val="clear" w:color="auto" w:fill="F2F2F2" w:themeFill="background1" w:themeFillShade="F2"/>
            <w:noWrap/>
            <w:hideMark/>
          </w:tcPr>
          <w:p w14:paraId="2EBE2D39"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7.22%</w:t>
            </w:r>
          </w:p>
        </w:tc>
        <w:tc>
          <w:tcPr>
            <w:tcW w:w="1348" w:type="dxa"/>
            <w:shd w:val="clear" w:color="auto" w:fill="F2F2F2" w:themeFill="background1" w:themeFillShade="F2"/>
            <w:noWrap/>
            <w:hideMark/>
          </w:tcPr>
          <w:p w14:paraId="2EBE2D3A"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0.43</w:t>
            </w:r>
            <w:r>
              <w:rPr>
                <w:rFonts w:eastAsia="Times New Roman" w:cs="Segoe UI"/>
                <w:color w:val="auto"/>
                <w:sz w:val="18"/>
                <w:szCs w:val="18"/>
                <w:lang w:eastAsia="en-AU"/>
              </w:rPr>
              <w:t xml:space="preserve"> (small – med)</w:t>
            </w:r>
          </w:p>
        </w:tc>
        <w:tc>
          <w:tcPr>
            <w:tcW w:w="1506" w:type="dxa"/>
            <w:shd w:val="clear" w:color="auto" w:fill="F2F2F2" w:themeFill="background1" w:themeFillShade="F2"/>
            <w:noWrap/>
            <w:vAlign w:val="bottom"/>
            <w:hideMark/>
          </w:tcPr>
          <w:p w14:paraId="2EBE2D3B" w14:textId="77777777" w:rsidR="00204D69" w:rsidRDefault="00204D69" w:rsidP="00782511">
            <w:pPr>
              <w:jc w:val="center"/>
              <w:rPr>
                <w:rFonts w:ascii="Wingdings" w:hAnsi="Wingdings" w:cs="Tahoma"/>
                <w:szCs w:val="20"/>
              </w:rPr>
            </w:pPr>
            <w:r>
              <w:rPr>
                <w:rFonts w:ascii="Wingdings" w:hAnsi="Wingdings" w:cs="Tahoma"/>
                <w:szCs w:val="20"/>
              </w:rPr>
              <w:t></w:t>
            </w:r>
          </w:p>
        </w:tc>
      </w:tr>
      <w:tr w:rsidR="00204D69" w:rsidRPr="008665D2" w14:paraId="2EBE2D41" w14:textId="77777777" w:rsidTr="00782511">
        <w:trPr>
          <w:trHeight w:val="255"/>
          <w:jc w:val="center"/>
        </w:trPr>
        <w:tc>
          <w:tcPr>
            <w:tcW w:w="2436" w:type="dxa"/>
            <w:shd w:val="clear" w:color="auto" w:fill="F2F2F2" w:themeFill="background1" w:themeFillShade="F2"/>
            <w:noWrap/>
            <w:hideMark/>
          </w:tcPr>
          <w:p w14:paraId="2EBE2D3D" w14:textId="77777777" w:rsidR="00204D69" w:rsidRPr="008665D2" w:rsidRDefault="00204D69" w:rsidP="00782511">
            <w:pPr>
              <w:spacing w:after="0"/>
              <w:jc w:val="left"/>
              <w:rPr>
                <w:rFonts w:eastAsia="Times New Roman" w:cs="Segoe UI"/>
                <w:color w:val="auto"/>
                <w:sz w:val="18"/>
                <w:szCs w:val="18"/>
                <w:lang w:eastAsia="en-AU"/>
              </w:rPr>
            </w:pPr>
            <w:r w:rsidRPr="008665D2">
              <w:rPr>
                <w:rFonts w:eastAsia="Times New Roman" w:cs="Segoe UI"/>
                <w:color w:val="auto"/>
                <w:sz w:val="18"/>
                <w:szCs w:val="18"/>
                <w:lang w:eastAsia="en-AU"/>
              </w:rPr>
              <w:t>Hopevale (n= 40)</w:t>
            </w:r>
          </w:p>
        </w:tc>
        <w:tc>
          <w:tcPr>
            <w:tcW w:w="1213" w:type="dxa"/>
            <w:shd w:val="clear" w:color="auto" w:fill="F2F2F2" w:themeFill="background1" w:themeFillShade="F2"/>
            <w:noWrap/>
            <w:hideMark/>
          </w:tcPr>
          <w:p w14:paraId="2EBE2D3E"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5.00%</w:t>
            </w:r>
          </w:p>
        </w:tc>
        <w:tc>
          <w:tcPr>
            <w:tcW w:w="1348" w:type="dxa"/>
            <w:shd w:val="clear" w:color="auto" w:fill="F2F2F2" w:themeFill="background1" w:themeFillShade="F2"/>
            <w:noWrap/>
            <w:hideMark/>
          </w:tcPr>
          <w:p w14:paraId="2EBE2D3F"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0.35</w:t>
            </w:r>
            <w:r>
              <w:rPr>
                <w:rFonts w:eastAsia="Times New Roman" w:cs="Segoe UI"/>
                <w:color w:val="auto"/>
                <w:sz w:val="18"/>
                <w:szCs w:val="18"/>
                <w:lang w:eastAsia="en-AU"/>
              </w:rPr>
              <w:t xml:space="preserve"> (small)</w:t>
            </w:r>
          </w:p>
        </w:tc>
        <w:tc>
          <w:tcPr>
            <w:tcW w:w="1506" w:type="dxa"/>
            <w:shd w:val="clear" w:color="auto" w:fill="F2F2F2" w:themeFill="background1" w:themeFillShade="F2"/>
            <w:noWrap/>
            <w:vAlign w:val="bottom"/>
            <w:hideMark/>
          </w:tcPr>
          <w:p w14:paraId="2EBE2D40" w14:textId="77777777" w:rsidR="00204D69" w:rsidRDefault="00204D69" w:rsidP="00782511">
            <w:pPr>
              <w:jc w:val="center"/>
              <w:rPr>
                <w:rFonts w:ascii="Wingdings" w:hAnsi="Wingdings" w:cs="Tahoma"/>
                <w:szCs w:val="20"/>
              </w:rPr>
            </w:pPr>
            <w:r>
              <w:rPr>
                <w:rFonts w:ascii="Wingdings" w:hAnsi="Wingdings" w:cs="Tahoma"/>
                <w:szCs w:val="20"/>
              </w:rPr>
              <w:t></w:t>
            </w:r>
          </w:p>
        </w:tc>
      </w:tr>
      <w:tr w:rsidR="00204D69" w:rsidRPr="008665D2" w14:paraId="2EBE2D46" w14:textId="77777777" w:rsidTr="00782511">
        <w:trPr>
          <w:trHeight w:val="255"/>
          <w:jc w:val="center"/>
        </w:trPr>
        <w:tc>
          <w:tcPr>
            <w:tcW w:w="2436" w:type="dxa"/>
            <w:shd w:val="clear" w:color="auto" w:fill="F2F2F2" w:themeFill="background1" w:themeFillShade="F2"/>
            <w:noWrap/>
            <w:hideMark/>
          </w:tcPr>
          <w:p w14:paraId="2EBE2D42" w14:textId="77777777" w:rsidR="00204D69" w:rsidRPr="008665D2" w:rsidRDefault="00204D69" w:rsidP="00782511">
            <w:pPr>
              <w:spacing w:after="0"/>
              <w:jc w:val="left"/>
              <w:rPr>
                <w:rFonts w:eastAsia="Times New Roman" w:cs="Segoe UI"/>
                <w:color w:val="auto"/>
                <w:sz w:val="18"/>
                <w:szCs w:val="18"/>
                <w:lang w:eastAsia="en-AU"/>
              </w:rPr>
            </w:pPr>
            <w:r w:rsidRPr="008665D2">
              <w:rPr>
                <w:rFonts w:eastAsia="Times New Roman" w:cs="Segoe UI"/>
                <w:color w:val="auto"/>
                <w:sz w:val="18"/>
                <w:szCs w:val="18"/>
                <w:lang w:eastAsia="en-AU"/>
              </w:rPr>
              <w:t>Mossman Gorge (n=15)</w:t>
            </w:r>
          </w:p>
        </w:tc>
        <w:tc>
          <w:tcPr>
            <w:tcW w:w="1213" w:type="dxa"/>
            <w:shd w:val="clear" w:color="auto" w:fill="F2F2F2" w:themeFill="background1" w:themeFillShade="F2"/>
            <w:noWrap/>
            <w:hideMark/>
          </w:tcPr>
          <w:p w14:paraId="2EBE2D43" w14:textId="77777777" w:rsidR="00204D69" w:rsidRPr="008665D2" w:rsidRDefault="00204D69" w:rsidP="00782511">
            <w:pPr>
              <w:spacing w:after="0"/>
              <w:jc w:val="center"/>
              <w:rPr>
                <w:rFonts w:eastAsia="Times New Roman" w:cs="Segoe UI"/>
                <w:color w:val="auto"/>
                <w:sz w:val="18"/>
                <w:szCs w:val="18"/>
                <w:lang w:eastAsia="en-AU"/>
              </w:rPr>
            </w:pPr>
            <w:r w:rsidRPr="008665D2">
              <w:rPr>
                <w:rFonts w:eastAsia="Times New Roman" w:cs="Segoe UI"/>
                <w:color w:val="auto"/>
                <w:sz w:val="18"/>
                <w:szCs w:val="18"/>
                <w:lang w:eastAsia="en-AU"/>
              </w:rPr>
              <w:t>20.72%</w:t>
            </w:r>
          </w:p>
        </w:tc>
        <w:tc>
          <w:tcPr>
            <w:tcW w:w="1348" w:type="dxa"/>
            <w:shd w:val="clear" w:color="auto" w:fill="F2F2F2" w:themeFill="background1" w:themeFillShade="F2"/>
            <w:noWrap/>
            <w:hideMark/>
          </w:tcPr>
          <w:p w14:paraId="2EBE2D44" w14:textId="77777777" w:rsidR="00204D69" w:rsidRPr="00951985" w:rsidRDefault="00204D69" w:rsidP="00782511">
            <w:pPr>
              <w:spacing w:after="0"/>
              <w:jc w:val="center"/>
              <w:rPr>
                <w:rFonts w:eastAsia="Times New Roman" w:cs="Segoe UI"/>
                <w:color w:val="auto"/>
                <w:sz w:val="18"/>
                <w:szCs w:val="18"/>
                <w:lang w:eastAsia="en-AU"/>
              </w:rPr>
            </w:pPr>
            <w:r w:rsidRPr="00951985">
              <w:rPr>
                <w:rFonts w:eastAsia="Times New Roman" w:cs="Segoe UI"/>
                <w:color w:val="auto"/>
                <w:sz w:val="18"/>
                <w:szCs w:val="18"/>
                <w:lang w:eastAsia="en-AU"/>
              </w:rPr>
              <w:t>2.11 (large)</w:t>
            </w:r>
          </w:p>
        </w:tc>
        <w:tc>
          <w:tcPr>
            <w:tcW w:w="1506" w:type="dxa"/>
            <w:shd w:val="clear" w:color="auto" w:fill="F2F2F2" w:themeFill="background1" w:themeFillShade="F2"/>
            <w:noWrap/>
            <w:vAlign w:val="bottom"/>
            <w:hideMark/>
          </w:tcPr>
          <w:p w14:paraId="2EBE2D45" w14:textId="77777777" w:rsidR="00204D69" w:rsidRDefault="00204D69" w:rsidP="00782511">
            <w:pPr>
              <w:jc w:val="center"/>
              <w:rPr>
                <w:rFonts w:ascii="Wingdings" w:hAnsi="Wingdings" w:cs="Tahoma"/>
                <w:szCs w:val="20"/>
              </w:rPr>
            </w:pPr>
            <w:r>
              <w:rPr>
                <w:rFonts w:ascii="Wingdings" w:hAnsi="Wingdings" w:cs="Tahoma"/>
                <w:szCs w:val="20"/>
              </w:rPr>
              <w:t></w:t>
            </w:r>
          </w:p>
        </w:tc>
      </w:tr>
      <w:tr w:rsidR="00204D69" w:rsidRPr="008665D2" w14:paraId="2EBE2D4B" w14:textId="77777777" w:rsidTr="00782511">
        <w:trPr>
          <w:trHeight w:val="255"/>
          <w:jc w:val="center"/>
        </w:trPr>
        <w:tc>
          <w:tcPr>
            <w:tcW w:w="2436" w:type="dxa"/>
            <w:shd w:val="clear" w:color="auto" w:fill="F2F2F2" w:themeFill="background1" w:themeFillShade="F2"/>
            <w:noWrap/>
            <w:hideMark/>
          </w:tcPr>
          <w:p w14:paraId="2EBE2D47" w14:textId="77777777" w:rsidR="00204D69" w:rsidRPr="008665D2" w:rsidRDefault="00204D69" w:rsidP="00782511">
            <w:pPr>
              <w:spacing w:after="0"/>
              <w:jc w:val="left"/>
              <w:rPr>
                <w:rFonts w:eastAsia="Times New Roman" w:cs="Segoe UI"/>
                <w:b/>
                <w:color w:val="auto"/>
                <w:sz w:val="18"/>
                <w:szCs w:val="18"/>
                <w:lang w:eastAsia="en-AU"/>
              </w:rPr>
            </w:pPr>
            <w:r w:rsidRPr="008665D2">
              <w:rPr>
                <w:rFonts w:eastAsia="Times New Roman" w:cs="Segoe UI"/>
                <w:b/>
                <w:color w:val="auto"/>
                <w:sz w:val="18"/>
                <w:szCs w:val="18"/>
                <w:lang w:eastAsia="en-AU"/>
              </w:rPr>
              <w:t>Total (n=106)</w:t>
            </w:r>
          </w:p>
        </w:tc>
        <w:tc>
          <w:tcPr>
            <w:tcW w:w="1213" w:type="dxa"/>
            <w:shd w:val="clear" w:color="auto" w:fill="F2F2F2" w:themeFill="background1" w:themeFillShade="F2"/>
            <w:noWrap/>
            <w:hideMark/>
          </w:tcPr>
          <w:p w14:paraId="2EBE2D48" w14:textId="77777777" w:rsidR="00204D69" w:rsidRPr="008665D2" w:rsidRDefault="00204D69" w:rsidP="00782511">
            <w:pPr>
              <w:spacing w:after="0"/>
              <w:jc w:val="center"/>
              <w:rPr>
                <w:rFonts w:eastAsia="Times New Roman" w:cs="Segoe UI"/>
                <w:b/>
                <w:color w:val="auto"/>
                <w:sz w:val="18"/>
                <w:szCs w:val="18"/>
                <w:lang w:eastAsia="en-AU"/>
              </w:rPr>
            </w:pPr>
            <w:r w:rsidRPr="008665D2">
              <w:rPr>
                <w:rFonts w:eastAsia="Times New Roman" w:cs="Segoe UI"/>
                <w:b/>
                <w:color w:val="auto"/>
                <w:sz w:val="18"/>
                <w:szCs w:val="18"/>
                <w:lang w:eastAsia="en-AU"/>
              </w:rPr>
              <w:t>8.72%</w:t>
            </w:r>
          </w:p>
        </w:tc>
        <w:tc>
          <w:tcPr>
            <w:tcW w:w="1348" w:type="dxa"/>
            <w:shd w:val="clear" w:color="auto" w:fill="F2F2F2" w:themeFill="background1" w:themeFillShade="F2"/>
            <w:noWrap/>
            <w:hideMark/>
          </w:tcPr>
          <w:p w14:paraId="2EBE2D49" w14:textId="77777777" w:rsidR="00204D69" w:rsidRPr="008665D2" w:rsidRDefault="00204D69" w:rsidP="00782511">
            <w:pPr>
              <w:spacing w:after="0"/>
              <w:jc w:val="center"/>
              <w:rPr>
                <w:rFonts w:eastAsia="Times New Roman" w:cs="Segoe UI"/>
                <w:b/>
                <w:color w:val="auto"/>
                <w:sz w:val="18"/>
                <w:szCs w:val="18"/>
                <w:lang w:eastAsia="en-AU"/>
              </w:rPr>
            </w:pPr>
            <w:r w:rsidRPr="008665D2">
              <w:rPr>
                <w:rFonts w:eastAsia="Times New Roman" w:cs="Segoe UI"/>
                <w:b/>
                <w:color w:val="auto"/>
                <w:sz w:val="18"/>
                <w:szCs w:val="18"/>
                <w:lang w:eastAsia="en-AU"/>
              </w:rPr>
              <w:t>0.49</w:t>
            </w:r>
            <w:r>
              <w:rPr>
                <w:rFonts w:eastAsia="Times New Roman" w:cs="Segoe UI"/>
                <w:b/>
                <w:color w:val="auto"/>
                <w:sz w:val="18"/>
                <w:szCs w:val="18"/>
                <w:lang w:eastAsia="en-AU"/>
              </w:rPr>
              <w:t xml:space="preserve"> (medium)</w:t>
            </w:r>
          </w:p>
        </w:tc>
        <w:tc>
          <w:tcPr>
            <w:tcW w:w="1506" w:type="dxa"/>
            <w:shd w:val="clear" w:color="auto" w:fill="F2F2F2" w:themeFill="background1" w:themeFillShade="F2"/>
            <w:noWrap/>
            <w:vAlign w:val="bottom"/>
            <w:hideMark/>
          </w:tcPr>
          <w:p w14:paraId="2EBE2D4A" w14:textId="77777777" w:rsidR="00204D69" w:rsidRPr="008665D2" w:rsidRDefault="00204D69" w:rsidP="00782511">
            <w:pPr>
              <w:jc w:val="center"/>
              <w:rPr>
                <w:rFonts w:ascii="Wingdings" w:hAnsi="Wingdings" w:cs="Tahoma"/>
                <w:b/>
                <w:szCs w:val="20"/>
              </w:rPr>
            </w:pPr>
            <w:r w:rsidRPr="008665D2">
              <w:rPr>
                <w:rFonts w:ascii="Wingdings" w:hAnsi="Wingdings" w:cs="Tahoma"/>
                <w:b/>
                <w:szCs w:val="20"/>
              </w:rPr>
              <w:t></w:t>
            </w:r>
          </w:p>
        </w:tc>
      </w:tr>
    </w:tbl>
    <w:p w14:paraId="2EBE2D4C" w14:textId="77777777" w:rsidR="00204D69" w:rsidRDefault="00204D69" w:rsidP="00204D69">
      <w:pPr>
        <w:rPr>
          <w:sz w:val="16"/>
          <w:szCs w:val="16"/>
        </w:rPr>
      </w:pPr>
      <w:r>
        <w:rPr>
          <w:sz w:val="16"/>
          <w:szCs w:val="16"/>
        </w:rPr>
        <w:t>Note (1)</w:t>
      </w:r>
      <w:r w:rsidRPr="00A24176">
        <w:rPr>
          <w:sz w:val="16"/>
          <w:szCs w:val="16"/>
        </w:rPr>
        <w:t xml:space="preserve">: Cohen’s </w:t>
      </w:r>
      <w:r w:rsidRPr="00A24176">
        <w:rPr>
          <w:i/>
          <w:sz w:val="16"/>
          <w:szCs w:val="16"/>
        </w:rPr>
        <w:t>d</w:t>
      </w:r>
      <w:r w:rsidRPr="00A24176">
        <w:rPr>
          <w:sz w:val="16"/>
          <w:szCs w:val="16"/>
        </w:rPr>
        <w:t xml:space="preserve"> was calculated to establish the clinical significance and size of effect, where a value of &gt;0.2 indicates a small clinical significance and effect, 0.5 a medium effect and 0.8 large effect. A two tailed paired </w:t>
      </w:r>
      <w:r w:rsidRPr="00A24176">
        <w:rPr>
          <w:i/>
          <w:sz w:val="16"/>
          <w:szCs w:val="16"/>
        </w:rPr>
        <w:t>t</w:t>
      </w:r>
      <w:r w:rsidRPr="00A24176">
        <w:rPr>
          <w:sz w:val="16"/>
          <w:szCs w:val="16"/>
        </w:rPr>
        <w:t xml:space="preserve"> test was then undertaken. The </w:t>
      </w:r>
      <w:r w:rsidRPr="00A24176">
        <w:rPr>
          <w:i/>
          <w:sz w:val="16"/>
          <w:szCs w:val="16"/>
        </w:rPr>
        <w:t>t</w:t>
      </w:r>
      <w:r w:rsidRPr="00A24176">
        <w:rPr>
          <w:sz w:val="16"/>
          <w:szCs w:val="16"/>
        </w:rPr>
        <w:t xml:space="preserve"> value represents statistical significance, with a value of &lt;0.05 indicating statistical significance.</w:t>
      </w:r>
    </w:p>
    <w:p w14:paraId="2EBE2D4D" w14:textId="77777777" w:rsidR="00204D69" w:rsidRDefault="00204D69" w:rsidP="00FF37EE">
      <w:pPr>
        <w:pStyle w:val="Heading4"/>
        <w:rPr>
          <w:lang w:val="en-AU"/>
        </w:rPr>
      </w:pPr>
      <w:r>
        <w:t xml:space="preserve">Client reported client level impact </w:t>
      </w:r>
    </w:p>
    <w:p w14:paraId="2EBE2D4E" w14:textId="77777777" w:rsidR="00204D69" w:rsidRDefault="00204D69" w:rsidP="00204D69">
      <w:pPr>
        <w:rPr>
          <w:szCs w:val="22"/>
        </w:rPr>
      </w:pPr>
      <w:r w:rsidRPr="00092D7C">
        <w:rPr>
          <w:lang w:eastAsia="en-AU"/>
        </w:rPr>
        <w:t>Appendix 11</w:t>
      </w:r>
      <w:r w:rsidRPr="002432D2">
        <w:rPr>
          <w:lang w:eastAsia="en-AU"/>
        </w:rPr>
        <w:t xml:space="preserve"> presents what clients reported as the most significant change(s) to occur in their lives in the last 6 to 12 months as a result of attending the WBC or that the WBC has contributed to. The majority of clients reported a range of significant benefits with the most common benefits being: f</w:t>
      </w:r>
      <w:r w:rsidRPr="002432D2">
        <w:rPr>
          <w:szCs w:val="20"/>
        </w:rPr>
        <w:t>eeling less stressed (</w:t>
      </w:r>
      <w:r>
        <w:rPr>
          <w:szCs w:val="20"/>
        </w:rPr>
        <w:t>77</w:t>
      </w:r>
      <w:r w:rsidRPr="002432D2">
        <w:rPr>
          <w:szCs w:val="20"/>
        </w:rPr>
        <w:t>%); feeling better emotionally and mentally</w:t>
      </w:r>
      <w:r w:rsidRPr="002432D2">
        <w:rPr>
          <w:lang w:eastAsia="en-AU"/>
        </w:rPr>
        <w:t xml:space="preserve"> (</w:t>
      </w:r>
      <w:r>
        <w:rPr>
          <w:lang w:eastAsia="en-AU"/>
        </w:rPr>
        <w:t>74</w:t>
      </w:r>
      <w:r w:rsidRPr="002432D2">
        <w:rPr>
          <w:lang w:eastAsia="en-AU"/>
        </w:rPr>
        <w:t xml:space="preserve">%); </w:t>
      </w:r>
      <w:r w:rsidRPr="002432D2">
        <w:rPr>
          <w:szCs w:val="20"/>
        </w:rPr>
        <w:t>feeling more in control of my life (</w:t>
      </w:r>
      <w:r>
        <w:rPr>
          <w:szCs w:val="20"/>
        </w:rPr>
        <w:t>72</w:t>
      </w:r>
      <w:r w:rsidRPr="002432D2">
        <w:rPr>
          <w:szCs w:val="20"/>
        </w:rPr>
        <w:t>%); bett</w:t>
      </w:r>
      <w:r>
        <w:rPr>
          <w:szCs w:val="20"/>
        </w:rPr>
        <w:t>er relationships with family (60</w:t>
      </w:r>
      <w:r w:rsidRPr="002432D2">
        <w:rPr>
          <w:szCs w:val="20"/>
        </w:rPr>
        <w:t>%</w:t>
      </w:r>
      <w:r>
        <w:rPr>
          <w:szCs w:val="20"/>
        </w:rPr>
        <w:t>); feeling better about life (62</w:t>
      </w:r>
      <w:r w:rsidRPr="002432D2">
        <w:rPr>
          <w:szCs w:val="20"/>
        </w:rPr>
        <w:t>%); taking more responsibility for my actions (51%) and using less alcohol (</w:t>
      </w:r>
      <w:r>
        <w:rPr>
          <w:szCs w:val="20"/>
        </w:rPr>
        <w:t>47</w:t>
      </w:r>
      <w:r w:rsidRPr="002432D2">
        <w:rPr>
          <w:szCs w:val="20"/>
        </w:rPr>
        <w:t xml:space="preserve">%).  </w:t>
      </w:r>
      <w:r w:rsidRPr="002432D2">
        <w:rPr>
          <w:szCs w:val="22"/>
        </w:rPr>
        <w:t>Note that very few interviews were also attended by family members. Where family members did attend their reporting was consistent with the client.</w:t>
      </w:r>
    </w:p>
    <w:p w14:paraId="2EBE2D4F" w14:textId="77777777" w:rsidR="00204D69" w:rsidRDefault="00204D69" w:rsidP="00204D69">
      <w:pPr>
        <w:rPr>
          <w:color w:val="auto"/>
        </w:rPr>
      </w:pPr>
      <w:r w:rsidRPr="00BA0422">
        <w:rPr>
          <w:color w:val="auto"/>
        </w:rPr>
        <w:t xml:space="preserve">The </w:t>
      </w:r>
      <w:r w:rsidRPr="00BA0422">
        <w:rPr>
          <w:i/>
          <w:color w:val="auto"/>
        </w:rPr>
        <w:t>Cape York Welfare Reform</w:t>
      </w:r>
      <w:r w:rsidRPr="00BA0422">
        <w:rPr>
          <w:color w:val="auto"/>
        </w:rPr>
        <w:t xml:space="preserve"> </w:t>
      </w:r>
      <w:r w:rsidRPr="00BA0422">
        <w:rPr>
          <w:i/>
          <w:color w:val="auto"/>
        </w:rPr>
        <w:t>evaluation</w:t>
      </w:r>
      <w:r w:rsidRPr="00BA0422">
        <w:rPr>
          <w:color w:val="auto"/>
        </w:rPr>
        <w:t xml:space="preserve"> reported that if a social change survey respondent or their family had used the WBC, they were 1.49 times more likely to state that their life was on the way up.</w:t>
      </w:r>
      <w:r w:rsidRPr="00BA0422">
        <w:rPr>
          <w:rStyle w:val="FootnoteReference"/>
          <w:color w:val="auto"/>
        </w:rPr>
        <w:footnoteReference w:id="13"/>
      </w:r>
    </w:p>
    <w:p w14:paraId="2EBE2D50" w14:textId="77777777" w:rsidR="00557769" w:rsidRDefault="00204D69" w:rsidP="00204D69">
      <w:pPr>
        <w:rPr>
          <w:color w:val="auto"/>
        </w:rPr>
      </w:pPr>
      <w:r>
        <w:rPr>
          <w:color w:val="auto"/>
        </w:rPr>
        <w:t>Case studies presented in Appendix 13 also reflect a range of impacts influencing the SEWB of clients including improved medication compliance, ability to cope with highly stressful situations better, increased engagement with groups and services, reunification with children previously removed, assistance with adherence to parole conditions and keeping out of jail, and improved behaviour both at school and in the community.</w:t>
      </w:r>
      <w:r w:rsidR="00A6706B">
        <w:rPr>
          <w:color w:val="auto"/>
        </w:rPr>
        <w:t xml:space="preserve"> </w:t>
      </w:r>
    </w:p>
    <w:p w14:paraId="2EBE2D51" w14:textId="77777777" w:rsidR="00204D69" w:rsidRPr="00BA0422" w:rsidRDefault="00A6706B" w:rsidP="00204D69">
      <w:pPr>
        <w:rPr>
          <w:color w:val="auto"/>
        </w:rPr>
      </w:pPr>
      <w:r>
        <w:rPr>
          <w:color w:val="auto"/>
        </w:rPr>
        <w:t>One case study incorporates the positive impact on the client and family arising from the more recently implemented Intensive Youth Support Program in Aurukun.</w:t>
      </w:r>
      <w:r w:rsidR="00557769">
        <w:rPr>
          <w:color w:val="auto"/>
        </w:rPr>
        <w:t xml:space="preserve"> This program is working with disengaged youth (identified by the school principal) whom the WBC staff are working intensively with in a before and after school program. Additionally, space has been made available within the school for WBC staff to utilise when needed during the school day. This program involves close collaboration between the school, truancy officers and WBC staff.</w:t>
      </w:r>
    </w:p>
    <w:p w14:paraId="2EBE2D52" w14:textId="77777777" w:rsidR="00204D69" w:rsidRDefault="00204D69" w:rsidP="00FF37EE">
      <w:pPr>
        <w:pStyle w:val="Heading4"/>
        <w:rPr>
          <w:lang w:val="en-AU"/>
        </w:rPr>
      </w:pPr>
      <w:r>
        <w:t>Community reported client level impact</w:t>
      </w:r>
    </w:p>
    <w:p w14:paraId="2EBE2D53" w14:textId="77777777" w:rsidR="00204D69" w:rsidRDefault="00204D69" w:rsidP="00204D69">
      <w:pPr>
        <w:rPr>
          <w:color w:val="auto"/>
          <w:lang w:eastAsia="en-AU"/>
        </w:rPr>
      </w:pPr>
      <w:r>
        <w:rPr>
          <w:color w:val="auto"/>
          <w:lang w:eastAsia="en-AU"/>
        </w:rPr>
        <w:fldChar w:fldCharType="begin"/>
      </w:r>
      <w:r>
        <w:rPr>
          <w:color w:val="auto"/>
          <w:lang w:eastAsia="en-AU"/>
        </w:rPr>
        <w:instrText xml:space="preserve"> REF _Ref386553220 \h </w:instrText>
      </w:r>
      <w:r>
        <w:rPr>
          <w:color w:val="auto"/>
          <w:lang w:eastAsia="en-AU"/>
        </w:rPr>
      </w:r>
      <w:r>
        <w:rPr>
          <w:color w:val="auto"/>
          <w:lang w:eastAsia="en-AU"/>
        </w:rPr>
        <w:fldChar w:fldCharType="separate"/>
      </w:r>
      <w:r w:rsidR="009A19EB">
        <w:t xml:space="preserve">Figure </w:t>
      </w:r>
      <w:r w:rsidR="009A19EB">
        <w:rPr>
          <w:noProof/>
        </w:rPr>
        <w:t>2</w:t>
      </w:r>
      <w:r w:rsidR="009A19EB">
        <w:t>.</w:t>
      </w:r>
      <w:r w:rsidR="009A19EB">
        <w:rPr>
          <w:noProof/>
        </w:rPr>
        <w:t>7</w:t>
      </w:r>
      <w:r>
        <w:rPr>
          <w:color w:val="auto"/>
          <w:lang w:eastAsia="en-AU"/>
        </w:rPr>
        <w:fldChar w:fldCharType="end"/>
      </w:r>
      <w:r w:rsidRPr="00BA0422">
        <w:rPr>
          <w:color w:val="auto"/>
          <w:lang w:eastAsia="en-AU"/>
        </w:rPr>
        <w:t xml:space="preserve"> presents what community members reported had been the impact on them as individuals as a result of the WBC </w:t>
      </w:r>
      <w:r>
        <w:rPr>
          <w:color w:val="auto"/>
          <w:lang w:eastAsia="en-AU"/>
        </w:rPr>
        <w:t>(239</w:t>
      </w:r>
      <w:r w:rsidRPr="00BA0422">
        <w:rPr>
          <w:color w:val="auto"/>
          <w:lang w:eastAsia="en-AU"/>
        </w:rPr>
        <w:t xml:space="preserve"> people out of the </w:t>
      </w:r>
      <w:r>
        <w:rPr>
          <w:color w:val="auto"/>
          <w:lang w:eastAsia="en-AU"/>
        </w:rPr>
        <w:t>351</w:t>
      </w:r>
      <w:r w:rsidRPr="00BA0422">
        <w:rPr>
          <w:color w:val="auto"/>
          <w:lang w:eastAsia="en-AU"/>
        </w:rPr>
        <w:t xml:space="preserve"> interviewed thought this question was applicable). Almost all relevant community members believed that the WBC h</w:t>
      </w:r>
      <w:r>
        <w:rPr>
          <w:color w:val="auto"/>
          <w:lang w:eastAsia="en-AU"/>
        </w:rPr>
        <w:t>ad either had a ‘big impact’ (100 people, 42</w:t>
      </w:r>
      <w:r w:rsidRPr="00BA0422">
        <w:rPr>
          <w:color w:val="auto"/>
          <w:lang w:eastAsia="en-AU"/>
        </w:rPr>
        <w:t>%) or ‘some impact’ (</w:t>
      </w:r>
      <w:r>
        <w:rPr>
          <w:color w:val="auto"/>
          <w:lang w:eastAsia="en-AU"/>
        </w:rPr>
        <w:t>126 people, 53</w:t>
      </w:r>
      <w:r w:rsidRPr="00BA0422">
        <w:rPr>
          <w:color w:val="auto"/>
          <w:lang w:eastAsia="en-AU"/>
        </w:rPr>
        <w:t xml:space="preserve">%) on themselves. Only </w:t>
      </w:r>
      <w:r>
        <w:rPr>
          <w:color w:val="auto"/>
          <w:lang w:eastAsia="en-AU"/>
        </w:rPr>
        <w:t>13 people (5%)</w:t>
      </w:r>
      <w:r w:rsidRPr="00BA0422">
        <w:rPr>
          <w:color w:val="auto"/>
          <w:lang w:eastAsia="en-AU"/>
        </w:rPr>
        <w:t xml:space="preserve"> felt that there had been ‘no impact’. </w:t>
      </w:r>
    </w:p>
    <w:p w14:paraId="2EBE2D54" w14:textId="174C1EC6" w:rsidR="00204D69" w:rsidRDefault="00AA7DC9" w:rsidP="00AA7DC9">
      <w:pPr>
        <w:pStyle w:val="Caption"/>
      </w:pPr>
      <w:bookmarkStart w:id="88" w:name="_Ref386553220"/>
      <w:bookmarkStart w:id="89" w:name="_Toc392683521"/>
      <w:r>
        <w:lastRenderedPageBreak/>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7</w:t>
      </w:r>
      <w:r>
        <w:fldChar w:fldCharType="end"/>
      </w:r>
      <w:bookmarkEnd w:id="88"/>
      <w:r w:rsidR="00204D69">
        <w:t>: Impact on self (n=239)</w:t>
      </w:r>
      <w:bookmarkEnd w:id="89"/>
    </w:p>
    <w:p w14:paraId="2EBE2D55" w14:textId="77777777" w:rsidR="00204D69" w:rsidRPr="00DE6D7E" w:rsidRDefault="00204D69" w:rsidP="00204D69">
      <w:pPr>
        <w:jc w:val="center"/>
      </w:pPr>
      <w:r>
        <w:rPr>
          <w:noProof/>
          <w:lang w:eastAsia="en-AU"/>
        </w:rPr>
        <w:drawing>
          <wp:inline distT="0" distB="0" distL="0" distR="0" wp14:anchorId="2EBE3327" wp14:editId="2EBE3328">
            <wp:extent cx="4111142" cy="2201875"/>
            <wp:effectExtent l="0" t="0" r="22860" b="27305"/>
            <wp:docPr id="37" name="Chart 37" descr="Figure 2.7 presents what community members reported had been the impact on them as individuals as a result of the WBC. 100 people (42%) believe the WBC had a ‘big impact’ , 126 people (53%) believed the WBC had ‘some impact’  on themselves. Only 13 people (5%) felt that there had been ‘no impact’. " title="Figure 2.7: Impact on self (n=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BE2D56" w14:textId="77777777" w:rsidR="00204D69" w:rsidRPr="00BA0422" w:rsidRDefault="00204D69" w:rsidP="00204D69">
      <w:pPr>
        <w:rPr>
          <w:color w:val="auto"/>
          <w:lang w:eastAsia="en-AU"/>
        </w:rPr>
      </w:pPr>
      <w:bookmarkStart w:id="90" w:name="_Ref386554163"/>
      <w:r>
        <w:rPr>
          <w:color w:val="auto"/>
          <w:lang w:eastAsia="en-AU"/>
        </w:rPr>
        <w:t xml:space="preserve">As highlighted in </w:t>
      </w:r>
      <w:r w:rsidR="00723479">
        <w:rPr>
          <w:color w:val="auto"/>
          <w:lang w:eastAsia="en-AU"/>
        </w:rPr>
        <w:fldChar w:fldCharType="begin"/>
      </w:r>
      <w:r w:rsidR="00723479">
        <w:rPr>
          <w:color w:val="auto"/>
          <w:lang w:eastAsia="en-AU"/>
        </w:rPr>
        <w:instrText xml:space="preserve"> REF _Ref392661745 \h </w:instrText>
      </w:r>
      <w:r w:rsidR="00723479">
        <w:rPr>
          <w:color w:val="auto"/>
          <w:lang w:eastAsia="en-AU"/>
        </w:rPr>
      </w:r>
      <w:r w:rsidR="00723479">
        <w:rPr>
          <w:color w:val="auto"/>
          <w:lang w:eastAsia="en-AU"/>
        </w:rPr>
        <w:fldChar w:fldCharType="separate"/>
      </w:r>
      <w:r w:rsidR="009A19EB">
        <w:t xml:space="preserve">Figure </w:t>
      </w:r>
      <w:r w:rsidR="009A19EB">
        <w:rPr>
          <w:noProof/>
        </w:rPr>
        <w:t>2</w:t>
      </w:r>
      <w:r w:rsidR="009A19EB">
        <w:t>.</w:t>
      </w:r>
      <w:r w:rsidR="009A19EB">
        <w:rPr>
          <w:noProof/>
        </w:rPr>
        <w:t>8</w:t>
      </w:r>
      <w:r w:rsidR="00723479">
        <w:rPr>
          <w:color w:val="auto"/>
          <w:lang w:eastAsia="en-AU"/>
        </w:rPr>
        <w:fldChar w:fldCharType="end"/>
      </w:r>
      <w:r w:rsidR="00723479">
        <w:rPr>
          <w:color w:val="auto"/>
          <w:lang w:eastAsia="en-AU"/>
        </w:rPr>
        <w:t xml:space="preserve"> </w:t>
      </w:r>
      <w:r>
        <w:rPr>
          <w:color w:val="auto"/>
          <w:lang w:eastAsia="en-AU"/>
        </w:rPr>
        <w:t>t</w:t>
      </w:r>
      <w:r w:rsidRPr="00BA0422">
        <w:rPr>
          <w:color w:val="auto"/>
          <w:lang w:eastAsia="en-AU"/>
        </w:rPr>
        <w:t xml:space="preserve">he data shows some variation between </w:t>
      </w:r>
      <w:r>
        <w:rPr>
          <w:color w:val="auto"/>
          <w:lang w:eastAsia="en-AU"/>
        </w:rPr>
        <w:t>communities</w:t>
      </w:r>
      <w:r w:rsidRPr="00BA0422">
        <w:rPr>
          <w:color w:val="auto"/>
          <w:lang w:eastAsia="en-AU"/>
        </w:rPr>
        <w:t xml:space="preserve"> in respect to the scale of the impact</w:t>
      </w:r>
      <w:r>
        <w:rPr>
          <w:color w:val="auto"/>
          <w:lang w:eastAsia="en-AU"/>
        </w:rPr>
        <w:t>,</w:t>
      </w:r>
      <w:r w:rsidRPr="00BA0422">
        <w:rPr>
          <w:color w:val="auto"/>
          <w:lang w:eastAsia="en-AU"/>
        </w:rPr>
        <w:t xml:space="preserve"> with </w:t>
      </w:r>
      <w:r>
        <w:rPr>
          <w:color w:val="auto"/>
          <w:lang w:eastAsia="en-AU"/>
        </w:rPr>
        <w:t>51% of Aurukun respondents and 43</w:t>
      </w:r>
      <w:r w:rsidRPr="00BA0422">
        <w:rPr>
          <w:color w:val="auto"/>
          <w:lang w:eastAsia="en-AU"/>
        </w:rPr>
        <w:t>% of Coen respondents reporting</w:t>
      </w:r>
      <w:r>
        <w:rPr>
          <w:color w:val="auto"/>
          <w:lang w:eastAsia="en-AU"/>
        </w:rPr>
        <w:t xml:space="preserve"> a big impact on self, compared to 34</w:t>
      </w:r>
      <w:r w:rsidRPr="00BA0422">
        <w:rPr>
          <w:color w:val="auto"/>
          <w:lang w:eastAsia="en-AU"/>
        </w:rPr>
        <w:t>% and 35% at Hopevale and Mossman Gorge respectively.</w:t>
      </w:r>
    </w:p>
    <w:p w14:paraId="2EBE2D57" w14:textId="575540C7" w:rsidR="00204D69" w:rsidRDefault="00AA7DC9" w:rsidP="00AA7DC9">
      <w:pPr>
        <w:pStyle w:val="Caption"/>
      </w:pPr>
      <w:bookmarkStart w:id="91" w:name="_Ref392661745"/>
      <w:bookmarkStart w:id="92" w:name="_Toc392683522"/>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8</w:t>
      </w:r>
      <w:r>
        <w:fldChar w:fldCharType="end"/>
      </w:r>
      <w:bookmarkEnd w:id="90"/>
      <w:bookmarkEnd w:id="91"/>
      <w:r w:rsidR="00204D69">
        <w:t>: Impact on self by WBC (n=239)</w:t>
      </w:r>
      <w:bookmarkEnd w:id="92"/>
    </w:p>
    <w:p w14:paraId="2EBE2D58" w14:textId="77777777" w:rsidR="00204D69" w:rsidRPr="009B5F5E" w:rsidRDefault="00204D69" w:rsidP="00204D69">
      <w:pPr>
        <w:jc w:val="center"/>
      </w:pPr>
      <w:r>
        <w:rPr>
          <w:noProof/>
          <w:lang w:eastAsia="en-AU"/>
        </w:rPr>
        <w:drawing>
          <wp:inline distT="0" distB="0" distL="0" distR="0" wp14:anchorId="2EBE3329" wp14:editId="2EBE332A">
            <wp:extent cx="4074566" cy="2457907"/>
            <wp:effectExtent l="0" t="0" r="21590" b="19050"/>
            <wp:docPr id="38" name="Chart 38" descr="Figure 2.8 is a column graph which displays the perceived impact the WBC had on individuals.  The x-axis shows the scale of the impact, grouped into ratings of 'big', 'some' and 'no'.  The y-axis displays the percentage change from 0% to 70%.  The data for the four locations are grouped in segments representing the three rating categories so that the percentage of people choosing each rating is shown for each location.  Aurukun is displayed as the first column, Coen as the second, Hopevale as the third and Mossman Gorge as the fourth." title="Figure 2.8: Impact on self by WBC (n=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BE2D59" w14:textId="77777777" w:rsidR="00204D69" w:rsidRPr="009F07EB" w:rsidRDefault="00204D69" w:rsidP="00204D69">
      <w:pPr>
        <w:rPr>
          <w:lang w:eastAsia="x-none"/>
        </w:rPr>
      </w:pPr>
      <w:r>
        <w:rPr>
          <w:lang w:eastAsia="x-none"/>
        </w:rPr>
        <w:t>WBC staff also felt the WBC was having either some or a significant positive impact on most clients.</w:t>
      </w:r>
    </w:p>
    <w:p w14:paraId="2EBE2D5A" w14:textId="74247CE6" w:rsidR="00204D69" w:rsidRPr="00AA7DC9" w:rsidRDefault="00204D69" w:rsidP="00FF37EE">
      <w:pPr>
        <w:pStyle w:val="Heading4"/>
        <w:rPr>
          <w:lang w:val="en-AU"/>
        </w:rPr>
      </w:pPr>
      <w:r w:rsidRPr="00A022CD">
        <w:t>Partner reported client level impact</w:t>
      </w:r>
    </w:p>
    <w:p w14:paraId="2EBE2D5B" w14:textId="77777777" w:rsidR="00204D69" w:rsidRDefault="00204D69" w:rsidP="00204D69">
      <w:pPr>
        <w:rPr>
          <w:lang w:eastAsia="x-none"/>
        </w:rPr>
      </w:pPr>
      <w:r>
        <w:rPr>
          <w:lang w:eastAsia="x-none"/>
        </w:rPr>
        <w:t xml:space="preserve">Where they felt they were in a position to comment, partners generally thought that the WBC was having a significant impact in helping clients to deal with their immediate problems. It was felt they have developed sufficient trust within their community through facilitating attendance and providing services. Some partners are not clear that the WBC is achieving long-term behavioural change, although others felt circumstances had changed for some clients, for example less homelessness, less time in jail, less domestic violence, more kids in school and parents spending more time with their children, with a number of agencies contributing to this. The FRC in particular believed the WBC could do more to engage difficult clients that they have referred. </w:t>
      </w:r>
    </w:p>
    <w:p w14:paraId="2EBE2D5C" w14:textId="77777777" w:rsidR="00204D69" w:rsidRDefault="00204D69" w:rsidP="00204D69">
      <w:pPr>
        <w:rPr>
          <w:lang w:eastAsia="x-none"/>
        </w:rPr>
      </w:pPr>
      <w:r>
        <w:rPr>
          <w:lang w:eastAsia="x-none"/>
        </w:rPr>
        <w:t>Partners were relatively consistent in reporting that changes and assistance at the individual level are not necessarily correlating with improved community level outcomes.</w:t>
      </w:r>
    </w:p>
    <w:p w14:paraId="2EBE2D5D" w14:textId="77777777" w:rsidR="00204D69" w:rsidRPr="00E00C18" w:rsidRDefault="00204D69" w:rsidP="00204D69">
      <w:pPr>
        <w:rPr>
          <w:lang w:eastAsia="x-none"/>
        </w:rPr>
      </w:pPr>
      <w:r w:rsidRPr="00E00C18">
        <w:rPr>
          <w:lang w:eastAsia="x-none"/>
        </w:rPr>
        <w:lastRenderedPageBreak/>
        <w:t xml:space="preserve">The child safety team leader of the ongoing intervention team servicing Aurukun, noted they had </w:t>
      </w:r>
      <w:r>
        <w:rPr>
          <w:lang w:eastAsia="x-none"/>
        </w:rPr>
        <w:t>‘</w:t>
      </w:r>
      <w:r w:rsidRPr="00E00C18">
        <w:rPr>
          <w:lang w:eastAsia="x-none"/>
        </w:rPr>
        <w:t xml:space="preserve">reunified </w:t>
      </w:r>
      <w:r>
        <w:rPr>
          <w:lang w:eastAsia="x-none"/>
        </w:rPr>
        <w:t>at least 12 children</w:t>
      </w:r>
      <w:r w:rsidRPr="00E00C18">
        <w:rPr>
          <w:lang w:eastAsia="x-none"/>
        </w:rPr>
        <w:t xml:space="preserve"> back to their family</w:t>
      </w:r>
      <w:r>
        <w:rPr>
          <w:lang w:eastAsia="x-none"/>
        </w:rPr>
        <w:t xml:space="preserve"> or kin </w:t>
      </w:r>
      <w:r w:rsidRPr="00E00C18">
        <w:rPr>
          <w:lang w:eastAsia="x-none"/>
        </w:rPr>
        <w:t>in the last 2</w:t>
      </w:r>
      <w:r>
        <w:rPr>
          <w:lang w:eastAsia="x-none"/>
        </w:rPr>
        <w:t>.5</w:t>
      </w:r>
      <w:r w:rsidRPr="00E00C18">
        <w:rPr>
          <w:lang w:eastAsia="x-none"/>
        </w:rPr>
        <w:t xml:space="preserve"> years and this </w:t>
      </w:r>
      <w:r>
        <w:rPr>
          <w:lang w:eastAsia="x-none"/>
        </w:rPr>
        <w:t>was more than she had done in 20</w:t>
      </w:r>
      <w:r w:rsidRPr="00E00C18">
        <w:rPr>
          <w:lang w:eastAsia="x-none"/>
        </w:rPr>
        <w:t xml:space="preserve"> years elsewhere</w:t>
      </w:r>
      <w:r>
        <w:rPr>
          <w:lang w:eastAsia="x-none"/>
        </w:rPr>
        <w:t xml:space="preserve"> (Gladstone and Hobart)’</w:t>
      </w:r>
      <w:r w:rsidRPr="00E00C18">
        <w:rPr>
          <w:lang w:eastAsia="x-none"/>
        </w:rPr>
        <w:t>.</w:t>
      </w:r>
      <w:r>
        <w:rPr>
          <w:lang w:eastAsia="x-none"/>
        </w:rPr>
        <w:t xml:space="preserve"> Hopevale reported less people going through child safety and less children housed out of community. Parental supervision orders are being issued rather than removing children. </w:t>
      </w:r>
      <w:r w:rsidRPr="00E00C18">
        <w:rPr>
          <w:lang w:eastAsia="x-none"/>
        </w:rPr>
        <w:t>This was strongly attributed to the WBC support and input</w:t>
      </w:r>
      <w:r>
        <w:rPr>
          <w:lang w:eastAsia="x-none"/>
        </w:rPr>
        <w:t xml:space="preserve"> and their ability to work within child safety requirements</w:t>
      </w:r>
      <w:r w:rsidRPr="00E00C18">
        <w:rPr>
          <w:lang w:eastAsia="x-none"/>
        </w:rPr>
        <w:t>. Similar</w:t>
      </w:r>
      <w:r>
        <w:rPr>
          <w:lang w:eastAsia="x-none"/>
        </w:rPr>
        <w:t>ly</w:t>
      </w:r>
      <w:r w:rsidRPr="00E00C18">
        <w:rPr>
          <w:lang w:eastAsia="x-none"/>
        </w:rPr>
        <w:t xml:space="preserve"> good outcomes in the area of child safety were expressed by child safety staff re</w:t>
      </w:r>
      <w:r>
        <w:rPr>
          <w:lang w:eastAsia="x-none"/>
        </w:rPr>
        <w:t>sponsible for other communities and t</w:t>
      </w:r>
      <w:r w:rsidRPr="00E00C18">
        <w:rPr>
          <w:lang w:eastAsia="x-none"/>
        </w:rPr>
        <w:t xml:space="preserve">his has been a consistent message </w:t>
      </w:r>
      <w:r>
        <w:rPr>
          <w:lang w:eastAsia="x-none"/>
        </w:rPr>
        <w:t>throughout the evaluation</w:t>
      </w:r>
      <w:r w:rsidRPr="00E00C18">
        <w:rPr>
          <w:lang w:eastAsia="x-none"/>
        </w:rPr>
        <w:t>.</w:t>
      </w:r>
      <w:r>
        <w:rPr>
          <w:lang w:eastAsia="x-none"/>
        </w:rPr>
        <w:t xml:space="preserve"> Schools are very supportive of outcomes being achieved with school children and the contribution to school attendance.</w:t>
      </w:r>
    </w:p>
    <w:p w14:paraId="2EBE2D5E" w14:textId="77777777" w:rsidR="00204D69" w:rsidRDefault="00204D69" w:rsidP="00204D69">
      <w:pPr>
        <w:rPr>
          <w:lang w:eastAsia="x-none"/>
        </w:rPr>
      </w:pPr>
      <w:r w:rsidRPr="00A9110F">
        <w:rPr>
          <w:lang w:eastAsia="x-none"/>
        </w:rPr>
        <w:t>Partners reported that the WBCs were providing a range of services that would otherwise not be available to the community or would overload existing services including their own</w:t>
      </w:r>
      <w:r>
        <w:rPr>
          <w:lang w:eastAsia="x-none"/>
        </w:rPr>
        <w:t>.</w:t>
      </w:r>
    </w:p>
    <w:p w14:paraId="2EBE2D5F" w14:textId="77777777" w:rsidR="00204D69" w:rsidRPr="00645B6B" w:rsidRDefault="00204D69" w:rsidP="00BC0A26">
      <w:pPr>
        <w:pStyle w:val="Heading3"/>
      </w:pPr>
      <w:r w:rsidRPr="00645B6B">
        <w:t>Impact on families</w:t>
      </w:r>
    </w:p>
    <w:p w14:paraId="2EBE2D60" w14:textId="77777777" w:rsidR="00204D69" w:rsidRPr="00C406C6" w:rsidRDefault="00204D69" w:rsidP="00204D69">
      <w:pPr>
        <w:rPr>
          <w:lang w:eastAsia="x-none"/>
        </w:rPr>
      </w:pPr>
      <w:r w:rsidRPr="00B00E15">
        <w:rPr>
          <w:lang w:eastAsia="x-none"/>
        </w:rPr>
        <w:t xml:space="preserve">This </w:t>
      </w:r>
      <w:r>
        <w:rPr>
          <w:lang w:eastAsia="x-none"/>
        </w:rPr>
        <w:t>sub-</w:t>
      </w:r>
      <w:r w:rsidRPr="00B00E15">
        <w:rPr>
          <w:lang w:eastAsia="x-none"/>
        </w:rPr>
        <w:t>section presents the impact of WBC services on families of clients as reported by clients, community members and staff.</w:t>
      </w:r>
    </w:p>
    <w:p w14:paraId="2EBE2D61" w14:textId="77777777" w:rsidR="00204D69" w:rsidRPr="00B446AD" w:rsidRDefault="00204D69" w:rsidP="00204D69">
      <w:pPr>
        <w:rPr>
          <w:lang w:eastAsia="x-none"/>
        </w:rPr>
      </w:pPr>
      <w:r>
        <w:rPr>
          <w:lang w:eastAsia="x-none"/>
        </w:rPr>
        <w:t xml:space="preserve">Twenty nine </w:t>
      </w:r>
      <w:r w:rsidRPr="00B446AD">
        <w:rPr>
          <w:lang w:eastAsia="x-none"/>
        </w:rPr>
        <w:t>clients (</w:t>
      </w:r>
      <w:r>
        <w:rPr>
          <w:lang w:eastAsia="x-none"/>
        </w:rPr>
        <w:t>62</w:t>
      </w:r>
      <w:r w:rsidRPr="00B446AD">
        <w:rPr>
          <w:lang w:eastAsia="x-none"/>
        </w:rPr>
        <w:t>%) reported having better relationships with family as an outcome of attending the WBC. (Note that very few interviews were also attended by family members. Where family members did attend</w:t>
      </w:r>
      <w:r>
        <w:rPr>
          <w:lang w:eastAsia="x-none"/>
        </w:rPr>
        <w:t>,</w:t>
      </w:r>
      <w:r w:rsidRPr="00B446AD">
        <w:rPr>
          <w:lang w:eastAsia="x-none"/>
        </w:rPr>
        <w:t xml:space="preserve"> their reporting was consistent with the client). Of </w:t>
      </w:r>
      <w:r>
        <w:rPr>
          <w:lang w:eastAsia="x-none"/>
        </w:rPr>
        <w:t>the</w:t>
      </w:r>
      <w:r w:rsidRPr="00B446AD">
        <w:rPr>
          <w:lang w:eastAsia="x-none"/>
        </w:rPr>
        <w:t xml:space="preserve"> </w:t>
      </w:r>
      <w:r>
        <w:rPr>
          <w:lang w:eastAsia="x-none"/>
        </w:rPr>
        <w:t>22 clients</w:t>
      </w:r>
      <w:r w:rsidRPr="00B446AD">
        <w:rPr>
          <w:lang w:eastAsia="x-none"/>
        </w:rPr>
        <w:t xml:space="preserve"> interviewed </w:t>
      </w:r>
      <w:r>
        <w:rPr>
          <w:lang w:eastAsia="x-none"/>
        </w:rPr>
        <w:t xml:space="preserve">who were attending the WBC </w:t>
      </w:r>
      <w:r w:rsidRPr="00B446AD">
        <w:rPr>
          <w:lang w:eastAsia="x-none"/>
        </w:rPr>
        <w:t>for management of relationship problems (includes domestic violence), all</w:t>
      </w:r>
      <w:r>
        <w:rPr>
          <w:lang w:eastAsia="x-none"/>
        </w:rPr>
        <w:t xml:space="preserve"> but five</w:t>
      </w:r>
      <w:r w:rsidRPr="00B446AD">
        <w:rPr>
          <w:lang w:eastAsia="x-none"/>
        </w:rPr>
        <w:t xml:space="preserve"> reported that their attendance was having a positive impact</w:t>
      </w:r>
      <w:r>
        <w:rPr>
          <w:lang w:eastAsia="x-none"/>
        </w:rPr>
        <w:t xml:space="preserve"> (and those five related to domestic violence cases)</w:t>
      </w:r>
      <w:r w:rsidRPr="00B446AD">
        <w:rPr>
          <w:lang w:eastAsia="x-none"/>
        </w:rPr>
        <w:t>.</w:t>
      </w:r>
    </w:p>
    <w:p w14:paraId="2EBE2D62" w14:textId="77777777" w:rsidR="00204D69" w:rsidRPr="00B446AD" w:rsidRDefault="00204D69" w:rsidP="00204D69">
      <w:pPr>
        <w:rPr>
          <w:lang w:eastAsia="x-none"/>
        </w:rPr>
      </w:pPr>
      <w:r w:rsidRPr="00B446AD">
        <w:rPr>
          <w:lang w:eastAsia="x-none"/>
        </w:rPr>
        <w:t>The broader positive impact on families was supported by examples provided by partners including the police, justice group, school and child safety. For example, the work of the WBC with parents had supported improved school attendance or improved behaviour amongst the children of these clients.</w:t>
      </w:r>
    </w:p>
    <w:p w14:paraId="2EBE2D63" w14:textId="77777777" w:rsidR="00204D69" w:rsidRPr="00987CD5" w:rsidRDefault="00204D69" w:rsidP="00204D69">
      <w:pPr>
        <w:rPr>
          <w:lang w:eastAsia="en-AU"/>
        </w:rPr>
      </w:pPr>
      <w:r>
        <w:rPr>
          <w:lang w:eastAsia="en-AU"/>
        </w:rPr>
        <w:fldChar w:fldCharType="begin"/>
      </w:r>
      <w:r>
        <w:rPr>
          <w:lang w:eastAsia="en-AU"/>
        </w:rPr>
        <w:instrText xml:space="preserve"> REF _Ref386790804 \h </w:instrText>
      </w:r>
      <w:r>
        <w:rPr>
          <w:lang w:eastAsia="en-AU"/>
        </w:rPr>
      </w:r>
      <w:r>
        <w:rPr>
          <w:lang w:eastAsia="en-AU"/>
        </w:rPr>
        <w:fldChar w:fldCharType="separate"/>
      </w:r>
      <w:r w:rsidR="009A19EB">
        <w:t xml:space="preserve">Figure </w:t>
      </w:r>
      <w:r w:rsidR="009A19EB">
        <w:rPr>
          <w:noProof/>
        </w:rPr>
        <w:t>2</w:t>
      </w:r>
      <w:r w:rsidR="009A19EB">
        <w:t>.</w:t>
      </w:r>
      <w:r w:rsidR="009A19EB">
        <w:rPr>
          <w:noProof/>
        </w:rPr>
        <w:t>9</w:t>
      </w:r>
      <w:r>
        <w:rPr>
          <w:lang w:eastAsia="en-AU"/>
        </w:rPr>
        <w:fldChar w:fldCharType="end"/>
      </w:r>
      <w:r>
        <w:rPr>
          <w:lang w:eastAsia="en-AU"/>
        </w:rPr>
        <w:t xml:space="preserve"> presents what community members felt had been the impact on family or people they know. Of the community members interviewed who thought this questions was applicable or were able to answer the question, (n=269), most thought there had either been a big impact (82 people or 31%) or some impact (165 people or 61%)</w:t>
      </w:r>
      <w:r w:rsidRPr="00BA0422">
        <w:rPr>
          <w:color w:val="auto"/>
          <w:lang w:eastAsia="en-AU"/>
        </w:rPr>
        <w:t xml:space="preserve">. </w:t>
      </w:r>
    </w:p>
    <w:p w14:paraId="2EBE2D64" w14:textId="05B424EE" w:rsidR="00204D69" w:rsidRDefault="00AA7DC9" w:rsidP="00AA7DC9">
      <w:pPr>
        <w:pStyle w:val="Caption"/>
      </w:pPr>
      <w:bookmarkStart w:id="93" w:name="_Ref386790804"/>
      <w:bookmarkStart w:id="94" w:name="_Toc392683523"/>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9</w:t>
      </w:r>
      <w:r>
        <w:fldChar w:fldCharType="end"/>
      </w:r>
      <w:bookmarkEnd w:id="93"/>
      <w:r w:rsidR="00204D69">
        <w:t>: Impact on family or people you know (n=269)</w:t>
      </w:r>
      <w:bookmarkEnd w:id="94"/>
      <w:r w:rsidR="00204D69">
        <w:t xml:space="preserve"> </w:t>
      </w:r>
    </w:p>
    <w:p w14:paraId="2EBE2D65" w14:textId="77777777" w:rsidR="00204D69" w:rsidRDefault="00204D69" w:rsidP="00204D69">
      <w:pPr>
        <w:jc w:val="center"/>
      </w:pPr>
      <w:r>
        <w:rPr>
          <w:noProof/>
          <w:lang w:eastAsia="en-AU"/>
        </w:rPr>
        <w:drawing>
          <wp:inline distT="0" distB="0" distL="0" distR="0" wp14:anchorId="2EBE332B" wp14:editId="2EBE332C">
            <wp:extent cx="4264762" cy="2691994"/>
            <wp:effectExtent l="0" t="0" r="21590" b="13335"/>
            <wp:docPr id="39" name="Chart 39" descr="Figure 2.9 is a pie chart that displays what community members felt had been the impact on family or people they know.  Of the 269 community members interviewed who thought this questions was applicable or were able to answer the question, most thought there had either been a big impact (82 people or 31%) or some impact (165 people or 61%) and only 22 people (8%) thought there had been no impact. " title="Figure 2.9: Impact on family or people you know (n=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BE2D66" w14:textId="77777777" w:rsidR="00204D69" w:rsidRPr="00987CD5" w:rsidRDefault="00204D69" w:rsidP="00204D69">
      <w:r>
        <w:rPr>
          <w:color w:val="auto"/>
          <w:lang w:eastAsia="en-AU"/>
        </w:rPr>
        <w:lastRenderedPageBreak/>
        <w:t xml:space="preserve">As highlighted in </w:t>
      </w:r>
      <w:r>
        <w:rPr>
          <w:color w:val="auto"/>
          <w:lang w:eastAsia="en-AU"/>
        </w:rPr>
        <w:fldChar w:fldCharType="begin"/>
      </w:r>
      <w:r>
        <w:rPr>
          <w:color w:val="auto"/>
          <w:lang w:eastAsia="en-AU"/>
        </w:rPr>
        <w:instrText xml:space="preserve"> REF _Ref386791194 \h </w:instrText>
      </w:r>
      <w:r>
        <w:rPr>
          <w:color w:val="auto"/>
          <w:lang w:eastAsia="en-AU"/>
        </w:rPr>
      </w:r>
      <w:r>
        <w:rPr>
          <w:color w:val="auto"/>
          <w:lang w:eastAsia="en-AU"/>
        </w:rPr>
        <w:fldChar w:fldCharType="separate"/>
      </w:r>
      <w:r w:rsidR="009A19EB">
        <w:t xml:space="preserve">Figure </w:t>
      </w:r>
      <w:r w:rsidR="009A19EB">
        <w:rPr>
          <w:noProof/>
        </w:rPr>
        <w:t>2</w:t>
      </w:r>
      <w:r w:rsidR="009A19EB">
        <w:t>.</w:t>
      </w:r>
      <w:r w:rsidR="009A19EB">
        <w:rPr>
          <w:noProof/>
        </w:rPr>
        <w:t>10</w:t>
      </w:r>
      <w:r>
        <w:rPr>
          <w:color w:val="auto"/>
          <w:lang w:eastAsia="en-AU"/>
        </w:rPr>
        <w:fldChar w:fldCharType="end"/>
      </w:r>
      <w:r>
        <w:rPr>
          <w:color w:val="auto"/>
          <w:lang w:eastAsia="en-AU"/>
        </w:rPr>
        <w:t>, t</w:t>
      </w:r>
      <w:r w:rsidRPr="00BA0422">
        <w:rPr>
          <w:color w:val="auto"/>
          <w:lang w:eastAsia="en-AU"/>
        </w:rPr>
        <w:t>here were variations at community level in respect to</w:t>
      </w:r>
      <w:r>
        <w:rPr>
          <w:color w:val="auto"/>
          <w:lang w:eastAsia="en-AU"/>
        </w:rPr>
        <w:t xml:space="preserve"> the scale of the impact with 44</w:t>
      </w:r>
      <w:r w:rsidRPr="00BA0422">
        <w:rPr>
          <w:color w:val="auto"/>
          <w:lang w:eastAsia="en-AU"/>
        </w:rPr>
        <w:t>% of Aurukun respondents believing there had been a big impact, contra</w:t>
      </w:r>
      <w:r>
        <w:rPr>
          <w:color w:val="auto"/>
          <w:lang w:eastAsia="en-AU"/>
        </w:rPr>
        <w:t xml:space="preserve">sted to 32% </w:t>
      </w:r>
      <w:r w:rsidR="00650C89">
        <w:rPr>
          <w:color w:val="auto"/>
          <w:lang w:eastAsia="en-AU"/>
        </w:rPr>
        <w:t xml:space="preserve">at Mossman Gorge, </w:t>
      </w:r>
      <w:r>
        <w:rPr>
          <w:color w:val="auto"/>
          <w:lang w:eastAsia="en-AU"/>
        </w:rPr>
        <w:t>22% at Hopevale and 20</w:t>
      </w:r>
      <w:r w:rsidRPr="00BA0422">
        <w:rPr>
          <w:color w:val="auto"/>
          <w:lang w:eastAsia="en-AU"/>
        </w:rPr>
        <w:t>% at Coen.</w:t>
      </w:r>
    </w:p>
    <w:p w14:paraId="2EBE2D67" w14:textId="720C0AA3" w:rsidR="00204D69" w:rsidRDefault="00AA7DC9" w:rsidP="00AA7DC9">
      <w:pPr>
        <w:pStyle w:val="Caption"/>
        <w:rPr>
          <w:lang w:eastAsia="x-none"/>
        </w:rPr>
      </w:pPr>
      <w:bookmarkStart w:id="95" w:name="_Ref386791194"/>
      <w:bookmarkStart w:id="96" w:name="_Toc392683524"/>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10</w:t>
      </w:r>
      <w:r>
        <w:fldChar w:fldCharType="end"/>
      </w:r>
      <w:bookmarkEnd w:id="95"/>
      <w:r w:rsidR="00204D69">
        <w:t>: Impact on family or people you know by community (n=269)</w:t>
      </w:r>
      <w:bookmarkEnd w:id="96"/>
    </w:p>
    <w:p w14:paraId="2EBE2D68" w14:textId="77777777" w:rsidR="00204D69" w:rsidRDefault="00204D69" w:rsidP="00204D69">
      <w:pPr>
        <w:jc w:val="center"/>
        <w:rPr>
          <w:lang w:eastAsia="x-none"/>
        </w:rPr>
      </w:pPr>
      <w:r>
        <w:rPr>
          <w:noProof/>
          <w:lang w:eastAsia="en-AU"/>
        </w:rPr>
        <w:drawing>
          <wp:inline distT="0" distB="0" distL="0" distR="0" wp14:anchorId="2EBE332D" wp14:editId="2EBE332E">
            <wp:extent cx="4732934" cy="3013862"/>
            <wp:effectExtent l="0" t="0" r="10795" b="15240"/>
            <wp:docPr id="40" name="Chart 40" descr="Figure 2.10 shows the perceived  impact of the WBC on peoples' families or people they know in each community.  The x-axis contains the three rating categories of 'big', 'some' and 'no' and the y-axis containts the percentage change from 0% to 90%.  The data for the four locations are grouped in segments representing the level of change.  Aurukun is displayed as the first column, Coen as the second, Hopevale as the third and Mossman Gorge as the fourth." title="Figure 2.10: Impact on family or people you know by community (n=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BE2D69" w14:textId="77777777" w:rsidR="00204D69" w:rsidRDefault="00204D69" w:rsidP="00204D69">
      <w:pPr>
        <w:rPr>
          <w:lang w:eastAsia="x-none"/>
        </w:rPr>
      </w:pPr>
      <w:r>
        <w:rPr>
          <w:lang w:eastAsia="x-none"/>
        </w:rPr>
        <w:t xml:space="preserve">Most </w:t>
      </w:r>
      <w:r w:rsidRPr="006B75C8">
        <w:rPr>
          <w:lang w:eastAsia="x-none"/>
        </w:rPr>
        <w:t xml:space="preserve">staff survey respondents felt the WBC was having either a significant </w:t>
      </w:r>
      <w:r>
        <w:rPr>
          <w:lang w:eastAsia="x-none"/>
        </w:rPr>
        <w:t xml:space="preserve">or some </w:t>
      </w:r>
      <w:r w:rsidRPr="006B75C8">
        <w:rPr>
          <w:lang w:eastAsia="x-none"/>
        </w:rPr>
        <w:t xml:space="preserve">positive impact on most </w:t>
      </w:r>
      <w:r>
        <w:rPr>
          <w:lang w:eastAsia="x-none"/>
        </w:rPr>
        <w:t>families</w:t>
      </w:r>
      <w:r w:rsidRPr="006B75C8">
        <w:rPr>
          <w:lang w:eastAsia="x-none"/>
        </w:rPr>
        <w:t xml:space="preserve"> or some </w:t>
      </w:r>
      <w:r>
        <w:rPr>
          <w:lang w:eastAsia="x-none"/>
        </w:rPr>
        <w:t>family.</w:t>
      </w:r>
    </w:p>
    <w:p w14:paraId="2EBE2D6A" w14:textId="77777777" w:rsidR="00204D69" w:rsidRDefault="00204D69" w:rsidP="00204D69">
      <w:pPr>
        <w:rPr>
          <w:lang w:eastAsia="x-none"/>
        </w:rPr>
      </w:pPr>
      <w:r>
        <w:rPr>
          <w:lang w:eastAsia="x-none"/>
        </w:rPr>
        <w:t>In conclusion it is apparent that the WBC are having some impact on the family of clients they work with. Where possible they work with the entire families but this is not the norm</w:t>
      </w:r>
      <w:r w:rsidRPr="006B75C8">
        <w:rPr>
          <w:lang w:eastAsia="x-none"/>
        </w:rPr>
        <w:t>.</w:t>
      </w:r>
      <w:r w:rsidRPr="00495570">
        <w:t xml:space="preserve"> </w:t>
      </w:r>
      <w:r w:rsidRPr="00495570">
        <w:rPr>
          <w:lang w:eastAsia="x-none"/>
        </w:rPr>
        <w:t xml:space="preserve">WBC team leaders </w:t>
      </w:r>
      <w:r>
        <w:rPr>
          <w:lang w:eastAsia="x-none"/>
        </w:rPr>
        <w:t xml:space="preserve">have </w:t>
      </w:r>
      <w:r w:rsidRPr="00495570">
        <w:rPr>
          <w:lang w:eastAsia="x-none"/>
        </w:rPr>
        <w:t>advise</w:t>
      </w:r>
      <w:r>
        <w:rPr>
          <w:lang w:eastAsia="x-none"/>
        </w:rPr>
        <w:t>d</w:t>
      </w:r>
      <w:r w:rsidRPr="00495570">
        <w:rPr>
          <w:lang w:eastAsia="x-none"/>
        </w:rPr>
        <w:t xml:space="preserve"> </w:t>
      </w:r>
      <w:r>
        <w:rPr>
          <w:lang w:eastAsia="x-none"/>
        </w:rPr>
        <w:t>that they involve</w:t>
      </w:r>
      <w:r w:rsidRPr="00495570">
        <w:rPr>
          <w:lang w:eastAsia="x-none"/>
        </w:rPr>
        <w:t xml:space="preserve"> the family in some capacity</w:t>
      </w:r>
      <w:r>
        <w:rPr>
          <w:lang w:eastAsia="x-none"/>
        </w:rPr>
        <w:t xml:space="preserve"> in greater than 50% of clients being treated</w:t>
      </w:r>
      <w:r w:rsidRPr="00495570">
        <w:rPr>
          <w:lang w:eastAsia="x-none"/>
        </w:rPr>
        <w:t>.</w:t>
      </w:r>
    </w:p>
    <w:p w14:paraId="2EBE2D6B" w14:textId="77777777" w:rsidR="00204D69" w:rsidRPr="007F535E" w:rsidRDefault="00204D69" w:rsidP="00BC0A26">
      <w:pPr>
        <w:pStyle w:val="Heading3"/>
      </w:pPr>
      <w:r w:rsidRPr="007F535E">
        <w:t>Impact on communities</w:t>
      </w:r>
      <w:r w:rsidRPr="007F535E">
        <w:rPr>
          <w:lang w:val="en-AU"/>
        </w:rPr>
        <w:t xml:space="preserve"> as whole</w:t>
      </w:r>
    </w:p>
    <w:p w14:paraId="2EBE2D6C" w14:textId="77777777" w:rsidR="00204D69" w:rsidRDefault="00204D69" w:rsidP="00204D69">
      <w:pPr>
        <w:rPr>
          <w:lang w:eastAsia="en-AU"/>
        </w:rPr>
      </w:pPr>
      <w:r w:rsidRPr="005C118B">
        <w:rPr>
          <w:lang w:eastAsia="en-AU"/>
        </w:rPr>
        <w:t>This sub</w:t>
      </w:r>
      <w:r>
        <w:rPr>
          <w:lang w:eastAsia="en-AU"/>
        </w:rPr>
        <w:t>-</w:t>
      </w:r>
      <w:r w:rsidRPr="005C118B">
        <w:rPr>
          <w:lang w:eastAsia="en-AU"/>
        </w:rPr>
        <w:t>section presents the impact of WBC services on the community as a whole</w:t>
      </w:r>
      <w:r>
        <w:rPr>
          <w:lang w:eastAsia="en-AU"/>
        </w:rPr>
        <w:t>.</w:t>
      </w:r>
    </w:p>
    <w:p w14:paraId="2EBE2D6D" w14:textId="77777777" w:rsidR="00204D69" w:rsidRPr="00B00E15" w:rsidRDefault="00204D69" w:rsidP="00FF37EE">
      <w:pPr>
        <w:pStyle w:val="Heading4"/>
      </w:pPr>
      <w:r>
        <w:t>Overall impact</w:t>
      </w:r>
    </w:p>
    <w:p w14:paraId="2EBE2D6E" w14:textId="77777777" w:rsidR="00204D69" w:rsidRPr="008353DB" w:rsidRDefault="00204D69" w:rsidP="00204D69">
      <w:pPr>
        <w:rPr>
          <w:lang w:eastAsia="en-AU"/>
        </w:rPr>
      </w:pPr>
      <w:r w:rsidRPr="00BB7A0A">
        <w:rPr>
          <w:lang w:eastAsia="en-AU"/>
        </w:rPr>
        <w:fldChar w:fldCharType="begin"/>
      </w:r>
      <w:r w:rsidRPr="00BB7A0A">
        <w:rPr>
          <w:lang w:eastAsia="en-AU"/>
        </w:rPr>
        <w:instrText xml:space="preserve"> REF _Ref386791434 \h  \* MERGEFORMAT </w:instrText>
      </w:r>
      <w:r w:rsidRPr="00BB7A0A">
        <w:rPr>
          <w:lang w:eastAsia="en-AU"/>
        </w:rPr>
      </w:r>
      <w:r w:rsidRPr="00BB7A0A">
        <w:rPr>
          <w:lang w:eastAsia="en-AU"/>
        </w:rPr>
        <w:fldChar w:fldCharType="separate"/>
      </w:r>
      <w:r w:rsidR="009A19EB">
        <w:t xml:space="preserve">Figure </w:t>
      </w:r>
      <w:r w:rsidR="009A19EB">
        <w:rPr>
          <w:noProof/>
        </w:rPr>
        <w:t>2.11</w:t>
      </w:r>
      <w:r w:rsidRPr="00BB7A0A">
        <w:rPr>
          <w:lang w:eastAsia="en-AU"/>
        </w:rPr>
        <w:fldChar w:fldCharType="end"/>
      </w:r>
      <w:r w:rsidRPr="00BB7A0A">
        <w:rPr>
          <w:lang w:eastAsia="en-AU"/>
        </w:rPr>
        <w:t xml:space="preserve"> presents the extent to which community members interviewed (n=351) consider the WBC as having had an impact on the</w:t>
      </w:r>
      <w:r>
        <w:rPr>
          <w:lang w:eastAsia="en-AU"/>
        </w:rPr>
        <w:t xml:space="preserve"> whole community. Only 12 community members (3%) believed that there had been a big impact on the community and 102 people (29%) believed there had been some impact. Twenty seven </w:t>
      </w:r>
      <w:r w:rsidRPr="00CB776E">
        <w:rPr>
          <w:lang w:eastAsia="en-AU"/>
        </w:rPr>
        <w:t>community members</w:t>
      </w:r>
      <w:r>
        <w:rPr>
          <w:lang w:eastAsia="en-AU"/>
        </w:rPr>
        <w:t xml:space="preserve"> (8</w:t>
      </w:r>
      <w:r w:rsidRPr="00CB776E">
        <w:rPr>
          <w:lang w:eastAsia="en-AU"/>
        </w:rPr>
        <w:t xml:space="preserve">%) believed </w:t>
      </w:r>
      <w:r>
        <w:rPr>
          <w:lang w:eastAsia="en-AU"/>
        </w:rPr>
        <w:t xml:space="preserve">there had been no impact and not surprisingly a large number of people (210 people or 60%) didn’t know whether there had been the any impact. </w:t>
      </w:r>
      <w:r w:rsidRPr="00116AF3">
        <w:rPr>
          <w:lang w:eastAsia="en-AU"/>
        </w:rPr>
        <w:t>The most frequent positive comment was that the WBC has provided services and somewhere to go for help.</w:t>
      </w:r>
      <w:r w:rsidR="00723479">
        <w:rPr>
          <w:lang w:eastAsia="en-AU"/>
        </w:rPr>
        <w:t xml:space="preserve"> </w:t>
      </w:r>
      <w:r>
        <w:t xml:space="preserve">Other comments from community members </w:t>
      </w:r>
      <w:r w:rsidRPr="008353DB">
        <w:t xml:space="preserve">included: </w:t>
      </w:r>
    </w:p>
    <w:p w14:paraId="2EBE2D6F" w14:textId="77777777" w:rsidR="00204D69" w:rsidRPr="008E0B2E" w:rsidRDefault="00204D69" w:rsidP="00204D69">
      <w:pPr>
        <w:ind w:left="360"/>
        <w:rPr>
          <w:i/>
          <w:lang w:eastAsia="en-AU"/>
        </w:rPr>
      </w:pPr>
      <w:r w:rsidRPr="008353DB">
        <w:rPr>
          <w:i/>
          <w:lang w:eastAsia="en-AU"/>
        </w:rPr>
        <w:t>‘People used to bottle up issues – resulted in aggression’</w:t>
      </w:r>
      <w:r>
        <w:rPr>
          <w:i/>
          <w:lang w:eastAsia="en-AU"/>
        </w:rPr>
        <w:t xml:space="preserve">; </w:t>
      </w:r>
      <w:r w:rsidRPr="008E0B2E">
        <w:rPr>
          <w:i/>
          <w:lang w:eastAsia="en-AU"/>
        </w:rPr>
        <w:t>‘Youth are using th</w:t>
      </w:r>
      <w:r>
        <w:rPr>
          <w:i/>
          <w:lang w:eastAsia="en-AU"/>
        </w:rPr>
        <w:t xml:space="preserve">e WBC - less trouble with youth; </w:t>
      </w:r>
      <w:r w:rsidRPr="008E0B2E">
        <w:rPr>
          <w:i/>
          <w:lang w:eastAsia="en-AU"/>
        </w:rPr>
        <w:t>‘Working with police on issues’</w:t>
      </w:r>
      <w:r>
        <w:rPr>
          <w:i/>
          <w:lang w:eastAsia="en-AU"/>
        </w:rPr>
        <w:t xml:space="preserve">; </w:t>
      </w:r>
      <w:r w:rsidRPr="008E0B2E">
        <w:rPr>
          <w:i/>
          <w:lang w:eastAsia="en-AU"/>
        </w:rPr>
        <w:t>‘Still fighting between clans but all five clans are using the WBC’</w:t>
      </w:r>
      <w:r>
        <w:rPr>
          <w:i/>
          <w:lang w:eastAsia="en-AU"/>
        </w:rPr>
        <w:t xml:space="preserve">; </w:t>
      </w:r>
      <w:r w:rsidRPr="008E0B2E">
        <w:rPr>
          <w:i/>
          <w:lang w:eastAsia="en-AU"/>
        </w:rPr>
        <w:t xml:space="preserve"> ‘Good things happening’</w:t>
      </w:r>
      <w:r>
        <w:rPr>
          <w:i/>
          <w:lang w:eastAsia="en-AU"/>
        </w:rPr>
        <w:t xml:space="preserve">; </w:t>
      </w:r>
      <w:r w:rsidRPr="008E0B2E">
        <w:rPr>
          <w:i/>
          <w:lang w:eastAsia="en-AU"/>
        </w:rPr>
        <w:t>‘Kids going to school’</w:t>
      </w:r>
      <w:r>
        <w:rPr>
          <w:i/>
          <w:lang w:eastAsia="en-AU"/>
        </w:rPr>
        <w:t xml:space="preserve">; </w:t>
      </w:r>
      <w:r w:rsidRPr="008E0B2E">
        <w:rPr>
          <w:i/>
          <w:lang w:eastAsia="en-AU"/>
        </w:rPr>
        <w:t>‘Certain people fighting’</w:t>
      </w:r>
      <w:r>
        <w:rPr>
          <w:i/>
          <w:lang w:eastAsia="en-AU"/>
        </w:rPr>
        <w:t xml:space="preserve">; </w:t>
      </w:r>
      <w:r w:rsidRPr="008E0B2E">
        <w:rPr>
          <w:i/>
          <w:lang w:eastAsia="en-AU"/>
        </w:rPr>
        <w:t>‘Alcohol still compounds issues’</w:t>
      </w:r>
      <w:r>
        <w:rPr>
          <w:i/>
          <w:lang w:eastAsia="en-AU"/>
        </w:rPr>
        <w:t xml:space="preserve">; </w:t>
      </w:r>
      <w:r w:rsidRPr="008E0B2E">
        <w:rPr>
          <w:i/>
          <w:lang w:eastAsia="en-AU"/>
        </w:rPr>
        <w:t xml:space="preserve"> ‘Helps people before problems become too big’</w:t>
      </w:r>
      <w:r>
        <w:rPr>
          <w:i/>
          <w:lang w:eastAsia="en-AU"/>
        </w:rPr>
        <w:t xml:space="preserve">; </w:t>
      </w:r>
      <w:r w:rsidRPr="008E0B2E">
        <w:rPr>
          <w:i/>
          <w:lang w:eastAsia="en-AU"/>
        </w:rPr>
        <w:t>‘Can help people who come home from jail’</w:t>
      </w:r>
      <w:r>
        <w:rPr>
          <w:i/>
          <w:lang w:eastAsia="en-AU"/>
        </w:rPr>
        <w:t>.</w:t>
      </w:r>
    </w:p>
    <w:p w14:paraId="2EBE2D70" w14:textId="17C815D8" w:rsidR="00204D69" w:rsidRDefault="00AA7DC9" w:rsidP="00AA7DC9">
      <w:pPr>
        <w:pStyle w:val="Caption"/>
      </w:pPr>
      <w:bookmarkStart w:id="97" w:name="_Ref386791434"/>
      <w:bookmarkStart w:id="98" w:name="_Toc355939550"/>
      <w:bookmarkStart w:id="99" w:name="_Toc355941129"/>
      <w:bookmarkStart w:id="100" w:name="_Toc377721070"/>
      <w:bookmarkStart w:id="101" w:name="_Toc392683525"/>
      <w:r>
        <w:lastRenderedPageBreak/>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11</w:t>
      </w:r>
      <w:r>
        <w:fldChar w:fldCharType="end"/>
      </w:r>
      <w:bookmarkEnd w:id="97"/>
      <w:r w:rsidR="00204D69">
        <w:t>: Impact on community (n=351)</w:t>
      </w:r>
      <w:bookmarkEnd w:id="98"/>
      <w:bookmarkEnd w:id="99"/>
      <w:bookmarkEnd w:id="100"/>
      <w:bookmarkEnd w:id="101"/>
    </w:p>
    <w:p w14:paraId="2EBE2D71" w14:textId="77777777" w:rsidR="00204D69" w:rsidRPr="00AE2D2A" w:rsidRDefault="00204D69" w:rsidP="00204D69">
      <w:pPr>
        <w:jc w:val="center"/>
      </w:pPr>
      <w:r>
        <w:rPr>
          <w:noProof/>
          <w:lang w:eastAsia="en-AU"/>
        </w:rPr>
        <w:drawing>
          <wp:inline distT="0" distB="0" distL="0" distR="0" wp14:anchorId="2EBE332F" wp14:editId="2EBE3330">
            <wp:extent cx="4689043" cy="2787091"/>
            <wp:effectExtent l="0" t="0" r="16510" b="13335"/>
            <wp:docPr id="41" name="Chart 41" descr="Figure 2.11 presents the extent to which community members interviewed consider the WBC as having had an impact on the whole community.  Only 12 community members (3%) believed that there had been a big impact on the community and 102 people (29%) believed there had been some impact.  Twenty seven community members (8%) believed there had been no impact and 210 people (60%) didn’t know whether there had been the any impact. " title="Figure 2.11: Impact on community (n=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BE2D72" w14:textId="77777777" w:rsidR="00204D69" w:rsidRDefault="00204D69" w:rsidP="00204D69">
      <w:r>
        <w:t xml:space="preserve">As shown in </w:t>
      </w:r>
      <w:r>
        <w:fldChar w:fldCharType="begin"/>
      </w:r>
      <w:r>
        <w:instrText xml:space="preserve"> REF _Ref386792972 \h </w:instrText>
      </w:r>
      <w:r>
        <w:fldChar w:fldCharType="separate"/>
      </w:r>
      <w:r w:rsidR="009A19EB">
        <w:t xml:space="preserve">Figure </w:t>
      </w:r>
      <w:r w:rsidR="009A19EB">
        <w:rPr>
          <w:noProof/>
        </w:rPr>
        <w:t>2</w:t>
      </w:r>
      <w:r w:rsidR="009A19EB">
        <w:t>.</w:t>
      </w:r>
      <w:r w:rsidR="009A19EB">
        <w:rPr>
          <w:noProof/>
        </w:rPr>
        <w:t>12</w:t>
      </w:r>
      <w:r>
        <w:fldChar w:fldCharType="end"/>
      </w:r>
      <w:r>
        <w:t xml:space="preserve"> the most notable variation across communities was the large percentage of respondents in Coen (72%) believing there was at least some impact on the community and the associated low number of ‘don’t know’ responses at Coen. </w:t>
      </w:r>
    </w:p>
    <w:p w14:paraId="2EBE2D73" w14:textId="44055974" w:rsidR="00204D69" w:rsidRDefault="00AA7DC9" w:rsidP="00AA7DC9">
      <w:pPr>
        <w:pStyle w:val="Caption"/>
      </w:pPr>
      <w:bookmarkStart w:id="102" w:name="_Ref386792972"/>
      <w:bookmarkStart w:id="103" w:name="_Toc392683526"/>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12</w:t>
      </w:r>
      <w:r>
        <w:fldChar w:fldCharType="end"/>
      </w:r>
      <w:bookmarkEnd w:id="102"/>
      <w:r w:rsidR="00204D69">
        <w:t>: Impact on community by WBC</w:t>
      </w:r>
      <w:bookmarkEnd w:id="103"/>
    </w:p>
    <w:p w14:paraId="2EBE2D74" w14:textId="77777777" w:rsidR="00204D69" w:rsidRDefault="00204D69" w:rsidP="00204D69">
      <w:pPr>
        <w:jc w:val="center"/>
      </w:pPr>
      <w:r>
        <w:rPr>
          <w:noProof/>
          <w:lang w:eastAsia="en-AU"/>
        </w:rPr>
        <w:drawing>
          <wp:inline distT="0" distB="0" distL="0" distR="0" wp14:anchorId="2EBE3331" wp14:editId="2EBE3332">
            <wp:extent cx="5064918" cy="2743200"/>
            <wp:effectExtent l="0" t="0" r="21590" b="19050"/>
            <wp:docPr id="42" name="Chart 42" descr="Figure 2.12 is a column graph which shows the community members view on the impact of the WBC on the community.  The x-axis contains the ratings of 'Big', 'Some', 'No' and 'Don't know and the y-axis contains a percentage rating of 0% to 90%.  The data for the four locations are grouped in segments along the x-axis representing the four rating categories so that the percentage of people choosing each rating is shown for each location.  Aurukun is displayed as the first column, Coen as the second, Hopevale as the third and Mossman Gorge as the fourth. " title="Figure 2.12: Impact on community by WBC"/>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BE2D75" w14:textId="77777777" w:rsidR="00204D69" w:rsidRDefault="00204D69" w:rsidP="00723479">
      <w:pPr>
        <w:spacing w:after="120"/>
      </w:pPr>
      <w:r>
        <w:fldChar w:fldCharType="begin"/>
      </w:r>
      <w:r>
        <w:instrText xml:space="preserve"> REF _Ref386793642 \h </w:instrText>
      </w:r>
      <w:r>
        <w:fldChar w:fldCharType="separate"/>
      </w:r>
      <w:r w:rsidR="009A19EB">
        <w:t xml:space="preserve">Figure </w:t>
      </w:r>
      <w:r w:rsidR="009A19EB">
        <w:rPr>
          <w:noProof/>
        </w:rPr>
        <w:t>2</w:t>
      </w:r>
      <w:r w:rsidR="009A19EB">
        <w:t>.</w:t>
      </w:r>
      <w:r w:rsidR="009A19EB">
        <w:rPr>
          <w:noProof/>
        </w:rPr>
        <w:t>13</w:t>
      </w:r>
      <w:r>
        <w:fldChar w:fldCharType="end"/>
      </w:r>
      <w:r>
        <w:t xml:space="preserve"> presents community members views in relation to whether there had been any changes in the community and the direction of that change over the last 3 to 4 years. One hundred and fifty two people (43%) responded that it was the same, 97 people (28%) felt it was better, and only 29 people (8%) felt the situation had got worse.  Seventy three people (21%) did not know. In relation to the community getting better, a significant number of comments related to improved services, infrastructure and cleanliness.</w:t>
      </w:r>
    </w:p>
    <w:p w14:paraId="2EBE2D76" w14:textId="77777777" w:rsidR="00204D69" w:rsidRPr="00BA0422" w:rsidRDefault="00204D69" w:rsidP="00723479">
      <w:pPr>
        <w:spacing w:after="120"/>
        <w:rPr>
          <w:color w:val="auto"/>
        </w:rPr>
      </w:pPr>
      <w:r w:rsidRPr="00BA0422">
        <w:rPr>
          <w:color w:val="auto"/>
          <w:lang w:eastAsia="en-AU"/>
        </w:rPr>
        <w:lastRenderedPageBreak/>
        <w:t xml:space="preserve">These findings are broadly consistent with the </w:t>
      </w:r>
      <w:r w:rsidRPr="00BA0422">
        <w:rPr>
          <w:i/>
          <w:color w:val="auto"/>
          <w:lang w:eastAsia="en-AU"/>
        </w:rPr>
        <w:t>Cape York Welfare Reform Evaluation</w:t>
      </w:r>
      <w:r w:rsidRPr="00BA0422">
        <w:rPr>
          <w:rStyle w:val="FootnoteReference"/>
          <w:i/>
          <w:color w:val="auto"/>
          <w:lang w:eastAsia="en-AU"/>
        </w:rPr>
        <w:footnoteReference w:id="14"/>
      </w:r>
      <w:r w:rsidRPr="00BA0422">
        <w:rPr>
          <w:i/>
          <w:color w:val="auto"/>
          <w:lang w:eastAsia="en-AU"/>
        </w:rPr>
        <w:t xml:space="preserve"> </w:t>
      </w:r>
      <w:r w:rsidRPr="00BA0422">
        <w:rPr>
          <w:color w:val="auto"/>
          <w:lang w:eastAsia="en-AU"/>
        </w:rPr>
        <w:t>which found that 58 per cent felt that the community was on the way up, 6 per cent felt that the community was on the way down and 36 per cent felt that there had been no change.</w:t>
      </w:r>
    </w:p>
    <w:p w14:paraId="2EBE2D77" w14:textId="455C2076" w:rsidR="00204D69" w:rsidRDefault="00AA7DC9" w:rsidP="00AA7DC9">
      <w:pPr>
        <w:pStyle w:val="Caption"/>
      </w:pPr>
      <w:bookmarkStart w:id="104" w:name="_Ref386793642"/>
      <w:bookmarkStart w:id="105" w:name="_Toc377721071"/>
      <w:bookmarkStart w:id="106" w:name="_Toc392683527"/>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13</w:t>
      </w:r>
      <w:r>
        <w:fldChar w:fldCharType="end"/>
      </w:r>
      <w:bookmarkEnd w:id="104"/>
      <w:r w:rsidR="00204D69">
        <w:t>: Change in the community as a whole (n=351)</w:t>
      </w:r>
      <w:bookmarkEnd w:id="105"/>
      <w:bookmarkEnd w:id="106"/>
    </w:p>
    <w:p w14:paraId="2EBE2D78" w14:textId="77777777" w:rsidR="00204D69" w:rsidRPr="008B6E4D" w:rsidRDefault="00204D69" w:rsidP="00204D69">
      <w:pPr>
        <w:jc w:val="center"/>
      </w:pPr>
      <w:r>
        <w:rPr>
          <w:noProof/>
          <w:lang w:eastAsia="en-AU"/>
        </w:rPr>
        <w:drawing>
          <wp:inline distT="0" distB="0" distL="0" distR="0" wp14:anchorId="2EBE3333" wp14:editId="2EBE3334">
            <wp:extent cx="4615891" cy="2670048"/>
            <wp:effectExtent l="0" t="0" r="13335" b="16510"/>
            <wp:docPr id="43" name="Chart 43" descr="Figure 2.13 is a pie chart that displays community members' views in relation to whether there had been any changes in the community and the direction of that change over the last 3 to 4 years.  One hundred and fifty two people (43%) responded that it was the same, 97 people (28%) felt it was better, and 29 people (8%) felt the situation had got worse.  Seventy three people (21%) did not know if there was any change." title="Figure 2.13: Change in the community as a whole (n=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BE2D79" w14:textId="77777777" w:rsidR="00204D69" w:rsidRDefault="00204D69" w:rsidP="00723479">
      <w:pPr>
        <w:tabs>
          <w:tab w:val="left" w:pos="3969"/>
        </w:tabs>
        <w:spacing w:after="120"/>
      </w:pPr>
      <w:r>
        <w:t xml:space="preserve">As shown in </w:t>
      </w:r>
      <w:r>
        <w:fldChar w:fldCharType="begin"/>
      </w:r>
      <w:r>
        <w:instrText xml:space="preserve"> REF _Ref386794298 \h </w:instrText>
      </w:r>
      <w:r>
        <w:fldChar w:fldCharType="separate"/>
      </w:r>
      <w:r w:rsidR="009A19EB">
        <w:t xml:space="preserve">Figure </w:t>
      </w:r>
      <w:r w:rsidR="009A19EB">
        <w:rPr>
          <w:noProof/>
        </w:rPr>
        <w:t>2</w:t>
      </w:r>
      <w:r w:rsidR="009A19EB">
        <w:t>.</w:t>
      </w:r>
      <w:r w:rsidR="009A19EB">
        <w:rPr>
          <w:noProof/>
        </w:rPr>
        <w:t>14</w:t>
      </w:r>
      <w:r>
        <w:fldChar w:fldCharType="end"/>
      </w:r>
      <w:r>
        <w:t xml:space="preserve"> the most notable variations between communities are the high percentage of respondents in Coen (65%) who felt the community had gotten better, and the relatively high number of respondents at Aurukun (18%) who felt the community as a whole was worse. This result in Coen is consistent with the high number of respondents in Coen who felt the WBC had a big (11%) or some (72%) impact. </w:t>
      </w:r>
    </w:p>
    <w:p w14:paraId="2EBE2D7A" w14:textId="069F759E" w:rsidR="00204D69" w:rsidRDefault="00AA7DC9" w:rsidP="00AA7DC9">
      <w:pPr>
        <w:pStyle w:val="Caption"/>
      </w:pPr>
      <w:bookmarkStart w:id="107" w:name="_Ref386794298"/>
      <w:bookmarkStart w:id="108" w:name="_Toc392683528"/>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14</w:t>
      </w:r>
      <w:r>
        <w:fldChar w:fldCharType="end"/>
      </w:r>
      <w:bookmarkEnd w:id="107"/>
      <w:r w:rsidR="00204D69">
        <w:t>:  Change in community as a whole by WBC</w:t>
      </w:r>
      <w:bookmarkEnd w:id="108"/>
    </w:p>
    <w:p w14:paraId="2EBE2D7B" w14:textId="77777777" w:rsidR="00204D69" w:rsidRDefault="00204D69" w:rsidP="00204D69">
      <w:pPr>
        <w:jc w:val="center"/>
        <w:rPr>
          <w:color w:val="auto"/>
          <w:lang w:eastAsia="x-none"/>
        </w:rPr>
      </w:pPr>
      <w:r>
        <w:rPr>
          <w:noProof/>
          <w:lang w:eastAsia="en-AU"/>
        </w:rPr>
        <w:drawing>
          <wp:inline distT="0" distB="0" distL="0" distR="0" wp14:anchorId="2EBE3335" wp14:editId="2EBE3336">
            <wp:extent cx="4593946" cy="3035808"/>
            <wp:effectExtent l="0" t="0" r="16510" b="12700"/>
            <wp:docPr id="44" name="Chart 44" descr="Figure 2.14 is a column graph that shows the views of community members on the change to the community as a whole as a result of the WBCs.  The x-axis contains the ratings of 'Better', 'Worse', 'Same' and 'Don't know and the y-axis contains a percentage rating of 0% to 70%.  The data for the four locations are grouped in segments along the x-axis representing the four rating categories so that the percentage of people choosing each rating is shown for each location.  Aurukun is displayed as the first column, Coen as the second, Hopevale as the third and Mossman Gorge as the fourth. " title="Figure 2.14: Change in community as a whole by WBC"/>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E2D7C" w14:textId="77777777" w:rsidR="00204D69" w:rsidRDefault="009549B5" w:rsidP="00BC0A26">
      <w:pPr>
        <w:pStyle w:val="Heading3"/>
        <w:rPr>
          <w:lang w:val="en-AU"/>
        </w:rPr>
      </w:pPr>
      <w:r>
        <w:lastRenderedPageBreak/>
        <w:t>Summary of findings</w:t>
      </w:r>
    </w:p>
    <w:p w14:paraId="2EBE2D7D" w14:textId="77777777" w:rsidR="0005223E" w:rsidRPr="00125488" w:rsidRDefault="0005223E" w:rsidP="0005223E">
      <w:pPr>
        <w:pBdr>
          <w:top w:val="single" w:sz="4" w:space="1" w:color="auto"/>
          <w:left w:val="single" w:sz="4" w:space="4" w:color="auto"/>
          <w:bottom w:val="single" w:sz="4" w:space="1" w:color="auto"/>
          <w:right w:val="single" w:sz="4" w:space="4" w:color="auto"/>
        </w:pBdr>
        <w:shd w:val="clear" w:color="auto" w:fill="B8CCE4" w:themeFill="accent1" w:themeFillTint="66"/>
        <w:spacing w:after="120"/>
      </w:pPr>
      <w:r w:rsidRPr="009549B5">
        <w:rPr>
          <w:b/>
        </w:rPr>
        <w:t>Review finding #2</w:t>
      </w:r>
      <w:r w:rsidRPr="009549B5">
        <w:t xml:space="preserve">: </w:t>
      </w:r>
      <w:r w:rsidRPr="00125488">
        <w:t>In relation to mental health  the WBCs  are having a clinically and statistically significant positive effect on their clients. Specifically the Kessler Psychological Distress Scale (K10) mean</w:t>
      </w:r>
      <w:r>
        <w:t xml:space="preserve"> score for Coen and Hopevale reduced by 8.96% (</w:t>
      </w:r>
      <w:r w:rsidRPr="00125488">
        <w:t>effect size change 0.5 - medium) and the Health of the Nation Outcome Scale (HoNOS) mea</w:t>
      </w:r>
      <w:r>
        <w:t>n score reduced by</w:t>
      </w:r>
      <w:r w:rsidRPr="00125488">
        <w:t xml:space="preserve"> 5% (effect size change 0.5 - medium), excluding Aurukun. One reason for the lack of improvement in Aurukun is likely to be the broader community environment (there have been a number of major community-wide incidents in the last couple of years) which in turn has a disruptive impact on individuals. </w:t>
      </w:r>
    </w:p>
    <w:p w14:paraId="2EBE2D7E" w14:textId="77777777" w:rsidR="0005223E" w:rsidRPr="0005223E" w:rsidRDefault="0005223E" w:rsidP="0005223E">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sidRPr="009549B5">
        <w:t>Achieving successful longer term behaviour change is occurring in some clients and helping to transform their lives. However this is not the norm.</w:t>
      </w:r>
    </w:p>
    <w:p w14:paraId="2EBE2D7F" w14:textId="77777777" w:rsidR="00204D69" w:rsidRDefault="00204D69" w:rsidP="009549B5">
      <w:pPr>
        <w:spacing w:before="240"/>
        <w:rPr>
          <w:lang w:eastAsia="x-none"/>
        </w:rPr>
      </w:pPr>
      <w:r>
        <w:rPr>
          <w:lang w:eastAsia="x-none"/>
        </w:rPr>
        <w:t>This is supported by client and community feedback where significant percentages of community members considered the WBC was having an impact on both themselves where relevant and family and other members that they knew.</w:t>
      </w:r>
    </w:p>
    <w:p w14:paraId="2EBE2D80" w14:textId="77777777" w:rsidR="00204D69" w:rsidRDefault="00204D69" w:rsidP="00204D69">
      <w:r>
        <w:t>No community wide measures of SEWB were available to the evaluation. Using a proxy measure of whether community members felt the overall community had gotten better, worse or the same, it is clear that the majority of community members at Coen (65%) consider that community is now a better place to live. For other communities it is likely to be the same or somewhat better. Part of this improvement is made with reference to additional</w:t>
      </w:r>
      <w:r w:rsidRPr="00FB1721">
        <w:t xml:space="preserve"> services, infrastructure and cleanliness</w:t>
      </w:r>
      <w:r>
        <w:t>.</w:t>
      </w:r>
    </w:p>
    <w:p w14:paraId="2EBE2D81" w14:textId="77777777" w:rsidR="0005223E" w:rsidRDefault="0005223E" w:rsidP="0005223E">
      <w:pPr>
        <w:pBdr>
          <w:top w:val="single" w:sz="4" w:space="1" w:color="auto"/>
          <w:left w:val="single" w:sz="4" w:space="4" w:color="auto"/>
          <w:bottom w:val="single" w:sz="4" w:space="1" w:color="auto"/>
          <w:right w:val="single" w:sz="4" w:space="4" w:color="auto"/>
        </w:pBdr>
        <w:shd w:val="clear" w:color="auto" w:fill="B8CCE4" w:themeFill="accent1" w:themeFillTint="66"/>
      </w:pPr>
      <w:r w:rsidRPr="009549B5">
        <w:rPr>
          <w:b/>
        </w:rPr>
        <w:t>Review finding #3:</w:t>
      </w:r>
      <w:r w:rsidRPr="009549B5">
        <w:t xml:space="preserve"> With the exception of Coen, individual-level improvements are not translating into sustained, consistent and clearly observable improvements in outcomes at the community level. The community level changes can be summarised as follows:</w:t>
      </w:r>
    </w:p>
    <w:tbl>
      <w:tblPr>
        <w:tblW w:w="93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Review findings #3 table shows the summary findings for Aurukum, Coen, Hopevale and Mossman Gorge. Further details on this table can be reviewed in the previous text. "/>
      </w:tblPr>
      <w:tblGrid>
        <w:gridCol w:w="1681"/>
        <w:gridCol w:w="1945"/>
        <w:gridCol w:w="1840"/>
        <w:gridCol w:w="1922"/>
        <w:gridCol w:w="1918"/>
      </w:tblGrid>
      <w:tr w:rsidR="0005223E" w:rsidRPr="009549B5" w14:paraId="2EBE2D87" w14:textId="77777777" w:rsidTr="0005223E">
        <w:trPr>
          <w:trHeight w:val="397"/>
          <w:jc w:val="center"/>
        </w:trPr>
        <w:tc>
          <w:tcPr>
            <w:tcW w:w="1681" w:type="dxa"/>
            <w:tcBorders>
              <w:bottom w:val="single" w:sz="4" w:space="0" w:color="FFFFFF"/>
            </w:tcBorders>
            <w:shd w:val="clear" w:color="auto" w:fill="B8CCE4"/>
          </w:tcPr>
          <w:p w14:paraId="2EBE2D82" w14:textId="77777777" w:rsidR="0005223E" w:rsidRPr="009549B5" w:rsidRDefault="0005223E" w:rsidP="008D4ADC">
            <w:pPr>
              <w:rPr>
                <w:sz w:val="18"/>
                <w:szCs w:val="18"/>
              </w:rPr>
            </w:pPr>
          </w:p>
        </w:tc>
        <w:tc>
          <w:tcPr>
            <w:tcW w:w="1945" w:type="dxa"/>
            <w:shd w:val="clear" w:color="auto" w:fill="B8CCE4"/>
          </w:tcPr>
          <w:p w14:paraId="2EBE2D83" w14:textId="77777777" w:rsidR="0005223E" w:rsidRPr="009549B5" w:rsidRDefault="0005223E" w:rsidP="008D4ADC">
            <w:pPr>
              <w:jc w:val="center"/>
              <w:rPr>
                <w:b/>
                <w:sz w:val="18"/>
                <w:szCs w:val="18"/>
              </w:rPr>
            </w:pPr>
            <w:r w:rsidRPr="009549B5">
              <w:rPr>
                <w:b/>
                <w:sz w:val="18"/>
                <w:szCs w:val="18"/>
              </w:rPr>
              <w:t>Aurukun</w:t>
            </w:r>
          </w:p>
        </w:tc>
        <w:tc>
          <w:tcPr>
            <w:tcW w:w="1840" w:type="dxa"/>
            <w:shd w:val="clear" w:color="auto" w:fill="B8CCE4"/>
          </w:tcPr>
          <w:p w14:paraId="2EBE2D84" w14:textId="77777777" w:rsidR="0005223E" w:rsidRPr="009549B5" w:rsidRDefault="0005223E" w:rsidP="008D4ADC">
            <w:pPr>
              <w:jc w:val="center"/>
              <w:rPr>
                <w:b/>
                <w:sz w:val="18"/>
                <w:szCs w:val="18"/>
              </w:rPr>
            </w:pPr>
            <w:r w:rsidRPr="009549B5">
              <w:rPr>
                <w:b/>
                <w:sz w:val="18"/>
                <w:szCs w:val="18"/>
              </w:rPr>
              <w:t>Coen</w:t>
            </w:r>
          </w:p>
        </w:tc>
        <w:tc>
          <w:tcPr>
            <w:tcW w:w="1922" w:type="dxa"/>
            <w:shd w:val="clear" w:color="auto" w:fill="B8CCE4"/>
          </w:tcPr>
          <w:p w14:paraId="2EBE2D85" w14:textId="77777777" w:rsidR="0005223E" w:rsidRPr="009549B5" w:rsidRDefault="0005223E" w:rsidP="008D4ADC">
            <w:pPr>
              <w:jc w:val="center"/>
              <w:rPr>
                <w:b/>
                <w:sz w:val="18"/>
                <w:szCs w:val="18"/>
              </w:rPr>
            </w:pPr>
            <w:r w:rsidRPr="009549B5">
              <w:rPr>
                <w:b/>
                <w:sz w:val="18"/>
                <w:szCs w:val="18"/>
              </w:rPr>
              <w:t>Hopevale</w:t>
            </w:r>
          </w:p>
        </w:tc>
        <w:tc>
          <w:tcPr>
            <w:tcW w:w="1918" w:type="dxa"/>
            <w:shd w:val="clear" w:color="auto" w:fill="B8CCE4"/>
          </w:tcPr>
          <w:p w14:paraId="2EBE2D86" w14:textId="77777777" w:rsidR="0005223E" w:rsidRPr="009549B5" w:rsidRDefault="0005223E" w:rsidP="008D4ADC">
            <w:pPr>
              <w:jc w:val="center"/>
              <w:rPr>
                <w:b/>
                <w:sz w:val="18"/>
                <w:szCs w:val="18"/>
              </w:rPr>
            </w:pPr>
            <w:r w:rsidRPr="009549B5">
              <w:rPr>
                <w:b/>
                <w:sz w:val="18"/>
                <w:szCs w:val="18"/>
              </w:rPr>
              <w:t>Mossman Gorge</w:t>
            </w:r>
          </w:p>
        </w:tc>
      </w:tr>
      <w:tr w:rsidR="0005223E" w:rsidRPr="009549B5" w14:paraId="2EBE2D8D" w14:textId="77777777" w:rsidTr="0005223E">
        <w:trPr>
          <w:trHeight w:val="397"/>
          <w:jc w:val="center"/>
        </w:trPr>
        <w:tc>
          <w:tcPr>
            <w:tcW w:w="1681" w:type="dxa"/>
            <w:shd w:val="clear" w:color="auto" w:fill="DBE5F1"/>
          </w:tcPr>
          <w:p w14:paraId="2EBE2D88" w14:textId="77777777" w:rsidR="0005223E" w:rsidRPr="009549B5" w:rsidRDefault="0005223E" w:rsidP="008D4ADC">
            <w:pPr>
              <w:rPr>
                <w:b/>
                <w:sz w:val="18"/>
                <w:szCs w:val="18"/>
              </w:rPr>
            </w:pPr>
            <w:r w:rsidRPr="009549B5">
              <w:rPr>
                <w:b/>
                <w:sz w:val="18"/>
                <w:szCs w:val="18"/>
              </w:rPr>
              <w:t>Community safety</w:t>
            </w:r>
          </w:p>
        </w:tc>
        <w:tc>
          <w:tcPr>
            <w:tcW w:w="1945" w:type="dxa"/>
            <w:shd w:val="clear" w:color="auto" w:fill="D9D9D9"/>
          </w:tcPr>
          <w:p w14:paraId="2EBE2D89" w14:textId="77777777" w:rsidR="0005223E" w:rsidRPr="009549B5" w:rsidRDefault="0005223E" w:rsidP="008D4ADC">
            <w:pPr>
              <w:jc w:val="center"/>
              <w:rPr>
                <w:sz w:val="18"/>
                <w:szCs w:val="18"/>
              </w:rPr>
            </w:pPr>
            <w:r w:rsidRPr="009549B5">
              <w:rPr>
                <w:sz w:val="18"/>
                <w:szCs w:val="18"/>
              </w:rPr>
              <w:t>Same</w:t>
            </w:r>
          </w:p>
        </w:tc>
        <w:tc>
          <w:tcPr>
            <w:tcW w:w="1840" w:type="dxa"/>
            <w:shd w:val="clear" w:color="auto" w:fill="D9D9D9"/>
          </w:tcPr>
          <w:p w14:paraId="2EBE2D8A" w14:textId="77777777" w:rsidR="0005223E" w:rsidRPr="009549B5" w:rsidRDefault="0005223E" w:rsidP="008D4ADC">
            <w:pPr>
              <w:jc w:val="center"/>
              <w:rPr>
                <w:sz w:val="18"/>
                <w:szCs w:val="18"/>
              </w:rPr>
            </w:pPr>
            <w:r w:rsidRPr="009549B5">
              <w:rPr>
                <w:sz w:val="18"/>
                <w:szCs w:val="18"/>
              </w:rPr>
              <w:t>Improved</w:t>
            </w:r>
          </w:p>
        </w:tc>
        <w:tc>
          <w:tcPr>
            <w:tcW w:w="1922" w:type="dxa"/>
            <w:shd w:val="clear" w:color="auto" w:fill="D9D9D9"/>
          </w:tcPr>
          <w:p w14:paraId="2EBE2D8B" w14:textId="77777777" w:rsidR="0005223E" w:rsidRPr="009549B5" w:rsidRDefault="0005223E" w:rsidP="008D4ADC">
            <w:pPr>
              <w:jc w:val="center"/>
              <w:rPr>
                <w:sz w:val="18"/>
                <w:szCs w:val="18"/>
              </w:rPr>
            </w:pPr>
            <w:r w:rsidRPr="009549B5">
              <w:rPr>
                <w:sz w:val="18"/>
                <w:szCs w:val="18"/>
              </w:rPr>
              <w:t>Same</w:t>
            </w:r>
          </w:p>
        </w:tc>
        <w:tc>
          <w:tcPr>
            <w:tcW w:w="1918" w:type="dxa"/>
            <w:shd w:val="clear" w:color="auto" w:fill="D9D9D9"/>
          </w:tcPr>
          <w:p w14:paraId="2EBE2D8C" w14:textId="77777777" w:rsidR="0005223E" w:rsidRPr="009549B5" w:rsidRDefault="0005223E" w:rsidP="008D4ADC">
            <w:pPr>
              <w:jc w:val="center"/>
              <w:rPr>
                <w:sz w:val="18"/>
                <w:szCs w:val="18"/>
              </w:rPr>
            </w:pPr>
            <w:r w:rsidRPr="009549B5">
              <w:rPr>
                <w:sz w:val="18"/>
                <w:szCs w:val="18"/>
              </w:rPr>
              <w:t>Improved</w:t>
            </w:r>
          </w:p>
        </w:tc>
      </w:tr>
      <w:tr w:rsidR="0005223E" w:rsidRPr="009549B5" w14:paraId="2EBE2D93" w14:textId="77777777" w:rsidTr="0005223E">
        <w:trPr>
          <w:trHeight w:val="397"/>
          <w:jc w:val="center"/>
        </w:trPr>
        <w:tc>
          <w:tcPr>
            <w:tcW w:w="1681" w:type="dxa"/>
            <w:shd w:val="clear" w:color="auto" w:fill="DBE5F1"/>
          </w:tcPr>
          <w:p w14:paraId="2EBE2D8E" w14:textId="77777777" w:rsidR="0005223E" w:rsidRPr="009549B5" w:rsidRDefault="0005223E" w:rsidP="008D4ADC">
            <w:pPr>
              <w:rPr>
                <w:b/>
                <w:sz w:val="18"/>
                <w:szCs w:val="18"/>
              </w:rPr>
            </w:pPr>
            <w:r w:rsidRPr="009549B5">
              <w:rPr>
                <w:b/>
                <w:sz w:val="18"/>
                <w:szCs w:val="18"/>
              </w:rPr>
              <w:t xml:space="preserve">As a place to live </w:t>
            </w:r>
          </w:p>
        </w:tc>
        <w:tc>
          <w:tcPr>
            <w:tcW w:w="1945" w:type="dxa"/>
            <w:shd w:val="clear" w:color="auto" w:fill="D9D9D9"/>
          </w:tcPr>
          <w:p w14:paraId="2EBE2D8F" w14:textId="77777777" w:rsidR="0005223E" w:rsidRPr="009549B5" w:rsidRDefault="0005223E" w:rsidP="008D4ADC">
            <w:pPr>
              <w:jc w:val="center"/>
              <w:rPr>
                <w:sz w:val="18"/>
                <w:szCs w:val="18"/>
              </w:rPr>
            </w:pPr>
            <w:r w:rsidRPr="009549B5">
              <w:rPr>
                <w:sz w:val="18"/>
                <w:szCs w:val="18"/>
              </w:rPr>
              <w:t>Same/marginally better</w:t>
            </w:r>
          </w:p>
        </w:tc>
        <w:tc>
          <w:tcPr>
            <w:tcW w:w="1840" w:type="dxa"/>
            <w:shd w:val="clear" w:color="auto" w:fill="D9D9D9"/>
          </w:tcPr>
          <w:p w14:paraId="2EBE2D90" w14:textId="77777777" w:rsidR="0005223E" w:rsidRPr="009549B5" w:rsidRDefault="0005223E" w:rsidP="008D4ADC">
            <w:pPr>
              <w:jc w:val="center"/>
              <w:rPr>
                <w:sz w:val="18"/>
                <w:szCs w:val="18"/>
              </w:rPr>
            </w:pPr>
            <w:r w:rsidRPr="009549B5">
              <w:rPr>
                <w:sz w:val="18"/>
                <w:szCs w:val="18"/>
              </w:rPr>
              <w:t>Better</w:t>
            </w:r>
          </w:p>
        </w:tc>
        <w:tc>
          <w:tcPr>
            <w:tcW w:w="1922" w:type="dxa"/>
            <w:shd w:val="clear" w:color="auto" w:fill="D9D9D9"/>
          </w:tcPr>
          <w:p w14:paraId="2EBE2D91" w14:textId="77777777" w:rsidR="0005223E" w:rsidRPr="009549B5" w:rsidRDefault="0005223E" w:rsidP="008D4ADC">
            <w:pPr>
              <w:jc w:val="center"/>
              <w:rPr>
                <w:sz w:val="18"/>
                <w:szCs w:val="18"/>
              </w:rPr>
            </w:pPr>
            <w:r w:rsidRPr="009549B5">
              <w:rPr>
                <w:sz w:val="18"/>
                <w:szCs w:val="18"/>
              </w:rPr>
              <w:t>Same/marginally better</w:t>
            </w:r>
          </w:p>
        </w:tc>
        <w:tc>
          <w:tcPr>
            <w:tcW w:w="1918" w:type="dxa"/>
            <w:shd w:val="clear" w:color="auto" w:fill="D9D9D9"/>
          </w:tcPr>
          <w:p w14:paraId="2EBE2D92" w14:textId="77777777" w:rsidR="0005223E" w:rsidRPr="009549B5" w:rsidRDefault="0005223E" w:rsidP="008D4ADC">
            <w:pPr>
              <w:jc w:val="center"/>
              <w:rPr>
                <w:sz w:val="18"/>
                <w:szCs w:val="18"/>
              </w:rPr>
            </w:pPr>
            <w:r w:rsidRPr="009549B5">
              <w:rPr>
                <w:sz w:val="18"/>
                <w:szCs w:val="18"/>
              </w:rPr>
              <w:t>Same/marginally better</w:t>
            </w:r>
          </w:p>
        </w:tc>
      </w:tr>
    </w:tbl>
    <w:p w14:paraId="2EBE2D95" w14:textId="77777777" w:rsidR="00204D69" w:rsidRDefault="00204D69" w:rsidP="00FF37EE">
      <w:pPr>
        <w:pStyle w:val="Heading4"/>
        <w:rPr>
          <w:lang w:val="en-AU"/>
        </w:rPr>
      </w:pPr>
      <w:r>
        <w:t>Summary of indicators</w:t>
      </w:r>
    </w:p>
    <w:p w14:paraId="2EBE2D96" w14:textId="77777777" w:rsidR="00204D69" w:rsidRDefault="00204D69" w:rsidP="00204D69">
      <w:pPr>
        <w:rPr>
          <w:lang w:eastAsia="x-none"/>
        </w:rPr>
      </w:pPr>
      <w:r>
        <w:rPr>
          <w:lang w:eastAsia="x-none"/>
        </w:rPr>
        <w:fldChar w:fldCharType="begin"/>
      </w:r>
      <w:r>
        <w:rPr>
          <w:lang w:eastAsia="x-none"/>
        </w:rPr>
        <w:instrText xml:space="preserve"> REF _Ref387392907 \h </w:instrText>
      </w:r>
      <w:r>
        <w:rPr>
          <w:lang w:eastAsia="x-none"/>
        </w:rPr>
      </w:r>
      <w:r>
        <w:rPr>
          <w:lang w:eastAsia="x-none"/>
        </w:rPr>
        <w:fldChar w:fldCharType="separate"/>
      </w:r>
      <w:r w:rsidR="009A19EB">
        <w:t xml:space="preserve">Table </w:t>
      </w:r>
      <w:r w:rsidR="009A19EB">
        <w:rPr>
          <w:noProof/>
        </w:rPr>
        <w:t>2</w:t>
      </w:r>
      <w:r w:rsidR="009A19EB">
        <w:t>.</w:t>
      </w:r>
      <w:r w:rsidR="009A19EB">
        <w:rPr>
          <w:noProof/>
        </w:rPr>
        <w:t>7</w:t>
      </w:r>
      <w:r>
        <w:rPr>
          <w:lang w:eastAsia="x-none"/>
        </w:rPr>
        <w:fldChar w:fldCharType="end"/>
      </w:r>
      <w:r>
        <w:rPr>
          <w:lang w:eastAsia="x-none"/>
        </w:rPr>
        <w:t xml:space="preserve"> p</w:t>
      </w:r>
      <w:r w:rsidRPr="00E11BDB">
        <w:rPr>
          <w:lang w:eastAsia="x-none"/>
        </w:rPr>
        <w:t>resents</w:t>
      </w:r>
      <w:r>
        <w:rPr>
          <w:lang w:eastAsia="x-none"/>
        </w:rPr>
        <w:t xml:space="preserve"> a snapshot of indicators discussed above by community.</w:t>
      </w:r>
    </w:p>
    <w:p w14:paraId="2EBE2D97" w14:textId="5A8713B6" w:rsidR="00204D69" w:rsidRPr="00B66939" w:rsidRDefault="00AA7DC9" w:rsidP="00AA7DC9">
      <w:pPr>
        <w:pStyle w:val="Caption"/>
      </w:pPr>
      <w:bookmarkStart w:id="109" w:name="_Toc392686435"/>
      <w:bookmarkStart w:id="110" w:name="_Ref387392907"/>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7</w:t>
      </w:r>
      <w:r>
        <w:fldChar w:fldCharType="end"/>
      </w:r>
      <w:bookmarkEnd w:id="110"/>
      <w:r w:rsidR="00204D69">
        <w:t>: Snapshot of SEWB impact indicators by community</w:t>
      </w:r>
      <w:bookmarkEnd w:id="109"/>
    </w:p>
    <w:tbl>
      <w:tblPr>
        <w:tblStyle w:val="Hoi2"/>
        <w:tblW w:w="9531" w:type="dxa"/>
        <w:tblLook w:val="04A0" w:firstRow="1" w:lastRow="0" w:firstColumn="1" w:lastColumn="0" w:noHBand="0" w:noVBand="1"/>
        <w:tblCaption w:val="Table 2.7: Snapshot of SEWB impact indicators by community"/>
        <w:tblDescription w:val="Table 2.7 provides a statistical changes in the scores of the questionnaires provided to the four Cape York communities on the impact the Wellbeing Centres have had on 'Social and Emotional Wellbeing (SEWB)/individual' and the 'Community as a whole'. The first column lists the indicators analysed and the next four columns provide the change in scores for Aurukun, Coen, Hope Vale and Mossman Gorge respectively. The six 'SEWB/individual' issues are grouped first, followed by four 'Community as a whole' issues.  "/>
      </w:tblPr>
      <w:tblGrid>
        <w:gridCol w:w="3500"/>
        <w:gridCol w:w="1570"/>
        <w:gridCol w:w="1531"/>
        <w:gridCol w:w="1559"/>
        <w:gridCol w:w="1371"/>
      </w:tblGrid>
      <w:tr w:rsidR="00204D69" w:rsidRPr="00CC7DBB" w14:paraId="2EBE2D99" w14:textId="77777777" w:rsidTr="00377FC2">
        <w:trPr>
          <w:cnfStyle w:val="100000000000" w:firstRow="1" w:lastRow="0" w:firstColumn="0" w:lastColumn="0" w:oddVBand="0" w:evenVBand="0" w:oddHBand="0" w:evenHBand="0" w:firstRowFirstColumn="0" w:firstRowLastColumn="0" w:lastRowFirstColumn="0" w:lastRowLastColumn="0"/>
          <w:trHeight w:val="495"/>
          <w:tblHeader/>
        </w:trPr>
        <w:tc>
          <w:tcPr>
            <w:tcW w:w="9531" w:type="dxa"/>
            <w:gridSpan w:val="5"/>
            <w:shd w:val="clear" w:color="auto" w:fill="DBE5F1" w:themeFill="accent1" w:themeFillTint="33"/>
          </w:tcPr>
          <w:p w14:paraId="2EBE2D98" w14:textId="77777777" w:rsidR="00204D69" w:rsidRPr="00CC7DBB" w:rsidRDefault="00204D69" w:rsidP="00782511">
            <w:pPr>
              <w:spacing w:after="0"/>
              <w:jc w:val="center"/>
              <w:rPr>
                <w:rFonts w:eastAsia="Times New Roman" w:cs="Segoe UI"/>
                <w:b/>
                <w:sz w:val="18"/>
                <w:szCs w:val="18"/>
                <w:lang w:eastAsia="en-AU"/>
              </w:rPr>
            </w:pPr>
            <w:r w:rsidRPr="00CC7DBB">
              <w:rPr>
                <w:rFonts w:eastAsia="Times New Roman" w:cs="Segoe UI"/>
                <w:b/>
                <w:sz w:val="18"/>
                <w:szCs w:val="18"/>
                <w:lang w:eastAsia="en-AU"/>
              </w:rPr>
              <w:t xml:space="preserve">SEWB/ individual </w:t>
            </w:r>
          </w:p>
        </w:tc>
      </w:tr>
      <w:tr w:rsidR="0005223E" w:rsidRPr="00CC7DBB" w14:paraId="2EBE2D9F" w14:textId="77777777" w:rsidTr="00377FC2">
        <w:trPr>
          <w:cnfStyle w:val="100000000000" w:firstRow="1" w:lastRow="0" w:firstColumn="0" w:lastColumn="0" w:oddVBand="0" w:evenVBand="0" w:oddHBand="0" w:evenHBand="0" w:firstRowFirstColumn="0" w:firstRowLastColumn="0" w:lastRowFirstColumn="0" w:lastRowLastColumn="0"/>
          <w:trHeight w:val="495"/>
          <w:tblHeader/>
        </w:trPr>
        <w:tc>
          <w:tcPr>
            <w:tcW w:w="3500" w:type="dxa"/>
            <w:shd w:val="clear" w:color="auto" w:fill="B8CCE4" w:themeFill="accent1" w:themeFillTint="66"/>
          </w:tcPr>
          <w:p w14:paraId="2EBE2D9A" w14:textId="77777777" w:rsidR="0005223E" w:rsidRPr="00CC7DBB" w:rsidRDefault="0005223E" w:rsidP="008D4ADC">
            <w:pPr>
              <w:spacing w:after="0"/>
              <w:jc w:val="left"/>
              <w:rPr>
                <w:rFonts w:ascii="Segoe UI" w:eastAsia="Times New Roman" w:hAnsi="Segoe UI" w:cs="Segoe UI"/>
                <w:sz w:val="18"/>
                <w:szCs w:val="18"/>
                <w:lang w:eastAsia="en-AU"/>
              </w:rPr>
            </w:pPr>
          </w:p>
        </w:tc>
        <w:tc>
          <w:tcPr>
            <w:tcW w:w="1570" w:type="dxa"/>
            <w:shd w:val="clear" w:color="auto" w:fill="B8CCE4" w:themeFill="accent1" w:themeFillTint="66"/>
            <w:noWrap/>
          </w:tcPr>
          <w:p w14:paraId="2EBE2D9B" w14:textId="77777777" w:rsidR="0005223E" w:rsidRPr="00CC7DBB" w:rsidRDefault="0005223E" w:rsidP="008D4ADC">
            <w:pPr>
              <w:spacing w:after="0"/>
              <w:jc w:val="center"/>
              <w:rPr>
                <w:rFonts w:ascii="Segoe UI" w:eastAsia="Times New Roman" w:hAnsi="Segoe UI" w:cs="Segoe UI"/>
                <w:b/>
                <w:sz w:val="18"/>
                <w:szCs w:val="18"/>
                <w:lang w:eastAsia="en-AU"/>
              </w:rPr>
            </w:pPr>
            <w:r w:rsidRPr="00CC7DBB">
              <w:rPr>
                <w:rFonts w:ascii="Segoe UI" w:eastAsia="Times New Roman" w:hAnsi="Segoe UI" w:cs="Segoe UI"/>
                <w:b/>
                <w:sz w:val="18"/>
                <w:szCs w:val="18"/>
                <w:lang w:eastAsia="en-AU"/>
              </w:rPr>
              <w:t>Aurukun</w:t>
            </w:r>
          </w:p>
        </w:tc>
        <w:tc>
          <w:tcPr>
            <w:tcW w:w="1531" w:type="dxa"/>
            <w:shd w:val="clear" w:color="auto" w:fill="B8CCE4" w:themeFill="accent1" w:themeFillTint="66"/>
            <w:noWrap/>
          </w:tcPr>
          <w:p w14:paraId="2EBE2D9C" w14:textId="77777777" w:rsidR="0005223E" w:rsidRPr="00CC7DBB" w:rsidRDefault="0005223E" w:rsidP="008D4ADC">
            <w:pPr>
              <w:spacing w:after="0"/>
              <w:jc w:val="center"/>
              <w:rPr>
                <w:rFonts w:ascii="Segoe UI" w:eastAsia="Times New Roman" w:hAnsi="Segoe UI" w:cs="Segoe UI"/>
                <w:b/>
                <w:sz w:val="18"/>
                <w:szCs w:val="18"/>
                <w:lang w:eastAsia="en-AU"/>
              </w:rPr>
            </w:pPr>
            <w:r w:rsidRPr="00CC7DBB">
              <w:rPr>
                <w:rFonts w:ascii="Segoe UI" w:eastAsia="Times New Roman" w:hAnsi="Segoe UI" w:cs="Segoe UI"/>
                <w:b/>
                <w:sz w:val="18"/>
                <w:szCs w:val="18"/>
                <w:lang w:eastAsia="en-AU"/>
              </w:rPr>
              <w:t>Coen</w:t>
            </w:r>
          </w:p>
        </w:tc>
        <w:tc>
          <w:tcPr>
            <w:tcW w:w="1559" w:type="dxa"/>
            <w:shd w:val="clear" w:color="auto" w:fill="B8CCE4" w:themeFill="accent1" w:themeFillTint="66"/>
            <w:noWrap/>
          </w:tcPr>
          <w:p w14:paraId="2EBE2D9D" w14:textId="77777777" w:rsidR="0005223E" w:rsidRPr="00CC7DBB" w:rsidRDefault="0005223E" w:rsidP="008D4ADC">
            <w:pPr>
              <w:spacing w:after="0"/>
              <w:jc w:val="center"/>
              <w:rPr>
                <w:rFonts w:ascii="Segoe UI" w:eastAsia="Times New Roman" w:hAnsi="Segoe UI" w:cs="Segoe UI"/>
                <w:b/>
                <w:sz w:val="18"/>
                <w:szCs w:val="18"/>
                <w:lang w:eastAsia="en-AU"/>
              </w:rPr>
            </w:pPr>
            <w:r w:rsidRPr="00CC7DBB">
              <w:rPr>
                <w:rFonts w:ascii="Segoe UI" w:eastAsia="Times New Roman" w:hAnsi="Segoe UI" w:cs="Segoe UI"/>
                <w:b/>
                <w:sz w:val="18"/>
                <w:szCs w:val="18"/>
                <w:lang w:eastAsia="en-AU"/>
              </w:rPr>
              <w:t>Hope Vale</w:t>
            </w:r>
          </w:p>
        </w:tc>
        <w:tc>
          <w:tcPr>
            <w:tcW w:w="1371" w:type="dxa"/>
            <w:shd w:val="clear" w:color="auto" w:fill="B8CCE4" w:themeFill="accent1" w:themeFillTint="66"/>
            <w:noWrap/>
          </w:tcPr>
          <w:p w14:paraId="2EBE2D9E" w14:textId="77777777" w:rsidR="0005223E" w:rsidRPr="00CC7DBB" w:rsidRDefault="0005223E" w:rsidP="008D4ADC">
            <w:pPr>
              <w:spacing w:after="0"/>
              <w:jc w:val="center"/>
              <w:rPr>
                <w:rFonts w:ascii="Segoe UI" w:eastAsia="Times New Roman" w:hAnsi="Segoe UI" w:cs="Segoe UI"/>
                <w:b/>
                <w:sz w:val="18"/>
                <w:szCs w:val="18"/>
                <w:lang w:eastAsia="en-AU"/>
              </w:rPr>
            </w:pPr>
            <w:r w:rsidRPr="00CC7DBB">
              <w:rPr>
                <w:rFonts w:ascii="Segoe UI" w:eastAsia="Times New Roman" w:hAnsi="Segoe UI" w:cs="Segoe UI"/>
                <w:b/>
                <w:sz w:val="18"/>
                <w:szCs w:val="18"/>
                <w:lang w:eastAsia="en-AU"/>
              </w:rPr>
              <w:t>Mossman Gorge</w:t>
            </w:r>
          </w:p>
        </w:tc>
      </w:tr>
      <w:tr w:rsidR="0005223E" w:rsidRPr="00CC7DBB" w14:paraId="2EBE2DA6" w14:textId="77777777" w:rsidTr="00782511">
        <w:trPr>
          <w:trHeight w:val="495"/>
        </w:trPr>
        <w:tc>
          <w:tcPr>
            <w:tcW w:w="3500" w:type="dxa"/>
            <w:shd w:val="clear" w:color="auto" w:fill="F2F2F2" w:themeFill="background1" w:themeFillShade="F2"/>
          </w:tcPr>
          <w:p w14:paraId="2EBE2DA0"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t xml:space="preserve">K10 - Clinical significance (effect size) of improvement - statistically significant  </w:t>
            </w:r>
          </w:p>
        </w:tc>
        <w:tc>
          <w:tcPr>
            <w:tcW w:w="1570" w:type="dxa"/>
            <w:shd w:val="clear" w:color="auto" w:fill="F2F2F2" w:themeFill="background1" w:themeFillShade="F2"/>
            <w:noWrap/>
            <w:vAlign w:val="center"/>
          </w:tcPr>
          <w:p w14:paraId="2EBE2DA1" w14:textId="77777777" w:rsidR="0005223E" w:rsidRPr="00CC7DBB" w:rsidRDefault="0005223E" w:rsidP="00782511">
            <w:pPr>
              <w:jc w:val="center"/>
              <w:rPr>
                <w:rFonts w:cs="Segoe UI"/>
                <w:sz w:val="18"/>
                <w:szCs w:val="18"/>
              </w:rPr>
            </w:pPr>
            <w:r w:rsidRPr="00CC7DBB">
              <w:rPr>
                <w:rFonts w:cs="Segoe UI"/>
                <w:sz w:val="18"/>
                <w:szCs w:val="18"/>
              </w:rPr>
              <w:t>-0.01 (none)</w:t>
            </w:r>
          </w:p>
          <w:p w14:paraId="2EBE2DA2" w14:textId="77777777" w:rsidR="0005223E" w:rsidRPr="00CC7DBB" w:rsidRDefault="0005223E" w:rsidP="00782511">
            <w:pPr>
              <w:jc w:val="center"/>
              <w:rPr>
                <w:rFonts w:cs="Segoe UI"/>
                <w:sz w:val="18"/>
                <w:szCs w:val="18"/>
              </w:rPr>
            </w:pPr>
            <w:r w:rsidRPr="00CC7DBB">
              <w:rPr>
                <w:rFonts w:cs="Segoe UI"/>
                <w:sz w:val="18"/>
                <w:szCs w:val="18"/>
              </w:rPr>
              <w:t>not statistically significant</w:t>
            </w:r>
          </w:p>
        </w:tc>
        <w:tc>
          <w:tcPr>
            <w:tcW w:w="1531" w:type="dxa"/>
            <w:shd w:val="clear" w:color="auto" w:fill="F2F2F2" w:themeFill="background1" w:themeFillShade="F2"/>
            <w:noWrap/>
            <w:vAlign w:val="center"/>
          </w:tcPr>
          <w:p w14:paraId="2EBE2DA3" w14:textId="77777777" w:rsidR="0005223E" w:rsidRPr="00CC7DBB" w:rsidRDefault="0005223E" w:rsidP="00782511">
            <w:pPr>
              <w:jc w:val="center"/>
              <w:rPr>
                <w:rFonts w:cs="Segoe UI"/>
                <w:sz w:val="18"/>
                <w:szCs w:val="18"/>
              </w:rPr>
            </w:pPr>
            <w:r w:rsidRPr="00CC7DBB">
              <w:rPr>
                <w:rFonts w:cs="Segoe UI"/>
                <w:sz w:val="18"/>
                <w:szCs w:val="18"/>
              </w:rPr>
              <w:t>0.33 (small)</w:t>
            </w:r>
          </w:p>
        </w:tc>
        <w:tc>
          <w:tcPr>
            <w:tcW w:w="1559" w:type="dxa"/>
            <w:shd w:val="clear" w:color="auto" w:fill="F2F2F2" w:themeFill="background1" w:themeFillShade="F2"/>
            <w:noWrap/>
            <w:vAlign w:val="center"/>
          </w:tcPr>
          <w:p w14:paraId="2EBE2DA4" w14:textId="77777777" w:rsidR="0005223E" w:rsidRPr="00CC7DBB" w:rsidRDefault="0005223E" w:rsidP="00782511">
            <w:pPr>
              <w:jc w:val="center"/>
              <w:rPr>
                <w:rFonts w:cs="Segoe UI"/>
                <w:sz w:val="18"/>
                <w:szCs w:val="18"/>
              </w:rPr>
            </w:pPr>
            <w:r w:rsidRPr="00CC7DBB">
              <w:rPr>
                <w:rFonts w:cs="Segoe UI"/>
                <w:sz w:val="18"/>
                <w:szCs w:val="18"/>
              </w:rPr>
              <w:t>0.85 (large)</w:t>
            </w:r>
          </w:p>
        </w:tc>
        <w:tc>
          <w:tcPr>
            <w:tcW w:w="1371" w:type="dxa"/>
            <w:shd w:val="clear" w:color="auto" w:fill="F2F2F2" w:themeFill="background1" w:themeFillShade="F2"/>
            <w:noWrap/>
            <w:vAlign w:val="center"/>
          </w:tcPr>
          <w:p w14:paraId="2EBE2DA5" w14:textId="77777777" w:rsidR="0005223E" w:rsidRPr="00CC7DBB" w:rsidRDefault="0005223E" w:rsidP="00304712">
            <w:pPr>
              <w:jc w:val="center"/>
              <w:rPr>
                <w:rFonts w:cs="Segoe UI"/>
                <w:sz w:val="18"/>
                <w:szCs w:val="18"/>
              </w:rPr>
            </w:pPr>
            <w:r>
              <w:rPr>
                <w:rFonts w:cs="Segoe UI"/>
                <w:sz w:val="18"/>
                <w:szCs w:val="18"/>
              </w:rPr>
              <w:t>N/A</w:t>
            </w:r>
          </w:p>
        </w:tc>
      </w:tr>
      <w:tr w:rsidR="0005223E" w:rsidRPr="00CC7DBB" w14:paraId="2EBE2DAC" w14:textId="77777777" w:rsidTr="00782511">
        <w:trPr>
          <w:trHeight w:val="637"/>
        </w:trPr>
        <w:tc>
          <w:tcPr>
            <w:tcW w:w="3500" w:type="dxa"/>
            <w:shd w:val="clear" w:color="auto" w:fill="F2F2F2" w:themeFill="background1" w:themeFillShade="F2"/>
          </w:tcPr>
          <w:p w14:paraId="2EBE2DA7"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t xml:space="preserve">HoNOS  total score -  Clinical significance (effect size) of improvement - statistically significant </w:t>
            </w:r>
          </w:p>
        </w:tc>
        <w:tc>
          <w:tcPr>
            <w:tcW w:w="1570" w:type="dxa"/>
            <w:shd w:val="clear" w:color="auto" w:fill="F2F2F2" w:themeFill="background1" w:themeFillShade="F2"/>
            <w:noWrap/>
            <w:vAlign w:val="center"/>
          </w:tcPr>
          <w:p w14:paraId="2EBE2DA8" w14:textId="77777777" w:rsidR="0005223E" w:rsidRPr="00CC7DBB" w:rsidRDefault="0005223E" w:rsidP="00782511">
            <w:pPr>
              <w:jc w:val="center"/>
              <w:rPr>
                <w:rFonts w:cs="Segoe UI"/>
                <w:bCs/>
                <w:sz w:val="18"/>
                <w:szCs w:val="18"/>
              </w:rPr>
            </w:pPr>
            <w:r w:rsidRPr="00CC7DBB">
              <w:rPr>
                <w:rFonts w:cs="Segoe UI"/>
                <w:bCs/>
                <w:sz w:val="18"/>
                <w:szCs w:val="18"/>
              </w:rPr>
              <w:t>-.32 (none)</w:t>
            </w:r>
          </w:p>
        </w:tc>
        <w:tc>
          <w:tcPr>
            <w:tcW w:w="1531" w:type="dxa"/>
            <w:shd w:val="clear" w:color="auto" w:fill="F2F2F2" w:themeFill="background1" w:themeFillShade="F2"/>
            <w:noWrap/>
            <w:vAlign w:val="center"/>
          </w:tcPr>
          <w:p w14:paraId="2EBE2DA9" w14:textId="77777777" w:rsidR="0005223E" w:rsidRPr="00CC7DBB" w:rsidRDefault="0005223E" w:rsidP="00782511">
            <w:pPr>
              <w:jc w:val="center"/>
              <w:rPr>
                <w:rFonts w:cs="Segoe UI"/>
                <w:bCs/>
                <w:sz w:val="18"/>
                <w:szCs w:val="18"/>
              </w:rPr>
            </w:pPr>
            <w:r w:rsidRPr="00CC7DBB">
              <w:rPr>
                <w:rFonts w:cs="Segoe UI"/>
                <w:bCs/>
                <w:sz w:val="18"/>
                <w:szCs w:val="18"/>
              </w:rPr>
              <w:t>.58 (med)</w:t>
            </w:r>
          </w:p>
        </w:tc>
        <w:tc>
          <w:tcPr>
            <w:tcW w:w="1559" w:type="dxa"/>
            <w:shd w:val="clear" w:color="auto" w:fill="F2F2F2" w:themeFill="background1" w:themeFillShade="F2"/>
            <w:noWrap/>
            <w:vAlign w:val="center"/>
          </w:tcPr>
          <w:p w14:paraId="2EBE2DAA" w14:textId="77777777" w:rsidR="0005223E" w:rsidRPr="00CC7DBB" w:rsidRDefault="0005223E" w:rsidP="00782511">
            <w:pPr>
              <w:jc w:val="center"/>
              <w:rPr>
                <w:rFonts w:cs="Segoe UI"/>
                <w:bCs/>
                <w:sz w:val="18"/>
                <w:szCs w:val="18"/>
              </w:rPr>
            </w:pPr>
            <w:r w:rsidRPr="00CC7DBB">
              <w:rPr>
                <w:rFonts w:cs="Segoe UI"/>
                <w:bCs/>
                <w:sz w:val="18"/>
                <w:szCs w:val="18"/>
              </w:rPr>
              <w:t>.56 (med)</w:t>
            </w:r>
          </w:p>
        </w:tc>
        <w:tc>
          <w:tcPr>
            <w:tcW w:w="1371" w:type="dxa"/>
            <w:shd w:val="clear" w:color="auto" w:fill="F2F2F2" w:themeFill="background1" w:themeFillShade="F2"/>
            <w:noWrap/>
            <w:vAlign w:val="center"/>
          </w:tcPr>
          <w:p w14:paraId="2EBE2DAB" w14:textId="77777777" w:rsidR="0005223E" w:rsidRPr="00CC7DBB" w:rsidRDefault="0005223E" w:rsidP="00782511">
            <w:pPr>
              <w:jc w:val="center"/>
              <w:rPr>
                <w:rFonts w:cs="Segoe UI"/>
                <w:bCs/>
                <w:sz w:val="18"/>
                <w:szCs w:val="18"/>
              </w:rPr>
            </w:pPr>
            <w:r w:rsidRPr="00CC7DBB">
              <w:rPr>
                <w:rFonts w:cs="Segoe UI"/>
                <w:bCs/>
                <w:sz w:val="18"/>
                <w:szCs w:val="18"/>
              </w:rPr>
              <w:t>.37 (small)</w:t>
            </w:r>
          </w:p>
        </w:tc>
      </w:tr>
      <w:tr w:rsidR="0005223E" w:rsidRPr="00CC7DBB" w14:paraId="2EBE2DB3" w14:textId="77777777" w:rsidTr="00782511">
        <w:trPr>
          <w:trHeight w:val="735"/>
        </w:trPr>
        <w:tc>
          <w:tcPr>
            <w:tcW w:w="3500" w:type="dxa"/>
            <w:shd w:val="clear" w:color="auto" w:fill="F2F2F2" w:themeFill="background1" w:themeFillShade="F2"/>
          </w:tcPr>
          <w:p w14:paraId="2EBE2DAD"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lastRenderedPageBreak/>
              <w:t xml:space="preserve">IRIS mental health - Clinical significance (effect size) of improvement - statistically significant  </w:t>
            </w:r>
          </w:p>
        </w:tc>
        <w:tc>
          <w:tcPr>
            <w:tcW w:w="1570" w:type="dxa"/>
            <w:shd w:val="clear" w:color="auto" w:fill="F2F2F2" w:themeFill="background1" w:themeFillShade="F2"/>
            <w:noWrap/>
          </w:tcPr>
          <w:p w14:paraId="2EBE2DAE" w14:textId="77777777" w:rsidR="0005223E" w:rsidRPr="00CC7DBB" w:rsidRDefault="0005223E" w:rsidP="00782511">
            <w:pPr>
              <w:spacing w:after="0"/>
              <w:jc w:val="center"/>
              <w:rPr>
                <w:rFonts w:eastAsia="Times New Roman" w:cs="Segoe UI"/>
                <w:color w:val="auto"/>
                <w:sz w:val="18"/>
                <w:szCs w:val="18"/>
                <w:lang w:eastAsia="en-AU"/>
              </w:rPr>
            </w:pPr>
            <w:r w:rsidRPr="00CC7DBB">
              <w:rPr>
                <w:rFonts w:eastAsia="Times New Roman" w:cs="Segoe UI"/>
                <w:color w:val="auto"/>
                <w:sz w:val="18"/>
                <w:szCs w:val="18"/>
                <w:lang w:eastAsia="en-AU"/>
              </w:rPr>
              <w:t>0.83 (large)</w:t>
            </w:r>
          </w:p>
          <w:p w14:paraId="2EBE2DAF" w14:textId="77777777" w:rsidR="0005223E" w:rsidRPr="00CC7DBB" w:rsidRDefault="0005223E" w:rsidP="00782511">
            <w:pPr>
              <w:spacing w:after="0"/>
              <w:jc w:val="center"/>
              <w:rPr>
                <w:rFonts w:eastAsia="Times New Roman" w:cs="Segoe UI"/>
                <w:color w:val="auto"/>
                <w:sz w:val="18"/>
                <w:szCs w:val="18"/>
                <w:lang w:eastAsia="en-AU"/>
              </w:rPr>
            </w:pPr>
            <w:r w:rsidRPr="00CC7DBB">
              <w:rPr>
                <w:rFonts w:eastAsia="Times New Roman" w:cs="Segoe UI"/>
                <w:color w:val="auto"/>
                <w:sz w:val="18"/>
                <w:szCs w:val="18"/>
                <w:lang w:eastAsia="en-AU"/>
              </w:rPr>
              <w:t>not statistically significant</w:t>
            </w:r>
          </w:p>
        </w:tc>
        <w:tc>
          <w:tcPr>
            <w:tcW w:w="1531" w:type="dxa"/>
            <w:shd w:val="clear" w:color="auto" w:fill="F2F2F2" w:themeFill="background1" w:themeFillShade="F2"/>
            <w:noWrap/>
          </w:tcPr>
          <w:p w14:paraId="2EBE2DB0"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color w:val="auto"/>
                <w:sz w:val="18"/>
                <w:szCs w:val="18"/>
                <w:lang w:eastAsia="en-AU"/>
              </w:rPr>
              <w:t>0.43 (small – med)</w:t>
            </w:r>
          </w:p>
        </w:tc>
        <w:tc>
          <w:tcPr>
            <w:tcW w:w="1559" w:type="dxa"/>
            <w:shd w:val="clear" w:color="auto" w:fill="F2F2F2" w:themeFill="background1" w:themeFillShade="F2"/>
            <w:noWrap/>
          </w:tcPr>
          <w:p w14:paraId="2EBE2DB1"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color w:val="auto"/>
                <w:sz w:val="18"/>
                <w:szCs w:val="18"/>
                <w:lang w:eastAsia="en-AU"/>
              </w:rPr>
              <w:t>0.35 (small)</w:t>
            </w:r>
          </w:p>
        </w:tc>
        <w:tc>
          <w:tcPr>
            <w:tcW w:w="1371" w:type="dxa"/>
            <w:shd w:val="clear" w:color="auto" w:fill="F2F2F2" w:themeFill="background1" w:themeFillShade="F2"/>
            <w:noWrap/>
          </w:tcPr>
          <w:p w14:paraId="2EBE2DB2"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color w:val="auto"/>
                <w:sz w:val="18"/>
                <w:szCs w:val="18"/>
                <w:lang w:eastAsia="en-AU"/>
              </w:rPr>
              <w:t>2.11 (large)</w:t>
            </w:r>
          </w:p>
        </w:tc>
      </w:tr>
      <w:tr w:rsidR="0005223E" w:rsidRPr="00CC7DBB" w14:paraId="2EBE2DB9" w14:textId="77777777" w:rsidTr="00782511">
        <w:trPr>
          <w:trHeight w:val="735"/>
        </w:trPr>
        <w:tc>
          <w:tcPr>
            <w:tcW w:w="3500" w:type="dxa"/>
            <w:tcBorders>
              <w:bottom w:val="single" w:sz="4" w:space="0" w:color="FFFFFF"/>
            </w:tcBorders>
            <w:shd w:val="clear" w:color="auto" w:fill="F2F2F2" w:themeFill="background1" w:themeFillShade="F2"/>
          </w:tcPr>
          <w:p w14:paraId="2EBE2DB4" w14:textId="77777777" w:rsidR="0005223E" w:rsidRPr="00CC7DBB" w:rsidRDefault="0005223E" w:rsidP="00782511">
            <w:pPr>
              <w:spacing w:after="0"/>
              <w:jc w:val="left"/>
              <w:rPr>
                <w:rFonts w:eastAsia="Times New Roman" w:cs="Segoe UI"/>
                <w:bCs/>
                <w:sz w:val="18"/>
                <w:szCs w:val="18"/>
                <w:lang w:eastAsia="en-AU"/>
              </w:rPr>
            </w:pPr>
            <w:r>
              <w:rPr>
                <w:rFonts w:eastAsia="Times New Roman" w:cs="Segoe UI"/>
                <w:bCs/>
                <w:sz w:val="18"/>
                <w:szCs w:val="18"/>
                <w:lang w:eastAsia="en-AU"/>
              </w:rPr>
              <w:t>Client reported client level impact</w:t>
            </w:r>
          </w:p>
        </w:tc>
        <w:tc>
          <w:tcPr>
            <w:tcW w:w="1570" w:type="dxa"/>
            <w:tcBorders>
              <w:bottom w:val="single" w:sz="4" w:space="0" w:color="FFFFFF"/>
            </w:tcBorders>
            <w:shd w:val="clear" w:color="auto" w:fill="F2F2F2" w:themeFill="background1" w:themeFillShade="F2"/>
          </w:tcPr>
          <w:p w14:paraId="2EBE2DB5" w14:textId="77777777" w:rsidR="0005223E" w:rsidRPr="00CC7DBB" w:rsidRDefault="0005223E" w:rsidP="00782511">
            <w:pPr>
              <w:spacing w:after="0"/>
              <w:jc w:val="center"/>
              <w:rPr>
                <w:rFonts w:eastAsia="Times New Roman" w:cs="Segoe UI"/>
                <w:color w:val="auto"/>
                <w:sz w:val="18"/>
                <w:szCs w:val="18"/>
                <w:lang w:eastAsia="en-AU"/>
              </w:rPr>
            </w:pPr>
            <w:r>
              <w:rPr>
                <w:rFonts w:eastAsia="Times New Roman" w:cs="Segoe UI"/>
                <w:color w:val="auto"/>
                <w:sz w:val="18"/>
                <w:szCs w:val="18"/>
                <w:lang w:eastAsia="en-AU"/>
              </w:rPr>
              <w:t>Positive</w:t>
            </w:r>
          </w:p>
        </w:tc>
        <w:tc>
          <w:tcPr>
            <w:tcW w:w="1531" w:type="dxa"/>
            <w:tcBorders>
              <w:bottom w:val="single" w:sz="4" w:space="0" w:color="FFFFFF"/>
            </w:tcBorders>
            <w:shd w:val="clear" w:color="auto" w:fill="F2F2F2" w:themeFill="background1" w:themeFillShade="F2"/>
            <w:noWrap/>
          </w:tcPr>
          <w:p w14:paraId="2EBE2DB6"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color w:val="auto"/>
                <w:sz w:val="18"/>
                <w:szCs w:val="18"/>
                <w:lang w:eastAsia="en-AU"/>
              </w:rPr>
              <w:t>Positive</w:t>
            </w:r>
          </w:p>
        </w:tc>
        <w:tc>
          <w:tcPr>
            <w:tcW w:w="1559" w:type="dxa"/>
            <w:tcBorders>
              <w:bottom w:val="single" w:sz="4" w:space="0" w:color="FFFFFF"/>
            </w:tcBorders>
            <w:shd w:val="clear" w:color="auto" w:fill="F2F2F2" w:themeFill="background1" w:themeFillShade="F2"/>
          </w:tcPr>
          <w:p w14:paraId="2EBE2DB7"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color w:val="auto"/>
                <w:sz w:val="18"/>
                <w:szCs w:val="18"/>
                <w:lang w:eastAsia="en-AU"/>
              </w:rPr>
              <w:t>Positive</w:t>
            </w:r>
          </w:p>
        </w:tc>
        <w:tc>
          <w:tcPr>
            <w:tcW w:w="1371" w:type="dxa"/>
            <w:tcBorders>
              <w:bottom w:val="single" w:sz="4" w:space="0" w:color="FFFFFF"/>
            </w:tcBorders>
            <w:shd w:val="clear" w:color="auto" w:fill="F2F2F2" w:themeFill="background1" w:themeFillShade="F2"/>
            <w:noWrap/>
          </w:tcPr>
          <w:p w14:paraId="2EBE2DB8"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color w:val="auto"/>
                <w:sz w:val="18"/>
                <w:szCs w:val="18"/>
                <w:lang w:eastAsia="en-AU"/>
              </w:rPr>
              <w:t>Positive</w:t>
            </w:r>
          </w:p>
        </w:tc>
      </w:tr>
      <w:tr w:rsidR="0005223E" w:rsidRPr="00CC7DBB" w14:paraId="2EBE2DBF" w14:textId="77777777" w:rsidTr="00782511">
        <w:trPr>
          <w:trHeight w:val="735"/>
        </w:trPr>
        <w:tc>
          <w:tcPr>
            <w:tcW w:w="3500" w:type="dxa"/>
            <w:tcBorders>
              <w:bottom w:val="single" w:sz="4" w:space="0" w:color="FFFFFF"/>
            </w:tcBorders>
            <w:shd w:val="clear" w:color="auto" w:fill="F2F2F2" w:themeFill="background1" w:themeFillShade="F2"/>
          </w:tcPr>
          <w:p w14:paraId="2EBE2DBA" w14:textId="77777777" w:rsidR="0005223E" w:rsidRPr="00CC7DBB" w:rsidRDefault="0005223E" w:rsidP="00782511">
            <w:pPr>
              <w:spacing w:after="0"/>
              <w:jc w:val="left"/>
              <w:rPr>
                <w:rFonts w:eastAsia="Times New Roman" w:cs="Segoe UI"/>
                <w:bCs/>
                <w:sz w:val="18"/>
                <w:szCs w:val="18"/>
                <w:lang w:eastAsia="en-AU"/>
              </w:rPr>
            </w:pPr>
            <w:r w:rsidRPr="00CC7DBB">
              <w:rPr>
                <w:rFonts w:eastAsia="Times New Roman" w:cs="Segoe UI"/>
                <w:bCs/>
                <w:sz w:val="18"/>
                <w:szCs w:val="18"/>
                <w:lang w:eastAsia="en-AU"/>
              </w:rPr>
              <w:t>Community members perspective on  impact of self - big or some impact</w:t>
            </w:r>
          </w:p>
        </w:tc>
        <w:tc>
          <w:tcPr>
            <w:tcW w:w="1570" w:type="dxa"/>
            <w:tcBorders>
              <w:bottom w:val="single" w:sz="4" w:space="0" w:color="FFFFFF"/>
            </w:tcBorders>
            <w:shd w:val="clear" w:color="auto" w:fill="F2F2F2" w:themeFill="background1" w:themeFillShade="F2"/>
          </w:tcPr>
          <w:p w14:paraId="2EBE2DBB" w14:textId="77777777" w:rsidR="0005223E" w:rsidRPr="00CC7DBB" w:rsidRDefault="0005223E" w:rsidP="00782511">
            <w:pPr>
              <w:spacing w:after="0"/>
              <w:jc w:val="center"/>
              <w:rPr>
                <w:rFonts w:eastAsia="Times New Roman" w:cs="Segoe UI"/>
                <w:color w:val="auto"/>
                <w:sz w:val="18"/>
                <w:szCs w:val="18"/>
                <w:lang w:eastAsia="en-AU"/>
              </w:rPr>
            </w:pPr>
            <w:r w:rsidRPr="00CC7DBB">
              <w:rPr>
                <w:rFonts w:eastAsia="Times New Roman" w:cs="Segoe UI"/>
                <w:color w:val="auto"/>
                <w:sz w:val="18"/>
                <w:szCs w:val="18"/>
                <w:lang w:eastAsia="en-AU"/>
              </w:rPr>
              <w:t>95%</w:t>
            </w:r>
          </w:p>
        </w:tc>
        <w:tc>
          <w:tcPr>
            <w:tcW w:w="1531" w:type="dxa"/>
            <w:tcBorders>
              <w:bottom w:val="single" w:sz="4" w:space="0" w:color="FFFFFF"/>
            </w:tcBorders>
            <w:shd w:val="clear" w:color="auto" w:fill="F2F2F2" w:themeFill="background1" w:themeFillShade="F2"/>
            <w:noWrap/>
          </w:tcPr>
          <w:p w14:paraId="2EBE2DBC"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100%</w:t>
            </w:r>
          </w:p>
        </w:tc>
        <w:tc>
          <w:tcPr>
            <w:tcW w:w="1559" w:type="dxa"/>
            <w:tcBorders>
              <w:bottom w:val="single" w:sz="4" w:space="0" w:color="FFFFFF"/>
            </w:tcBorders>
            <w:shd w:val="clear" w:color="auto" w:fill="F2F2F2" w:themeFill="background1" w:themeFillShade="F2"/>
          </w:tcPr>
          <w:p w14:paraId="2EBE2DBD"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92%</w:t>
            </w:r>
          </w:p>
        </w:tc>
        <w:tc>
          <w:tcPr>
            <w:tcW w:w="1371" w:type="dxa"/>
            <w:tcBorders>
              <w:bottom w:val="single" w:sz="4" w:space="0" w:color="FFFFFF"/>
            </w:tcBorders>
            <w:shd w:val="clear" w:color="auto" w:fill="F2F2F2" w:themeFill="background1" w:themeFillShade="F2"/>
            <w:noWrap/>
          </w:tcPr>
          <w:p w14:paraId="2EBE2DBE"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93%</w:t>
            </w:r>
          </w:p>
        </w:tc>
      </w:tr>
      <w:tr w:rsidR="0005223E" w:rsidRPr="00CC7DBB" w14:paraId="2EBE2DC5" w14:textId="77777777" w:rsidTr="00782511">
        <w:trPr>
          <w:trHeight w:val="735"/>
        </w:trPr>
        <w:tc>
          <w:tcPr>
            <w:tcW w:w="3500" w:type="dxa"/>
            <w:tcBorders>
              <w:bottom w:val="single" w:sz="4" w:space="0" w:color="FFFFFF"/>
            </w:tcBorders>
            <w:shd w:val="clear" w:color="auto" w:fill="F2F2F2" w:themeFill="background1" w:themeFillShade="F2"/>
          </w:tcPr>
          <w:p w14:paraId="2EBE2DC0" w14:textId="77777777" w:rsidR="0005223E" w:rsidRPr="00CC7DBB" w:rsidRDefault="0005223E" w:rsidP="00782511">
            <w:pPr>
              <w:spacing w:after="0"/>
              <w:rPr>
                <w:rFonts w:eastAsia="Times New Roman" w:cs="Segoe UI"/>
                <w:bCs/>
                <w:sz w:val="18"/>
                <w:szCs w:val="18"/>
                <w:lang w:eastAsia="en-AU"/>
              </w:rPr>
            </w:pPr>
            <w:r w:rsidRPr="00CC7DBB">
              <w:rPr>
                <w:rFonts w:cs="Segoe UI"/>
                <w:sz w:val="18"/>
                <w:szCs w:val="18"/>
                <w:lang w:eastAsia="en-AU"/>
              </w:rPr>
              <w:t>Community members perspective on the impact on family or people they know - big or some impact</w:t>
            </w:r>
          </w:p>
        </w:tc>
        <w:tc>
          <w:tcPr>
            <w:tcW w:w="1570" w:type="dxa"/>
            <w:tcBorders>
              <w:bottom w:val="single" w:sz="4" w:space="0" w:color="FFFFFF"/>
            </w:tcBorders>
            <w:shd w:val="clear" w:color="auto" w:fill="F2F2F2" w:themeFill="background1" w:themeFillShade="F2"/>
          </w:tcPr>
          <w:p w14:paraId="2EBE2DC1" w14:textId="77777777" w:rsidR="0005223E" w:rsidRPr="00CC7DBB" w:rsidRDefault="0005223E" w:rsidP="00782511">
            <w:pPr>
              <w:spacing w:after="0"/>
              <w:jc w:val="center"/>
              <w:rPr>
                <w:rFonts w:eastAsia="Times New Roman" w:cs="Segoe UI"/>
                <w:color w:val="auto"/>
                <w:sz w:val="18"/>
                <w:szCs w:val="18"/>
                <w:lang w:eastAsia="en-AU"/>
              </w:rPr>
            </w:pPr>
            <w:r w:rsidRPr="00CC7DBB">
              <w:rPr>
                <w:rFonts w:eastAsia="Times New Roman" w:cs="Segoe UI"/>
                <w:color w:val="auto"/>
                <w:sz w:val="18"/>
                <w:szCs w:val="18"/>
                <w:lang w:eastAsia="en-AU"/>
              </w:rPr>
              <w:t>97%</w:t>
            </w:r>
          </w:p>
        </w:tc>
        <w:tc>
          <w:tcPr>
            <w:tcW w:w="1531" w:type="dxa"/>
            <w:tcBorders>
              <w:bottom w:val="single" w:sz="4" w:space="0" w:color="FFFFFF"/>
            </w:tcBorders>
            <w:shd w:val="clear" w:color="auto" w:fill="F2F2F2" w:themeFill="background1" w:themeFillShade="F2"/>
            <w:noWrap/>
          </w:tcPr>
          <w:p w14:paraId="2EBE2DC2"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100%</w:t>
            </w:r>
          </w:p>
        </w:tc>
        <w:tc>
          <w:tcPr>
            <w:tcW w:w="1559" w:type="dxa"/>
            <w:tcBorders>
              <w:bottom w:val="single" w:sz="4" w:space="0" w:color="FFFFFF"/>
            </w:tcBorders>
            <w:shd w:val="clear" w:color="auto" w:fill="F2F2F2" w:themeFill="background1" w:themeFillShade="F2"/>
          </w:tcPr>
          <w:p w14:paraId="2EBE2DC3"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83%</w:t>
            </w:r>
          </w:p>
        </w:tc>
        <w:tc>
          <w:tcPr>
            <w:tcW w:w="1371" w:type="dxa"/>
            <w:tcBorders>
              <w:bottom w:val="single" w:sz="4" w:space="0" w:color="FFFFFF"/>
            </w:tcBorders>
            <w:shd w:val="clear" w:color="auto" w:fill="F2F2F2" w:themeFill="background1" w:themeFillShade="F2"/>
            <w:noWrap/>
          </w:tcPr>
          <w:p w14:paraId="2EBE2DC4"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97%</w:t>
            </w:r>
          </w:p>
        </w:tc>
      </w:tr>
      <w:tr w:rsidR="0005223E" w:rsidRPr="00CC7DBB" w14:paraId="2EBE2DC7" w14:textId="77777777" w:rsidTr="00782511">
        <w:trPr>
          <w:trHeight w:val="495"/>
        </w:trPr>
        <w:tc>
          <w:tcPr>
            <w:tcW w:w="9531" w:type="dxa"/>
            <w:gridSpan w:val="5"/>
            <w:shd w:val="clear" w:color="auto" w:fill="DBE5F1" w:themeFill="accent1" w:themeFillTint="33"/>
          </w:tcPr>
          <w:p w14:paraId="2EBE2DC6" w14:textId="77777777" w:rsidR="0005223E" w:rsidRPr="00CC7DBB" w:rsidRDefault="0005223E" w:rsidP="00782511">
            <w:pPr>
              <w:spacing w:after="0"/>
              <w:jc w:val="center"/>
              <w:rPr>
                <w:rFonts w:eastAsia="Times New Roman" w:cs="Segoe UI"/>
                <w:b/>
                <w:sz w:val="18"/>
                <w:szCs w:val="18"/>
                <w:lang w:eastAsia="en-AU"/>
              </w:rPr>
            </w:pPr>
            <w:r w:rsidRPr="00CC7DBB">
              <w:rPr>
                <w:rFonts w:eastAsia="Times New Roman" w:cs="Segoe UI"/>
                <w:b/>
                <w:sz w:val="18"/>
                <w:szCs w:val="18"/>
                <w:lang w:eastAsia="en-AU"/>
              </w:rPr>
              <w:t>Community as a whole</w:t>
            </w:r>
          </w:p>
        </w:tc>
      </w:tr>
      <w:tr w:rsidR="0005223E" w:rsidRPr="00CC7DBB" w14:paraId="2EBE2DCD" w14:textId="77777777" w:rsidTr="0005223E">
        <w:trPr>
          <w:trHeight w:val="495"/>
        </w:trPr>
        <w:tc>
          <w:tcPr>
            <w:tcW w:w="3500" w:type="dxa"/>
            <w:shd w:val="clear" w:color="auto" w:fill="B8CCE4" w:themeFill="accent1" w:themeFillTint="66"/>
          </w:tcPr>
          <w:p w14:paraId="2EBE2DC8" w14:textId="77777777" w:rsidR="0005223E" w:rsidRPr="00CC7DBB" w:rsidRDefault="0005223E" w:rsidP="008D4ADC">
            <w:pPr>
              <w:spacing w:after="0"/>
              <w:jc w:val="left"/>
              <w:rPr>
                <w:rFonts w:eastAsia="Times New Roman" w:cs="Segoe UI"/>
                <w:sz w:val="18"/>
                <w:szCs w:val="18"/>
                <w:lang w:eastAsia="en-AU"/>
              </w:rPr>
            </w:pPr>
          </w:p>
        </w:tc>
        <w:tc>
          <w:tcPr>
            <w:tcW w:w="1570" w:type="dxa"/>
            <w:shd w:val="clear" w:color="auto" w:fill="B8CCE4" w:themeFill="accent1" w:themeFillTint="66"/>
            <w:noWrap/>
          </w:tcPr>
          <w:p w14:paraId="2EBE2DC9" w14:textId="77777777" w:rsidR="0005223E" w:rsidRPr="00CC7DBB" w:rsidRDefault="0005223E" w:rsidP="008D4ADC">
            <w:pPr>
              <w:spacing w:after="0"/>
              <w:jc w:val="center"/>
              <w:rPr>
                <w:rFonts w:eastAsia="Times New Roman" w:cs="Segoe UI"/>
                <w:b/>
                <w:sz w:val="18"/>
                <w:szCs w:val="18"/>
                <w:lang w:eastAsia="en-AU"/>
              </w:rPr>
            </w:pPr>
            <w:r w:rsidRPr="00CC7DBB">
              <w:rPr>
                <w:rFonts w:eastAsia="Times New Roman" w:cs="Segoe UI"/>
                <w:b/>
                <w:sz w:val="18"/>
                <w:szCs w:val="18"/>
                <w:lang w:eastAsia="en-AU"/>
              </w:rPr>
              <w:t>Aurukun</w:t>
            </w:r>
          </w:p>
        </w:tc>
        <w:tc>
          <w:tcPr>
            <w:tcW w:w="1531" w:type="dxa"/>
            <w:shd w:val="clear" w:color="auto" w:fill="B8CCE4" w:themeFill="accent1" w:themeFillTint="66"/>
            <w:noWrap/>
          </w:tcPr>
          <w:p w14:paraId="2EBE2DCA" w14:textId="77777777" w:rsidR="0005223E" w:rsidRPr="00CC7DBB" w:rsidRDefault="0005223E" w:rsidP="008D4ADC">
            <w:pPr>
              <w:spacing w:after="0"/>
              <w:jc w:val="center"/>
              <w:rPr>
                <w:rFonts w:eastAsia="Times New Roman" w:cs="Segoe UI"/>
                <w:b/>
                <w:sz w:val="18"/>
                <w:szCs w:val="18"/>
                <w:lang w:eastAsia="en-AU"/>
              </w:rPr>
            </w:pPr>
            <w:r w:rsidRPr="00CC7DBB">
              <w:rPr>
                <w:rFonts w:eastAsia="Times New Roman" w:cs="Segoe UI"/>
                <w:b/>
                <w:sz w:val="18"/>
                <w:szCs w:val="18"/>
                <w:lang w:eastAsia="en-AU"/>
              </w:rPr>
              <w:t>Coen</w:t>
            </w:r>
          </w:p>
        </w:tc>
        <w:tc>
          <w:tcPr>
            <w:tcW w:w="1559" w:type="dxa"/>
            <w:shd w:val="clear" w:color="auto" w:fill="B8CCE4" w:themeFill="accent1" w:themeFillTint="66"/>
            <w:noWrap/>
          </w:tcPr>
          <w:p w14:paraId="2EBE2DCB" w14:textId="77777777" w:rsidR="0005223E" w:rsidRPr="00CC7DBB" w:rsidRDefault="0005223E" w:rsidP="008D4ADC">
            <w:pPr>
              <w:spacing w:after="0"/>
              <w:jc w:val="center"/>
              <w:rPr>
                <w:rFonts w:eastAsia="Times New Roman" w:cs="Segoe UI"/>
                <w:b/>
                <w:sz w:val="18"/>
                <w:szCs w:val="18"/>
                <w:lang w:eastAsia="en-AU"/>
              </w:rPr>
            </w:pPr>
            <w:r w:rsidRPr="00CC7DBB">
              <w:rPr>
                <w:rFonts w:eastAsia="Times New Roman" w:cs="Segoe UI"/>
                <w:b/>
                <w:sz w:val="18"/>
                <w:szCs w:val="18"/>
                <w:lang w:eastAsia="en-AU"/>
              </w:rPr>
              <w:t>Hope Vale</w:t>
            </w:r>
          </w:p>
        </w:tc>
        <w:tc>
          <w:tcPr>
            <w:tcW w:w="1371" w:type="dxa"/>
            <w:shd w:val="clear" w:color="auto" w:fill="B8CCE4" w:themeFill="accent1" w:themeFillTint="66"/>
            <w:noWrap/>
          </w:tcPr>
          <w:p w14:paraId="2EBE2DCC" w14:textId="77777777" w:rsidR="0005223E" w:rsidRPr="00CC7DBB" w:rsidRDefault="0005223E" w:rsidP="008D4ADC">
            <w:pPr>
              <w:spacing w:after="0"/>
              <w:jc w:val="center"/>
              <w:rPr>
                <w:rFonts w:eastAsia="Times New Roman" w:cs="Segoe UI"/>
                <w:b/>
                <w:sz w:val="18"/>
                <w:szCs w:val="18"/>
                <w:lang w:eastAsia="en-AU"/>
              </w:rPr>
            </w:pPr>
            <w:r w:rsidRPr="00CC7DBB">
              <w:rPr>
                <w:rFonts w:eastAsia="Times New Roman" w:cs="Segoe UI"/>
                <w:b/>
                <w:sz w:val="18"/>
                <w:szCs w:val="18"/>
                <w:lang w:eastAsia="en-AU"/>
              </w:rPr>
              <w:t>Mossman Gorge</w:t>
            </w:r>
          </w:p>
        </w:tc>
      </w:tr>
      <w:tr w:rsidR="0005223E" w:rsidRPr="00CC7DBB" w14:paraId="2EBE2DD3" w14:textId="77777777" w:rsidTr="00782511">
        <w:trPr>
          <w:trHeight w:val="495"/>
        </w:trPr>
        <w:tc>
          <w:tcPr>
            <w:tcW w:w="3500" w:type="dxa"/>
            <w:shd w:val="clear" w:color="auto" w:fill="F2F2F2" w:themeFill="background1" w:themeFillShade="F2"/>
          </w:tcPr>
          <w:p w14:paraId="2EBE2DCE"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t>Community perspective on impact on community by WBC - big or some</w:t>
            </w:r>
          </w:p>
        </w:tc>
        <w:tc>
          <w:tcPr>
            <w:tcW w:w="1570" w:type="dxa"/>
            <w:shd w:val="clear" w:color="auto" w:fill="F2F2F2" w:themeFill="background1" w:themeFillShade="F2"/>
            <w:noWrap/>
          </w:tcPr>
          <w:p w14:paraId="2EBE2DCF"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23</w:t>
            </w:r>
            <w:r w:rsidRPr="00CC7DBB">
              <w:rPr>
                <w:rFonts w:eastAsia="Times New Roman" w:cs="Segoe UI"/>
                <w:sz w:val="18"/>
                <w:szCs w:val="18"/>
                <w:lang w:eastAsia="en-AU"/>
              </w:rPr>
              <w:t>%</w:t>
            </w:r>
          </w:p>
        </w:tc>
        <w:tc>
          <w:tcPr>
            <w:tcW w:w="1531" w:type="dxa"/>
            <w:shd w:val="clear" w:color="auto" w:fill="F2F2F2" w:themeFill="background1" w:themeFillShade="F2"/>
            <w:noWrap/>
          </w:tcPr>
          <w:p w14:paraId="2EBE2DD0"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83</w:t>
            </w:r>
            <w:r w:rsidRPr="00CC7DBB">
              <w:rPr>
                <w:rFonts w:eastAsia="Times New Roman" w:cs="Segoe UI"/>
                <w:sz w:val="18"/>
                <w:szCs w:val="18"/>
                <w:lang w:eastAsia="en-AU"/>
              </w:rPr>
              <w:t>%</w:t>
            </w:r>
          </w:p>
        </w:tc>
        <w:tc>
          <w:tcPr>
            <w:tcW w:w="1559" w:type="dxa"/>
            <w:shd w:val="clear" w:color="auto" w:fill="F2F2F2" w:themeFill="background1" w:themeFillShade="F2"/>
            <w:noWrap/>
          </w:tcPr>
          <w:p w14:paraId="2EBE2DD1"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28</w:t>
            </w:r>
            <w:r w:rsidRPr="00CC7DBB">
              <w:rPr>
                <w:rFonts w:eastAsia="Times New Roman" w:cs="Segoe UI"/>
                <w:sz w:val="18"/>
                <w:szCs w:val="18"/>
                <w:lang w:eastAsia="en-AU"/>
              </w:rPr>
              <w:t>%</w:t>
            </w:r>
          </w:p>
        </w:tc>
        <w:tc>
          <w:tcPr>
            <w:tcW w:w="1371" w:type="dxa"/>
            <w:shd w:val="clear" w:color="auto" w:fill="F2F2F2" w:themeFill="background1" w:themeFillShade="F2"/>
            <w:noWrap/>
          </w:tcPr>
          <w:p w14:paraId="2EBE2DD2"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22</w:t>
            </w:r>
            <w:r w:rsidRPr="00CC7DBB">
              <w:rPr>
                <w:rFonts w:eastAsia="Times New Roman" w:cs="Segoe UI"/>
                <w:sz w:val="18"/>
                <w:szCs w:val="18"/>
                <w:lang w:eastAsia="en-AU"/>
              </w:rPr>
              <w:t>%</w:t>
            </w:r>
          </w:p>
        </w:tc>
      </w:tr>
      <w:tr w:rsidR="0005223E" w:rsidRPr="00CC7DBB" w14:paraId="2EBE2DD9" w14:textId="77777777" w:rsidTr="00782511">
        <w:trPr>
          <w:trHeight w:val="735"/>
        </w:trPr>
        <w:tc>
          <w:tcPr>
            <w:tcW w:w="3500" w:type="dxa"/>
            <w:shd w:val="clear" w:color="auto" w:fill="F2F2F2" w:themeFill="background1" w:themeFillShade="F2"/>
          </w:tcPr>
          <w:p w14:paraId="2EBE2DD4"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t>Community perspective on change in community as a whole  -</w:t>
            </w:r>
            <w:r>
              <w:rPr>
                <w:rFonts w:eastAsia="Times New Roman" w:cs="Segoe UI"/>
                <w:sz w:val="18"/>
                <w:szCs w:val="18"/>
                <w:lang w:eastAsia="en-AU"/>
              </w:rPr>
              <w:t xml:space="preserve"> </w:t>
            </w:r>
            <w:r w:rsidRPr="00BA7A81">
              <w:rPr>
                <w:rFonts w:eastAsia="Times New Roman" w:cs="Segoe UI"/>
                <w:i/>
                <w:sz w:val="18"/>
                <w:szCs w:val="18"/>
                <w:lang w:eastAsia="en-AU"/>
              </w:rPr>
              <w:t>better</w:t>
            </w:r>
            <w:r w:rsidRPr="00CC7DBB">
              <w:rPr>
                <w:rFonts w:eastAsia="Times New Roman" w:cs="Segoe UI"/>
                <w:sz w:val="18"/>
                <w:szCs w:val="18"/>
                <w:lang w:eastAsia="en-AU"/>
              </w:rPr>
              <w:t xml:space="preserve"> </w:t>
            </w:r>
          </w:p>
        </w:tc>
        <w:tc>
          <w:tcPr>
            <w:tcW w:w="1570" w:type="dxa"/>
            <w:shd w:val="clear" w:color="auto" w:fill="F2F2F2" w:themeFill="background1" w:themeFillShade="F2"/>
            <w:noWrap/>
          </w:tcPr>
          <w:p w14:paraId="2EBE2DD5" w14:textId="77777777" w:rsidR="0005223E" w:rsidRPr="00CC7DBB" w:rsidRDefault="0005223E" w:rsidP="00782511">
            <w:pPr>
              <w:spacing w:after="0"/>
              <w:jc w:val="center"/>
              <w:rPr>
                <w:rFonts w:eastAsia="Times New Roman" w:cs="Segoe UI"/>
                <w:sz w:val="18"/>
                <w:szCs w:val="18"/>
                <w:lang w:eastAsia="en-AU"/>
              </w:rPr>
            </w:pPr>
            <w:r w:rsidRPr="00CC7DBB">
              <w:rPr>
                <w:rFonts w:eastAsia="Times New Roman" w:cs="Segoe UI"/>
                <w:sz w:val="18"/>
                <w:szCs w:val="18"/>
                <w:lang w:eastAsia="en-AU"/>
              </w:rPr>
              <w:t>1</w:t>
            </w:r>
            <w:r>
              <w:rPr>
                <w:rFonts w:eastAsia="Times New Roman" w:cs="Segoe UI"/>
                <w:sz w:val="18"/>
                <w:szCs w:val="18"/>
                <w:lang w:eastAsia="en-AU"/>
              </w:rPr>
              <w:t>9</w:t>
            </w:r>
            <w:r w:rsidRPr="00CC7DBB">
              <w:rPr>
                <w:rFonts w:eastAsia="Times New Roman" w:cs="Segoe UI"/>
                <w:sz w:val="18"/>
                <w:szCs w:val="18"/>
                <w:lang w:eastAsia="en-AU"/>
              </w:rPr>
              <w:t>%</w:t>
            </w:r>
          </w:p>
        </w:tc>
        <w:tc>
          <w:tcPr>
            <w:tcW w:w="1531" w:type="dxa"/>
            <w:shd w:val="clear" w:color="auto" w:fill="F2F2F2" w:themeFill="background1" w:themeFillShade="F2"/>
          </w:tcPr>
          <w:p w14:paraId="2EBE2DD6"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65</w:t>
            </w:r>
            <w:r w:rsidRPr="00CC7DBB">
              <w:rPr>
                <w:rFonts w:eastAsia="Times New Roman" w:cs="Segoe UI"/>
                <w:sz w:val="18"/>
                <w:szCs w:val="18"/>
                <w:lang w:eastAsia="en-AU"/>
              </w:rPr>
              <w:t>%</w:t>
            </w:r>
          </w:p>
        </w:tc>
        <w:tc>
          <w:tcPr>
            <w:tcW w:w="1559" w:type="dxa"/>
            <w:shd w:val="clear" w:color="auto" w:fill="F2F2F2" w:themeFill="background1" w:themeFillShade="F2"/>
            <w:noWrap/>
          </w:tcPr>
          <w:p w14:paraId="2EBE2DD7"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21</w:t>
            </w:r>
            <w:r w:rsidRPr="00CC7DBB">
              <w:rPr>
                <w:rFonts w:eastAsia="Times New Roman" w:cs="Segoe UI"/>
                <w:sz w:val="18"/>
                <w:szCs w:val="18"/>
                <w:lang w:eastAsia="en-AU"/>
              </w:rPr>
              <w:t>%</w:t>
            </w:r>
          </w:p>
        </w:tc>
        <w:tc>
          <w:tcPr>
            <w:tcW w:w="1371" w:type="dxa"/>
            <w:shd w:val="clear" w:color="auto" w:fill="F2F2F2" w:themeFill="background1" w:themeFillShade="F2"/>
            <w:noWrap/>
          </w:tcPr>
          <w:p w14:paraId="2EBE2DD8"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34</w:t>
            </w:r>
            <w:r w:rsidRPr="00CC7DBB">
              <w:rPr>
                <w:rFonts w:eastAsia="Times New Roman" w:cs="Segoe UI"/>
                <w:sz w:val="18"/>
                <w:szCs w:val="18"/>
                <w:lang w:eastAsia="en-AU"/>
              </w:rPr>
              <w:t>%</w:t>
            </w:r>
          </w:p>
        </w:tc>
      </w:tr>
      <w:tr w:rsidR="0005223E" w:rsidRPr="00CC7DBB" w14:paraId="2EBE2DDF" w14:textId="77777777" w:rsidTr="00782511">
        <w:trPr>
          <w:trHeight w:val="735"/>
        </w:trPr>
        <w:tc>
          <w:tcPr>
            <w:tcW w:w="3500" w:type="dxa"/>
            <w:shd w:val="clear" w:color="auto" w:fill="F2F2F2" w:themeFill="background1" w:themeFillShade="F2"/>
          </w:tcPr>
          <w:p w14:paraId="2EBE2DDA"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t>Community perspective on change in community as a whole  -</w:t>
            </w:r>
            <w:r>
              <w:rPr>
                <w:rFonts w:eastAsia="Times New Roman" w:cs="Segoe UI"/>
                <w:sz w:val="18"/>
                <w:szCs w:val="18"/>
                <w:lang w:eastAsia="en-AU"/>
              </w:rPr>
              <w:t xml:space="preserve"> </w:t>
            </w:r>
            <w:r w:rsidRPr="00BA7A81">
              <w:rPr>
                <w:rFonts w:eastAsia="Times New Roman" w:cs="Segoe UI"/>
                <w:i/>
                <w:sz w:val="18"/>
                <w:szCs w:val="18"/>
                <w:lang w:eastAsia="en-AU"/>
              </w:rPr>
              <w:t>same</w:t>
            </w:r>
          </w:p>
        </w:tc>
        <w:tc>
          <w:tcPr>
            <w:tcW w:w="1570" w:type="dxa"/>
            <w:shd w:val="clear" w:color="auto" w:fill="F2F2F2" w:themeFill="background1" w:themeFillShade="F2"/>
            <w:noWrap/>
          </w:tcPr>
          <w:p w14:paraId="2EBE2DDB"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43%</w:t>
            </w:r>
          </w:p>
        </w:tc>
        <w:tc>
          <w:tcPr>
            <w:tcW w:w="1531" w:type="dxa"/>
            <w:shd w:val="clear" w:color="auto" w:fill="F2F2F2" w:themeFill="background1" w:themeFillShade="F2"/>
          </w:tcPr>
          <w:p w14:paraId="2EBE2DDC" w14:textId="77777777" w:rsidR="0005223E"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35%</w:t>
            </w:r>
          </w:p>
        </w:tc>
        <w:tc>
          <w:tcPr>
            <w:tcW w:w="1559" w:type="dxa"/>
            <w:shd w:val="clear" w:color="auto" w:fill="F2F2F2" w:themeFill="background1" w:themeFillShade="F2"/>
            <w:noWrap/>
          </w:tcPr>
          <w:p w14:paraId="2EBE2DDD" w14:textId="77777777" w:rsidR="0005223E"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51%</w:t>
            </w:r>
          </w:p>
        </w:tc>
        <w:tc>
          <w:tcPr>
            <w:tcW w:w="1371" w:type="dxa"/>
            <w:shd w:val="clear" w:color="auto" w:fill="F2F2F2" w:themeFill="background1" w:themeFillShade="F2"/>
            <w:noWrap/>
          </w:tcPr>
          <w:p w14:paraId="2EBE2DDE" w14:textId="77777777" w:rsidR="0005223E"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27%</w:t>
            </w:r>
          </w:p>
        </w:tc>
      </w:tr>
      <w:tr w:rsidR="0005223E" w:rsidRPr="00CC7DBB" w14:paraId="2EBE2DE6" w14:textId="77777777" w:rsidTr="00782511">
        <w:trPr>
          <w:trHeight w:val="532"/>
        </w:trPr>
        <w:tc>
          <w:tcPr>
            <w:tcW w:w="3500" w:type="dxa"/>
            <w:shd w:val="clear" w:color="auto" w:fill="F2F2F2" w:themeFill="background1" w:themeFillShade="F2"/>
          </w:tcPr>
          <w:p w14:paraId="2EBE2DE0" w14:textId="77777777" w:rsidR="0005223E" w:rsidRPr="00CC7DBB" w:rsidRDefault="0005223E" w:rsidP="00782511">
            <w:pPr>
              <w:spacing w:after="0"/>
              <w:jc w:val="left"/>
              <w:rPr>
                <w:rFonts w:eastAsia="Times New Roman" w:cs="Segoe UI"/>
                <w:sz w:val="18"/>
                <w:szCs w:val="18"/>
                <w:lang w:eastAsia="en-AU"/>
              </w:rPr>
            </w:pPr>
            <w:r w:rsidRPr="00CC7DBB">
              <w:rPr>
                <w:rFonts w:eastAsia="Times New Roman" w:cs="Segoe UI"/>
                <w:sz w:val="18"/>
                <w:szCs w:val="18"/>
                <w:lang w:eastAsia="en-AU"/>
              </w:rPr>
              <w:t>Community perspective on change in community as a whole  -</w:t>
            </w:r>
            <w:r>
              <w:rPr>
                <w:rFonts w:eastAsia="Times New Roman" w:cs="Segoe UI"/>
                <w:sz w:val="18"/>
                <w:szCs w:val="18"/>
                <w:lang w:eastAsia="en-AU"/>
              </w:rPr>
              <w:t xml:space="preserve"> </w:t>
            </w:r>
            <w:r w:rsidRPr="00BA7A81">
              <w:rPr>
                <w:rFonts w:eastAsia="Times New Roman" w:cs="Segoe UI"/>
                <w:i/>
                <w:sz w:val="18"/>
                <w:szCs w:val="18"/>
                <w:lang w:eastAsia="en-AU"/>
              </w:rPr>
              <w:t>worse</w:t>
            </w:r>
          </w:p>
        </w:tc>
        <w:tc>
          <w:tcPr>
            <w:tcW w:w="1570" w:type="dxa"/>
            <w:shd w:val="clear" w:color="auto" w:fill="F2F2F2" w:themeFill="background1" w:themeFillShade="F2"/>
            <w:noWrap/>
          </w:tcPr>
          <w:p w14:paraId="2EBE2DE1" w14:textId="77777777" w:rsidR="0005223E" w:rsidRPr="00CC7DBB"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18%</w:t>
            </w:r>
          </w:p>
        </w:tc>
        <w:tc>
          <w:tcPr>
            <w:tcW w:w="1531" w:type="dxa"/>
            <w:shd w:val="clear" w:color="auto" w:fill="F2F2F2" w:themeFill="background1" w:themeFillShade="F2"/>
          </w:tcPr>
          <w:p w14:paraId="2EBE2DE2" w14:textId="77777777" w:rsidR="0005223E"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0%</w:t>
            </w:r>
          </w:p>
        </w:tc>
        <w:tc>
          <w:tcPr>
            <w:tcW w:w="1559" w:type="dxa"/>
            <w:shd w:val="clear" w:color="auto" w:fill="F2F2F2" w:themeFill="background1" w:themeFillShade="F2"/>
            <w:noWrap/>
          </w:tcPr>
          <w:p w14:paraId="2EBE2DE3" w14:textId="77777777" w:rsidR="0005223E"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4%</w:t>
            </w:r>
          </w:p>
        </w:tc>
        <w:tc>
          <w:tcPr>
            <w:tcW w:w="1371" w:type="dxa"/>
            <w:shd w:val="clear" w:color="auto" w:fill="F2F2F2" w:themeFill="background1" w:themeFillShade="F2"/>
            <w:noWrap/>
          </w:tcPr>
          <w:p w14:paraId="2EBE2DE4" w14:textId="77777777" w:rsidR="0005223E" w:rsidRDefault="0005223E" w:rsidP="00782511">
            <w:pPr>
              <w:spacing w:after="0"/>
              <w:jc w:val="center"/>
              <w:rPr>
                <w:rFonts w:eastAsia="Times New Roman" w:cs="Segoe UI"/>
                <w:sz w:val="18"/>
                <w:szCs w:val="18"/>
                <w:lang w:eastAsia="en-AU"/>
              </w:rPr>
            </w:pPr>
            <w:r>
              <w:rPr>
                <w:rFonts w:eastAsia="Times New Roman" w:cs="Segoe UI"/>
                <w:sz w:val="18"/>
                <w:szCs w:val="18"/>
                <w:lang w:eastAsia="en-AU"/>
              </w:rPr>
              <w:t>0%</w:t>
            </w:r>
          </w:p>
          <w:p w14:paraId="2EBE2DE5" w14:textId="77777777" w:rsidR="0005223E" w:rsidRDefault="0005223E" w:rsidP="00782511">
            <w:pPr>
              <w:spacing w:after="0"/>
              <w:jc w:val="center"/>
              <w:rPr>
                <w:rFonts w:eastAsia="Times New Roman" w:cs="Segoe UI"/>
                <w:sz w:val="18"/>
                <w:szCs w:val="18"/>
                <w:lang w:eastAsia="en-AU"/>
              </w:rPr>
            </w:pPr>
          </w:p>
        </w:tc>
      </w:tr>
    </w:tbl>
    <w:p w14:paraId="2EBE2DE7" w14:textId="77777777" w:rsidR="00204D69" w:rsidRPr="00C50C36" w:rsidRDefault="00204D69" w:rsidP="00204D69">
      <w:pPr>
        <w:pStyle w:val="Heading2"/>
        <w:rPr>
          <w:lang w:val="en-AU"/>
        </w:rPr>
      </w:pPr>
      <w:bookmarkStart w:id="111" w:name="_Toc440038434"/>
      <w:r w:rsidRPr="00C50C36">
        <w:t>Impact if no WBC</w:t>
      </w:r>
      <w:bookmarkEnd w:id="111"/>
    </w:p>
    <w:p w14:paraId="2EBE2DE8" w14:textId="77777777" w:rsidR="00204D69" w:rsidRDefault="00204D69" w:rsidP="00204D69">
      <w:pPr>
        <w:rPr>
          <w:lang w:eastAsia="en-AU"/>
        </w:rPr>
      </w:pPr>
      <w:r>
        <w:rPr>
          <w:lang w:eastAsia="en-AU"/>
        </w:rPr>
        <w:t>Whilst the evaluation has focused on the achievements of the WBCs, some consideration needs to be given as to what might be the case if they didn’t exist.</w:t>
      </w:r>
    </w:p>
    <w:p w14:paraId="2EBE2DE9" w14:textId="77777777" w:rsidR="00204D69" w:rsidRDefault="00204D69" w:rsidP="00204D69">
      <w:pPr>
        <w:rPr>
          <w:lang w:eastAsia="en-AU"/>
        </w:rPr>
      </w:pPr>
      <w:r>
        <w:rPr>
          <w:lang w:eastAsia="en-AU"/>
        </w:rPr>
        <w:t xml:space="preserve">Community members and partners were asked what would happen if the WBC was not there. There was a strong opinion that individuals and therefore the community would be much worse off and that the WBC are providing an essential and valuable service for the community. </w:t>
      </w:r>
    </w:p>
    <w:p w14:paraId="2EBE2DEA" w14:textId="77777777" w:rsidR="00204D69" w:rsidRDefault="00204D69" w:rsidP="00204D69">
      <w:pPr>
        <w:rPr>
          <w:lang w:eastAsia="en-AU"/>
        </w:rPr>
      </w:pPr>
      <w:r>
        <w:rPr>
          <w:lang w:eastAsia="en-AU"/>
        </w:rPr>
        <w:t>Very common responses included ‘</w:t>
      </w:r>
      <w:r w:rsidRPr="000E4C96">
        <w:rPr>
          <w:i/>
          <w:lang w:eastAsia="en-AU"/>
        </w:rPr>
        <w:t>there would be les</w:t>
      </w:r>
      <w:r>
        <w:rPr>
          <w:i/>
          <w:lang w:eastAsia="en-AU"/>
        </w:rPr>
        <w:t>s support and no help available’; ’</w:t>
      </w:r>
      <w:r w:rsidRPr="000E4C96">
        <w:rPr>
          <w:i/>
          <w:lang w:eastAsia="en-AU"/>
        </w:rPr>
        <w:t xml:space="preserve">people </w:t>
      </w:r>
      <w:r>
        <w:rPr>
          <w:i/>
          <w:lang w:eastAsia="en-AU"/>
        </w:rPr>
        <w:t>would be lost and struggle’;</w:t>
      </w:r>
      <w:r w:rsidRPr="000E4C96">
        <w:rPr>
          <w:i/>
          <w:lang w:eastAsia="en-AU"/>
        </w:rPr>
        <w:t xml:space="preserve"> </w:t>
      </w:r>
      <w:r>
        <w:rPr>
          <w:i/>
          <w:lang w:eastAsia="en-AU"/>
        </w:rPr>
        <w:t>and ‘</w:t>
      </w:r>
      <w:r w:rsidRPr="000E4C96">
        <w:rPr>
          <w:i/>
          <w:lang w:eastAsia="en-AU"/>
        </w:rPr>
        <w:t>there would be more fighting and other problems in the community</w:t>
      </w:r>
      <w:r>
        <w:rPr>
          <w:lang w:eastAsia="en-AU"/>
        </w:rPr>
        <w:t xml:space="preserve">’. </w:t>
      </w:r>
    </w:p>
    <w:p w14:paraId="2EBE2DEB" w14:textId="77777777" w:rsidR="00204D69" w:rsidRDefault="00204D69" w:rsidP="00204D69">
      <w:pPr>
        <w:rPr>
          <w:lang w:eastAsia="en-AU"/>
        </w:rPr>
      </w:pPr>
      <w:r>
        <w:rPr>
          <w:lang w:eastAsia="en-AU"/>
        </w:rPr>
        <w:t xml:space="preserve">This view was supported by the majority of partner agencies consulted. </w:t>
      </w:r>
      <w:r w:rsidRPr="002F5717">
        <w:rPr>
          <w:lang w:eastAsia="en-AU"/>
        </w:rPr>
        <w:t>A small number of partners felt it would not make much difference if the WBC was not there</w:t>
      </w:r>
      <w:r>
        <w:rPr>
          <w:lang w:eastAsia="en-AU"/>
        </w:rPr>
        <w:t>,</w:t>
      </w:r>
      <w:r w:rsidRPr="002F5717">
        <w:rPr>
          <w:lang w:eastAsia="en-AU"/>
        </w:rPr>
        <w:t xml:space="preserve"> but this was very much the exc</w:t>
      </w:r>
      <w:r>
        <w:rPr>
          <w:lang w:eastAsia="en-AU"/>
        </w:rPr>
        <w:t>eption. Partners also commented that their workloads would increase dealing with issues that are best dealt with by the WBCs. Specific partner comments included:</w:t>
      </w:r>
    </w:p>
    <w:p w14:paraId="2EBE2DEC" w14:textId="77777777" w:rsidR="00204D69" w:rsidRPr="00751DBC" w:rsidRDefault="00204D69" w:rsidP="0083588E">
      <w:pPr>
        <w:pStyle w:val="ListParagraph"/>
        <w:numPr>
          <w:ilvl w:val="0"/>
          <w:numId w:val="32"/>
        </w:numPr>
        <w:rPr>
          <w:i/>
          <w:lang w:eastAsia="en-AU"/>
        </w:rPr>
      </w:pPr>
      <w:r w:rsidRPr="00751DBC">
        <w:rPr>
          <w:i/>
          <w:lang w:eastAsia="en-AU"/>
        </w:rPr>
        <w:t>‘would make my role much more difficult and leave a big gap as no other service provider fills this need’</w:t>
      </w:r>
    </w:p>
    <w:p w14:paraId="2EBE2DED" w14:textId="77777777" w:rsidR="00204D69" w:rsidRPr="00751DBC" w:rsidRDefault="00204D69" w:rsidP="0083588E">
      <w:pPr>
        <w:pStyle w:val="ListParagraph"/>
        <w:numPr>
          <w:ilvl w:val="0"/>
          <w:numId w:val="32"/>
        </w:numPr>
        <w:rPr>
          <w:i/>
          <w:lang w:eastAsia="en-AU"/>
        </w:rPr>
      </w:pPr>
      <w:r w:rsidRPr="00751DBC">
        <w:rPr>
          <w:i/>
          <w:lang w:eastAsia="en-AU"/>
        </w:rPr>
        <w:t xml:space="preserve">‘there would be more disengaged parents in parenting and children engaging in risk taking behaviour’ </w:t>
      </w:r>
    </w:p>
    <w:p w14:paraId="2EBE2DEE" w14:textId="77777777" w:rsidR="00204D69" w:rsidRPr="00751DBC" w:rsidRDefault="00204D69" w:rsidP="0083588E">
      <w:pPr>
        <w:pStyle w:val="ListParagraph"/>
        <w:numPr>
          <w:ilvl w:val="0"/>
          <w:numId w:val="32"/>
        </w:numPr>
        <w:rPr>
          <w:i/>
          <w:lang w:eastAsia="en-AU"/>
        </w:rPr>
      </w:pPr>
      <w:r w:rsidRPr="00751DBC">
        <w:rPr>
          <w:i/>
          <w:lang w:eastAsia="en-AU"/>
        </w:rPr>
        <w:lastRenderedPageBreak/>
        <w:t>‘I would lose staff as our workload would increase dramatically and we are  not equipped to deal with SEWB issues’</w:t>
      </w:r>
    </w:p>
    <w:p w14:paraId="2EBE2DEF" w14:textId="77777777" w:rsidR="00204D69" w:rsidRPr="00751DBC" w:rsidRDefault="00204D69" w:rsidP="0083588E">
      <w:pPr>
        <w:pStyle w:val="ListParagraph"/>
        <w:numPr>
          <w:ilvl w:val="0"/>
          <w:numId w:val="32"/>
        </w:numPr>
        <w:rPr>
          <w:i/>
          <w:lang w:eastAsia="en-AU"/>
        </w:rPr>
      </w:pPr>
      <w:r w:rsidRPr="00751DBC">
        <w:rPr>
          <w:i/>
          <w:lang w:eastAsia="en-AU"/>
        </w:rPr>
        <w:t xml:space="preserve">WBC excellent mental health provider of first resort. Previously people went to hospital and straight out of community. Now much more chance </w:t>
      </w:r>
      <w:r>
        <w:rPr>
          <w:i/>
          <w:lang w:eastAsia="en-AU"/>
        </w:rPr>
        <w:t xml:space="preserve">they </w:t>
      </w:r>
      <w:r w:rsidRPr="00751DBC">
        <w:rPr>
          <w:i/>
          <w:lang w:eastAsia="en-AU"/>
        </w:rPr>
        <w:t>can be managed within community. If no WBC this will change’</w:t>
      </w:r>
    </w:p>
    <w:p w14:paraId="2EBE2DF0" w14:textId="77777777" w:rsidR="00204D69" w:rsidRPr="00806F9E" w:rsidRDefault="00204D69" w:rsidP="0083588E">
      <w:pPr>
        <w:pStyle w:val="ListParagraph"/>
        <w:numPr>
          <w:ilvl w:val="0"/>
          <w:numId w:val="32"/>
        </w:numPr>
        <w:rPr>
          <w:i/>
        </w:rPr>
      </w:pPr>
      <w:r w:rsidRPr="00806F9E">
        <w:rPr>
          <w:i/>
        </w:rPr>
        <w:t>‘if no WBC people would not use services as they tend not to mainstream</w:t>
      </w:r>
      <w:r>
        <w:rPr>
          <w:i/>
        </w:rPr>
        <w:t xml:space="preserve"> services</w:t>
      </w:r>
      <w:r w:rsidRPr="00806F9E">
        <w:rPr>
          <w:i/>
        </w:rPr>
        <w:t>’</w:t>
      </w:r>
    </w:p>
    <w:p w14:paraId="2EBE2DF1" w14:textId="77777777" w:rsidR="00204D69" w:rsidRPr="00751DBC" w:rsidRDefault="00204D69" w:rsidP="0083588E">
      <w:pPr>
        <w:pStyle w:val="ListParagraph"/>
        <w:numPr>
          <w:ilvl w:val="0"/>
          <w:numId w:val="32"/>
        </w:numPr>
        <w:rPr>
          <w:i/>
          <w:lang w:eastAsia="en-AU"/>
        </w:rPr>
      </w:pPr>
      <w:r w:rsidRPr="00751DBC">
        <w:rPr>
          <w:i/>
          <w:lang w:eastAsia="en-AU"/>
        </w:rPr>
        <w:t>‘significantly greater risk of some clients returning to jail’</w:t>
      </w:r>
    </w:p>
    <w:p w14:paraId="2EBE2DF2" w14:textId="77777777" w:rsidR="00204D69" w:rsidRPr="00751DBC" w:rsidRDefault="00204D69" w:rsidP="0083588E">
      <w:pPr>
        <w:pStyle w:val="ListParagraph"/>
        <w:numPr>
          <w:ilvl w:val="0"/>
          <w:numId w:val="32"/>
        </w:numPr>
        <w:rPr>
          <w:i/>
          <w:lang w:eastAsia="en-AU"/>
        </w:rPr>
      </w:pPr>
      <w:r w:rsidRPr="00751DBC">
        <w:rPr>
          <w:i/>
          <w:lang w:eastAsia="en-AU"/>
        </w:rPr>
        <w:t>‘would be one key service that I would not remove early as it plays a critical role (provided it is working well which it now is’</w:t>
      </w:r>
    </w:p>
    <w:p w14:paraId="2EBE2DF3" w14:textId="77777777" w:rsidR="00204D69" w:rsidRPr="00751DBC" w:rsidRDefault="00204D69" w:rsidP="0083588E">
      <w:pPr>
        <w:pStyle w:val="ListParagraph"/>
        <w:numPr>
          <w:ilvl w:val="0"/>
          <w:numId w:val="32"/>
        </w:numPr>
        <w:rPr>
          <w:i/>
          <w:lang w:eastAsia="en-AU"/>
        </w:rPr>
      </w:pPr>
      <w:r w:rsidRPr="00751DBC">
        <w:rPr>
          <w:i/>
          <w:lang w:eastAsia="en-AU"/>
        </w:rPr>
        <w:t>‘it would be very difficult for the community’</w:t>
      </w:r>
    </w:p>
    <w:p w14:paraId="2EBE2DF4" w14:textId="77777777" w:rsidR="00204D69" w:rsidRPr="00AF7396" w:rsidRDefault="00204D69" w:rsidP="0083588E">
      <w:pPr>
        <w:pStyle w:val="ListParagraph"/>
        <w:numPr>
          <w:ilvl w:val="0"/>
          <w:numId w:val="32"/>
        </w:numPr>
        <w:rPr>
          <w:i/>
          <w:lang w:eastAsia="en-AU"/>
        </w:rPr>
      </w:pPr>
      <w:r w:rsidRPr="00AF7396">
        <w:rPr>
          <w:i/>
          <w:lang w:eastAsia="en-AU"/>
        </w:rPr>
        <w:t>‘school attendance would decrease</w:t>
      </w:r>
      <w:r>
        <w:rPr>
          <w:i/>
          <w:lang w:eastAsia="en-AU"/>
        </w:rPr>
        <w:t>,</w:t>
      </w:r>
      <w:r w:rsidRPr="00AF7396">
        <w:rPr>
          <w:i/>
          <w:lang w:eastAsia="en-AU"/>
        </w:rPr>
        <w:t xml:space="preserve"> SEWB and mental health would get worse. There would be less support for people’</w:t>
      </w:r>
    </w:p>
    <w:p w14:paraId="2EBE2DF5" w14:textId="77777777" w:rsidR="00204D69" w:rsidRPr="00AF7396" w:rsidRDefault="00204D69" w:rsidP="0083588E">
      <w:pPr>
        <w:pStyle w:val="ListParagraph"/>
        <w:numPr>
          <w:ilvl w:val="0"/>
          <w:numId w:val="32"/>
        </w:numPr>
        <w:rPr>
          <w:i/>
          <w:lang w:eastAsia="en-AU"/>
        </w:rPr>
      </w:pPr>
      <w:r w:rsidRPr="00AF7396">
        <w:rPr>
          <w:i/>
          <w:lang w:eastAsia="en-AU"/>
        </w:rPr>
        <w:t>‘</w:t>
      </w:r>
      <w:r>
        <w:rPr>
          <w:i/>
          <w:lang w:eastAsia="en-AU"/>
        </w:rPr>
        <w:t xml:space="preserve">would </w:t>
      </w:r>
      <w:r w:rsidRPr="00AF7396">
        <w:rPr>
          <w:i/>
          <w:lang w:eastAsia="en-AU"/>
        </w:rPr>
        <w:t>still be a need for a SEWB counselling and advocacy. There is a long-term role until all families engaged with welfare reform ideals. It provides a key focal point for community’</w:t>
      </w:r>
    </w:p>
    <w:p w14:paraId="2EBE2DF6" w14:textId="77777777" w:rsidR="00204D69" w:rsidRPr="00AF7396" w:rsidRDefault="00204D69" w:rsidP="0083588E">
      <w:pPr>
        <w:pStyle w:val="ListParagraph"/>
        <w:numPr>
          <w:ilvl w:val="0"/>
          <w:numId w:val="32"/>
        </w:numPr>
        <w:rPr>
          <w:i/>
          <w:lang w:eastAsia="en-AU"/>
        </w:rPr>
      </w:pPr>
      <w:r w:rsidRPr="00AF7396">
        <w:rPr>
          <w:i/>
          <w:lang w:eastAsia="en-AU"/>
        </w:rPr>
        <w:t>‘ATODS would pick up some work. Provides opportunity for hope for some which if taken away could be devastating’</w:t>
      </w:r>
    </w:p>
    <w:p w14:paraId="2EBE2DF7" w14:textId="77777777" w:rsidR="00204D69" w:rsidRPr="00AF7396" w:rsidRDefault="00204D69" w:rsidP="0083588E">
      <w:pPr>
        <w:pStyle w:val="ListParagraph"/>
        <w:numPr>
          <w:ilvl w:val="0"/>
          <w:numId w:val="32"/>
        </w:numPr>
        <w:rPr>
          <w:i/>
          <w:lang w:eastAsia="en-AU"/>
        </w:rPr>
      </w:pPr>
      <w:r w:rsidRPr="00AF7396">
        <w:rPr>
          <w:i/>
          <w:lang w:eastAsia="en-AU"/>
        </w:rPr>
        <w:t>‘there would be a big gap in a holistic health care. Clinic has no time or resources to help people work through their problems and ultimately become independent’</w:t>
      </w:r>
    </w:p>
    <w:p w14:paraId="2EBE2DF8" w14:textId="77777777" w:rsidR="00204D69" w:rsidRPr="00AF7396" w:rsidRDefault="00204D69" w:rsidP="0083588E">
      <w:pPr>
        <w:pStyle w:val="ListParagraph"/>
        <w:numPr>
          <w:ilvl w:val="0"/>
          <w:numId w:val="32"/>
        </w:numPr>
        <w:rPr>
          <w:i/>
          <w:lang w:eastAsia="en-AU"/>
        </w:rPr>
      </w:pPr>
      <w:r w:rsidRPr="00AF7396">
        <w:rPr>
          <w:i/>
          <w:lang w:eastAsia="en-AU"/>
        </w:rPr>
        <w:t>‘WBC gives people hope to overcome their barriers of D&amp;A abuse, depression, grief, mental illness’</w:t>
      </w:r>
    </w:p>
    <w:p w14:paraId="2EBE2DF9" w14:textId="77777777" w:rsidR="00204D69" w:rsidRPr="00AF7396" w:rsidRDefault="00204D69" w:rsidP="0083588E">
      <w:pPr>
        <w:pStyle w:val="ListParagraph"/>
        <w:numPr>
          <w:ilvl w:val="0"/>
          <w:numId w:val="32"/>
        </w:numPr>
        <w:rPr>
          <w:i/>
          <w:lang w:eastAsia="en-AU"/>
        </w:rPr>
      </w:pPr>
      <w:r w:rsidRPr="00AF7396">
        <w:rPr>
          <w:i/>
          <w:lang w:eastAsia="en-AU"/>
        </w:rPr>
        <w:t>‘if no WBC we would have to use clinic indigenous health worker. This pos</w:t>
      </w:r>
      <w:r>
        <w:rPr>
          <w:i/>
          <w:lang w:eastAsia="en-AU"/>
        </w:rPr>
        <w:t>ition has been periodically fille</w:t>
      </w:r>
      <w:r w:rsidRPr="00AF7396">
        <w:rPr>
          <w:i/>
          <w:lang w:eastAsia="en-AU"/>
        </w:rPr>
        <w:t>d and they do not always have one’</w:t>
      </w:r>
    </w:p>
    <w:p w14:paraId="2EBE2DFA" w14:textId="77777777" w:rsidR="00204D69" w:rsidRPr="00723479" w:rsidRDefault="00204D69" w:rsidP="0083588E">
      <w:pPr>
        <w:pStyle w:val="ListParagraph"/>
        <w:numPr>
          <w:ilvl w:val="0"/>
          <w:numId w:val="32"/>
        </w:numPr>
        <w:rPr>
          <w:i/>
          <w:lang w:eastAsia="en-AU"/>
        </w:rPr>
      </w:pPr>
      <w:r w:rsidRPr="00AF7396">
        <w:rPr>
          <w:i/>
          <w:lang w:eastAsia="en-AU"/>
        </w:rPr>
        <w:t>‘if no WBC there would be no pathway unless there is a suicide situation. There would be no way to deal with incidents except via a</w:t>
      </w:r>
      <w:r>
        <w:rPr>
          <w:i/>
          <w:lang w:eastAsia="en-AU"/>
        </w:rPr>
        <w:t>n</w:t>
      </w:r>
      <w:r w:rsidRPr="00AF7396">
        <w:rPr>
          <w:i/>
          <w:lang w:eastAsia="en-AU"/>
        </w:rPr>
        <w:t xml:space="preserve"> emergency examination order or just dumping </w:t>
      </w:r>
      <w:r>
        <w:rPr>
          <w:i/>
          <w:lang w:eastAsia="en-AU"/>
        </w:rPr>
        <w:t>people’</w:t>
      </w:r>
    </w:p>
    <w:p w14:paraId="2EBE2DFB" w14:textId="77777777" w:rsidR="00204D69" w:rsidRPr="00575A63" w:rsidRDefault="00204D69" w:rsidP="00204D69">
      <w:pPr>
        <w:pStyle w:val="Heading2"/>
        <w:rPr>
          <w:lang w:val="en-AU"/>
        </w:rPr>
      </w:pPr>
      <w:bookmarkStart w:id="112" w:name="_Ref387398300"/>
      <w:bookmarkStart w:id="113" w:name="_Toc440038435"/>
      <w:r w:rsidRPr="00575A63">
        <w:rPr>
          <w:lang w:val="en-AU"/>
        </w:rPr>
        <w:t>C</w:t>
      </w:r>
      <w:r w:rsidRPr="00575A63">
        <w:t>omparison to other communities</w:t>
      </w:r>
      <w:bookmarkEnd w:id="112"/>
      <w:bookmarkEnd w:id="113"/>
    </w:p>
    <w:p w14:paraId="2EBE2DFC" w14:textId="77777777" w:rsidR="00204D69" w:rsidRDefault="00204D69" w:rsidP="00204D69">
      <w:pPr>
        <w:rPr>
          <w:lang w:eastAsia="x-none"/>
        </w:rPr>
      </w:pPr>
      <w:r>
        <w:rPr>
          <w:lang w:eastAsia="x-none"/>
        </w:rPr>
        <w:t xml:space="preserve">While not in the scope of the evaluation, this section presents a comparison to outcomes experienced in other Aboriginal communities based on the very limited data that is available. </w:t>
      </w:r>
    </w:p>
    <w:p w14:paraId="2EBE2DFD" w14:textId="77777777" w:rsidR="00204D69" w:rsidRDefault="00204D69" w:rsidP="00BC0A26">
      <w:pPr>
        <w:pStyle w:val="Heading3"/>
      </w:pPr>
      <w:r>
        <w:t>Individual level</w:t>
      </w:r>
    </w:p>
    <w:p w14:paraId="2EBE2DFE" w14:textId="77777777" w:rsidR="00204D69" w:rsidRPr="00575A63" w:rsidRDefault="00204D69" w:rsidP="00204D69">
      <w:pPr>
        <w:rPr>
          <w:lang w:eastAsia="x-none"/>
        </w:rPr>
      </w:pPr>
      <w:r>
        <w:rPr>
          <w:lang w:eastAsia="x-none"/>
        </w:rPr>
        <w:t>A</w:t>
      </w:r>
      <w:r w:rsidRPr="00575A63">
        <w:rPr>
          <w:lang w:eastAsia="x-none"/>
        </w:rPr>
        <w:t>t the individual level</w:t>
      </w:r>
      <w:r>
        <w:rPr>
          <w:lang w:eastAsia="x-none"/>
        </w:rPr>
        <w:t>, the only relevant outcome data available for other communities is the K10 and HoNOS for the RFDS Cairns</w:t>
      </w:r>
      <w:r w:rsidR="00B27B14">
        <w:rPr>
          <w:lang w:eastAsia="x-none"/>
        </w:rPr>
        <w:t xml:space="preserve"> and Far North</w:t>
      </w:r>
      <w:r>
        <w:rPr>
          <w:lang w:eastAsia="x-none"/>
        </w:rPr>
        <w:t xml:space="preserve"> SEWB Team which services a range of Aboriginal communities on Cape York.</w:t>
      </w:r>
    </w:p>
    <w:p w14:paraId="2EBE2DFF" w14:textId="77777777" w:rsidR="00204D69" w:rsidRDefault="00204D69" w:rsidP="00204D69">
      <w:pPr>
        <w:rPr>
          <w:lang w:eastAsia="x-none"/>
        </w:rPr>
      </w:pPr>
      <w:r>
        <w:rPr>
          <w:lang w:eastAsia="x-none"/>
        </w:rPr>
        <w:t xml:space="preserve">That data is presented in Section </w:t>
      </w:r>
      <w:r>
        <w:rPr>
          <w:highlight w:val="yellow"/>
          <w:lang w:eastAsia="x-none"/>
        </w:rPr>
        <w:fldChar w:fldCharType="begin"/>
      </w:r>
      <w:r>
        <w:rPr>
          <w:lang w:eastAsia="x-none"/>
        </w:rPr>
        <w:instrText xml:space="preserve"> REF _Ref387328466 \r \h </w:instrText>
      </w:r>
      <w:r>
        <w:rPr>
          <w:highlight w:val="yellow"/>
          <w:lang w:eastAsia="x-none"/>
        </w:rPr>
      </w:r>
      <w:r>
        <w:rPr>
          <w:highlight w:val="yellow"/>
          <w:lang w:eastAsia="x-none"/>
        </w:rPr>
        <w:fldChar w:fldCharType="separate"/>
      </w:r>
      <w:r w:rsidR="009A19EB">
        <w:rPr>
          <w:lang w:eastAsia="x-none"/>
        </w:rPr>
        <w:t>2.3.1</w:t>
      </w:r>
      <w:r>
        <w:rPr>
          <w:highlight w:val="yellow"/>
          <w:lang w:eastAsia="x-none"/>
        </w:rPr>
        <w:fldChar w:fldCharType="end"/>
      </w:r>
      <w:r>
        <w:rPr>
          <w:lang w:eastAsia="x-none"/>
        </w:rPr>
        <w:t xml:space="preserve"> and it shows that the SEWB team is achieving clinically significant (medium effect) improvements in relation to the HoNOS score and a small to medium positive clinically significant effect in relation to the K10, both at a statistically significant levels. These improvements are generally consistent with the WBCs.</w:t>
      </w:r>
    </w:p>
    <w:p w14:paraId="2EBE2E00" w14:textId="77777777" w:rsidR="00204D69" w:rsidRDefault="00204D69" w:rsidP="00204D69">
      <w:pPr>
        <w:rPr>
          <w:color w:val="auto"/>
          <w:lang w:eastAsia="x-none"/>
        </w:rPr>
      </w:pPr>
      <w:r>
        <w:rPr>
          <w:color w:val="auto"/>
          <w:lang w:eastAsia="x-none"/>
        </w:rPr>
        <w:t xml:space="preserve">In relation to the HoNOS, the Cairns SEWB team improvements are driven by the </w:t>
      </w:r>
      <w:r w:rsidRPr="00360CBE">
        <w:rPr>
          <w:color w:val="auto"/>
          <w:lang w:eastAsia="x-none"/>
        </w:rPr>
        <w:t>by the symptoms subscale. This is likely to reflect that the service is more focused on dealing with clients with mental health conditions.</w:t>
      </w:r>
      <w:r>
        <w:rPr>
          <w:color w:val="auto"/>
          <w:lang w:eastAsia="x-none"/>
        </w:rPr>
        <w:t xml:space="preserve"> </w:t>
      </w:r>
      <w:r w:rsidRPr="00360CBE">
        <w:rPr>
          <w:color w:val="auto"/>
          <w:lang w:eastAsia="x-none"/>
        </w:rPr>
        <w:t>Two WBCs (Coen and Hopevale) recorded a similar medium clinical effect on total score, in the case of Hopevale driven more by the social and behaviour subscales and in the case of Coen driven by the impairment and symptoms subscale as well.</w:t>
      </w:r>
    </w:p>
    <w:p w14:paraId="2EBE2E01" w14:textId="77777777" w:rsidR="00204D69" w:rsidRDefault="00204D69" w:rsidP="00204D69">
      <w:pPr>
        <w:rPr>
          <w:color w:val="auto"/>
          <w:lang w:eastAsia="x-none"/>
        </w:rPr>
      </w:pPr>
      <w:r w:rsidRPr="00360CBE">
        <w:rPr>
          <w:color w:val="auto"/>
          <w:lang w:eastAsia="x-none"/>
        </w:rPr>
        <w:lastRenderedPageBreak/>
        <w:t xml:space="preserve">The HoNOS score </w:t>
      </w:r>
      <w:r>
        <w:rPr>
          <w:color w:val="auto"/>
          <w:lang w:eastAsia="x-none"/>
        </w:rPr>
        <w:t xml:space="preserve">change </w:t>
      </w:r>
      <w:r w:rsidRPr="00360CBE">
        <w:rPr>
          <w:color w:val="auto"/>
          <w:lang w:eastAsia="x-none"/>
        </w:rPr>
        <w:t xml:space="preserve">does not reflect the environment or community in which the client is situated. </w:t>
      </w:r>
      <w:r>
        <w:rPr>
          <w:color w:val="auto"/>
          <w:lang w:eastAsia="x-none"/>
        </w:rPr>
        <w:fldChar w:fldCharType="begin"/>
      </w:r>
      <w:r>
        <w:rPr>
          <w:color w:val="auto"/>
          <w:lang w:eastAsia="x-none"/>
        </w:rPr>
        <w:instrText xml:space="preserve"> REF _Ref387392943 \h </w:instrText>
      </w:r>
      <w:r>
        <w:rPr>
          <w:color w:val="auto"/>
          <w:lang w:eastAsia="x-none"/>
        </w:rPr>
      </w:r>
      <w:r>
        <w:rPr>
          <w:color w:val="auto"/>
          <w:lang w:eastAsia="x-none"/>
        </w:rPr>
        <w:fldChar w:fldCharType="separate"/>
      </w:r>
      <w:r w:rsidR="009A19EB">
        <w:t xml:space="preserve">Table </w:t>
      </w:r>
      <w:r w:rsidR="009A19EB">
        <w:rPr>
          <w:noProof/>
        </w:rPr>
        <w:t>2</w:t>
      </w:r>
      <w:r w:rsidR="009A19EB">
        <w:t>.</w:t>
      </w:r>
      <w:r w:rsidR="009A19EB">
        <w:rPr>
          <w:noProof/>
        </w:rPr>
        <w:t>8</w:t>
      </w:r>
      <w:r>
        <w:rPr>
          <w:color w:val="auto"/>
          <w:lang w:eastAsia="x-none"/>
        </w:rPr>
        <w:fldChar w:fldCharType="end"/>
      </w:r>
      <w:r w:rsidRPr="00360CBE">
        <w:rPr>
          <w:color w:val="auto"/>
          <w:lang w:eastAsia="x-none"/>
        </w:rPr>
        <w:t xml:space="preserve"> </w:t>
      </w:r>
      <w:r>
        <w:rPr>
          <w:color w:val="auto"/>
          <w:lang w:eastAsia="x-none"/>
        </w:rPr>
        <w:t>shows</w:t>
      </w:r>
      <w:r w:rsidRPr="00360CBE">
        <w:rPr>
          <w:color w:val="auto"/>
          <w:lang w:eastAsia="x-none"/>
        </w:rPr>
        <w:t xml:space="preserve"> that the profile </w:t>
      </w:r>
      <w:r>
        <w:rPr>
          <w:color w:val="auto"/>
          <w:lang w:eastAsia="x-none"/>
        </w:rPr>
        <w:t xml:space="preserve">of </w:t>
      </w:r>
      <w:r w:rsidRPr="00360CBE">
        <w:rPr>
          <w:color w:val="auto"/>
          <w:lang w:eastAsia="x-none"/>
        </w:rPr>
        <w:t>SEWB team and WBC clients is somewhat different, with WBC clients having more behavioural type problems and SEWB team clients having a higher score on the impairment and symptoms subscale</w:t>
      </w:r>
      <w:r>
        <w:rPr>
          <w:color w:val="auto"/>
          <w:lang w:eastAsia="x-none"/>
        </w:rPr>
        <w:t>,</w:t>
      </w:r>
      <w:r w:rsidRPr="00360CBE">
        <w:rPr>
          <w:color w:val="auto"/>
          <w:lang w:eastAsia="x-none"/>
        </w:rPr>
        <w:t xml:space="preserve"> reflecting the mental health focus of that service.</w:t>
      </w:r>
    </w:p>
    <w:p w14:paraId="2EBE2E02" w14:textId="4F85EC67" w:rsidR="00204D69" w:rsidRPr="00B66939" w:rsidRDefault="00AA7DC9" w:rsidP="00AA7DC9">
      <w:pPr>
        <w:pStyle w:val="Caption"/>
        <w:rPr>
          <w:color w:val="000000"/>
          <w:highlight w:val="yellow"/>
        </w:rPr>
      </w:pPr>
      <w:bookmarkStart w:id="114" w:name="_Toc392686436"/>
      <w:bookmarkStart w:id="115" w:name="_Ref387392943"/>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8</w:t>
      </w:r>
      <w:r>
        <w:fldChar w:fldCharType="end"/>
      </w:r>
      <w:bookmarkEnd w:id="115"/>
      <w:r w:rsidR="00204D69">
        <w:t>: Comparison HoNOS first scores WBC and Cairns SEWB team</w:t>
      </w:r>
      <w:bookmarkEnd w:id="114"/>
    </w:p>
    <w:tbl>
      <w:tblPr>
        <w:tblStyle w:val="Hoi2"/>
        <w:tblW w:w="9610" w:type="dxa"/>
        <w:tblLook w:val="04A0" w:firstRow="1" w:lastRow="0" w:firstColumn="1" w:lastColumn="0" w:noHBand="0" w:noVBand="1"/>
        <w:tblCaption w:val="Table 2.8: Comparison HoNOS first scores WBC and Cairns SEWB team"/>
        <w:tblDescription w:val="Table 2.8 shows Health of the Nation Outcome Study (HoNOS) scores for WBC clients, Australian Mental Health Outcomes Classification Network (AMHOCN) data and the Cairns SEWB team.  The first column lists the four HoNOS items and Total Score and the following columns show the for Non FRC clients mean scores, FRC clients mean scores, % difference between Non FRC and FRC clients, All clients mean scores, AMHOCN scores and Cairns SEWB team scores respectively.  "/>
      </w:tblPr>
      <w:tblGrid>
        <w:gridCol w:w="2376"/>
        <w:gridCol w:w="1205"/>
        <w:gridCol w:w="1206"/>
        <w:gridCol w:w="1206"/>
        <w:gridCol w:w="1205"/>
        <w:gridCol w:w="1206"/>
        <w:gridCol w:w="1206"/>
      </w:tblGrid>
      <w:tr w:rsidR="00204D69" w:rsidRPr="00FE3126" w14:paraId="2EBE2E0B" w14:textId="77777777" w:rsidTr="00377FC2">
        <w:trPr>
          <w:cnfStyle w:val="100000000000" w:firstRow="1" w:lastRow="0" w:firstColumn="0" w:lastColumn="0" w:oddVBand="0" w:evenVBand="0" w:oddHBand="0" w:evenHBand="0" w:firstRowFirstColumn="0" w:firstRowLastColumn="0" w:lastRowFirstColumn="0" w:lastRowLastColumn="0"/>
          <w:trHeight w:val="1030"/>
          <w:tblHeader/>
        </w:trPr>
        <w:tc>
          <w:tcPr>
            <w:tcW w:w="2376" w:type="dxa"/>
            <w:tcBorders>
              <w:bottom w:val="single" w:sz="4" w:space="0" w:color="FFFFFF"/>
            </w:tcBorders>
            <w:hideMark/>
          </w:tcPr>
          <w:p w14:paraId="2EBE2E03" w14:textId="77777777" w:rsidR="00204D69" w:rsidRPr="00FE3126" w:rsidRDefault="00204D69" w:rsidP="00782511">
            <w:pPr>
              <w:spacing w:after="0"/>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HoNOS Item</w:t>
            </w:r>
          </w:p>
        </w:tc>
        <w:tc>
          <w:tcPr>
            <w:tcW w:w="1205" w:type="dxa"/>
            <w:tcBorders>
              <w:bottom w:val="single" w:sz="4" w:space="0" w:color="FFFFFF"/>
            </w:tcBorders>
            <w:hideMark/>
          </w:tcPr>
          <w:p w14:paraId="2EBE2E04" w14:textId="77777777" w:rsidR="00204D69" w:rsidRPr="00FE3126" w:rsidRDefault="00204D69" w:rsidP="00782511">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 xml:space="preserve">Non FRC clients mean </w:t>
            </w:r>
          </w:p>
          <w:p w14:paraId="2EBE2E05" w14:textId="77777777" w:rsidR="00204D69" w:rsidRPr="00FE3126" w:rsidRDefault="00204D69" w:rsidP="00782511">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(n-253)</w:t>
            </w:r>
          </w:p>
        </w:tc>
        <w:tc>
          <w:tcPr>
            <w:tcW w:w="1206" w:type="dxa"/>
            <w:tcBorders>
              <w:bottom w:val="single" w:sz="4" w:space="0" w:color="FFFFFF"/>
            </w:tcBorders>
            <w:hideMark/>
          </w:tcPr>
          <w:p w14:paraId="2EBE2E06" w14:textId="77777777" w:rsidR="00204D69" w:rsidRPr="00FE3126" w:rsidRDefault="00204D69" w:rsidP="00782511">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FRC clients mean (n=78)</w:t>
            </w:r>
          </w:p>
        </w:tc>
        <w:tc>
          <w:tcPr>
            <w:tcW w:w="1206" w:type="dxa"/>
            <w:tcBorders>
              <w:bottom w:val="single" w:sz="4" w:space="0" w:color="FFFFFF"/>
            </w:tcBorders>
            <w:hideMark/>
          </w:tcPr>
          <w:p w14:paraId="2EBE2E07" w14:textId="77777777" w:rsidR="00204D69" w:rsidRPr="00FE3126" w:rsidRDefault="00204D69" w:rsidP="00834785">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 Difference</w:t>
            </w:r>
          </w:p>
        </w:tc>
        <w:tc>
          <w:tcPr>
            <w:tcW w:w="1205" w:type="dxa"/>
            <w:tcBorders>
              <w:bottom w:val="single" w:sz="4" w:space="0" w:color="FFFFFF"/>
            </w:tcBorders>
            <w:hideMark/>
          </w:tcPr>
          <w:p w14:paraId="2EBE2E08" w14:textId="77777777" w:rsidR="00204D69" w:rsidRPr="00FE3126" w:rsidRDefault="00204D69" w:rsidP="00782511">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 xml:space="preserve">All clients mean </w:t>
            </w:r>
            <w:r w:rsidRPr="00FE3126">
              <w:rPr>
                <w:rFonts w:ascii="Segoe UI" w:eastAsia="Times New Roman" w:hAnsi="Segoe UI" w:cs="Segoe UI"/>
                <w:b/>
                <w:bCs/>
                <w:sz w:val="18"/>
                <w:szCs w:val="18"/>
                <w:vertAlign w:val="superscript"/>
                <w:lang w:eastAsia="en-AU"/>
              </w:rPr>
              <w:t>1</w:t>
            </w:r>
            <w:r w:rsidRPr="00FE3126">
              <w:rPr>
                <w:rFonts w:ascii="Segoe UI" w:eastAsia="Times New Roman" w:hAnsi="Segoe UI" w:cs="Segoe UI"/>
                <w:b/>
                <w:bCs/>
                <w:sz w:val="18"/>
                <w:szCs w:val="18"/>
                <w:lang w:eastAsia="en-AU"/>
              </w:rPr>
              <w:t>(n=331)</w:t>
            </w:r>
          </w:p>
        </w:tc>
        <w:tc>
          <w:tcPr>
            <w:tcW w:w="1206" w:type="dxa"/>
            <w:tcBorders>
              <w:bottom w:val="single" w:sz="4" w:space="0" w:color="FFFFFF"/>
            </w:tcBorders>
            <w:hideMark/>
          </w:tcPr>
          <w:p w14:paraId="2EBE2E09" w14:textId="77777777" w:rsidR="00204D69" w:rsidRPr="00FE3126" w:rsidRDefault="00204D69" w:rsidP="00782511">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AMHOCN</w:t>
            </w:r>
            <w:r w:rsidRPr="00FE3126">
              <w:rPr>
                <w:rFonts w:ascii="Segoe UI" w:eastAsia="Times New Roman" w:hAnsi="Segoe UI" w:cs="Segoe UI"/>
                <w:b/>
                <w:bCs/>
                <w:sz w:val="18"/>
                <w:szCs w:val="18"/>
                <w:vertAlign w:val="superscript"/>
                <w:lang w:eastAsia="en-AU"/>
              </w:rPr>
              <w:t>2</w:t>
            </w:r>
          </w:p>
        </w:tc>
        <w:tc>
          <w:tcPr>
            <w:tcW w:w="1206" w:type="dxa"/>
            <w:tcBorders>
              <w:bottom w:val="single" w:sz="4" w:space="0" w:color="FFFFFF"/>
            </w:tcBorders>
            <w:hideMark/>
          </w:tcPr>
          <w:p w14:paraId="2EBE2E0A" w14:textId="77777777" w:rsidR="00204D69" w:rsidRPr="00FE3126" w:rsidRDefault="00204D69" w:rsidP="00782511">
            <w:pPr>
              <w:spacing w:after="0"/>
              <w:jc w:val="center"/>
              <w:rPr>
                <w:rFonts w:ascii="Segoe UI" w:eastAsia="Times New Roman" w:hAnsi="Segoe UI" w:cs="Segoe UI"/>
                <w:b/>
                <w:bCs/>
                <w:sz w:val="18"/>
                <w:szCs w:val="18"/>
                <w:lang w:eastAsia="en-AU"/>
              </w:rPr>
            </w:pPr>
            <w:r w:rsidRPr="00FE3126">
              <w:rPr>
                <w:rFonts w:ascii="Segoe UI" w:eastAsia="Times New Roman" w:hAnsi="Segoe UI" w:cs="Segoe UI"/>
                <w:b/>
                <w:bCs/>
                <w:sz w:val="18"/>
                <w:szCs w:val="18"/>
                <w:lang w:eastAsia="en-AU"/>
              </w:rPr>
              <w:t>Cairns SEWB team (n=191)</w:t>
            </w:r>
          </w:p>
        </w:tc>
      </w:tr>
      <w:tr w:rsidR="00204D69" w:rsidRPr="00FE3126" w14:paraId="2EBE2E13" w14:textId="77777777" w:rsidTr="00834785">
        <w:trPr>
          <w:trHeight w:val="270"/>
        </w:trPr>
        <w:tc>
          <w:tcPr>
            <w:tcW w:w="2376" w:type="dxa"/>
            <w:shd w:val="clear" w:color="auto" w:fill="F2F2F2" w:themeFill="background1" w:themeFillShade="F2"/>
            <w:hideMark/>
          </w:tcPr>
          <w:p w14:paraId="2EBE2E0C" w14:textId="77777777" w:rsidR="00204D69" w:rsidRPr="00FE3126" w:rsidRDefault="00204D69" w:rsidP="00782511">
            <w:pPr>
              <w:spacing w:after="0"/>
              <w:jc w:val="left"/>
              <w:rPr>
                <w:rFonts w:eastAsia="Times New Roman" w:cs="Segoe UI"/>
                <w:bCs/>
                <w:sz w:val="18"/>
                <w:szCs w:val="18"/>
                <w:lang w:eastAsia="en-AU"/>
              </w:rPr>
            </w:pPr>
            <w:r w:rsidRPr="00FE3126">
              <w:rPr>
                <w:rFonts w:eastAsia="Times New Roman" w:cs="Segoe UI"/>
                <w:bCs/>
                <w:sz w:val="18"/>
                <w:szCs w:val="18"/>
                <w:lang w:eastAsia="en-AU"/>
              </w:rPr>
              <w:t>Behaviour Subscale Total</w:t>
            </w:r>
          </w:p>
        </w:tc>
        <w:tc>
          <w:tcPr>
            <w:tcW w:w="1205" w:type="dxa"/>
            <w:shd w:val="clear" w:color="auto" w:fill="F2F2F2" w:themeFill="background1" w:themeFillShade="F2"/>
            <w:hideMark/>
          </w:tcPr>
          <w:p w14:paraId="2EBE2E0D"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2.21</w:t>
            </w:r>
          </w:p>
        </w:tc>
        <w:tc>
          <w:tcPr>
            <w:tcW w:w="1206" w:type="dxa"/>
            <w:shd w:val="clear" w:color="auto" w:fill="F2F2F2" w:themeFill="background1" w:themeFillShade="F2"/>
            <w:hideMark/>
          </w:tcPr>
          <w:p w14:paraId="2EBE2E0E"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2.38</w:t>
            </w:r>
          </w:p>
        </w:tc>
        <w:tc>
          <w:tcPr>
            <w:tcW w:w="1206" w:type="dxa"/>
            <w:shd w:val="clear" w:color="auto" w:fill="F2F2F2" w:themeFill="background1" w:themeFillShade="F2"/>
            <w:hideMark/>
          </w:tcPr>
          <w:p w14:paraId="2EBE2E0F" w14:textId="77777777" w:rsidR="00204D69" w:rsidRPr="00FE3126" w:rsidRDefault="00204D69" w:rsidP="00782511">
            <w:pPr>
              <w:spacing w:after="0"/>
              <w:jc w:val="center"/>
              <w:rPr>
                <w:rFonts w:eastAsia="Times New Roman" w:cs="Segoe UI"/>
                <w:sz w:val="18"/>
                <w:szCs w:val="18"/>
                <w:lang w:eastAsia="en-AU"/>
              </w:rPr>
            </w:pPr>
            <w:r w:rsidRPr="00FE3126">
              <w:rPr>
                <w:rFonts w:eastAsia="Times New Roman" w:cs="Segoe UI"/>
                <w:sz w:val="18"/>
                <w:szCs w:val="18"/>
                <w:lang w:eastAsia="en-AU"/>
              </w:rPr>
              <w:t>-17%</w:t>
            </w:r>
          </w:p>
        </w:tc>
        <w:tc>
          <w:tcPr>
            <w:tcW w:w="1205" w:type="dxa"/>
            <w:shd w:val="clear" w:color="auto" w:fill="F2F2F2" w:themeFill="background1" w:themeFillShade="F2"/>
            <w:hideMark/>
          </w:tcPr>
          <w:p w14:paraId="2EBE2E10"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2.25</w:t>
            </w:r>
          </w:p>
        </w:tc>
        <w:tc>
          <w:tcPr>
            <w:tcW w:w="1206" w:type="dxa"/>
            <w:shd w:val="clear" w:color="auto" w:fill="F2F2F2" w:themeFill="background1" w:themeFillShade="F2"/>
            <w:hideMark/>
          </w:tcPr>
          <w:p w14:paraId="2EBE2E11"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1.6</w:t>
            </w:r>
          </w:p>
        </w:tc>
        <w:tc>
          <w:tcPr>
            <w:tcW w:w="1206" w:type="dxa"/>
            <w:shd w:val="clear" w:color="auto" w:fill="F2F2F2" w:themeFill="background1" w:themeFillShade="F2"/>
            <w:hideMark/>
          </w:tcPr>
          <w:p w14:paraId="2EBE2E12"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1.85</w:t>
            </w:r>
          </w:p>
        </w:tc>
      </w:tr>
      <w:tr w:rsidR="00204D69" w:rsidRPr="00FE3126" w14:paraId="2EBE2E1B" w14:textId="77777777" w:rsidTr="00834785">
        <w:trPr>
          <w:trHeight w:val="270"/>
        </w:trPr>
        <w:tc>
          <w:tcPr>
            <w:tcW w:w="2376" w:type="dxa"/>
            <w:shd w:val="clear" w:color="auto" w:fill="F2F2F2" w:themeFill="background1" w:themeFillShade="F2"/>
            <w:hideMark/>
          </w:tcPr>
          <w:p w14:paraId="2EBE2E14" w14:textId="77777777" w:rsidR="00204D69" w:rsidRPr="00FE3126" w:rsidRDefault="00204D69" w:rsidP="00782511">
            <w:pPr>
              <w:spacing w:after="0"/>
              <w:jc w:val="left"/>
              <w:rPr>
                <w:rFonts w:eastAsia="Times New Roman" w:cs="Segoe UI"/>
                <w:bCs/>
                <w:sz w:val="18"/>
                <w:szCs w:val="18"/>
                <w:lang w:eastAsia="en-AU"/>
              </w:rPr>
            </w:pPr>
            <w:r w:rsidRPr="00FE3126">
              <w:rPr>
                <w:rFonts w:eastAsia="Times New Roman" w:cs="Segoe UI"/>
                <w:bCs/>
                <w:sz w:val="18"/>
                <w:szCs w:val="18"/>
                <w:lang w:eastAsia="en-AU"/>
              </w:rPr>
              <w:t>Impairment Subscale Total</w:t>
            </w:r>
          </w:p>
        </w:tc>
        <w:tc>
          <w:tcPr>
            <w:tcW w:w="1205" w:type="dxa"/>
            <w:shd w:val="clear" w:color="auto" w:fill="F2F2F2" w:themeFill="background1" w:themeFillShade="F2"/>
            <w:hideMark/>
          </w:tcPr>
          <w:p w14:paraId="2EBE2E15"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0.93</w:t>
            </w:r>
          </w:p>
        </w:tc>
        <w:tc>
          <w:tcPr>
            <w:tcW w:w="1206" w:type="dxa"/>
            <w:shd w:val="clear" w:color="auto" w:fill="F2F2F2" w:themeFill="background1" w:themeFillShade="F2"/>
            <w:hideMark/>
          </w:tcPr>
          <w:p w14:paraId="2EBE2E16"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0.95</w:t>
            </w:r>
          </w:p>
        </w:tc>
        <w:tc>
          <w:tcPr>
            <w:tcW w:w="1206" w:type="dxa"/>
            <w:shd w:val="clear" w:color="auto" w:fill="F2F2F2" w:themeFill="background1" w:themeFillShade="F2"/>
            <w:hideMark/>
          </w:tcPr>
          <w:p w14:paraId="2EBE2E17" w14:textId="77777777" w:rsidR="00204D69" w:rsidRPr="00FE3126" w:rsidRDefault="00204D69" w:rsidP="00782511">
            <w:pPr>
              <w:spacing w:after="0"/>
              <w:jc w:val="center"/>
              <w:rPr>
                <w:rFonts w:eastAsia="Times New Roman" w:cs="Segoe UI"/>
                <w:sz w:val="18"/>
                <w:szCs w:val="18"/>
                <w:lang w:eastAsia="en-AU"/>
              </w:rPr>
            </w:pPr>
            <w:r w:rsidRPr="00FE3126">
              <w:rPr>
                <w:rFonts w:eastAsia="Times New Roman" w:cs="Segoe UI"/>
                <w:sz w:val="18"/>
                <w:szCs w:val="18"/>
                <w:lang w:eastAsia="en-AU"/>
              </w:rPr>
              <w:t>-2%</w:t>
            </w:r>
          </w:p>
        </w:tc>
        <w:tc>
          <w:tcPr>
            <w:tcW w:w="1205" w:type="dxa"/>
            <w:shd w:val="clear" w:color="auto" w:fill="F2F2F2" w:themeFill="background1" w:themeFillShade="F2"/>
            <w:hideMark/>
          </w:tcPr>
          <w:p w14:paraId="2EBE2E18"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0.95</w:t>
            </w:r>
          </w:p>
        </w:tc>
        <w:tc>
          <w:tcPr>
            <w:tcW w:w="1206" w:type="dxa"/>
            <w:shd w:val="clear" w:color="auto" w:fill="F2F2F2" w:themeFill="background1" w:themeFillShade="F2"/>
            <w:hideMark/>
          </w:tcPr>
          <w:p w14:paraId="2EBE2E19"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1.3</w:t>
            </w:r>
          </w:p>
        </w:tc>
        <w:tc>
          <w:tcPr>
            <w:tcW w:w="1206" w:type="dxa"/>
            <w:shd w:val="clear" w:color="auto" w:fill="F2F2F2" w:themeFill="background1" w:themeFillShade="F2"/>
            <w:hideMark/>
          </w:tcPr>
          <w:p w14:paraId="2EBE2E1A"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1.57</w:t>
            </w:r>
          </w:p>
        </w:tc>
      </w:tr>
      <w:tr w:rsidR="00204D69" w:rsidRPr="00FE3126" w14:paraId="2EBE2E23" w14:textId="77777777" w:rsidTr="00834785">
        <w:trPr>
          <w:trHeight w:val="270"/>
        </w:trPr>
        <w:tc>
          <w:tcPr>
            <w:tcW w:w="2376" w:type="dxa"/>
            <w:shd w:val="clear" w:color="auto" w:fill="F2F2F2" w:themeFill="background1" w:themeFillShade="F2"/>
            <w:hideMark/>
          </w:tcPr>
          <w:p w14:paraId="2EBE2E1C" w14:textId="77777777" w:rsidR="00204D69" w:rsidRPr="00FE3126" w:rsidRDefault="00204D69" w:rsidP="00782511">
            <w:pPr>
              <w:spacing w:after="0"/>
              <w:jc w:val="left"/>
              <w:rPr>
                <w:rFonts w:eastAsia="Times New Roman" w:cs="Segoe UI"/>
                <w:bCs/>
                <w:color w:val="auto"/>
                <w:sz w:val="18"/>
                <w:szCs w:val="18"/>
                <w:lang w:eastAsia="en-AU"/>
              </w:rPr>
            </w:pPr>
            <w:r w:rsidRPr="00FE3126">
              <w:rPr>
                <w:rFonts w:eastAsia="Times New Roman" w:cs="Segoe UI"/>
                <w:bCs/>
                <w:color w:val="auto"/>
                <w:sz w:val="18"/>
                <w:szCs w:val="18"/>
                <w:lang w:eastAsia="en-AU"/>
              </w:rPr>
              <w:t>Symptoms Subscale</w:t>
            </w:r>
          </w:p>
        </w:tc>
        <w:tc>
          <w:tcPr>
            <w:tcW w:w="1205" w:type="dxa"/>
            <w:shd w:val="clear" w:color="auto" w:fill="F2F2F2" w:themeFill="background1" w:themeFillShade="F2"/>
            <w:hideMark/>
          </w:tcPr>
          <w:p w14:paraId="2EBE2E1D"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2.12</w:t>
            </w:r>
          </w:p>
        </w:tc>
        <w:tc>
          <w:tcPr>
            <w:tcW w:w="1206" w:type="dxa"/>
            <w:shd w:val="clear" w:color="auto" w:fill="F2F2F2" w:themeFill="background1" w:themeFillShade="F2"/>
            <w:hideMark/>
          </w:tcPr>
          <w:p w14:paraId="2EBE2E1E"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1.83</w:t>
            </w:r>
          </w:p>
        </w:tc>
        <w:tc>
          <w:tcPr>
            <w:tcW w:w="1206" w:type="dxa"/>
            <w:shd w:val="clear" w:color="auto" w:fill="F2F2F2" w:themeFill="background1" w:themeFillShade="F2"/>
            <w:hideMark/>
          </w:tcPr>
          <w:p w14:paraId="2EBE2E1F" w14:textId="77777777" w:rsidR="00204D69" w:rsidRPr="00FE3126" w:rsidRDefault="00204D69" w:rsidP="00782511">
            <w:pPr>
              <w:spacing w:after="0"/>
              <w:jc w:val="center"/>
              <w:rPr>
                <w:rFonts w:eastAsia="Times New Roman" w:cs="Segoe UI"/>
                <w:sz w:val="18"/>
                <w:szCs w:val="18"/>
                <w:lang w:eastAsia="en-AU"/>
              </w:rPr>
            </w:pPr>
            <w:r w:rsidRPr="00FE3126">
              <w:rPr>
                <w:rFonts w:eastAsia="Times New Roman" w:cs="Segoe UI"/>
                <w:sz w:val="18"/>
                <w:szCs w:val="18"/>
                <w:lang w:eastAsia="en-AU"/>
              </w:rPr>
              <w:t>29%</w:t>
            </w:r>
          </w:p>
        </w:tc>
        <w:tc>
          <w:tcPr>
            <w:tcW w:w="1205" w:type="dxa"/>
            <w:shd w:val="clear" w:color="auto" w:fill="F2F2F2" w:themeFill="background1" w:themeFillShade="F2"/>
            <w:hideMark/>
          </w:tcPr>
          <w:p w14:paraId="2EBE2E20"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2.06</w:t>
            </w:r>
          </w:p>
        </w:tc>
        <w:tc>
          <w:tcPr>
            <w:tcW w:w="1206" w:type="dxa"/>
            <w:shd w:val="clear" w:color="auto" w:fill="F2F2F2" w:themeFill="background1" w:themeFillShade="F2"/>
            <w:hideMark/>
          </w:tcPr>
          <w:p w14:paraId="2EBE2E21"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w:t>
            </w:r>
          </w:p>
        </w:tc>
        <w:tc>
          <w:tcPr>
            <w:tcW w:w="1206" w:type="dxa"/>
            <w:shd w:val="clear" w:color="auto" w:fill="F2F2F2" w:themeFill="background1" w:themeFillShade="F2"/>
            <w:hideMark/>
          </w:tcPr>
          <w:p w14:paraId="2EBE2E22"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3.6</w:t>
            </w:r>
          </w:p>
        </w:tc>
      </w:tr>
      <w:tr w:rsidR="00204D69" w:rsidRPr="00FE3126" w14:paraId="2EBE2E2B" w14:textId="77777777" w:rsidTr="00834785">
        <w:trPr>
          <w:trHeight w:val="270"/>
        </w:trPr>
        <w:tc>
          <w:tcPr>
            <w:tcW w:w="2376" w:type="dxa"/>
            <w:shd w:val="clear" w:color="auto" w:fill="F2F2F2" w:themeFill="background1" w:themeFillShade="F2"/>
            <w:hideMark/>
          </w:tcPr>
          <w:p w14:paraId="2EBE2E24" w14:textId="77777777" w:rsidR="00204D69" w:rsidRPr="00FE3126" w:rsidRDefault="00204D69" w:rsidP="00782511">
            <w:pPr>
              <w:spacing w:after="0"/>
              <w:jc w:val="left"/>
              <w:rPr>
                <w:rFonts w:eastAsia="Times New Roman" w:cs="Segoe UI"/>
                <w:bCs/>
                <w:sz w:val="18"/>
                <w:szCs w:val="18"/>
                <w:lang w:eastAsia="en-AU"/>
              </w:rPr>
            </w:pPr>
            <w:r w:rsidRPr="00FE3126">
              <w:rPr>
                <w:rFonts w:eastAsia="Times New Roman" w:cs="Segoe UI"/>
                <w:bCs/>
                <w:sz w:val="18"/>
                <w:szCs w:val="18"/>
                <w:lang w:eastAsia="en-AU"/>
              </w:rPr>
              <w:t>Social Subscale</w:t>
            </w:r>
          </w:p>
        </w:tc>
        <w:tc>
          <w:tcPr>
            <w:tcW w:w="1205" w:type="dxa"/>
            <w:shd w:val="clear" w:color="auto" w:fill="F2F2F2" w:themeFill="background1" w:themeFillShade="F2"/>
            <w:hideMark/>
          </w:tcPr>
          <w:p w14:paraId="2EBE2E25"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3.41</w:t>
            </w:r>
          </w:p>
        </w:tc>
        <w:tc>
          <w:tcPr>
            <w:tcW w:w="1206" w:type="dxa"/>
            <w:shd w:val="clear" w:color="auto" w:fill="F2F2F2" w:themeFill="background1" w:themeFillShade="F2"/>
            <w:hideMark/>
          </w:tcPr>
          <w:p w14:paraId="2EBE2E26"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3.53</w:t>
            </w:r>
          </w:p>
        </w:tc>
        <w:tc>
          <w:tcPr>
            <w:tcW w:w="1206" w:type="dxa"/>
            <w:shd w:val="clear" w:color="auto" w:fill="F2F2F2" w:themeFill="background1" w:themeFillShade="F2"/>
            <w:hideMark/>
          </w:tcPr>
          <w:p w14:paraId="2EBE2E27" w14:textId="77777777" w:rsidR="00204D69" w:rsidRPr="00FE3126" w:rsidRDefault="00204D69" w:rsidP="00782511">
            <w:pPr>
              <w:spacing w:after="0"/>
              <w:jc w:val="center"/>
              <w:rPr>
                <w:rFonts w:eastAsia="Times New Roman" w:cs="Segoe UI"/>
                <w:sz w:val="18"/>
                <w:szCs w:val="18"/>
                <w:lang w:eastAsia="en-AU"/>
              </w:rPr>
            </w:pPr>
            <w:r w:rsidRPr="00FE3126">
              <w:rPr>
                <w:rFonts w:eastAsia="Times New Roman" w:cs="Segoe UI"/>
                <w:sz w:val="18"/>
                <w:szCs w:val="18"/>
                <w:lang w:eastAsia="en-AU"/>
              </w:rPr>
              <w:t>-12%</w:t>
            </w:r>
          </w:p>
        </w:tc>
        <w:tc>
          <w:tcPr>
            <w:tcW w:w="1205" w:type="dxa"/>
            <w:shd w:val="clear" w:color="auto" w:fill="F2F2F2" w:themeFill="background1" w:themeFillShade="F2"/>
            <w:hideMark/>
          </w:tcPr>
          <w:p w14:paraId="2EBE2E28"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3.44</w:t>
            </w:r>
          </w:p>
        </w:tc>
        <w:tc>
          <w:tcPr>
            <w:tcW w:w="1206" w:type="dxa"/>
            <w:shd w:val="clear" w:color="auto" w:fill="F2F2F2" w:themeFill="background1" w:themeFillShade="F2"/>
            <w:hideMark/>
          </w:tcPr>
          <w:p w14:paraId="2EBE2E29"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3.3</w:t>
            </w:r>
          </w:p>
        </w:tc>
        <w:tc>
          <w:tcPr>
            <w:tcW w:w="1206" w:type="dxa"/>
            <w:shd w:val="clear" w:color="auto" w:fill="F2F2F2" w:themeFill="background1" w:themeFillShade="F2"/>
            <w:hideMark/>
          </w:tcPr>
          <w:p w14:paraId="2EBE2E2A"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3.07</w:t>
            </w:r>
          </w:p>
        </w:tc>
      </w:tr>
      <w:tr w:rsidR="00204D69" w:rsidRPr="00FE3126" w14:paraId="2EBE2E33" w14:textId="77777777" w:rsidTr="00834785">
        <w:trPr>
          <w:trHeight w:val="270"/>
        </w:trPr>
        <w:tc>
          <w:tcPr>
            <w:tcW w:w="2376" w:type="dxa"/>
            <w:shd w:val="clear" w:color="auto" w:fill="F2F2F2" w:themeFill="background1" w:themeFillShade="F2"/>
            <w:hideMark/>
          </w:tcPr>
          <w:p w14:paraId="2EBE2E2C" w14:textId="77777777" w:rsidR="00204D69" w:rsidRPr="00FE3126" w:rsidRDefault="00204D69" w:rsidP="00782511">
            <w:pPr>
              <w:spacing w:after="0"/>
              <w:jc w:val="left"/>
              <w:rPr>
                <w:rFonts w:eastAsia="Times New Roman" w:cs="Segoe UI"/>
                <w:bCs/>
                <w:sz w:val="18"/>
                <w:szCs w:val="18"/>
                <w:lang w:eastAsia="en-AU"/>
              </w:rPr>
            </w:pPr>
            <w:r w:rsidRPr="00FE3126">
              <w:rPr>
                <w:rFonts w:eastAsia="Times New Roman" w:cs="Segoe UI"/>
                <w:bCs/>
                <w:sz w:val="18"/>
                <w:szCs w:val="18"/>
                <w:lang w:eastAsia="en-AU"/>
              </w:rPr>
              <w:t>Total Score</w:t>
            </w:r>
          </w:p>
        </w:tc>
        <w:tc>
          <w:tcPr>
            <w:tcW w:w="1205" w:type="dxa"/>
            <w:shd w:val="clear" w:color="auto" w:fill="F2F2F2" w:themeFill="background1" w:themeFillShade="F2"/>
            <w:hideMark/>
          </w:tcPr>
          <w:p w14:paraId="2EBE2E2D"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8.67</w:t>
            </w:r>
          </w:p>
        </w:tc>
        <w:tc>
          <w:tcPr>
            <w:tcW w:w="1206" w:type="dxa"/>
            <w:shd w:val="clear" w:color="auto" w:fill="F2F2F2" w:themeFill="background1" w:themeFillShade="F2"/>
            <w:hideMark/>
          </w:tcPr>
          <w:p w14:paraId="2EBE2E2E"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8.69</w:t>
            </w:r>
          </w:p>
        </w:tc>
        <w:tc>
          <w:tcPr>
            <w:tcW w:w="1206" w:type="dxa"/>
            <w:shd w:val="clear" w:color="auto" w:fill="F2F2F2" w:themeFill="background1" w:themeFillShade="F2"/>
            <w:hideMark/>
          </w:tcPr>
          <w:p w14:paraId="2EBE2E2F" w14:textId="77777777" w:rsidR="00204D69" w:rsidRPr="00FE3126" w:rsidRDefault="00204D69" w:rsidP="00782511">
            <w:pPr>
              <w:spacing w:after="0"/>
              <w:jc w:val="center"/>
              <w:rPr>
                <w:rFonts w:eastAsia="Times New Roman" w:cs="Segoe UI"/>
                <w:sz w:val="18"/>
                <w:szCs w:val="18"/>
                <w:lang w:eastAsia="en-AU"/>
              </w:rPr>
            </w:pPr>
            <w:r w:rsidRPr="00FE3126">
              <w:rPr>
                <w:rFonts w:eastAsia="Times New Roman" w:cs="Segoe UI"/>
                <w:sz w:val="18"/>
                <w:szCs w:val="18"/>
                <w:lang w:eastAsia="en-AU"/>
              </w:rPr>
              <w:t>-2%</w:t>
            </w:r>
          </w:p>
        </w:tc>
        <w:tc>
          <w:tcPr>
            <w:tcW w:w="1205" w:type="dxa"/>
            <w:shd w:val="clear" w:color="auto" w:fill="F2F2F2" w:themeFill="background1" w:themeFillShade="F2"/>
            <w:hideMark/>
          </w:tcPr>
          <w:p w14:paraId="2EBE2E30"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8.69</w:t>
            </w:r>
          </w:p>
        </w:tc>
        <w:tc>
          <w:tcPr>
            <w:tcW w:w="1206" w:type="dxa"/>
            <w:shd w:val="clear" w:color="auto" w:fill="F2F2F2" w:themeFill="background1" w:themeFillShade="F2"/>
            <w:hideMark/>
          </w:tcPr>
          <w:p w14:paraId="2EBE2E31"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9.1</w:t>
            </w:r>
          </w:p>
        </w:tc>
        <w:tc>
          <w:tcPr>
            <w:tcW w:w="1206" w:type="dxa"/>
            <w:shd w:val="clear" w:color="auto" w:fill="F2F2F2" w:themeFill="background1" w:themeFillShade="F2"/>
            <w:hideMark/>
          </w:tcPr>
          <w:p w14:paraId="2EBE2E32" w14:textId="77777777" w:rsidR="00204D69" w:rsidRPr="00FE3126" w:rsidRDefault="00204D69" w:rsidP="00782511">
            <w:pPr>
              <w:spacing w:after="0"/>
              <w:jc w:val="center"/>
              <w:rPr>
                <w:rFonts w:eastAsia="Times New Roman" w:cs="Segoe UI"/>
                <w:bCs/>
                <w:sz w:val="18"/>
                <w:szCs w:val="18"/>
                <w:lang w:eastAsia="en-AU"/>
              </w:rPr>
            </w:pPr>
            <w:r w:rsidRPr="00FE3126">
              <w:rPr>
                <w:rFonts w:eastAsia="Times New Roman" w:cs="Segoe UI"/>
                <w:bCs/>
                <w:sz w:val="18"/>
                <w:szCs w:val="18"/>
                <w:lang w:eastAsia="en-AU"/>
              </w:rPr>
              <w:t>10.08</w:t>
            </w:r>
          </w:p>
        </w:tc>
      </w:tr>
    </w:tbl>
    <w:p w14:paraId="2EBE2E34" w14:textId="77777777" w:rsidR="00204D69" w:rsidRPr="00560A1C" w:rsidRDefault="00204D69" w:rsidP="00204D69">
      <w:pPr>
        <w:spacing w:after="120"/>
        <w:rPr>
          <w:sz w:val="16"/>
          <w:szCs w:val="16"/>
        </w:rPr>
      </w:pPr>
      <w:r w:rsidRPr="00560A1C">
        <w:rPr>
          <w:sz w:val="16"/>
          <w:szCs w:val="16"/>
        </w:rPr>
        <w:t xml:space="preserve">Note (1): Scores based on mean of clients first score. Each client is only included once. </w:t>
      </w:r>
    </w:p>
    <w:p w14:paraId="2EBE2E35" w14:textId="77777777" w:rsidR="00204D69" w:rsidRPr="00560A1C" w:rsidRDefault="00204D69" w:rsidP="00204D69">
      <w:pPr>
        <w:spacing w:after="120"/>
        <w:rPr>
          <w:sz w:val="16"/>
          <w:szCs w:val="16"/>
        </w:rPr>
      </w:pPr>
      <w:r w:rsidRPr="00560A1C">
        <w:rPr>
          <w:sz w:val="16"/>
          <w:szCs w:val="16"/>
        </w:rPr>
        <w:t>Note (2): Scores based on Australian Mental Health Outcomes Classification Network data base and represent all ambulatory mental health scores in Australia (entry, review and discharge for 2011/12).</w:t>
      </w:r>
      <w:r>
        <w:rPr>
          <w:sz w:val="16"/>
          <w:szCs w:val="16"/>
        </w:rPr>
        <w:t xml:space="preserve"> No item scores are available.</w:t>
      </w:r>
    </w:p>
    <w:p w14:paraId="2EBE2E36" w14:textId="77777777" w:rsidR="00204D69" w:rsidRDefault="00204D69" w:rsidP="00204D69">
      <w:pPr>
        <w:spacing w:before="240"/>
        <w:rPr>
          <w:highlight w:val="yellow"/>
          <w:lang w:eastAsia="x-none"/>
        </w:rPr>
      </w:pPr>
      <w:r w:rsidRPr="00DC75AB">
        <w:rPr>
          <w:lang w:eastAsia="x-none"/>
        </w:rPr>
        <w:t>In relation</w:t>
      </w:r>
      <w:r>
        <w:rPr>
          <w:lang w:eastAsia="x-none"/>
        </w:rPr>
        <w:t xml:space="preserve"> to the K 10 data presented in </w:t>
      </w:r>
      <w:r w:rsidRPr="00092D7C">
        <w:rPr>
          <w:lang w:eastAsia="x-none"/>
        </w:rPr>
        <w:t xml:space="preserve">Section </w:t>
      </w:r>
      <w:r w:rsidRPr="00092D7C">
        <w:rPr>
          <w:lang w:eastAsia="x-none"/>
        </w:rPr>
        <w:fldChar w:fldCharType="begin"/>
      </w:r>
      <w:r w:rsidRPr="00092D7C">
        <w:rPr>
          <w:lang w:eastAsia="x-none"/>
        </w:rPr>
        <w:instrText xml:space="preserve"> REF _Ref387328466 \r \h </w:instrText>
      </w:r>
      <w:r>
        <w:rPr>
          <w:lang w:eastAsia="x-none"/>
        </w:rPr>
        <w:instrText xml:space="preserve"> \* MERGEFORMAT </w:instrText>
      </w:r>
      <w:r w:rsidRPr="00092D7C">
        <w:rPr>
          <w:lang w:eastAsia="x-none"/>
        </w:rPr>
      </w:r>
      <w:r w:rsidRPr="00092D7C">
        <w:rPr>
          <w:lang w:eastAsia="x-none"/>
        </w:rPr>
        <w:fldChar w:fldCharType="separate"/>
      </w:r>
      <w:r w:rsidR="009A19EB">
        <w:rPr>
          <w:lang w:eastAsia="x-none"/>
        </w:rPr>
        <w:t>2.3.1</w:t>
      </w:r>
      <w:r w:rsidRPr="00092D7C">
        <w:rPr>
          <w:lang w:eastAsia="x-none"/>
        </w:rPr>
        <w:fldChar w:fldCharType="end"/>
      </w:r>
      <w:r w:rsidR="00317F68">
        <w:rPr>
          <w:lang w:eastAsia="x-none"/>
        </w:rPr>
        <w:t xml:space="preserve"> </w:t>
      </w:r>
      <w:r w:rsidRPr="00DC75AB">
        <w:rPr>
          <w:lang w:eastAsia="x-none"/>
        </w:rPr>
        <w:t>the Cairns SEWB team had a small to medium statistically significant clinical effect</w:t>
      </w:r>
      <w:r>
        <w:rPr>
          <w:lang w:eastAsia="x-none"/>
        </w:rPr>
        <w:t>,</w:t>
      </w:r>
      <w:r w:rsidRPr="00DC75AB">
        <w:rPr>
          <w:lang w:eastAsia="x-none"/>
        </w:rPr>
        <w:t xml:space="preserve"> albeit from clients who were more psychologically distressed (an average initial score of 25 – likely to have a moderate mental disorder) compared to WBCs</w:t>
      </w:r>
      <w:r>
        <w:rPr>
          <w:lang w:eastAsia="x-none"/>
        </w:rPr>
        <w:t>,</w:t>
      </w:r>
      <w:r w:rsidRPr="00DC75AB">
        <w:rPr>
          <w:lang w:eastAsia="x-none"/>
        </w:rPr>
        <w:t xml:space="preserve"> where Hopevale had a large clinical effect, Mossman Gorge a medium clinical effect, Coen a small clinical effect and Aurukun no clinical effect, generally o</w:t>
      </w:r>
      <w:r>
        <w:rPr>
          <w:lang w:eastAsia="x-none"/>
        </w:rPr>
        <w:t>f</w:t>
      </w:r>
      <w:r w:rsidRPr="00DC75AB">
        <w:rPr>
          <w:lang w:eastAsia="x-none"/>
        </w:rPr>
        <w:t>f a lower level of psychological distress (an average score 19).</w:t>
      </w:r>
      <w:r>
        <w:rPr>
          <w:highlight w:val="yellow"/>
          <w:lang w:eastAsia="x-none"/>
        </w:rPr>
        <w:t xml:space="preserve"> </w:t>
      </w:r>
    </w:p>
    <w:p w14:paraId="2EBE2E37" w14:textId="77777777" w:rsidR="00204D69" w:rsidRPr="00572D1F" w:rsidRDefault="00204D69" w:rsidP="00BC0A26">
      <w:pPr>
        <w:pStyle w:val="Heading3"/>
      </w:pPr>
      <w:r w:rsidRPr="00572D1F">
        <w:t>Community level</w:t>
      </w:r>
    </w:p>
    <w:p w14:paraId="2EBE2E38" w14:textId="77777777" w:rsidR="00204D69" w:rsidRDefault="00204D69" w:rsidP="00204D69">
      <w:pPr>
        <w:rPr>
          <w:color w:val="auto"/>
          <w:lang w:eastAsia="x-none"/>
        </w:rPr>
      </w:pPr>
      <w:r w:rsidRPr="00AF4EE2">
        <w:rPr>
          <w:color w:val="auto"/>
          <w:lang w:eastAsia="x-none"/>
        </w:rPr>
        <w:t xml:space="preserve">The only outcome data available at community level is </w:t>
      </w:r>
      <w:r w:rsidRPr="00AF4EE2">
        <w:rPr>
          <w:i/>
          <w:color w:val="auto"/>
          <w:lang w:eastAsia="x-none"/>
        </w:rPr>
        <w:t>the Queensland Government Annual Bulletin for Queensland’s Discrete Indigenous Communities: 2011/12</w:t>
      </w:r>
      <w:r>
        <w:rPr>
          <w:i/>
          <w:color w:val="auto"/>
          <w:lang w:eastAsia="x-none"/>
        </w:rPr>
        <w:t xml:space="preserve"> </w:t>
      </w:r>
      <w:r w:rsidRPr="00C75767">
        <w:rPr>
          <w:color w:val="auto"/>
          <w:lang w:eastAsia="x-none"/>
        </w:rPr>
        <w:t>which provides</w:t>
      </w:r>
      <w:r>
        <w:rPr>
          <w:i/>
          <w:color w:val="auto"/>
          <w:lang w:eastAsia="x-none"/>
        </w:rPr>
        <w:t xml:space="preserve"> </w:t>
      </w:r>
      <w:r w:rsidRPr="00AF4EE2">
        <w:rPr>
          <w:color w:val="auto"/>
          <w:lang w:eastAsia="x-none"/>
        </w:rPr>
        <w:t xml:space="preserve">data </w:t>
      </w:r>
      <w:r>
        <w:rPr>
          <w:color w:val="auto"/>
          <w:lang w:eastAsia="x-none"/>
        </w:rPr>
        <w:t>in relation to</w:t>
      </w:r>
      <w:r w:rsidRPr="00AF4EE2">
        <w:rPr>
          <w:color w:val="auto"/>
          <w:lang w:eastAsia="x-none"/>
        </w:rPr>
        <w:t xml:space="preserve"> 17 communities. Generally there are no observable differences in trend data between communities</w:t>
      </w:r>
      <w:r>
        <w:rPr>
          <w:color w:val="auto"/>
          <w:lang w:eastAsia="x-none"/>
        </w:rPr>
        <w:t>,</w:t>
      </w:r>
      <w:r w:rsidRPr="00AF4EE2">
        <w:rPr>
          <w:color w:val="auto"/>
          <w:lang w:eastAsia="x-none"/>
        </w:rPr>
        <w:t xml:space="preserve"> with most (13) communities having one or two indicators that statistically improved</w:t>
      </w:r>
      <w:r>
        <w:rPr>
          <w:color w:val="auto"/>
          <w:lang w:eastAsia="x-none"/>
        </w:rPr>
        <w:t>,</w:t>
      </w:r>
      <w:r w:rsidRPr="00AF4EE2">
        <w:rPr>
          <w:color w:val="auto"/>
          <w:lang w:eastAsia="x-none"/>
        </w:rPr>
        <w:t xml:space="preserve"> and one that deteriorated (six communities). </w:t>
      </w:r>
    </w:p>
    <w:p w14:paraId="2EBE2E3A" w14:textId="77777777" w:rsidR="00204D69" w:rsidRDefault="00204D69" w:rsidP="00204D69">
      <w:pPr>
        <w:rPr>
          <w:color w:val="auto"/>
          <w:lang w:eastAsia="x-none"/>
        </w:rPr>
      </w:pPr>
      <w:r w:rsidRPr="00AF4EE2">
        <w:rPr>
          <w:color w:val="auto"/>
          <w:lang w:eastAsia="x-none"/>
        </w:rPr>
        <w:t>Having said that the standout communities appear to be Kowanyama and Napranum which had the greatest number of the indicators across the various years statistically improve (four and three respectively) and no increases.</w:t>
      </w:r>
      <w:r>
        <w:rPr>
          <w:color w:val="auto"/>
          <w:lang w:eastAsia="x-none"/>
        </w:rPr>
        <w:t xml:space="preserve"> </w:t>
      </w:r>
      <w:r>
        <w:rPr>
          <w:color w:val="auto"/>
          <w:lang w:eastAsia="x-none"/>
        </w:rPr>
        <w:fldChar w:fldCharType="begin"/>
      </w:r>
      <w:r>
        <w:rPr>
          <w:color w:val="auto"/>
          <w:lang w:eastAsia="x-none"/>
        </w:rPr>
        <w:instrText xml:space="preserve"> REF _Ref387392975 \h </w:instrText>
      </w:r>
      <w:r>
        <w:rPr>
          <w:color w:val="auto"/>
          <w:lang w:eastAsia="x-none"/>
        </w:rPr>
      </w:r>
      <w:r>
        <w:rPr>
          <w:color w:val="auto"/>
          <w:lang w:eastAsia="x-none"/>
        </w:rPr>
        <w:fldChar w:fldCharType="separate"/>
      </w:r>
      <w:r w:rsidR="009A19EB">
        <w:t xml:space="preserve">Table </w:t>
      </w:r>
      <w:r w:rsidR="009A19EB">
        <w:rPr>
          <w:noProof/>
        </w:rPr>
        <w:t>2</w:t>
      </w:r>
      <w:r w:rsidR="009A19EB">
        <w:t>.</w:t>
      </w:r>
      <w:r w:rsidR="009A19EB">
        <w:rPr>
          <w:noProof/>
        </w:rPr>
        <w:t>9</w:t>
      </w:r>
      <w:r>
        <w:rPr>
          <w:color w:val="auto"/>
          <w:lang w:eastAsia="x-none"/>
        </w:rPr>
        <w:fldChar w:fldCharType="end"/>
      </w:r>
      <w:r w:rsidRPr="00AF4EE2">
        <w:rPr>
          <w:color w:val="auto"/>
          <w:lang w:eastAsia="x-none"/>
        </w:rPr>
        <w:t xml:space="preserve"> presents the number of indicators that improved and deteriorated for Cape communities since the relevant data was collected</w:t>
      </w:r>
      <w:r>
        <w:rPr>
          <w:color w:val="auto"/>
          <w:lang w:eastAsia="x-none"/>
        </w:rPr>
        <w:t>.</w:t>
      </w:r>
      <w:r w:rsidRPr="002E707A">
        <w:rPr>
          <w:rStyle w:val="FootnoteReference"/>
          <w:color w:val="auto"/>
          <w:lang w:eastAsia="x-none"/>
        </w:rPr>
        <w:footnoteReference w:id="15"/>
      </w:r>
      <w:r w:rsidRPr="00AF4EE2">
        <w:rPr>
          <w:color w:val="auto"/>
          <w:lang w:eastAsia="x-none"/>
        </w:rPr>
        <w:t xml:space="preserve"> </w:t>
      </w:r>
    </w:p>
    <w:p w14:paraId="2EBE2E3B" w14:textId="60173B61" w:rsidR="00204D69" w:rsidRPr="00B66939" w:rsidRDefault="00AA7DC9" w:rsidP="00AA7DC9">
      <w:pPr>
        <w:pStyle w:val="Caption"/>
      </w:pPr>
      <w:bookmarkStart w:id="116" w:name="_Toc392686437"/>
      <w:bookmarkStart w:id="117" w:name="_Ref387392975"/>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9</w:t>
      </w:r>
      <w:r>
        <w:fldChar w:fldCharType="end"/>
      </w:r>
      <w:bookmarkEnd w:id="117"/>
      <w:r w:rsidR="00204D69">
        <w:t>: Number of indicators improving/deteriorating</w:t>
      </w:r>
      <w:bookmarkEnd w:id="116"/>
    </w:p>
    <w:tbl>
      <w:tblPr>
        <w:tblStyle w:val="Hoi2"/>
        <w:tblW w:w="5360" w:type="dxa"/>
        <w:jc w:val="center"/>
        <w:tblLook w:val="04A0" w:firstRow="1" w:lastRow="0" w:firstColumn="1" w:lastColumn="0" w:noHBand="0" w:noVBand="1"/>
        <w:tblCaption w:val="Table 2.9: Number of indicators improving/deteriorating"/>
        <w:tblDescription w:val="Table 2.9 displays the number of indicators imporving or deteriorating in the four Cape York communities with WBCs, two comparison communities and two other Cape communites.  The communities are listed in the first column and the subsequent columns contain the number of indicators improving and the number of indicators deteriorating in each community. "/>
      </w:tblPr>
      <w:tblGrid>
        <w:gridCol w:w="2640"/>
        <w:gridCol w:w="1400"/>
        <w:gridCol w:w="1336"/>
      </w:tblGrid>
      <w:tr w:rsidR="00204D69" w:rsidRPr="00E31D4D" w14:paraId="2EBE2E3F" w14:textId="77777777" w:rsidTr="00377FC2">
        <w:trPr>
          <w:cnfStyle w:val="100000000000" w:firstRow="1" w:lastRow="0" w:firstColumn="0" w:lastColumn="0" w:oddVBand="0" w:evenVBand="0" w:oddHBand="0" w:evenHBand="0" w:firstRowFirstColumn="0" w:firstRowLastColumn="0" w:lastRowFirstColumn="0" w:lastRowLastColumn="0"/>
          <w:trHeight w:val="644"/>
          <w:tblHeader/>
          <w:jc w:val="center"/>
        </w:trPr>
        <w:tc>
          <w:tcPr>
            <w:tcW w:w="2640" w:type="dxa"/>
            <w:tcBorders>
              <w:bottom w:val="single" w:sz="4" w:space="0" w:color="FFFFFF"/>
            </w:tcBorders>
            <w:noWrap/>
            <w:hideMark/>
          </w:tcPr>
          <w:p w14:paraId="2EBE2E3C" w14:textId="77777777" w:rsidR="00204D69" w:rsidRPr="00E31D4D" w:rsidRDefault="00204D69" w:rsidP="00782511">
            <w:pPr>
              <w:spacing w:after="0"/>
              <w:jc w:val="left"/>
              <w:rPr>
                <w:rFonts w:ascii="Segoe UI" w:eastAsia="Times New Roman" w:hAnsi="Segoe UI" w:cs="Segoe UI"/>
                <w:b/>
                <w:sz w:val="18"/>
                <w:szCs w:val="18"/>
                <w:lang w:eastAsia="en-AU"/>
              </w:rPr>
            </w:pPr>
            <w:r w:rsidRPr="00E31D4D">
              <w:rPr>
                <w:rFonts w:ascii="Segoe UI" w:eastAsia="Times New Roman" w:hAnsi="Segoe UI" w:cs="Segoe UI"/>
                <w:b/>
                <w:sz w:val="18"/>
                <w:szCs w:val="18"/>
                <w:lang w:eastAsia="en-AU"/>
              </w:rPr>
              <w:t>Community</w:t>
            </w:r>
          </w:p>
        </w:tc>
        <w:tc>
          <w:tcPr>
            <w:tcW w:w="1400" w:type="dxa"/>
            <w:tcBorders>
              <w:bottom w:val="single" w:sz="4" w:space="0" w:color="FFFFFF"/>
            </w:tcBorders>
            <w:hideMark/>
          </w:tcPr>
          <w:p w14:paraId="2EBE2E3D" w14:textId="77777777" w:rsidR="00204D69" w:rsidRPr="00E31D4D" w:rsidRDefault="00204D69" w:rsidP="00782511">
            <w:pPr>
              <w:spacing w:after="0"/>
              <w:jc w:val="center"/>
              <w:rPr>
                <w:rFonts w:ascii="Segoe UI" w:eastAsia="Times New Roman" w:hAnsi="Segoe UI" w:cs="Segoe UI"/>
                <w:b/>
                <w:sz w:val="18"/>
                <w:szCs w:val="18"/>
                <w:lang w:eastAsia="en-AU"/>
              </w:rPr>
            </w:pPr>
            <w:r w:rsidRPr="00E31D4D">
              <w:rPr>
                <w:rFonts w:ascii="Segoe UI" w:eastAsia="Times New Roman" w:hAnsi="Segoe UI" w:cs="Segoe UI"/>
                <w:b/>
                <w:sz w:val="18"/>
                <w:szCs w:val="18"/>
                <w:lang w:eastAsia="en-AU"/>
              </w:rPr>
              <w:t>Number improving</w:t>
            </w:r>
          </w:p>
        </w:tc>
        <w:tc>
          <w:tcPr>
            <w:tcW w:w="1320" w:type="dxa"/>
            <w:tcBorders>
              <w:bottom w:val="single" w:sz="4" w:space="0" w:color="FFFFFF"/>
            </w:tcBorders>
            <w:hideMark/>
          </w:tcPr>
          <w:p w14:paraId="2EBE2E3E" w14:textId="77777777" w:rsidR="00204D69" w:rsidRPr="00E31D4D" w:rsidRDefault="00204D69" w:rsidP="00782511">
            <w:pPr>
              <w:spacing w:after="0"/>
              <w:jc w:val="center"/>
              <w:rPr>
                <w:rFonts w:ascii="Segoe UI" w:eastAsia="Times New Roman" w:hAnsi="Segoe UI" w:cs="Segoe UI"/>
                <w:b/>
                <w:sz w:val="18"/>
                <w:szCs w:val="18"/>
                <w:lang w:eastAsia="en-AU"/>
              </w:rPr>
            </w:pPr>
            <w:r w:rsidRPr="00E31D4D">
              <w:rPr>
                <w:rFonts w:ascii="Segoe UI" w:eastAsia="Times New Roman" w:hAnsi="Segoe UI" w:cs="Segoe UI"/>
                <w:b/>
                <w:sz w:val="18"/>
                <w:szCs w:val="18"/>
                <w:lang w:eastAsia="en-AU"/>
              </w:rPr>
              <w:t>Number deteriorating</w:t>
            </w:r>
          </w:p>
        </w:tc>
      </w:tr>
      <w:tr w:rsidR="00204D69" w:rsidRPr="00E31D4D" w14:paraId="2EBE2E43" w14:textId="77777777" w:rsidTr="00782511">
        <w:trPr>
          <w:trHeight w:val="300"/>
          <w:jc w:val="center"/>
        </w:trPr>
        <w:tc>
          <w:tcPr>
            <w:tcW w:w="2640" w:type="dxa"/>
            <w:shd w:val="clear" w:color="auto" w:fill="DBE5F1" w:themeFill="accent1" w:themeFillTint="33"/>
            <w:noWrap/>
            <w:hideMark/>
          </w:tcPr>
          <w:p w14:paraId="2EBE2E40" w14:textId="77777777" w:rsidR="00204D69" w:rsidRPr="00E31D4D" w:rsidRDefault="00204D69" w:rsidP="00782511">
            <w:pPr>
              <w:spacing w:after="0"/>
              <w:jc w:val="left"/>
              <w:rPr>
                <w:rFonts w:eastAsia="Times New Roman" w:cs="Segoe UI"/>
                <w:b/>
                <w:bCs/>
                <w:sz w:val="18"/>
                <w:szCs w:val="18"/>
                <w:lang w:eastAsia="en-AU"/>
              </w:rPr>
            </w:pPr>
            <w:r w:rsidRPr="00E31D4D">
              <w:rPr>
                <w:rFonts w:eastAsia="Times New Roman" w:cs="Segoe UI"/>
                <w:b/>
                <w:bCs/>
                <w:sz w:val="18"/>
                <w:szCs w:val="18"/>
                <w:lang w:eastAsia="en-AU"/>
              </w:rPr>
              <w:t xml:space="preserve">WBC </w:t>
            </w:r>
            <w:r>
              <w:rPr>
                <w:rFonts w:eastAsia="Times New Roman" w:cs="Segoe UI"/>
                <w:b/>
                <w:bCs/>
                <w:sz w:val="18"/>
                <w:szCs w:val="18"/>
                <w:lang w:eastAsia="en-AU"/>
              </w:rPr>
              <w:t>communities</w:t>
            </w:r>
          </w:p>
        </w:tc>
        <w:tc>
          <w:tcPr>
            <w:tcW w:w="1400" w:type="dxa"/>
            <w:shd w:val="clear" w:color="auto" w:fill="DBE5F1" w:themeFill="accent1" w:themeFillTint="33"/>
            <w:noWrap/>
            <w:hideMark/>
          </w:tcPr>
          <w:p w14:paraId="2EBE2E41" w14:textId="77777777" w:rsidR="00204D69" w:rsidRPr="00E31D4D" w:rsidRDefault="00204D69" w:rsidP="00782511">
            <w:pPr>
              <w:spacing w:after="0"/>
              <w:jc w:val="center"/>
              <w:rPr>
                <w:rFonts w:eastAsia="Times New Roman" w:cs="Segoe UI"/>
                <w:sz w:val="18"/>
                <w:szCs w:val="18"/>
                <w:lang w:eastAsia="en-AU"/>
              </w:rPr>
            </w:pPr>
          </w:p>
        </w:tc>
        <w:tc>
          <w:tcPr>
            <w:tcW w:w="1320" w:type="dxa"/>
            <w:shd w:val="clear" w:color="auto" w:fill="DBE5F1" w:themeFill="accent1" w:themeFillTint="33"/>
            <w:noWrap/>
            <w:hideMark/>
          </w:tcPr>
          <w:p w14:paraId="2EBE2E42"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47" w14:textId="77777777" w:rsidTr="00782511">
        <w:trPr>
          <w:trHeight w:val="300"/>
          <w:jc w:val="center"/>
        </w:trPr>
        <w:tc>
          <w:tcPr>
            <w:tcW w:w="2640" w:type="dxa"/>
            <w:shd w:val="clear" w:color="auto" w:fill="F2F2F2" w:themeFill="background1" w:themeFillShade="F2"/>
            <w:noWrap/>
            <w:hideMark/>
          </w:tcPr>
          <w:p w14:paraId="2EBE2E44" w14:textId="77777777" w:rsidR="00204D69" w:rsidRPr="00E31D4D" w:rsidRDefault="00204D69" w:rsidP="00782511">
            <w:pPr>
              <w:spacing w:after="0"/>
              <w:jc w:val="left"/>
              <w:rPr>
                <w:rFonts w:eastAsia="Times New Roman" w:cs="Segoe UI"/>
                <w:sz w:val="18"/>
                <w:szCs w:val="18"/>
                <w:lang w:eastAsia="en-AU"/>
              </w:rPr>
            </w:pPr>
            <w:r w:rsidRPr="00E31D4D">
              <w:rPr>
                <w:rFonts w:eastAsia="Times New Roman" w:cs="Segoe UI"/>
                <w:sz w:val="18"/>
                <w:szCs w:val="18"/>
                <w:lang w:eastAsia="en-AU"/>
              </w:rPr>
              <w:t>Aurukun</w:t>
            </w:r>
          </w:p>
        </w:tc>
        <w:tc>
          <w:tcPr>
            <w:tcW w:w="1400" w:type="dxa"/>
            <w:shd w:val="clear" w:color="auto" w:fill="F2F2F2" w:themeFill="background1" w:themeFillShade="F2"/>
            <w:noWrap/>
            <w:hideMark/>
          </w:tcPr>
          <w:p w14:paraId="2EBE2E45"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1</w:t>
            </w:r>
          </w:p>
        </w:tc>
        <w:tc>
          <w:tcPr>
            <w:tcW w:w="1320" w:type="dxa"/>
            <w:shd w:val="clear" w:color="auto" w:fill="F2F2F2" w:themeFill="background1" w:themeFillShade="F2"/>
            <w:noWrap/>
            <w:hideMark/>
          </w:tcPr>
          <w:p w14:paraId="2EBE2E46"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1</w:t>
            </w:r>
          </w:p>
        </w:tc>
      </w:tr>
      <w:tr w:rsidR="00204D69" w:rsidRPr="00E31D4D" w14:paraId="2EBE2E4B" w14:textId="77777777" w:rsidTr="00782511">
        <w:trPr>
          <w:trHeight w:val="300"/>
          <w:jc w:val="center"/>
        </w:trPr>
        <w:tc>
          <w:tcPr>
            <w:tcW w:w="2640" w:type="dxa"/>
            <w:shd w:val="clear" w:color="auto" w:fill="F2F2F2" w:themeFill="background1" w:themeFillShade="F2"/>
            <w:noWrap/>
            <w:hideMark/>
          </w:tcPr>
          <w:p w14:paraId="2EBE2E48" w14:textId="77777777" w:rsidR="00204D69" w:rsidRPr="00E31D4D" w:rsidRDefault="00204D69" w:rsidP="00782511">
            <w:pPr>
              <w:spacing w:after="0"/>
              <w:jc w:val="left"/>
              <w:rPr>
                <w:rFonts w:eastAsia="Times New Roman" w:cs="Segoe UI"/>
                <w:sz w:val="18"/>
                <w:szCs w:val="18"/>
                <w:lang w:eastAsia="en-AU"/>
              </w:rPr>
            </w:pPr>
            <w:r w:rsidRPr="00E31D4D">
              <w:rPr>
                <w:rFonts w:eastAsia="Times New Roman" w:cs="Segoe UI"/>
                <w:sz w:val="18"/>
                <w:szCs w:val="18"/>
                <w:lang w:eastAsia="en-AU"/>
              </w:rPr>
              <w:t>Coen</w:t>
            </w:r>
          </w:p>
        </w:tc>
        <w:tc>
          <w:tcPr>
            <w:tcW w:w="1400" w:type="dxa"/>
            <w:shd w:val="clear" w:color="auto" w:fill="F2F2F2" w:themeFill="background1" w:themeFillShade="F2"/>
            <w:noWrap/>
            <w:hideMark/>
          </w:tcPr>
          <w:p w14:paraId="2EBE2E49"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1</w:t>
            </w:r>
          </w:p>
        </w:tc>
        <w:tc>
          <w:tcPr>
            <w:tcW w:w="1320" w:type="dxa"/>
            <w:shd w:val="clear" w:color="auto" w:fill="F2F2F2" w:themeFill="background1" w:themeFillShade="F2"/>
            <w:noWrap/>
            <w:hideMark/>
          </w:tcPr>
          <w:p w14:paraId="2EBE2E4A"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4F" w14:textId="77777777" w:rsidTr="00782511">
        <w:trPr>
          <w:trHeight w:val="300"/>
          <w:jc w:val="center"/>
        </w:trPr>
        <w:tc>
          <w:tcPr>
            <w:tcW w:w="2640" w:type="dxa"/>
            <w:shd w:val="clear" w:color="auto" w:fill="F2F2F2" w:themeFill="background1" w:themeFillShade="F2"/>
            <w:noWrap/>
            <w:hideMark/>
          </w:tcPr>
          <w:p w14:paraId="2EBE2E4C" w14:textId="77777777" w:rsidR="00204D69" w:rsidRPr="00E31D4D" w:rsidRDefault="00204D69" w:rsidP="00782511">
            <w:pPr>
              <w:spacing w:after="0"/>
              <w:jc w:val="left"/>
              <w:rPr>
                <w:rFonts w:eastAsia="Times New Roman" w:cs="Segoe UI"/>
                <w:sz w:val="18"/>
                <w:szCs w:val="18"/>
                <w:lang w:eastAsia="en-AU"/>
              </w:rPr>
            </w:pPr>
            <w:r w:rsidRPr="00E31D4D">
              <w:rPr>
                <w:rFonts w:eastAsia="Times New Roman" w:cs="Segoe UI"/>
                <w:sz w:val="18"/>
                <w:szCs w:val="18"/>
                <w:lang w:eastAsia="en-AU"/>
              </w:rPr>
              <w:t>Hopevale</w:t>
            </w:r>
          </w:p>
        </w:tc>
        <w:tc>
          <w:tcPr>
            <w:tcW w:w="1400" w:type="dxa"/>
            <w:shd w:val="clear" w:color="auto" w:fill="F2F2F2" w:themeFill="background1" w:themeFillShade="F2"/>
            <w:noWrap/>
            <w:hideMark/>
          </w:tcPr>
          <w:p w14:paraId="2EBE2E4D"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1</w:t>
            </w:r>
          </w:p>
        </w:tc>
        <w:tc>
          <w:tcPr>
            <w:tcW w:w="1320" w:type="dxa"/>
            <w:shd w:val="clear" w:color="auto" w:fill="F2F2F2" w:themeFill="background1" w:themeFillShade="F2"/>
            <w:noWrap/>
            <w:hideMark/>
          </w:tcPr>
          <w:p w14:paraId="2EBE2E4E"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53" w14:textId="77777777" w:rsidTr="00782511">
        <w:trPr>
          <w:trHeight w:val="300"/>
          <w:jc w:val="center"/>
        </w:trPr>
        <w:tc>
          <w:tcPr>
            <w:tcW w:w="2640" w:type="dxa"/>
            <w:tcBorders>
              <w:bottom w:val="single" w:sz="4" w:space="0" w:color="FFFFFF"/>
            </w:tcBorders>
            <w:shd w:val="clear" w:color="auto" w:fill="F2F2F2" w:themeFill="background1" w:themeFillShade="F2"/>
            <w:noWrap/>
            <w:hideMark/>
          </w:tcPr>
          <w:p w14:paraId="2EBE2E50" w14:textId="77777777" w:rsidR="00204D69" w:rsidRPr="00E31D4D" w:rsidRDefault="00204D69" w:rsidP="00782511">
            <w:pPr>
              <w:spacing w:after="0"/>
              <w:jc w:val="left"/>
              <w:rPr>
                <w:rFonts w:eastAsia="Times New Roman" w:cs="Segoe UI"/>
                <w:sz w:val="18"/>
                <w:szCs w:val="18"/>
                <w:lang w:eastAsia="en-AU"/>
              </w:rPr>
            </w:pPr>
            <w:r w:rsidRPr="00E31D4D">
              <w:rPr>
                <w:rFonts w:eastAsia="Times New Roman" w:cs="Segoe UI"/>
                <w:sz w:val="18"/>
                <w:szCs w:val="18"/>
                <w:lang w:eastAsia="en-AU"/>
              </w:rPr>
              <w:t>Mossman Gorge</w:t>
            </w:r>
          </w:p>
        </w:tc>
        <w:tc>
          <w:tcPr>
            <w:tcW w:w="1400" w:type="dxa"/>
            <w:tcBorders>
              <w:bottom w:val="single" w:sz="4" w:space="0" w:color="FFFFFF"/>
            </w:tcBorders>
            <w:shd w:val="clear" w:color="auto" w:fill="F2F2F2" w:themeFill="background1" w:themeFillShade="F2"/>
            <w:noWrap/>
            <w:hideMark/>
          </w:tcPr>
          <w:p w14:paraId="2EBE2E51" w14:textId="77777777" w:rsidR="00204D69" w:rsidRPr="00E31D4D"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w:t>
            </w:r>
          </w:p>
        </w:tc>
        <w:tc>
          <w:tcPr>
            <w:tcW w:w="1320" w:type="dxa"/>
            <w:tcBorders>
              <w:bottom w:val="single" w:sz="4" w:space="0" w:color="FFFFFF"/>
            </w:tcBorders>
            <w:shd w:val="clear" w:color="auto" w:fill="F2F2F2" w:themeFill="background1" w:themeFillShade="F2"/>
            <w:noWrap/>
            <w:hideMark/>
          </w:tcPr>
          <w:p w14:paraId="2EBE2E52" w14:textId="77777777" w:rsidR="00204D69" w:rsidRPr="00E31D4D" w:rsidRDefault="00204D69" w:rsidP="00782511">
            <w:pPr>
              <w:spacing w:after="0"/>
              <w:jc w:val="center"/>
              <w:rPr>
                <w:rFonts w:eastAsia="Times New Roman" w:cs="Segoe UI"/>
                <w:sz w:val="18"/>
                <w:szCs w:val="18"/>
                <w:lang w:eastAsia="en-AU"/>
              </w:rPr>
            </w:pPr>
            <w:r>
              <w:rPr>
                <w:rFonts w:eastAsia="Times New Roman" w:cs="Segoe UI"/>
                <w:sz w:val="18"/>
                <w:szCs w:val="18"/>
                <w:lang w:eastAsia="en-AU"/>
              </w:rPr>
              <w:t>-</w:t>
            </w:r>
          </w:p>
        </w:tc>
      </w:tr>
      <w:tr w:rsidR="00204D69" w:rsidRPr="00E31D4D" w14:paraId="2EBE2E57" w14:textId="77777777" w:rsidTr="00782511">
        <w:trPr>
          <w:trHeight w:val="300"/>
          <w:jc w:val="center"/>
        </w:trPr>
        <w:tc>
          <w:tcPr>
            <w:tcW w:w="2640" w:type="dxa"/>
            <w:shd w:val="clear" w:color="auto" w:fill="DBE5F1" w:themeFill="accent1" w:themeFillTint="33"/>
            <w:noWrap/>
            <w:hideMark/>
          </w:tcPr>
          <w:p w14:paraId="2EBE2E54" w14:textId="77777777" w:rsidR="00204D69" w:rsidRPr="00E31D4D" w:rsidRDefault="00204D69" w:rsidP="00782511">
            <w:pPr>
              <w:spacing w:after="0"/>
              <w:jc w:val="left"/>
              <w:rPr>
                <w:rFonts w:eastAsia="Times New Roman" w:cs="Segoe UI"/>
                <w:b/>
                <w:bCs/>
                <w:sz w:val="18"/>
                <w:szCs w:val="18"/>
                <w:lang w:eastAsia="en-AU"/>
              </w:rPr>
            </w:pPr>
            <w:r w:rsidRPr="00E31D4D">
              <w:rPr>
                <w:rFonts w:eastAsia="Times New Roman" w:cs="Segoe UI"/>
                <w:b/>
                <w:bCs/>
                <w:sz w:val="18"/>
                <w:szCs w:val="18"/>
                <w:lang w:eastAsia="en-AU"/>
              </w:rPr>
              <w:t xml:space="preserve">Comparison </w:t>
            </w:r>
            <w:r>
              <w:rPr>
                <w:rFonts w:eastAsia="Times New Roman" w:cs="Segoe UI"/>
                <w:b/>
                <w:bCs/>
                <w:sz w:val="18"/>
                <w:szCs w:val="18"/>
                <w:lang w:eastAsia="en-AU"/>
              </w:rPr>
              <w:t>communities</w:t>
            </w:r>
          </w:p>
        </w:tc>
        <w:tc>
          <w:tcPr>
            <w:tcW w:w="1400" w:type="dxa"/>
            <w:shd w:val="clear" w:color="auto" w:fill="DBE5F1" w:themeFill="accent1" w:themeFillTint="33"/>
            <w:noWrap/>
            <w:hideMark/>
          </w:tcPr>
          <w:p w14:paraId="2EBE2E55" w14:textId="77777777" w:rsidR="00204D69" w:rsidRPr="00E31D4D" w:rsidRDefault="00204D69" w:rsidP="00782511">
            <w:pPr>
              <w:spacing w:after="0"/>
              <w:jc w:val="center"/>
              <w:rPr>
                <w:rFonts w:eastAsia="Times New Roman" w:cs="Segoe UI"/>
                <w:sz w:val="18"/>
                <w:szCs w:val="18"/>
                <w:lang w:eastAsia="en-AU"/>
              </w:rPr>
            </w:pPr>
          </w:p>
        </w:tc>
        <w:tc>
          <w:tcPr>
            <w:tcW w:w="1320" w:type="dxa"/>
            <w:shd w:val="clear" w:color="auto" w:fill="DBE5F1" w:themeFill="accent1" w:themeFillTint="33"/>
            <w:noWrap/>
            <w:hideMark/>
          </w:tcPr>
          <w:p w14:paraId="2EBE2E56"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5B" w14:textId="77777777" w:rsidTr="00782511">
        <w:trPr>
          <w:trHeight w:val="300"/>
          <w:jc w:val="center"/>
        </w:trPr>
        <w:tc>
          <w:tcPr>
            <w:tcW w:w="2640" w:type="dxa"/>
            <w:shd w:val="clear" w:color="auto" w:fill="F2F2F2" w:themeFill="background1" w:themeFillShade="F2"/>
            <w:noWrap/>
            <w:hideMark/>
          </w:tcPr>
          <w:p w14:paraId="2EBE2E58" w14:textId="77777777" w:rsidR="00204D69" w:rsidRPr="00FF0CF1" w:rsidRDefault="00204D69" w:rsidP="00782511">
            <w:pPr>
              <w:spacing w:after="0"/>
              <w:jc w:val="left"/>
              <w:rPr>
                <w:rFonts w:eastAsia="Times New Roman" w:cs="Segoe UI"/>
                <w:color w:val="auto"/>
                <w:sz w:val="18"/>
                <w:szCs w:val="18"/>
                <w:lang w:eastAsia="en-AU"/>
              </w:rPr>
            </w:pPr>
            <w:r w:rsidRPr="00FF0CF1">
              <w:rPr>
                <w:rFonts w:eastAsia="Times New Roman" w:cs="Segoe UI"/>
                <w:color w:val="auto"/>
                <w:sz w:val="18"/>
                <w:szCs w:val="18"/>
                <w:lang w:eastAsia="en-AU"/>
              </w:rPr>
              <w:lastRenderedPageBreak/>
              <w:t>Kowanyama</w:t>
            </w:r>
          </w:p>
        </w:tc>
        <w:tc>
          <w:tcPr>
            <w:tcW w:w="1400" w:type="dxa"/>
            <w:shd w:val="clear" w:color="auto" w:fill="F2F2F2" w:themeFill="background1" w:themeFillShade="F2"/>
            <w:noWrap/>
            <w:hideMark/>
          </w:tcPr>
          <w:p w14:paraId="2EBE2E59"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4</w:t>
            </w:r>
          </w:p>
        </w:tc>
        <w:tc>
          <w:tcPr>
            <w:tcW w:w="1320" w:type="dxa"/>
            <w:shd w:val="clear" w:color="auto" w:fill="F2F2F2" w:themeFill="background1" w:themeFillShade="F2"/>
            <w:noWrap/>
            <w:hideMark/>
          </w:tcPr>
          <w:p w14:paraId="2EBE2E5A"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5F" w14:textId="77777777" w:rsidTr="00782511">
        <w:trPr>
          <w:trHeight w:val="300"/>
          <w:jc w:val="center"/>
        </w:trPr>
        <w:tc>
          <w:tcPr>
            <w:tcW w:w="2640" w:type="dxa"/>
            <w:tcBorders>
              <w:bottom w:val="single" w:sz="4" w:space="0" w:color="FFFFFF"/>
            </w:tcBorders>
            <w:shd w:val="clear" w:color="auto" w:fill="F2F2F2" w:themeFill="background1" w:themeFillShade="F2"/>
            <w:noWrap/>
            <w:hideMark/>
          </w:tcPr>
          <w:p w14:paraId="2EBE2E5C" w14:textId="77777777" w:rsidR="00204D69" w:rsidRPr="00FF0CF1" w:rsidRDefault="00204D69" w:rsidP="00782511">
            <w:pPr>
              <w:spacing w:after="0"/>
              <w:rPr>
                <w:rFonts w:eastAsia="Times New Roman" w:cs="Segoe UI"/>
                <w:color w:val="auto"/>
                <w:sz w:val="18"/>
                <w:szCs w:val="18"/>
                <w:lang w:eastAsia="en-AU"/>
              </w:rPr>
            </w:pPr>
            <w:r w:rsidRPr="00FF0CF1">
              <w:rPr>
                <w:rFonts w:eastAsia="Times New Roman" w:cs="Segoe UI"/>
                <w:color w:val="auto"/>
                <w:sz w:val="18"/>
                <w:szCs w:val="18"/>
                <w:lang w:eastAsia="x-none"/>
              </w:rPr>
              <w:t>Napranum</w:t>
            </w:r>
          </w:p>
        </w:tc>
        <w:tc>
          <w:tcPr>
            <w:tcW w:w="1400" w:type="dxa"/>
            <w:tcBorders>
              <w:bottom w:val="single" w:sz="4" w:space="0" w:color="FFFFFF"/>
            </w:tcBorders>
            <w:shd w:val="clear" w:color="auto" w:fill="F2F2F2" w:themeFill="background1" w:themeFillShade="F2"/>
            <w:noWrap/>
            <w:hideMark/>
          </w:tcPr>
          <w:p w14:paraId="2EBE2E5D"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3</w:t>
            </w:r>
          </w:p>
        </w:tc>
        <w:tc>
          <w:tcPr>
            <w:tcW w:w="1320" w:type="dxa"/>
            <w:tcBorders>
              <w:bottom w:val="single" w:sz="4" w:space="0" w:color="FFFFFF"/>
            </w:tcBorders>
            <w:shd w:val="clear" w:color="auto" w:fill="F2F2F2" w:themeFill="background1" w:themeFillShade="F2"/>
            <w:noWrap/>
            <w:hideMark/>
          </w:tcPr>
          <w:p w14:paraId="2EBE2E5E"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63" w14:textId="77777777" w:rsidTr="00782511">
        <w:trPr>
          <w:trHeight w:val="300"/>
          <w:jc w:val="center"/>
        </w:trPr>
        <w:tc>
          <w:tcPr>
            <w:tcW w:w="2640" w:type="dxa"/>
            <w:shd w:val="clear" w:color="auto" w:fill="DBE5F1" w:themeFill="accent1" w:themeFillTint="33"/>
            <w:noWrap/>
            <w:hideMark/>
          </w:tcPr>
          <w:p w14:paraId="2EBE2E60" w14:textId="77777777" w:rsidR="00204D69" w:rsidRPr="00E31D4D" w:rsidRDefault="00204D69" w:rsidP="00782511">
            <w:pPr>
              <w:spacing w:after="0"/>
              <w:jc w:val="left"/>
              <w:rPr>
                <w:rFonts w:eastAsia="Times New Roman" w:cs="Segoe UI"/>
                <w:b/>
                <w:bCs/>
                <w:sz w:val="18"/>
                <w:szCs w:val="18"/>
                <w:lang w:eastAsia="en-AU"/>
              </w:rPr>
            </w:pPr>
            <w:r w:rsidRPr="00E31D4D">
              <w:rPr>
                <w:rFonts w:eastAsia="Times New Roman" w:cs="Segoe UI"/>
                <w:b/>
                <w:bCs/>
                <w:sz w:val="18"/>
                <w:szCs w:val="18"/>
                <w:lang w:eastAsia="en-AU"/>
              </w:rPr>
              <w:t>Other Cape</w:t>
            </w:r>
          </w:p>
        </w:tc>
        <w:tc>
          <w:tcPr>
            <w:tcW w:w="1400" w:type="dxa"/>
            <w:shd w:val="clear" w:color="auto" w:fill="DBE5F1" w:themeFill="accent1" w:themeFillTint="33"/>
            <w:noWrap/>
            <w:hideMark/>
          </w:tcPr>
          <w:p w14:paraId="2EBE2E61" w14:textId="77777777" w:rsidR="00204D69" w:rsidRPr="00E31D4D" w:rsidRDefault="00204D69" w:rsidP="00782511">
            <w:pPr>
              <w:spacing w:after="0"/>
              <w:jc w:val="center"/>
              <w:rPr>
                <w:rFonts w:eastAsia="Times New Roman" w:cs="Segoe UI"/>
                <w:sz w:val="18"/>
                <w:szCs w:val="18"/>
                <w:lang w:eastAsia="en-AU"/>
              </w:rPr>
            </w:pPr>
          </w:p>
        </w:tc>
        <w:tc>
          <w:tcPr>
            <w:tcW w:w="1320" w:type="dxa"/>
            <w:shd w:val="clear" w:color="auto" w:fill="DBE5F1" w:themeFill="accent1" w:themeFillTint="33"/>
            <w:noWrap/>
            <w:hideMark/>
          </w:tcPr>
          <w:p w14:paraId="2EBE2E62" w14:textId="77777777" w:rsidR="00204D69" w:rsidRPr="00E31D4D" w:rsidRDefault="00204D69" w:rsidP="00782511">
            <w:pPr>
              <w:spacing w:after="0"/>
              <w:jc w:val="center"/>
              <w:rPr>
                <w:rFonts w:eastAsia="Times New Roman" w:cs="Segoe UI"/>
                <w:sz w:val="18"/>
                <w:szCs w:val="18"/>
                <w:lang w:eastAsia="en-AU"/>
              </w:rPr>
            </w:pPr>
          </w:p>
        </w:tc>
      </w:tr>
      <w:tr w:rsidR="00204D69" w:rsidRPr="00E31D4D" w14:paraId="2EBE2E67" w14:textId="77777777" w:rsidTr="00782511">
        <w:trPr>
          <w:trHeight w:val="300"/>
          <w:jc w:val="center"/>
        </w:trPr>
        <w:tc>
          <w:tcPr>
            <w:tcW w:w="2640" w:type="dxa"/>
            <w:shd w:val="clear" w:color="auto" w:fill="F2F2F2" w:themeFill="background1" w:themeFillShade="F2"/>
            <w:noWrap/>
            <w:hideMark/>
          </w:tcPr>
          <w:p w14:paraId="2EBE2E64" w14:textId="77777777" w:rsidR="00204D69" w:rsidRPr="00E31D4D" w:rsidRDefault="00204D69" w:rsidP="00782511">
            <w:pPr>
              <w:spacing w:after="0"/>
              <w:jc w:val="left"/>
              <w:rPr>
                <w:rFonts w:eastAsia="Times New Roman" w:cs="Segoe UI"/>
                <w:sz w:val="18"/>
                <w:szCs w:val="18"/>
                <w:lang w:eastAsia="en-AU"/>
              </w:rPr>
            </w:pPr>
            <w:r w:rsidRPr="00E31D4D">
              <w:rPr>
                <w:rFonts w:eastAsia="Times New Roman" w:cs="Segoe UI"/>
                <w:sz w:val="18"/>
                <w:szCs w:val="18"/>
                <w:lang w:eastAsia="en-AU"/>
              </w:rPr>
              <w:t>Lockhart River</w:t>
            </w:r>
          </w:p>
        </w:tc>
        <w:tc>
          <w:tcPr>
            <w:tcW w:w="1400" w:type="dxa"/>
            <w:shd w:val="clear" w:color="auto" w:fill="F2F2F2" w:themeFill="background1" w:themeFillShade="F2"/>
            <w:noWrap/>
            <w:hideMark/>
          </w:tcPr>
          <w:p w14:paraId="2EBE2E65"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2</w:t>
            </w:r>
          </w:p>
        </w:tc>
        <w:tc>
          <w:tcPr>
            <w:tcW w:w="1320" w:type="dxa"/>
            <w:shd w:val="clear" w:color="auto" w:fill="F2F2F2" w:themeFill="background1" w:themeFillShade="F2"/>
            <w:noWrap/>
            <w:hideMark/>
          </w:tcPr>
          <w:p w14:paraId="2EBE2E66"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1</w:t>
            </w:r>
          </w:p>
        </w:tc>
      </w:tr>
      <w:tr w:rsidR="00204D69" w:rsidRPr="00E31D4D" w14:paraId="2EBE2E6B" w14:textId="77777777" w:rsidTr="00782511">
        <w:trPr>
          <w:trHeight w:val="300"/>
          <w:jc w:val="center"/>
        </w:trPr>
        <w:tc>
          <w:tcPr>
            <w:tcW w:w="2640" w:type="dxa"/>
            <w:shd w:val="clear" w:color="auto" w:fill="F2F2F2" w:themeFill="background1" w:themeFillShade="F2"/>
            <w:noWrap/>
            <w:hideMark/>
          </w:tcPr>
          <w:p w14:paraId="2EBE2E68" w14:textId="77777777" w:rsidR="00204D69" w:rsidRPr="00E31D4D" w:rsidRDefault="00204D69" w:rsidP="00782511">
            <w:pPr>
              <w:spacing w:after="0"/>
              <w:jc w:val="left"/>
              <w:rPr>
                <w:rFonts w:eastAsia="Times New Roman" w:cs="Segoe UI"/>
                <w:sz w:val="18"/>
                <w:szCs w:val="18"/>
                <w:lang w:eastAsia="en-AU"/>
              </w:rPr>
            </w:pPr>
            <w:r w:rsidRPr="00E31D4D">
              <w:rPr>
                <w:rFonts w:eastAsia="Times New Roman" w:cs="Segoe UI"/>
                <w:sz w:val="18"/>
                <w:szCs w:val="18"/>
                <w:lang w:eastAsia="en-AU"/>
              </w:rPr>
              <w:t>Pormpuraaw</w:t>
            </w:r>
          </w:p>
        </w:tc>
        <w:tc>
          <w:tcPr>
            <w:tcW w:w="1400" w:type="dxa"/>
            <w:shd w:val="clear" w:color="auto" w:fill="F2F2F2" w:themeFill="background1" w:themeFillShade="F2"/>
            <w:noWrap/>
            <w:hideMark/>
          </w:tcPr>
          <w:p w14:paraId="2EBE2E69" w14:textId="77777777" w:rsidR="00204D69" w:rsidRPr="00E31D4D" w:rsidRDefault="00204D69" w:rsidP="00782511">
            <w:pPr>
              <w:spacing w:after="0"/>
              <w:jc w:val="center"/>
              <w:rPr>
                <w:rFonts w:eastAsia="Times New Roman" w:cs="Segoe UI"/>
                <w:sz w:val="18"/>
                <w:szCs w:val="18"/>
                <w:lang w:eastAsia="en-AU"/>
              </w:rPr>
            </w:pPr>
            <w:r w:rsidRPr="00E31D4D">
              <w:rPr>
                <w:rFonts w:eastAsia="Times New Roman" w:cs="Segoe UI"/>
                <w:sz w:val="18"/>
                <w:szCs w:val="18"/>
                <w:lang w:eastAsia="en-AU"/>
              </w:rPr>
              <w:t>2</w:t>
            </w:r>
          </w:p>
        </w:tc>
        <w:tc>
          <w:tcPr>
            <w:tcW w:w="1320" w:type="dxa"/>
            <w:shd w:val="clear" w:color="auto" w:fill="F2F2F2" w:themeFill="background1" w:themeFillShade="F2"/>
            <w:noWrap/>
            <w:hideMark/>
          </w:tcPr>
          <w:p w14:paraId="2EBE2E6A" w14:textId="77777777" w:rsidR="00204D69" w:rsidRPr="00E31D4D" w:rsidRDefault="00204D69" w:rsidP="00782511">
            <w:pPr>
              <w:spacing w:after="0"/>
              <w:jc w:val="center"/>
              <w:rPr>
                <w:rFonts w:eastAsia="Times New Roman" w:cs="Segoe UI"/>
                <w:sz w:val="18"/>
                <w:szCs w:val="18"/>
                <w:lang w:eastAsia="en-AU"/>
              </w:rPr>
            </w:pPr>
          </w:p>
        </w:tc>
      </w:tr>
    </w:tbl>
    <w:p w14:paraId="2EBE2E6C" w14:textId="77777777" w:rsidR="00204D69" w:rsidRPr="0045496C" w:rsidRDefault="00204D69" w:rsidP="00204D69">
      <w:pPr>
        <w:spacing w:before="240"/>
        <w:rPr>
          <w:color w:val="auto"/>
          <w:lang w:eastAsia="x-none"/>
        </w:rPr>
      </w:pPr>
      <w:r w:rsidRPr="0045496C">
        <w:rPr>
          <w:color w:val="auto"/>
          <w:lang w:eastAsia="x-none"/>
        </w:rPr>
        <w:t xml:space="preserve">Caution needs to be taken with interpreting overall trends as the overall level of </w:t>
      </w:r>
      <w:r>
        <w:rPr>
          <w:color w:val="auto"/>
          <w:lang w:eastAsia="x-none"/>
        </w:rPr>
        <w:t xml:space="preserve">prevalence </w:t>
      </w:r>
      <w:r w:rsidRPr="0045496C">
        <w:rPr>
          <w:color w:val="auto"/>
          <w:lang w:eastAsia="x-none"/>
        </w:rPr>
        <w:t>can vary. For example in relation to annual rates of reported offences against the person, Pormpuraaw reports a statistical trend reduction from 2002/3 to 2011/12 but the overall level of reported offences is still relatively high.</w:t>
      </w:r>
    </w:p>
    <w:p w14:paraId="2EBE2E6D" w14:textId="77777777" w:rsidR="00204D69" w:rsidRPr="0045496C" w:rsidRDefault="00204D69" w:rsidP="00204D69">
      <w:pPr>
        <w:rPr>
          <w:color w:val="auto"/>
          <w:lang w:eastAsia="x-none"/>
        </w:rPr>
      </w:pPr>
      <w:r w:rsidRPr="00C13D91">
        <w:rPr>
          <w:color w:val="auto"/>
          <w:lang w:eastAsia="x-none"/>
        </w:rPr>
        <w:t>Appendix 14</w:t>
      </w:r>
      <w:r>
        <w:rPr>
          <w:color w:val="auto"/>
          <w:lang w:eastAsia="x-none"/>
        </w:rPr>
        <w:t xml:space="preserve"> </w:t>
      </w:r>
      <w:r w:rsidRPr="0045496C">
        <w:rPr>
          <w:color w:val="auto"/>
          <w:lang w:eastAsia="x-none"/>
        </w:rPr>
        <w:t xml:space="preserve">presents a snapshot </w:t>
      </w:r>
      <w:r>
        <w:rPr>
          <w:color w:val="auto"/>
          <w:lang w:eastAsia="x-none"/>
        </w:rPr>
        <w:t xml:space="preserve">summary </w:t>
      </w:r>
      <w:r w:rsidRPr="0045496C">
        <w:rPr>
          <w:color w:val="auto"/>
          <w:lang w:eastAsia="x-none"/>
        </w:rPr>
        <w:t>of both trend data and the latest annual data for WBC and other Cape communities.</w:t>
      </w:r>
    </w:p>
    <w:p w14:paraId="2EBE2E6E" w14:textId="77777777" w:rsidR="00204D69" w:rsidRDefault="00FE28A4" w:rsidP="00BC0A26">
      <w:pPr>
        <w:pStyle w:val="Heading3"/>
      </w:pPr>
      <w:r>
        <w:t>Summary</w:t>
      </w:r>
    </w:p>
    <w:p w14:paraId="2EBE2E6F" w14:textId="77777777" w:rsidR="00204D69" w:rsidRPr="00204D69" w:rsidRDefault="00204D69" w:rsidP="00204D69">
      <w:pPr>
        <w:rPr>
          <w:lang w:eastAsia="x-none"/>
        </w:rPr>
      </w:pPr>
      <w:r w:rsidRPr="0045496C">
        <w:rPr>
          <w:color w:val="auto"/>
          <w:lang w:eastAsia="x-none"/>
        </w:rPr>
        <w:t xml:space="preserve">The overall conclusion that can be drawn </w:t>
      </w:r>
      <w:r>
        <w:rPr>
          <w:color w:val="auto"/>
          <w:lang w:eastAsia="x-none"/>
        </w:rPr>
        <w:t xml:space="preserve">based on this limited analysis </w:t>
      </w:r>
      <w:r w:rsidRPr="0045496C">
        <w:rPr>
          <w:color w:val="auto"/>
          <w:lang w:eastAsia="x-none"/>
        </w:rPr>
        <w:t xml:space="preserve">is that </w:t>
      </w:r>
      <w:r>
        <w:rPr>
          <w:color w:val="auto"/>
          <w:lang w:eastAsia="x-none"/>
        </w:rPr>
        <w:t xml:space="preserve">at the individual and community level, </w:t>
      </w:r>
      <w:r w:rsidRPr="0045496C">
        <w:rPr>
          <w:color w:val="auto"/>
          <w:lang w:eastAsia="x-none"/>
        </w:rPr>
        <w:t>the WBC communities</w:t>
      </w:r>
      <w:r>
        <w:rPr>
          <w:color w:val="auto"/>
          <w:lang w:eastAsia="x-none"/>
        </w:rPr>
        <w:t xml:space="preserve"> to do not appear to be </w:t>
      </w:r>
      <w:r w:rsidRPr="0045496C">
        <w:rPr>
          <w:color w:val="auto"/>
          <w:lang w:eastAsia="x-none"/>
        </w:rPr>
        <w:t xml:space="preserve">performing noticeably better than other communities when measured against the </w:t>
      </w:r>
      <w:r>
        <w:rPr>
          <w:color w:val="auto"/>
          <w:lang w:eastAsia="x-none"/>
        </w:rPr>
        <w:t xml:space="preserve">limited outcome data available and the </w:t>
      </w:r>
      <w:r w:rsidRPr="0045496C">
        <w:rPr>
          <w:color w:val="auto"/>
          <w:lang w:eastAsia="x-none"/>
        </w:rPr>
        <w:t>Discrete Indigenous Communit</w:t>
      </w:r>
      <w:r>
        <w:rPr>
          <w:color w:val="auto"/>
          <w:lang w:eastAsia="x-none"/>
        </w:rPr>
        <w:t>y Key Indicators up to 2011/12.</w:t>
      </w:r>
    </w:p>
    <w:p w14:paraId="2EBE2E70" w14:textId="77777777" w:rsidR="00C27F05" w:rsidRPr="00DA5CD4" w:rsidRDefault="00C27F05" w:rsidP="00C27F05">
      <w:pPr>
        <w:pStyle w:val="Heading2"/>
      </w:pPr>
      <w:bookmarkStart w:id="118" w:name="_Challenges_in_achieving"/>
      <w:bookmarkStart w:id="119" w:name="_Toc440038436"/>
      <w:bookmarkEnd w:id="118"/>
      <w:r w:rsidRPr="00DA5CD4">
        <w:rPr>
          <w:lang w:val="en-AU"/>
        </w:rPr>
        <w:t>C</w:t>
      </w:r>
      <w:r w:rsidRPr="00DA5CD4">
        <w:t>hallenges in achieving individual and community level change</w:t>
      </w:r>
      <w:bookmarkEnd w:id="119"/>
    </w:p>
    <w:p w14:paraId="2EBE2E71" w14:textId="77777777" w:rsidR="00C27F05" w:rsidRDefault="00C27F05" w:rsidP="00C27F05">
      <w:pPr>
        <w:rPr>
          <w:color w:val="auto"/>
          <w:lang w:eastAsia="x-none"/>
        </w:rPr>
      </w:pPr>
      <w:r w:rsidRPr="002E707A">
        <w:rPr>
          <w:color w:val="auto"/>
          <w:lang w:eastAsia="x-none"/>
        </w:rPr>
        <w:t>This section examines</w:t>
      </w:r>
      <w:r>
        <w:rPr>
          <w:color w:val="auto"/>
          <w:lang w:eastAsia="x-none"/>
        </w:rPr>
        <w:t xml:space="preserve"> some of the challenges in achieving change at the individual and </w:t>
      </w:r>
      <w:r w:rsidRPr="002E707A">
        <w:rPr>
          <w:color w:val="auto"/>
          <w:lang w:eastAsia="x-none"/>
        </w:rPr>
        <w:t>community level change.</w:t>
      </w:r>
    </w:p>
    <w:p w14:paraId="2EBE2E72" w14:textId="77777777" w:rsidR="00C27F05" w:rsidRDefault="00C27F05" w:rsidP="00BC0A26">
      <w:pPr>
        <w:pStyle w:val="Heading3"/>
      </w:pPr>
      <w:r>
        <w:t>Achieving social and emotional well-being</w:t>
      </w:r>
    </w:p>
    <w:p w14:paraId="2EBE2E73" w14:textId="77777777" w:rsidR="00C27F05" w:rsidRPr="0015323D" w:rsidRDefault="00C27F05" w:rsidP="00C27F05">
      <w:pPr>
        <w:rPr>
          <w:color w:val="auto"/>
          <w:lang w:eastAsia="x-none"/>
        </w:rPr>
      </w:pPr>
      <w:r w:rsidRPr="0015323D">
        <w:rPr>
          <w:color w:val="auto"/>
          <w:lang w:eastAsia="x-none"/>
        </w:rPr>
        <w:t xml:space="preserve">The literature describes SEWB from a number of perspectives including socio economic status, social environment/social determinants, levels of empowerment, mental health/illness and a relationship with physical health. These are discussed briefly here to provide a broad understanding </w:t>
      </w:r>
      <w:r>
        <w:rPr>
          <w:color w:val="auto"/>
          <w:lang w:eastAsia="x-none"/>
        </w:rPr>
        <w:t>and context for the challenges associated with achieving SEWB</w:t>
      </w:r>
      <w:r w:rsidRPr="0015323D">
        <w:rPr>
          <w:color w:val="auto"/>
          <w:lang w:eastAsia="x-none"/>
        </w:rPr>
        <w:t>.</w:t>
      </w:r>
    </w:p>
    <w:p w14:paraId="2EBE2E74" w14:textId="77777777" w:rsidR="00C27F05" w:rsidRPr="0015323D" w:rsidRDefault="00C27F05" w:rsidP="00C27F05">
      <w:pPr>
        <w:rPr>
          <w:b/>
          <w:bCs/>
          <w:color w:val="auto"/>
          <w:lang w:eastAsia="x-none"/>
        </w:rPr>
      </w:pPr>
      <w:r w:rsidRPr="00F34DAD">
        <w:rPr>
          <w:rStyle w:val="Heading5Char"/>
          <w:rFonts w:eastAsia="Calibri"/>
        </w:rPr>
        <w:t>Social Determinants and Health and Wellbeing</w:t>
      </w:r>
      <w:r w:rsidRPr="0015323D">
        <w:rPr>
          <w:bCs/>
          <w:color w:val="auto"/>
          <w:vertAlign w:val="superscript"/>
          <w:lang w:eastAsia="x-none"/>
        </w:rPr>
        <w:footnoteReference w:id="16"/>
      </w:r>
    </w:p>
    <w:p w14:paraId="2EBE2E75" w14:textId="77777777" w:rsidR="00C27F05" w:rsidRPr="0015323D" w:rsidRDefault="00C27F05" w:rsidP="00C27F05">
      <w:pPr>
        <w:rPr>
          <w:color w:val="auto"/>
          <w:lang w:eastAsia="x-none"/>
        </w:rPr>
      </w:pPr>
      <w:r w:rsidRPr="0015323D">
        <w:rPr>
          <w:color w:val="auto"/>
          <w:lang w:eastAsia="x-none"/>
        </w:rPr>
        <w:t>The relationship between socio-economic status and health is well established, with people at the lowest socio-economic levels experiencing the highest rates of illnesses and death. As socio-economic position improves, health status also improves. Results from the 2002 National Aboriginal and Torres Strait Islander Social Survey (NATSISS) found that behavioural and environmental risk factors were reported in higher levels among Indigenous people who reported lower socio-economic status.</w:t>
      </w:r>
    </w:p>
    <w:p w14:paraId="2EBE2E76" w14:textId="77777777" w:rsidR="00C27F05" w:rsidRPr="0015323D" w:rsidRDefault="00C27F05" w:rsidP="00C27F05">
      <w:pPr>
        <w:rPr>
          <w:color w:val="auto"/>
          <w:lang w:eastAsia="x-none"/>
        </w:rPr>
      </w:pPr>
      <w:r w:rsidRPr="0015323D">
        <w:rPr>
          <w:color w:val="auto"/>
          <w:lang w:eastAsia="x-none"/>
        </w:rPr>
        <w:t xml:space="preserve">However, socio-economic status alone does not explain the variations in health status that exist between groups in society. Health risk behaviours (e.g. alcohol and drug misuse) and other health risk factors (e.g. poor housing, exposure to violence) are also important determinants of health but even these do not fully explain the differential burden of disease between population groups. Research </w:t>
      </w:r>
      <w:r w:rsidRPr="0015323D">
        <w:rPr>
          <w:color w:val="auto"/>
          <w:lang w:eastAsia="x-none"/>
        </w:rPr>
        <w:lastRenderedPageBreak/>
        <w:t xml:space="preserve">suggests that at least a partial explanation for the remaining differences lies in other determinants of health such as aspects of the social environment. These include the neighbourhood in which one lives, one's position in the workplace relative to others, the quality of one's social connections with friends, family and the community, and the degree to which one feels included or excluded by society. </w:t>
      </w:r>
    </w:p>
    <w:p w14:paraId="2EBE2E77" w14:textId="77777777" w:rsidR="00C27F05" w:rsidRPr="0015323D" w:rsidRDefault="00C27F05" w:rsidP="00C27F05">
      <w:pPr>
        <w:rPr>
          <w:color w:val="auto"/>
          <w:lang w:eastAsia="x-none"/>
        </w:rPr>
      </w:pPr>
      <w:r w:rsidRPr="00F34DAD">
        <w:rPr>
          <w:rStyle w:val="Heading5Char"/>
          <w:rFonts w:eastAsia="Calibri"/>
        </w:rPr>
        <w:t>Chronic Stress, Psychological Distress and Social and Emotional Wellbeing</w:t>
      </w:r>
      <w:r w:rsidRPr="0015323D">
        <w:rPr>
          <w:color w:val="auto"/>
          <w:vertAlign w:val="superscript"/>
          <w:lang w:eastAsia="x-none"/>
        </w:rPr>
        <w:footnoteReference w:id="17"/>
      </w:r>
      <w:r w:rsidR="00752FA3" w:rsidRPr="00752FA3">
        <w:rPr>
          <w:rStyle w:val="Heading5Char"/>
          <w:rFonts w:eastAsia="Calibri"/>
          <w:sz w:val="16"/>
          <w:szCs w:val="16"/>
          <w:vertAlign w:val="superscript"/>
          <w:lang w:val="en-AU"/>
        </w:rPr>
        <w:t xml:space="preserve"> </w:t>
      </w:r>
      <w:r w:rsidRPr="0015323D">
        <w:rPr>
          <w:color w:val="auto"/>
          <w:vertAlign w:val="superscript"/>
          <w:lang w:eastAsia="x-none"/>
        </w:rPr>
        <w:footnoteReference w:id="18"/>
      </w:r>
    </w:p>
    <w:p w14:paraId="2EBE2E78" w14:textId="77777777" w:rsidR="00C27F05" w:rsidRPr="0015323D" w:rsidRDefault="00C27F05" w:rsidP="00C27F05">
      <w:pPr>
        <w:rPr>
          <w:color w:val="auto"/>
          <w:lang w:eastAsia="x-none"/>
        </w:rPr>
      </w:pPr>
      <w:r w:rsidRPr="0015323D">
        <w:rPr>
          <w:color w:val="auto"/>
          <w:lang w:eastAsia="x-none"/>
        </w:rPr>
        <w:t>Through numerous studies a number of risk factors for stress associated with poor SEWB, have been identified by Indigenous Australians, including: stressful life events; widespread trauma, grief and loss; child removals; cultural dislocation; unresolved grief and loss; cultural identity; economic and social disadvantage; physical health problems; incarceration; child removal by care and protection orders and juvenile justice supervision; violence; substance use and abuse. Systemic discrimination is also considered a determinant of serious psychological distress among Indigenous people and a barrier to those seeking access to support services to cope with distress.</w:t>
      </w:r>
    </w:p>
    <w:p w14:paraId="2EBE2E79" w14:textId="77777777" w:rsidR="00C27F05" w:rsidRPr="0015323D" w:rsidRDefault="00C27F05" w:rsidP="00C27F05">
      <w:pPr>
        <w:rPr>
          <w:color w:val="auto"/>
          <w:lang w:eastAsia="x-none"/>
        </w:rPr>
      </w:pPr>
      <w:r w:rsidRPr="0015323D">
        <w:rPr>
          <w:color w:val="auto"/>
          <w:lang w:eastAsia="x-none"/>
        </w:rPr>
        <w:t>Whilst single risk factors can have an effect, multiple risk factors over a long period of time can have a cumulative effect leading to chronic stress and if not reduced or mitigated will lead to psychological distress. Those who are psychologically overwhelmed or struggling to cope with multiple stressors are likely to exhibit higher levels of psychological distress. Regardless of the source of stress, serious psychological distress is likely to indicate that a persons’ SEWB is under severe threat.</w:t>
      </w:r>
    </w:p>
    <w:p w14:paraId="2EBE2E7A" w14:textId="77777777" w:rsidR="00C27F05" w:rsidRPr="0015323D" w:rsidRDefault="00C27F05" w:rsidP="00C27F05">
      <w:pPr>
        <w:rPr>
          <w:color w:val="auto"/>
          <w:lang w:eastAsia="x-none"/>
        </w:rPr>
      </w:pPr>
      <w:r w:rsidRPr="0015323D">
        <w:rPr>
          <w:color w:val="auto"/>
          <w:lang w:eastAsia="x-none"/>
        </w:rPr>
        <w:t xml:space="preserve">Chronic stress is increasingly seen as a key determinant of mental health problems, poor health choices and a range of general health outcomes. Additionally, international research found that high levels of generalised stress independently contributed to chronic disease, suicide and drug misuse among Indigenous people. Exposure to stress was also found to be associated with health-damaging behaviours such as drug misuse and cigarette smoking. Other manifestations of chronic stress that have been identified include; intentional </w:t>
      </w:r>
      <w:r w:rsidR="006C7366" w:rsidRPr="0015323D">
        <w:rPr>
          <w:color w:val="auto"/>
          <w:lang w:eastAsia="x-none"/>
        </w:rPr>
        <w:t>self-harm</w:t>
      </w:r>
      <w:r w:rsidRPr="0015323D">
        <w:rPr>
          <w:color w:val="auto"/>
          <w:lang w:eastAsia="x-none"/>
        </w:rPr>
        <w:t>, anger and aggression, and problem gambling.</w:t>
      </w:r>
    </w:p>
    <w:p w14:paraId="2EBE2E7B" w14:textId="77777777" w:rsidR="00C27F05" w:rsidRPr="0015323D" w:rsidRDefault="00C27F05" w:rsidP="00C27F05">
      <w:pPr>
        <w:rPr>
          <w:color w:val="auto"/>
          <w:lang w:eastAsia="x-none"/>
        </w:rPr>
      </w:pPr>
      <w:r w:rsidRPr="0015323D">
        <w:rPr>
          <w:color w:val="auto"/>
          <w:lang w:eastAsia="x-none"/>
        </w:rPr>
        <w:t>Whilst the research has identified a range of risk factors, they also identify a number of important strengths or protective factors, such as social cohesion, a sense of positive wellbeing and resilience and connection to land, culture, spirituality and ancestry that can serve as sources of resilience, and can moderate the impact of stressful circumstances on SEWB at an individual, family and community level. These factors can serve as a unique reservoir of strength and recovery when Indigenous people are faced with adversity. The Australian Indigenous Psychology Association (2009), specifically note that these strengths or protective factors are currently under-researched, and further research is needed to gain a better understanding of the nature and impact of protective factors related to SEWB.</w:t>
      </w:r>
    </w:p>
    <w:p w14:paraId="2EBE2E7C" w14:textId="77777777" w:rsidR="00C27F05" w:rsidRPr="0015323D" w:rsidRDefault="00C27F05" w:rsidP="00C27F05">
      <w:pPr>
        <w:rPr>
          <w:color w:val="auto"/>
          <w:lang w:eastAsia="x-none"/>
        </w:rPr>
      </w:pPr>
      <w:r w:rsidRPr="0015323D">
        <w:rPr>
          <w:color w:val="auto"/>
          <w:lang w:eastAsia="x-none"/>
        </w:rPr>
        <w:t xml:space="preserve">Essential too, for many Indigenous people traditionally and in contemporary contexts is the bond between person and land - a connection that constitutes one's sense of individual and social identity and responsibility. The integrity of relationships between people and spiritual entities and the clarity of connections between people and land contribute greatly to the SEWB of Indigenous people. </w:t>
      </w:r>
    </w:p>
    <w:p w14:paraId="2EBE2E7D" w14:textId="77777777" w:rsidR="00C27F05" w:rsidRDefault="00C27F05" w:rsidP="00C27F05">
      <w:pPr>
        <w:rPr>
          <w:color w:val="auto"/>
          <w:lang w:eastAsia="x-none"/>
        </w:rPr>
      </w:pPr>
      <w:r w:rsidRPr="0015323D">
        <w:rPr>
          <w:color w:val="auto"/>
          <w:lang w:eastAsia="x-none"/>
        </w:rPr>
        <w:t>Conversely, ruptures to significant relationships and markers of identity including access to culturally significant sites and socially significant persons can serve to compromise the quality of an individuals' or a community's SEWB. SEWB for Indigenous people in these terms is very much a matter of the integration of the various priorities, practices and principles that comprise their lives.</w:t>
      </w:r>
    </w:p>
    <w:p w14:paraId="2EBE2E7E" w14:textId="77777777" w:rsidR="00C27F05" w:rsidRDefault="00C27F05" w:rsidP="00FF37EE">
      <w:pPr>
        <w:pStyle w:val="Heading4"/>
      </w:pPr>
      <w:r>
        <w:lastRenderedPageBreak/>
        <w:t>Emerging evidence</w:t>
      </w:r>
    </w:p>
    <w:p w14:paraId="2EBE2E7F" w14:textId="77777777" w:rsidR="00C27F05" w:rsidRDefault="00C27F05" w:rsidP="00C27F05">
      <w:pPr>
        <w:rPr>
          <w:color w:val="auto"/>
          <w:lang w:eastAsia="x-none"/>
        </w:rPr>
      </w:pPr>
      <w:r>
        <w:rPr>
          <w:color w:val="auto"/>
          <w:lang w:eastAsia="x-none"/>
        </w:rPr>
        <w:t>In addition there is a growing body of evidence that demonstrates the links between early experiences of the development of chronic disease, psychosocial problems and reduced educational outcomes. It is now well understood that early brain development affects lifelong health and well-being of individual and that early environmental experiences significantly shape the developing brain, with many environmental factors, including smoking, alcohol, maternal nutrition and illness and dramatics str</w:t>
      </w:r>
      <w:r w:rsidR="000B5C52">
        <w:rPr>
          <w:color w:val="auto"/>
          <w:lang w:eastAsia="x-none"/>
        </w:rPr>
        <w:t>ess affecting the unborn child.</w:t>
      </w:r>
      <w:r>
        <w:rPr>
          <w:rStyle w:val="FootnoteReference"/>
          <w:color w:val="auto"/>
          <w:lang w:eastAsia="x-none"/>
        </w:rPr>
        <w:footnoteReference w:id="19"/>
      </w:r>
      <w:r w:rsidR="00752FA3" w:rsidRPr="00752FA3">
        <w:rPr>
          <w:color w:val="auto"/>
          <w:sz w:val="16"/>
          <w:szCs w:val="16"/>
          <w:vertAlign w:val="superscript"/>
          <w:lang w:eastAsia="x-none"/>
        </w:rPr>
        <w:t xml:space="preserve"> </w:t>
      </w:r>
      <w:r>
        <w:rPr>
          <w:rStyle w:val="FootnoteReference"/>
          <w:color w:val="auto"/>
          <w:lang w:eastAsia="x-none"/>
        </w:rPr>
        <w:footnoteReference w:id="20"/>
      </w:r>
    </w:p>
    <w:p w14:paraId="2EBE2E80" w14:textId="77777777" w:rsidR="00C27F05" w:rsidRDefault="00C27F05" w:rsidP="00C27F05">
      <w:pPr>
        <w:rPr>
          <w:color w:val="auto"/>
          <w:lang w:eastAsia="x-none"/>
        </w:rPr>
      </w:pPr>
      <w:r>
        <w:rPr>
          <w:color w:val="auto"/>
          <w:lang w:eastAsia="x-none"/>
        </w:rPr>
        <w:t>Hunter has also argued that compromised neuro-developmental environments have led to higher rates of serious mental illness.</w:t>
      </w:r>
      <w:r>
        <w:rPr>
          <w:rStyle w:val="FootnoteReference"/>
          <w:color w:val="auto"/>
          <w:lang w:eastAsia="x-none"/>
        </w:rPr>
        <w:footnoteReference w:id="21"/>
      </w:r>
    </w:p>
    <w:p w14:paraId="2EBE2E81" w14:textId="77777777" w:rsidR="00C27F05" w:rsidRPr="00DE6918" w:rsidRDefault="00C27F05" w:rsidP="00C27F05">
      <w:pPr>
        <w:rPr>
          <w:color w:val="auto"/>
          <w:lang w:eastAsia="x-none"/>
        </w:rPr>
      </w:pPr>
      <w:r>
        <w:rPr>
          <w:color w:val="auto"/>
          <w:lang w:eastAsia="x-none"/>
        </w:rPr>
        <w:t>This creates a significant barrier to achieving individual and population level change quickly and highlights the importance of ensuring safe environments are established and risks are minimised for younger indigenous children including in utero.</w:t>
      </w:r>
    </w:p>
    <w:p w14:paraId="2EBE2E82" w14:textId="77777777" w:rsidR="00C27F05" w:rsidRPr="002E707A" w:rsidRDefault="00C27F05" w:rsidP="00BC0A26">
      <w:pPr>
        <w:pStyle w:val="Heading3"/>
      </w:pPr>
      <w:r>
        <w:t>Social change in the context of the Cape York Welfare Reform</w:t>
      </w:r>
    </w:p>
    <w:p w14:paraId="2EBE2E83" w14:textId="77777777" w:rsidR="00C27F05" w:rsidRDefault="00C27F05" w:rsidP="00C27F05">
      <w:pPr>
        <w:rPr>
          <w:color w:val="auto"/>
          <w:lang w:eastAsia="x-none"/>
        </w:rPr>
      </w:pPr>
      <w:r w:rsidRPr="002E707A">
        <w:rPr>
          <w:color w:val="auto"/>
          <w:lang w:eastAsia="x-none"/>
        </w:rPr>
        <w:t xml:space="preserve">As noted in the </w:t>
      </w:r>
      <w:r w:rsidRPr="002E707A">
        <w:rPr>
          <w:i/>
          <w:color w:val="auto"/>
          <w:lang w:eastAsia="x-none"/>
        </w:rPr>
        <w:t>Cape York Welfare Reform Evaluation</w:t>
      </w:r>
      <w:r w:rsidRPr="002E707A">
        <w:rPr>
          <w:color w:val="auto"/>
          <w:lang w:eastAsia="x-none"/>
        </w:rPr>
        <w:t xml:space="preserve"> social change is characterised by interconnected and interrelated causality</w:t>
      </w:r>
      <w:r>
        <w:rPr>
          <w:color w:val="auto"/>
          <w:lang w:eastAsia="x-none"/>
        </w:rPr>
        <w:t xml:space="preserve"> (as discussed above)</w:t>
      </w:r>
      <w:r w:rsidRPr="002E707A">
        <w:rPr>
          <w:color w:val="auto"/>
          <w:lang w:eastAsia="x-none"/>
        </w:rPr>
        <w:t xml:space="preserve"> hence the breadth and scale of the reforms. The evaluation framework for the CYWR trial conceptualised a theory of change comprising a continuum from putting in place foundations and enablers, bringing about short- to medium-term behaviour change, and finally achieving sustainable improvements in the </w:t>
      </w:r>
      <w:r>
        <w:rPr>
          <w:color w:val="auto"/>
          <w:lang w:eastAsia="x-none"/>
        </w:rPr>
        <w:t>communities in the longer term.</w:t>
      </w:r>
    </w:p>
    <w:p w14:paraId="2EBE2E84" w14:textId="77777777" w:rsidR="00834785" w:rsidRDefault="00C27F05" w:rsidP="00C27F05">
      <w:pPr>
        <w:rPr>
          <w:color w:val="auto"/>
          <w:lang w:eastAsia="x-none"/>
        </w:rPr>
      </w:pPr>
      <w:r w:rsidRPr="002E707A">
        <w:rPr>
          <w:color w:val="auto"/>
          <w:lang w:eastAsia="x-none"/>
        </w:rPr>
        <w:t>The evaluation noted progress around the fundamental behavioural changes sought from the trial has been at the foundational level in terms of stabilising social circumstances and creating the conditions for further behavioural change. It notes that it is arguable that this extent of progress along a continuum of long-term social norm change is as much as could be expected in a three- to four-year timeframe.</w:t>
      </w:r>
      <w:r w:rsidRPr="002E707A">
        <w:rPr>
          <w:rStyle w:val="FootnoteReference"/>
          <w:color w:val="auto"/>
          <w:lang w:eastAsia="x-none"/>
        </w:rPr>
        <w:footnoteReference w:id="22"/>
      </w:r>
    </w:p>
    <w:p w14:paraId="2EBE2E85" w14:textId="77777777" w:rsidR="00C27F05" w:rsidRPr="002E707A" w:rsidRDefault="00C27F05" w:rsidP="00C27F05">
      <w:pPr>
        <w:rPr>
          <w:color w:val="auto"/>
          <w:lang w:eastAsia="x-none"/>
        </w:rPr>
      </w:pPr>
      <w:r w:rsidRPr="002E707A">
        <w:rPr>
          <w:color w:val="auto"/>
          <w:lang w:eastAsia="x-none"/>
        </w:rPr>
        <w:t>The program theory for the WBCs aligns with the CYWR trial</w:t>
      </w:r>
      <w:r w:rsidRPr="002E707A">
        <w:rPr>
          <w:color w:val="auto"/>
        </w:rPr>
        <w:t xml:space="preserve"> </w:t>
      </w:r>
      <w:r w:rsidRPr="002E707A">
        <w:rPr>
          <w:color w:val="auto"/>
          <w:lang w:eastAsia="x-none"/>
        </w:rPr>
        <w:t>program theory</w:t>
      </w:r>
      <w:r>
        <w:rPr>
          <w:color w:val="auto"/>
          <w:lang w:eastAsia="x-none"/>
        </w:rPr>
        <w:t xml:space="preserve"> which in turn </w:t>
      </w:r>
      <w:r w:rsidRPr="002E707A">
        <w:rPr>
          <w:color w:val="auto"/>
          <w:lang w:eastAsia="x-none"/>
        </w:rPr>
        <w:t>is built on the work of Kelman and his theory of inf</w:t>
      </w:r>
      <w:r w:rsidR="000B5C52">
        <w:rPr>
          <w:color w:val="auto"/>
          <w:lang w:eastAsia="x-none"/>
        </w:rPr>
        <w:t>luence.</w:t>
      </w:r>
      <w:r w:rsidRPr="002E707A">
        <w:rPr>
          <w:color w:val="auto"/>
          <w:lang w:eastAsia="x-none"/>
        </w:rPr>
        <w:t xml:space="preserve"> </w:t>
      </w:r>
      <w:r w:rsidR="000B5C52">
        <w:rPr>
          <w:color w:val="auto"/>
          <w:lang w:eastAsia="x-none"/>
        </w:rPr>
        <w:t xml:space="preserve">That is, </w:t>
      </w:r>
      <w:r w:rsidRPr="002E707A">
        <w:rPr>
          <w:color w:val="auto"/>
          <w:lang w:eastAsia="x-none"/>
        </w:rPr>
        <w:t xml:space="preserve">where individuals participate in WBC programs appropriate to their specific need (regardless of the motivation being compliance, identification or internalisation), this will facilitate them taking responsibility for personal and family SEWB and functioning, and this will have a broader change effect through the community that over time will encourage and reinforce the benefits of behavioural change and contribute to rebuilding social norms (along with a range of other reforms being implemented as part of the CYWR trial). </w:t>
      </w:r>
    </w:p>
    <w:p w14:paraId="2EBE2E86" w14:textId="77777777" w:rsidR="00C27F05" w:rsidRDefault="00C27F05" w:rsidP="00C27F05">
      <w:pPr>
        <w:rPr>
          <w:color w:val="auto"/>
          <w:lang w:eastAsia="x-none"/>
        </w:rPr>
      </w:pPr>
      <w:r w:rsidRPr="002E707A">
        <w:rPr>
          <w:color w:val="auto"/>
          <w:lang w:eastAsia="x-none"/>
        </w:rPr>
        <w:t>The program theory does not stipulate the scale of individual community engagement or the timeframe required to</w:t>
      </w:r>
      <w:r>
        <w:rPr>
          <w:color w:val="auto"/>
          <w:lang w:eastAsia="x-none"/>
        </w:rPr>
        <w:t xml:space="preserve"> achieve a </w:t>
      </w:r>
      <w:r w:rsidRPr="002E707A">
        <w:rPr>
          <w:color w:val="auto"/>
          <w:lang w:eastAsia="x-none"/>
        </w:rPr>
        <w:t>significant impact at community level.</w:t>
      </w:r>
    </w:p>
    <w:p w14:paraId="2EBE2E87" w14:textId="77777777" w:rsidR="00C27F05" w:rsidRDefault="00C27F05" w:rsidP="00BC0A26">
      <w:pPr>
        <w:pStyle w:val="Heading3"/>
      </w:pPr>
      <w:r>
        <w:t>The level of change</w:t>
      </w:r>
    </w:p>
    <w:p w14:paraId="2EBE2E88" w14:textId="77777777" w:rsidR="00C27F05" w:rsidRPr="002E707A" w:rsidRDefault="00C27F05" w:rsidP="00C27F05">
      <w:pPr>
        <w:rPr>
          <w:color w:val="auto"/>
          <w:lang w:eastAsia="x-none"/>
        </w:rPr>
      </w:pPr>
      <w:r w:rsidRPr="002E707A">
        <w:rPr>
          <w:color w:val="auto"/>
          <w:lang w:eastAsia="x-none"/>
        </w:rPr>
        <w:t>The reasons that reported and sustained change at the community level in the areas of alcohol and other drug related issues and community safety has not been achieved to date is likely to include</w:t>
      </w:r>
      <w:r w:rsidR="00703459">
        <w:rPr>
          <w:color w:val="auto"/>
          <w:lang w:eastAsia="x-none"/>
        </w:rPr>
        <w:t xml:space="preserve"> a combination of the following factors</w:t>
      </w:r>
      <w:r w:rsidRPr="002E707A">
        <w:rPr>
          <w:color w:val="auto"/>
          <w:lang w:eastAsia="x-none"/>
        </w:rPr>
        <w:t>:</w:t>
      </w:r>
    </w:p>
    <w:p w14:paraId="2EBE2E89" w14:textId="77777777" w:rsidR="00E4003A" w:rsidRDefault="00703459" w:rsidP="0083588E">
      <w:pPr>
        <w:numPr>
          <w:ilvl w:val="0"/>
          <w:numId w:val="14"/>
        </w:numPr>
        <w:rPr>
          <w:lang w:eastAsia="x-none"/>
        </w:rPr>
      </w:pPr>
      <w:r>
        <w:rPr>
          <w:lang w:eastAsia="x-none"/>
        </w:rPr>
        <w:lastRenderedPageBreak/>
        <w:t xml:space="preserve">Whilst the proportion of adult community members who have attended the WBCs </w:t>
      </w:r>
      <w:r w:rsidR="00E4003A">
        <w:rPr>
          <w:lang w:eastAsia="x-none"/>
        </w:rPr>
        <w:t xml:space="preserve">in each community </w:t>
      </w:r>
      <w:r>
        <w:rPr>
          <w:lang w:eastAsia="x-none"/>
        </w:rPr>
        <w:t>is quite high</w:t>
      </w:r>
      <w:r w:rsidR="004B6CD5">
        <w:rPr>
          <w:lang w:eastAsia="x-none"/>
        </w:rPr>
        <w:t xml:space="preserve"> </w:t>
      </w:r>
      <w:r w:rsidR="00E4003A">
        <w:rPr>
          <w:lang w:eastAsia="x-none"/>
        </w:rPr>
        <w:t>(&gt; than 50%)</w:t>
      </w:r>
      <w:r>
        <w:rPr>
          <w:lang w:eastAsia="x-none"/>
        </w:rPr>
        <w:t>, it is considered that many more individual</w:t>
      </w:r>
      <w:r w:rsidR="00E4003A">
        <w:rPr>
          <w:lang w:eastAsia="x-none"/>
        </w:rPr>
        <w:t>s</w:t>
      </w:r>
      <w:r>
        <w:rPr>
          <w:lang w:eastAsia="x-none"/>
        </w:rPr>
        <w:t xml:space="preserve"> </w:t>
      </w:r>
      <w:r w:rsidR="00E4003A">
        <w:rPr>
          <w:lang w:eastAsia="x-none"/>
        </w:rPr>
        <w:t>(</w:t>
      </w:r>
      <w:r w:rsidR="00E4003A" w:rsidRPr="00DA5CD4">
        <w:rPr>
          <w:lang w:eastAsia="x-none"/>
        </w:rPr>
        <w:t>includin</w:t>
      </w:r>
      <w:r w:rsidR="00E4003A">
        <w:rPr>
          <w:lang w:eastAsia="x-none"/>
        </w:rPr>
        <w:t>g those</w:t>
      </w:r>
      <w:r w:rsidR="00E4003A" w:rsidRPr="00DA5CD4">
        <w:rPr>
          <w:lang w:eastAsia="x-none"/>
        </w:rPr>
        <w:t xml:space="preserve"> who are hard to reach and currently unwilling to engage</w:t>
      </w:r>
      <w:r w:rsidR="00E4003A">
        <w:rPr>
          <w:lang w:eastAsia="x-none"/>
        </w:rPr>
        <w:t xml:space="preserve">) </w:t>
      </w:r>
      <w:r>
        <w:rPr>
          <w:lang w:eastAsia="x-none"/>
        </w:rPr>
        <w:t xml:space="preserve">would need to seriously engage and </w:t>
      </w:r>
      <w:r w:rsidR="00E4003A">
        <w:rPr>
          <w:lang w:eastAsia="x-none"/>
        </w:rPr>
        <w:t>commence making lifestyle changes in order to demonstrate community wide change.</w:t>
      </w:r>
    </w:p>
    <w:p w14:paraId="2EBE2E8A" w14:textId="77777777" w:rsidR="00C27F05" w:rsidRDefault="004B6CD5" w:rsidP="0083588E">
      <w:pPr>
        <w:pStyle w:val="ListParagraph"/>
        <w:numPr>
          <w:ilvl w:val="0"/>
          <w:numId w:val="14"/>
        </w:numPr>
        <w:rPr>
          <w:color w:val="auto"/>
          <w:lang w:eastAsia="x-none"/>
        </w:rPr>
      </w:pPr>
      <w:r>
        <w:rPr>
          <w:color w:val="auto"/>
          <w:lang w:eastAsia="x-none"/>
        </w:rPr>
        <w:t xml:space="preserve">Whilst after 5 years of WBC operation it would be anticipated that some community level change might be observable, given all of the contextual factors, it may be that the timeframe </w:t>
      </w:r>
      <w:r w:rsidR="001A2B6A">
        <w:rPr>
          <w:color w:val="auto"/>
          <w:lang w:eastAsia="x-none"/>
        </w:rPr>
        <w:t>is</w:t>
      </w:r>
      <w:r w:rsidR="009064A1" w:rsidRPr="002E707A">
        <w:rPr>
          <w:color w:val="auto"/>
          <w:lang w:eastAsia="x-none"/>
        </w:rPr>
        <w:t xml:space="preserve"> </w:t>
      </w:r>
      <w:r w:rsidR="00C27F05" w:rsidRPr="002E707A">
        <w:rPr>
          <w:color w:val="auto"/>
          <w:lang w:eastAsia="x-none"/>
        </w:rPr>
        <w:t>not sufficient to flow through to significant and sustained change at the community level</w:t>
      </w:r>
      <w:r w:rsidR="004B1D80">
        <w:rPr>
          <w:color w:val="auto"/>
          <w:lang w:eastAsia="x-none"/>
        </w:rPr>
        <w:t>.</w:t>
      </w:r>
      <w:r>
        <w:rPr>
          <w:color w:val="auto"/>
          <w:lang w:eastAsia="x-none"/>
        </w:rPr>
        <w:t xml:space="preserve"> Additionally, the existence of </w:t>
      </w:r>
      <w:r w:rsidRPr="00431AE6">
        <w:rPr>
          <w:color w:val="auto"/>
          <w:lang w:eastAsia="x-none"/>
        </w:rPr>
        <w:t>compromised neuro-developmental environments</w:t>
      </w:r>
      <w:r>
        <w:rPr>
          <w:color w:val="auto"/>
          <w:lang w:eastAsia="x-none"/>
        </w:rPr>
        <w:t xml:space="preserve"> may be an inhibitor to significant and broad community wide change occurring at all and that change might only occur for </w:t>
      </w:r>
      <w:r w:rsidR="001A2B6A">
        <w:rPr>
          <w:color w:val="auto"/>
          <w:lang w:eastAsia="x-none"/>
        </w:rPr>
        <w:t>certain cohorts in the community</w:t>
      </w:r>
      <w:r>
        <w:rPr>
          <w:color w:val="auto"/>
          <w:lang w:eastAsia="x-none"/>
        </w:rPr>
        <w:t>.</w:t>
      </w:r>
      <w:r w:rsidR="001A2B6A">
        <w:rPr>
          <w:color w:val="auto"/>
          <w:lang w:eastAsia="x-none"/>
        </w:rPr>
        <w:t xml:space="preserve"> This would support a very targeted approach for wellbeing services into the future and in particular children and younger people.</w:t>
      </w:r>
    </w:p>
    <w:p w14:paraId="2EBE2E8B" w14:textId="77777777" w:rsidR="00C27F05" w:rsidRPr="00431AE6" w:rsidRDefault="004B1D80" w:rsidP="0083588E">
      <w:pPr>
        <w:pStyle w:val="ListParagraph"/>
        <w:numPr>
          <w:ilvl w:val="0"/>
          <w:numId w:val="14"/>
        </w:numPr>
        <w:rPr>
          <w:color w:val="auto"/>
          <w:lang w:eastAsia="x-none"/>
        </w:rPr>
      </w:pPr>
      <w:r>
        <w:rPr>
          <w:color w:val="auto"/>
          <w:lang w:eastAsia="x-none"/>
        </w:rPr>
        <w:t>T</w:t>
      </w:r>
      <w:r w:rsidR="00C27F05" w:rsidRPr="00431AE6">
        <w:rPr>
          <w:color w:val="auto"/>
          <w:lang w:eastAsia="x-none"/>
        </w:rPr>
        <w:t>he range of confounding factors impacting upon the community and outside the WBC control, for example the time required for behavioural change to flow through to community level change, community leadership, employment, the provision of other services and historical institutional disadvantage</w:t>
      </w:r>
      <w:r w:rsidR="00C27F05">
        <w:rPr>
          <w:color w:val="auto"/>
          <w:lang w:eastAsia="x-none"/>
        </w:rPr>
        <w:t xml:space="preserve"> of the nature discussed above</w:t>
      </w:r>
      <w:r w:rsidR="00C27F05" w:rsidRPr="00431AE6">
        <w:rPr>
          <w:color w:val="auto"/>
          <w:lang w:eastAsia="x-none"/>
        </w:rPr>
        <w:t>.</w:t>
      </w:r>
    </w:p>
    <w:p w14:paraId="2EBE2E8C" w14:textId="77777777" w:rsidR="000D6FB9" w:rsidRPr="00DA5CD4" w:rsidRDefault="000D6FB9" w:rsidP="0083588E">
      <w:pPr>
        <w:numPr>
          <w:ilvl w:val="0"/>
          <w:numId w:val="14"/>
        </w:numPr>
        <w:rPr>
          <w:lang w:eastAsia="x-none"/>
        </w:rPr>
      </w:pPr>
      <w:r>
        <w:rPr>
          <w:lang w:eastAsia="x-none"/>
        </w:rPr>
        <w:t>T</w:t>
      </w:r>
      <w:r w:rsidRPr="00DA5CD4">
        <w:rPr>
          <w:lang w:eastAsia="x-none"/>
        </w:rPr>
        <w:t xml:space="preserve">o some degree </w:t>
      </w:r>
      <w:r>
        <w:rPr>
          <w:lang w:eastAsia="x-none"/>
        </w:rPr>
        <w:t xml:space="preserve">at least (perhaps </w:t>
      </w:r>
      <w:r w:rsidRPr="00DA5CD4">
        <w:rPr>
          <w:lang w:eastAsia="x-none"/>
        </w:rPr>
        <w:t>until more recently</w:t>
      </w:r>
      <w:r>
        <w:rPr>
          <w:lang w:eastAsia="x-none"/>
        </w:rPr>
        <w:t>)</w:t>
      </w:r>
      <w:r w:rsidRPr="00DA5CD4">
        <w:rPr>
          <w:lang w:eastAsia="x-none"/>
        </w:rPr>
        <w:t xml:space="preserve"> the lack of coordinated focus at the community level to address these issues at the local level</w:t>
      </w:r>
      <w:r>
        <w:rPr>
          <w:lang w:eastAsia="x-none"/>
        </w:rPr>
        <w:t xml:space="preserve">. Although it is </w:t>
      </w:r>
      <w:r w:rsidRPr="00DA5CD4">
        <w:rPr>
          <w:lang w:eastAsia="x-none"/>
        </w:rPr>
        <w:t>acknowledg</w:t>
      </w:r>
      <w:r>
        <w:rPr>
          <w:lang w:eastAsia="x-none"/>
        </w:rPr>
        <w:t>ed</w:t>
      </w:r>
      <w:r w:rsidRPr="00DA5CD4">
        <w:rPr>
          <w:lang w:eastAsia="x-none"/>
        </w:rPr>
        <w:t xml:space="preserve"> that a wide range of individual strategies have been implemented by multiple stakeholders and the scale of the challenge of multiple causes mean that change at the community level will take co</w:t>
      </w:r>
      <w:r>
        <w:rPr>
          <w:lang w:eastAsia="x-none"/>
        </w:rPr>
        <w:t>nsiderable time to flow through</w:t>
      </w:r>
      <w:r w:rsidRPr="00DA5CD4">
        <w:rPr>
          <w:lang w:eastAsia="x-none"/>
        </w:rPr>
        <w:t>.</w:t>
      </w:r>
    </w:p>
    <w:p w14:paraId="2EBE2E8D" w14:textId="77777777" w:rsidR="00486CD5" w:rsidRDefault="00486CD5" w:rsidP="00BC0A26">
      <w:pPr>
        <w:pStyle w:val="Heading3"/>
        <w:rPr>
          <w:lang w:val="en-AU"/>
        </w:rPr>
      </w:pPr>
      <w:r>
        <w:t xml:space="preserve">Summary </w:t>
      </w:r>
    </w:p>
    <w:p w14:paraId="2EBE2E8E" w14:textId="77777777" w:rsidR="00486CD5" w:rsidRPr="00486CD5" w:rsidRDefault="00486CD5" w:rsidP="00D76F95">
      <w:pPr>
        <w:spacing w:before="120" w:after="120"/>
        <w:rPr>
          <w:lang w:eastAsia="x-none"/>
        </w:rPr>
      </w:pPr>
      <w:r w:rsidRPr="00486CD5">
        <w:rPr>
          <w:lang w:eastAsia="x-none"/>
        </w:rPr>
        <w:t>When considering the impact of the WBCs, as noted in the CYWR evaluation ‘there can be no quick fix to rectify challenges that have been decades in the making.’ Contextual challenges to achieving significant change include: the recognition that Cape communities were suffering from significant social problems, caused not only by dispossession, racism and systematic and generational  abuse, but also a social norms deficit; the entrenched disadvantage of Indigenous community members; a comparatively high burden of psychosis particularly amongst males; and increasing recognition that a compromised neuro-developmental environment significantly effects an adults general and mental health.</w:t>
      </w:r>
    </w:p>
    <w:p w14:paraId="2EBE2E8F" w14:textId="77777777" w:rsidR="00C27F05" w:rsidRDefault="00C27F05" w:rsidP="00D76F95">
      <w:pPr>
        <w:pStyle w:val="Heading2"/>
        <w:spacing w:before="120" w:after="120"/>
      </w:pPr>
      <w:bookmarkStart w:id="120" w:name="_Closing_the_Gap"/>
      <w:bookmarkStart w:id="121" w:name="_Toc440038437"/>
      <w:bookmarkEnd w:id="120"/>
      <w:r>
        <w:t>Closing the Gap</w:t>
      </w:r>
      <w:bookmarkEnd w:id="121"/>
      <w:r>
        <w:t xml:space="preserve"> </w:t>
      </w:r>
    </w:p>
    <w:p w14:paraId="2EBE2E90" w14:textId="77777777" w:rsidR="00C27F05" w:rsidRDefault="000D6FB9" w:rsidP="00801C93">
      <w:pPr>
        <w:spacing w:before="240"/>
        <w:rPr>
          <w:lang w:eastAsia="x-none"/>
        </w:rPr>
      </w:pPr>
      <w:r>
        <w:rPr>
          <w:lang w:eastAsia="x-none"/>
        </w:rPr>
        <w:t xml:space="preserve">An objective of the WBCs was to contribute to improvements in the Closing the Gap indicators. </w:t>
      </w:r>
      <w:r w:rsidR="00C27F05">
        <w:rPr>
          <w:lang w:eastAsia="x-none"/>
        </w:rPr>
        <w:t xml:space="preserve">This section </w:t>
      </w:r>
      <w:r w:rsidR="00C27F05" w:rsidRPr="00350793">
        <w:rPr>
          <w:lang w:eastAsia="x-none"/>
        </w:rPr>
        <w:t>discuss</w:t>
      </w:r>
      <w:r w:rsidR="00C27F05">
        <w:rPr>
          <w:lang w:eastAsia="x-none"/>
        </w:rPr>
        <w:t>es</w:t>
      </w:r>
      <w:r w:rsidR="00C27F05" w:rsidRPr="00350793">
        <w:rPr>
          <w:lang w:eastAsia="x-none"/>
        </w:rPr>
        <w:t xml:space="preserve"> whether the work of the WBCs is contributing to achievement of the Closing the Gap targets, particularly those that relate to the life expectancy gap and mortality.</w:t>
      </w:r>
    </w:p>
    <w:p w14:paraId="2EBE2E91" w14:textId="77777777" w:rsidR="00C27F05" w:rsidRPr="00E026A4" w:rsidRDefault="00A62E7A" w:rsidP="00801C93">
      <w:pPr>
        <w:spacing w:before="240"/>
        <w:rPr>
          <w:bCs/>
          <w:iCs/>
          <w:color w:val="auto"/>
          <w:sz w:val="22"/>
          <w:szCs w:val="18"/>
        </w:rPr>
      </w:pPr>
      <w:r w:rsidRPr="000B5C52">
        <w:rPr>
          <w:rStyle w:val="A5"/>
          <w:b w:val="0"/>
          <w:i w:val="0"/>
          <w:color w:val="auto"/>
          <w:sz w:val="20"/>
          <w:szCs w:val="20"/>
        </w:rPr>
        <w:t xml:space="preserve">There are </w:t>
      </w:r>
      <w:r w:rsidR="00C27F05" w:rsidRPr="000B5C52">
        <w:rPr>
          <w:rStyle w:val="A5"/>
          <w:b w:val="0"/>
          <w:i w:val="0"/>
          <w:color w:val="auto"/>
          <w:sz w:val="20"/>
          <w:szCs w:val="20"/>
        </w:rPr>
        <w:t xml:space="preserve">only three points at which life expectancy </w:t>
      </w:r>
      <w:r w:rsidR="00C27F05" w:rsidRPr="000B5C52">
        <w:rPr>
          <w:rFonts w:cs="Calibri"/>
          <w:szCs w:val="20"/>
        </w:rPr>
        <w:t xml:space="preserve">can be assessed prior to 2030: </w:t>
      </w:r>
      <w:r w:rsidR="00C27F05" w:rsidRPr="000B5C52">
        <w:rPr>
          <w:rStyle w:val="A5"/>
          <w:b w:val="0"/>
          <w:i w:val="0"/>
          <w:color w:val="auto"/>
          <w:sz w:val="20"/>
          <w:szCs w:val="20"/>
        </w:rPr>
        <w:t>2016, 2021, and 2026</w:t>
      </w:r>
      <w:r w:rsidRPr="000B5C52">
        <w:rPr>
          <w:rStyle w:val="A5"/>
          <w:b w:val="0"/>
          <w:i w:val="0"/>
          <w:color w:val="auto"/>
          <w:sz w:val="20"/>
          <w:szCs w:val="20"/>
        </w:rPr>
        <w:t xml:space="preserve">. The </w:t>
      </w:r>
      <w:r w:rsidR="00C27F05" w:rsidRPr="000B5C52">
        <w:rPr>
          <w:rFonts w:cs="Calibri"/>
          <w:szCs w:val="20"/>
        </w:rPr>
        <w:t>COAG Reform Council has relied on mortality rates data as proxy indicators for life expectancy</w:t>
      </w:r>
      <w:r w:rsidR="00091D99" w:rsidRPr="000B5C52">
        <w:rPr>
          <w:rFonts w:cs="Calibri"/>
          <w:szCs w:val="20"/>
        </w:rPr>
        <w:t>.</w:t>
      </w:r>
      <w:r w:rsidR="00E026A4" w:rsidRPr="000B5C52">
        <w:rPr>
          <w:bCs/>
          <w:iCs/>
          <w:color w:val="auto"/>
          <w:szCs w:val="20"/>
        </w:rPr>
        <w:t xml:space="preserve"> </w:t>
      </w:r>
      <w:r w:rsidR="00C27F05" w:rsidRPr="000B5C52">
        <w:rPr>
          <w:rFonts w:cs="Calibri"/>
          <w:szCs w:val="20"/>
          <w:lang w:val="en-US"/>
        </w:rPr>
        <w:t>Using a 1998 baseline, the COAG Reform Council’s 2011-12 Report shows decreasing</w:t>
      </w:r>
      <w:r w:rsidR="00C27F05" w:rsidRPr="00350793">
        <w:rPr>
          <w:rFonts w:cs="Calibri"/>
          <w:lang w:val="en-US"/>
        </w:rPr>
        <w:t xml:space="preserve"> deaths rates in Queensland and the Northern Territory</w:t>
      </w:r>
      <w:r>
        <w:rPr>
          <w:rFonts w:cs="Calibri"/>
          <w:lang w:val="en-US"/>
        </w:rPr>
        <w:t xml:space="preserve">. In Queensland the average annual change in indigenous death rates per </w:t>
      </w:r>
      <w:r w:rsidR="00091D99">
        <w:rPr>
          <w:rFonts w:cs="Calibri"/>
          <w:lang w:val="en-US"/>
        </w:rPr>
        <w:t>100,000 from</w:t>
      </w:r>
      <w:r>
        <w:rPr>
          <w:rFonts w:cs="Calibri"/>
          <w:lang w:val="en-US"/>
        </w:rPr>
        <w:t xml:space="preserve"> 1998 </w:t>
      </w:r>
      <w:r w:rsidR="00091D99">
        <w:rPr>
          <w:rFonts w:cs="Calibri"/>
          <w:lang w:val="en-US"/>
        </w:rPr>
        <w:t xml:space="preserve">to </w:t>
      </w:r>
      <w:r>
        <w:rPr>
          <w:rFonts w:cs="Calibri"/>
          <w:lang w:val="en-US"/>
        </w:rPr>
        <w:t>2011 was 18</w:t>
      </w:r>
      <w:r w:rsidR="00091D99">
        <w:rPr>
          <w:rFonts w:cs="Calibri"/>
          <w:lang w:val="en-US"/>
        </w:rPr>
        <w:t xml:space="preserve"> deaths</w:t>
      </w:r>
      <w:r>
        <w:rPr>
          <w:rFonts w:cs="Calibri"/>
          <w:lang w:val="en-US"/>
        </w:rPr>
        <w:t xml:space="preserve"> (compared to the non- Indigenous rate of 10.1</w:t>
      </w:r>
      <w:r w:rsidR="00091D99">
        <w:rPr>
          <w:rFonts w:cs="Calibri"/>
          <w:lang w:val="en-US"/>
        </w:rPr>
        <w:t xml:space="preserve"> deaths</w:t>
      </w:r>
      <w:r>
        <w:rPr>
          <w:rFonts w:cs="Calibri"/>
          <w:lang w:val="en-US"/>
        </w:rPr>
        <w:t>)</w:t>
      </w:r>
      <w:r w:rsidR="00091D99">
        <w:rPr>
          <w:rFonts w:cs="Calibri"/>
          <w:lang w:val="en-US"/>
        </w:rPr>
        <w:t>, with</w:t>
      </w:r>
      <w:r>
        <w:rPr>
          <w:rFonts w:cs="Calibri"/>
          <w:lang w:val="en-US"/>
        </w:rPr>
        <w:t xml:space="preserve"> the average annual change required </w:t>
      </w:r>
      <w:r w:rsidR="00091D99">
        <w:rPr>
          <w:rFonts w:cs="Calibri"/>
          <w:lang w:val="en-US"/>
        </w:rPr>
        <w:t xml:space="preserve">from </w:t>
      </w:r>
      <w:r>
        <w:rPr>
          <w:rFonts w:cs="Calibri"/>
          <w:lang w:val="en-US"/>
        </w:rPr>
        <w:t xml:space="preserve">2011 to meet the 2031 target </w:t>
      </w:r>
      <w:r w:rsidR="00091D99">
        <w:rPr>
          <w:rFonts w:cs="Calibri"/>
          <w:lang w:val="en-US"/>
        </w:rPr>
        <w:t>of</w:t>
      </w:r>
      <w:r>
        <w:rPr>
          <w:rFonts w:cs="Calibri"/>
          <w:lang w:val="en-US"/>
        </w:rPr>
        <w:t xml:space="preserve"> 40.7</w:t>
      </w:r>
      <w:r w:rsidR="00091D99">
        <w:rPr>
          <w:rFonts w:cs="Calibri"/>
          <w:lang w:val="en-US"/>
        </w:rPr>
        <w:t xml:space="preserve"> deaths</w:t>
      </w:r>
      <w:r>
        <w:rPr>
          <w:rFonts w:cs="Calibri"/>
          <w:lang w:val="en-US"/>
        </w:rPr>
        <w:t>.</w:t>
      </w:r>
    </w:p>
    <w:p w14:paraId="2EBE2E92" w14:textId="77777777" w:rsidR="00C27F05" w:rsidRDefault="00C27F05" w:rsidP="00801C93">
      <w:pPr>
        <w:spacing w:before="240"/>
        <w:rPr>
          <w:rFonts w:cs="Calibri"/>
          <w:lang w:val="en-US"/>
        </w:rPr>
      </w:pPr>
      <w:r w:rsidRPr="00350793">
        <w:rPr>
          <w:rFonts w:cs="Calibri"/>
          <w:lang w:val="en-US"/>
        </w:rPr>
        <w:t xml:space="preserve">In 2013, noting the slow progress against the life expectancy target </w:t>
      </w:r>
      <w:r w:rsidR="00091D99">
        <w:rPr>
          <w:rFonts w:cs="Calibri"/>
          <w:lang w:val="en-US"/>
        </w:rPr>
        <w:t>(in November 2013</w:t>
      </w:r>
      <w:r w:rsidR="00834785">
        <w:rPr>
          <w:rFonts w:cs="Calibri"/>
          <w:lang w:val="en-US"/>
        </w:rPr>
        <w:t>,</w:t>
      </w:r>
      <w:r w:rsidR="00091D99">
        <w:rPr>
          <w:rFonts w:cs="Calibri"/>
          <w:lang w:val="en-US"/>
        </w:rPr>
        <w:t xml:space="preserve"> </w:t>
      </w:r>
      <w:r w:rsidR="00A62E7A">
        <w:rPr>
          <w:rFonts w:cs="Calibri"/>
          <w:lang w:val="en-US"/>
        </w:rPr>
        <w:t>ABS estimates for life expectancy for Indigenous people in 2010 – 2012 show</w:t>
      </w:r>
      <w:r w:rsidR="00091D99">
        <w:rPr>
          <w:rFonts w:cs="Calibri"/>
          <w:lang w:val="en-US"/>
        </w:rPr>
        <w:t>ed</w:t>
      </w:r>
      <w:r w:rsidR="00A62E7A">
        <w:rPr>
          <w:rFonts w:cs="Calibri"/>
          <w:lang w:val="en-US"/>
        </w:rPr>
        <w:t xml:space="preserve"> a reduc</w:t>
      </w:r>
      <w:r w:rsidR="00E026A4">
        <w:rPr>
          <w:rFonts w:cs="Calibri"/>
          <w:lang w:val="en-US"/>
        </w:rPr>
        <w:t xml:space="preserve">tion </w:t>
      </w:r>
      <w:r w:rsidR="00834785">
        <w:rPr>
          <w:rFonts w:cs="Calibri"/>
          <w:lang w:val="en-US"/>
        </w:rPr>
        <w:t>in</w:t>
      </w:r>
      <w:r w:rsidR="00E026A4">
        <w:rPr>
          <w:rFonts w:cs="Calibri"/>
          <w:lang w:val="en-US"/>
        </w:rPr>
        <w:t xml:space="preserve"> life expectancy gap of </w:t>
      </w:r>
      <w:r w:rsidR="00A62E7A">
        <w:rPr>
          <w:rFonts w:cs="Calibri"/>
          <w:lang w:val="en-US"/>
        </w:rPr>
        <w:lastRenderedPageBreak/>
        <w:t>0.8 years for men and 0.1 years the woman since 2005 – 2007</w:t>
      </w:r>
      <w:r w:rsidR="00091D99">
        <w:rPr>
          <w:rFonts w:cs="Calibri"/>
          <w:lang w:val="en-US"/>
        </w:rPr>
        <w:t>), t</w:t>
      </w:r>
      <w:r w:rsidRPr="00350793">
        <w:rPr>
          <w:rFonts w:cs="Calibri"/>
          <w:lang w:val="en-US"/>
        </w:rPr>
        <w:t>he COAG Reform Council noted that ‘efforts to improve Indigenous life expectancy may take many years to show results</w:t>
      </w:r>
      <w:r w:rsidR="00A62E7A">
        <w:rPr>
          <w:rFonts w:cs="Calibri"/>
          <w:lang w:val="en-US"/>
        </w:rPr>
        <w:t>’</w:t>
      </w:r>
      <w:r w:rsidR="000B5C52">
        <w:rPr>
          <w:rFonts w:cs="Calibri"/>
          <w:lang w:val="en-US"/>
        </w:rPr>
        <w:t>.</w:t>
      </w:r>
      <w:r>
        <w:rPr>
          <w:rStyle w:val="FootnoteReference"/>
          <w:rFonts w:cs="Calibri"/>
          <w:lang w:val="en-US"/>
        </w:rPr>
        <w:footnoteReference w:id="23"/>
      </w:r>
    </w:p>
    <w:p w14:paraId="2EBE2E93" w14:textId="77777777" w:rsidR="00C27F05" w:rsidRDefault="00E026A4" w:rsidP="00801C93">
      <w:pPr>
        <w:spacing w:before="240"/>
        <w:rPr>
          <w:rFonts w:cs="Calibri"/>
          <w:lang w:val="en-US"/>
        </w:rPr>
      </w:pPr>
      <w:r>
        <w:rPr>
          <w:rFonts w:cs="Calibri"/>
          <w:lang w:val="en-US"/>
        </w:rPr>
        <w:t>There are many factors impacting on life expectancy and mortality and the timeframe for achieving change. It was noted m</w:t>
      </w:r>
      <w:r w:rsidR="00C27F05">
        <w:rPr>
          <w:rFonts w:cs="Calibri"/>
          <w:lang w:val="en-US"/>
        </w:rPr>
        <w:t>any deaths occurring will be as a result of chronic conditions that built up in the decades prior to 2009 (per example over 2011/1</w:t>
      </w:r>
      <w:r w:rsidR="00A62E7A">
        <w:rPr>
          <w:rFonts w:cs="Calibri"/>
          <w:lang w:val="en-US"/>
        </w:rPr>
        <w:t>2 the greatest single cause of A</w:t>
      </w:r>
      <w:r w:rsidR="00C27F05">
        <w:rPr>
          <w:rFonts w:cs="Calibri"/>
          <w:lang w:val="en-US"/>
        </w:rPr>
        <w:t xml:space="preserve">boriginal </w:t>
      </w:r>
      <w:r w:rsidR="00A62E7A">
        <w:rPr>
          <w:rFonts w:cs="Calibri"/>
          <w:lang w:val="en-US"/>
        </w:rPr>
        <w:t xml:space="preserve">deaths related to </w:t>
      </w:r>
      <w:r w:rsidR="00091D99">
        <w:rPr>
          <w:rFonts w:cs="Calibri"/>
          <w:lang w:val="en-US"/>
        </w:rPr>
        <w:t>circulatory</w:t>
      </w:r>
      <w:r w:rsidR="00A62E7A">
        <w:rPr>
          <w:rFonts w:cs="Calibri"/>
          <w:lang w:val="en-US"/>
        </w:rPr>
        <w:t xml:space="preserve"> </w:t>
      </w:r>
      <w:r w:rsidR="00C27F05">
        <w:rPr>
          <w:rFonts w:cs="Calibri"/>
          <w:lang w:val="en-US"/>
        </w:rPr>
        <w:t>disease (26.3%) that it is defined to inc</w:t>
      </w:r>
      <w:r w:rsidR="000B5C52">
        <w:rPr>
          <w:rFonts w:cs="Calibri"/>
          <w:lang w:val="en-US"/>
        </w:rPr>
        <w:t>lude heart attacks and strokes.</w:t>
      </w:r>
      <w:r w:rsidR="00C27F05">
        <w:rPr>
          <w:rStyle w:val="FootnoteReference"/>
          <w:rFonts w:cs="Calibri"/>
          <w:lang w:val="en-US"/>
        </w:rPr>
        <w:footnoteReference w:id="24"/>
      </w:r>
      <w:r w:rsidR="00C27F05">
        <w:rPr>
          <w:rFonts w:cs="Calibri"/>
          <w:lang w:val="en-US"/>
        </w:rPr>
        <w:t xml:space="preserve"> </w:t>
      </w:r>
    </w:p>
    <w:p w14:paraId="2EBE2E94" w14:textId="77777777" w:rsidR="00E026A4" w:rsidRDefault="00A62E7A" w:rsidP="00801C93">
      <w:pPr>
        <w:spacing w:before="240"/>
        <w:rPr>
          <w:rFonts w:cs="Calibri"/>
          <w:lang w:val="en-US"/>
        </w:rPr>
      </w:pPr>
      <w:r>
        <w:rPr>
          <w:rFonts w:cs="Calibri"/>
          <w:lang w:val="en-US"/>
        </w:rPr>
        <w:t xml:space="preserve">In </w:t>
      </w:r>
      <w:r w:rsidR="00C27F05" w:rsidRPr="0038172F">
        <w:rPr>
          <w:rFonts w:cs="Calibri"/>
          <w:lang w:val="en-US"/>
        </w:rPr>
        <w:t>2012-13</w:t>
      </w:r>
      <w:r w:rsidR="00091D99">
        <w:rPr>
          <w:rFonts w:cs="Calibri"/>
          <w:lang w:val="en-US"/>
        </w:rPr>
        <w:t xml:space="preserve">, the </w:t>
      </w:r>
      <w:r w:rsidR="00C27F05" w:rsidRPr="0038172F">
        <w:rPr>
          <w:rFonts w:cs="Calibri"/>
          <w:lang w:val="en-US"/>
        </w:rPr>
        <w:t xml:space="preserve">ABS </w:t>
      </w:r>
      <w:r w:rsidR="00C27F05" w:rsidRPr="0038172F">
        <w:rPr>
          <w:rFonts w:cs="Calibri"/>
          <w:i/>
          <w:lang w:val="en-US"/>
        </w:rPr>
        <w:t>Australian Aboriginal and Torres Strait Islander Health Survey</w:t>
      </w:r>
      <w:r w:rsidR="00091D99">
        <w:rPr>
          <w:rFonts w:cs="Calibri"/>
          <w:i/>
          <w:lang w:val="en-US"/>
        </w:rPr>
        <w:t xml:space="preserve"> </w:t>
      </w:r>
      <w:r>
        <w:rPr>
          <w:rFonts w:cs="Calibri"/>
          <w:lang w:val="en-US"/>
        </w:rPr>
        <w:t xml:space="preserve">reflected </w:t>
      </w:r>
      <w:r w:rsidR="00C27F05">
        <w:rPr>
          <w:rFonts w:cs="Calibri"/>
          <w:lang w:val="en-US"/>
        </w:rPr>
        <w:t>that health outcomes continue to reflect smoking patterns in 2002</w:t>
      </w:r>
      <w:r w:rsidR="00091D99">
        <w:rPr>
          <w:rFonts w:cs="Calibri"/>
          <w:lang w:val="en-US"/>
        </w:rPr>
        <w:t>,</w:t>
      </w:r>
      <w:r w:rsidR="00C27F05">
        <w:rPr>
          <w:rFonts w:cs="Calibri"/>
          <w:lang w:val="en-US"/>
        </w:rPr>
        <w:t xml:space="preserve"> as the damage from these high levels of smoking wi</w:t>
      </w:r>
      <w:r w:rsidR="000B5C52">
        <w:rPr>
          <w:rFonts w:cs="Calibri"/>
          <w:lang w:val="en-US"/>
        </w:rPr>
        <w:t>ll take some time to dissipate.</w:t>
      </w:r>
      <w:r w:rsidR="00C27F05">
        <w:rPr>
          <w:rStyle w:val="FootnoteReference"/>
          <w:rFonts w:cs="Calibri"/>
          <w:lang w:val="en-US"/>
        </w:rPr>
        <w:footnoteReference w:id="25"/>
      </w:r>
      <w:r>
        <w:rPr>
          <w:rFonts w:cs="Calibri"/>
          <w:lang w:val="en-US"/>
        </w:rPr>
        <w:t xml:space="preserve"> </w:t>
      </w:r>
    </w:p>
    <w:p w14:paraId="2EBE2E95" w14:textId="77777777" w:rsidR="00C27F05" w:rsidRDefault="00091D99" w:rsidP="00801C93">
      <w:pPr>
        <w:spacing w:before="240"/>
        <w:rPr>
          <w:rFonts w:cs="Calibri"/>
          <w:lang w:val="en-US"/>
        </w:rPr>
      </w:pPr>
      <w:r>
        <w:rPr>
          <w:rFonts w:cs="Calibri"/>
          <w:lang w:val="en-US"/>
        </w:rPr>
        <w:t>T</w:t>
      </w:r>
      <w:r w:rsidR="00C27F05" w:rsidRPr="0038172F">
        <w:rPr>
          <w:rFonts w:cs="Calibri"/>
          <w:lang w:val="en-US"/>
        </w:rPr>
        <w:t xml:space="preserve">he </w:t>
      </w:r>
      <w:r w:rsidR="00A62E7A" w:rsidRPr="0038172F">
        <w:rPr>
          <w:rFonts w:cs="Calibri"/>
          <w:lang w:val="en-US"/>
        </w:rPr>
        <w:t xml:space="preserve">AATSIHS </w:t>
      </w:r>
      <w:r w:rsidR="00C27F05" w:rsidRPr="0038172F">
        <w:rPr>
          <w:rFonts w:cs="Calibri"/>
          <w:lang w:val="en-US"/>
        </w:rPr>
        <w:t>survey found no significant change over time in ‘lifetime risk’ for consumption of alc</w:t>
      </w:r>
      <w:r w:rsidR="000B5C52">
        <w:rPr>
          <w:rFonts w:cs="Calibri"/>
          <w:lang w:val="en-US"/>
        </w:rPr>
        <w:t xml:space="preserve">ohol over 2005-07 and 2012-13. </w:t>
      </w:r>
      <w:r w:rsidR="00C27F05" w:rsidRPr="0038172F">
        <w:rPr>
          <w:rFonts w:cs="Calibri"/>
          <w:lang w:val="en-US"/>
        </w:rPr>
        <w:t>It also highlighted the need for greater focus on</w:t>
      </w:r>
      <w:r w:rsidR="00A62E7A">
        <w:rPr>
          <w:rFonts w:cs="Calibri"/>
          <w:lang w:val="en-US"/>
        </w:rPr>
        <w:t xml:space="preserve"> reducing the rates of obesity </w:t>
      </w:r>
      <w:r w:rsidR="00C27F05" w:rsidRPr="0038172F">
        <w:rPr>
          <w:rFonts w:cs="Calibri"/>
          <w:lang w:val="en-US"/>
        </w:rPr>
        <w:t>and increasing the number of Aboriginal and Torres Strait Islander people engaging in daily exercise – areas where significant gaps with the non-Indigenous population are evident</w:t>
      </w:r>
      <w:r w:rsidR="00A62E7A">
        <w:rPr>
          <w:rFonts w:cs="Calibri"/>
          <w:lang w:val="en-US"/>
        </w:rPr>
        <w:t>.</w:t>
      </w:r>
      <w:r w:rsidR="00D848CA">
        <w:rPr>
          <w:rStyle w:val="FootnoteReference"/>
          <w:rFonts w:cs="Calibri"/>
          <w:lang w:val="en-US"/>
        </w:rPr>
        <w:footnoteReference w:id="26"/>
      </w:r>
    </w:p>
    <w:p w14:paraId="2EBE2E96" w14:textId="77777777" w:rsidR="00C27F05" w:rsidRDefault="00C27F05" w:rsidP="00801C93">
      <w:pPr>
        <w:spacing w:before="240"/>
        <w:rPr>
          <w:rFonts w:cs="Calibri"/>
          <w:lang w:val="en-US"/>
        </w:rPr>
      </w:pPr>
      <w:r>
        <w:rPr>
          <w:rFonts w:cs="Calibri"/>
          <w:lang w:val="en-US"/>
        </w:rPr>
        <w:t>The Closing the Gap Campaign Steering Committee</w:t>
      </w:r>
      <w:r w:rsidR="00091D99">
        <w:rPr>
          <w:rFonts w:cs="Calibri"/>
          <w:lang w:val="en-US"/>
        </w:rPr>
        <w:t xml:space="preserve"> reported that </w:t>
      </w:r>
      <w:r>
        <w:rPr>
          <w:rFonts w:cs="Calibri"/>
          <w:lang w:val="en-US"/>
        </w:rPr>
        <w:t xml:space="preserve">evidence that the foundations </w:t>
      </w:r>
      <w:r w:rsidR="00091D99">
        <w:rPr>
          <w:rFonts w:cs="Calibri"/>
          <w:lang w:val="en-US"/>
        </w:rPr>
        <w:t xml:space="preserve">for </w:t>
      </w:r>
      <w:r>
        <w:rPr>
          <w:rFonts w:cs="Calibri"/>
          <w:lang w:val="en-US"/>
        </w:rPr>
        <w:t>achievement of health and</w:t>
      </w:r>
      <w:r w:rsidR="00A62E7A">
        <w:rPr>
          <w:rFonts w:cs="Calibri"/>
          <w:lang w:val="en-US"/>
        </w:rPr>
        <w:t xml:space="preserve"> expectancy </w:t>
      </w:r>
      <w:r>
        <w:rPr>
          <w:rFonts w:cs="Calibri"/>
          <w:lang w:val="en-US"/>
        </w:rPr>
        <w:t xml:space="preserve">by 2030 are in place. Smoking rates have declined </w:t>
      </w:r>
      <w:r w:rsidR="00091D99">
        <w:rPr>
          <w:rFonts w:cs="Calibri"/>
          <w:lang w:val="en-US"/>
        </w:rPr>
        <w:t>(</w:t>
      </w:r>
      <w:r w:rsidR="00B95569">
        <w:rPr>
          <w:rFonts w:cs="Calibri"/>
          <w:lang w:val="en-US"/>
        </w:rPr>
        <w:t>estimated to be the single biggest cause of death fo</w:t>
      </w:r>
      <w:r w:rsidR="00E026A4">
        <w:rPr>
          <w:rFonts w:cs="Calibri"/>
          <w:lang w:val="en-US"/>
        </w:rPr>
        <w:t xml:space="preserve">r Aboriginal and Torres Strait </w:t>
      </w:r>
      <w:r w:rsidR="00B95569">
        <w:rPr>
          <w:rFonts w:cs="Calibri"/>
          <w:lang w:val="en-US"/>
        </w:rPr>
        <w:t>Islander people</w:t>
      </w:r>
      <w:r w:rsidR="00091D99">
        <w:rPr>
          <w:rFonts w:cs="Calibri"/>
          <w:lang w:val="en-US"/>
        </w:rPr>
        <w:t>)</w:t>
      </w:r>
      <w:r w:rsidR="00B95569">
        <w:rPr>
          <w:rFonts w:cs="Calibri"/>
          <w:lang w:val="en-US"/>
        </w:rPr>
        <w:t xml:space="preserve"> </w:t>
      </w:r>
      <w:r>
        <w:rPr>
          <w:rFonts w:cs="Calibri"/>
          <w:lang w:val="en-US"/>
        </w:rPr>
        <w:t xml:space="preserve">and from </w:t>
      </w:r>
      <w:r w:rsidR="00B95569">
        <w:rPr>
          <w:rFonts w:cs="Calibri"/>
          <w:lang w:val="en-US"/>
        </w:rPr>
        <w:t>1998 to 2011</w:t>
      </w:r>
      <w:r>
        <w:rPr>
          <w:rFonts w:cs="Calibri"/>
          <w:lang w:val="en-US"/>
        </w:rPr>
        <w:t xml:space="preserve"> the </w:t>
      </w:r>
      <w:r w:rsidR="00B95569">
        <w:rPr>
          <w:rFonts w:cs="Calibri"/>
          <w:lang w:val="en-US"/>
        </w:rPr>
        <w:t>mortality rate of A</w:t>
      </w:r>
      <w:r>
        <w:rPr>
          <w:rFonts w:cs="Calibri"/>
          <w:lang w:val="en-US"/>
        </w:rPr>
        <w:t>boriginal and Islander children under the age of five years decrease</w:t>
      </w:r>
      <w:r w:rsidR="00B95569">
        <w:rPr>
          <w:rFonts w:cs="Calibri"/>
          <w:lang w:val="en-US"/>
        </w:rPr>
        <w:t xml:space="preserve">d at a </w:t>
      </w:r>
      <w:r>
        <w:rPr>
          <w:rFonts w:cs="Calibri"/>
          <w:lang w:val="en-US"/>
        </w:rPr>
        <w:t>faster rate than the non</w:t>
      </w:r>
      <w:r w:rsidR="00B95569">
        <w:rPr>
          <w:rFonts w:cs="Calibri"/>
          <w:lang w:val="en-US"/>
        </w:rPr>
        <w:t>- I</w:t>
      </w:r>
      <w:r>
        <w:rPr>
          <w:rFonts w:cs="Calibri"/>
          <w:lang w:val="en-US"/>
        </w:rPr>
        <w:t xml:space="preserve">ndigenous rate (by an average of 5.7 deaths per </w:t>
      </w:r>
      <w:r w:rsidR="00B95569">
        <w:rPr>
          <w:rFonts w:cs="Calibri"/>
          <w:lang w:val="en-US"/>
        </w:rPr>
        <w:t>100,000</w:t>
      </w:r>
      <w:r>
        <w:rPr>
          <w:rFonts w:cs="Calibri"/>
          <w:lang w:val="en-US"/>
        </w:rPr>
        <w:t xml:space="preserve"> per year compared to 1.7 deaths per hundred thousand fo</w:t>
      </w:r>
      <w:r w:rsidR="00B95569">
        <w:rPr>
          <w:rFonts w:cs="Calibri"/>
          <w:lang w:val="en-US"/>
        </w:rPr>
        <w:t xml:space="preserve">r </w:t>
      </w:r>
      <w:r>
        <w:rPr>
          <w:rFonts w:cs="Calibri"/>
          <w:lang w:val="en-US"/>
        </w:rPr>
        <w:t>non</w:t>
      </w:r>
      <w:r w:rsidR="00B95569">
        <w:rPr>
          <w:rFonts w:cs="Calibri"/>
          <w:lang w:val="en-US"/>
        </w:rPr>
        <w:t>- I</w:t>
      </w:r>
      <w:r>
        <w:rPr>
          <w:rFonts w:cs="Calibri"/>
          <w:lang w:val="en-US"/>
        </w:rPr>
        <w:t>ndigenous children</w:t>
      </w:r>
      <w:r w:rsidR="00B95569">
        <w:rPr>
          <w:rFonts w:cs="Calibri"/>
          <w:lang w:val="en-US"/>
        </w:rPr>
        <w:t>.</w:t>
      </w:r>
      <w:r w:rsidR="00E026A4">
        <w:rPr>
          <w:rStyle w:val="FootnoteReference"/>
          <w:rFonts w:cs="Calibri"/>
          <w:lang w:val="en-US"/>
        </w:rPr>
        <w:footnoteReference w:id="27"/>
      </w:r>
    </w:p>
    <w:p w14:paraId="2EBE2E97" w14:textId="77777777" w:rsidR="00B95569" w:rsidRDefault="00B95569" w:rsidP="00801C93">
      <w:pPr>
        <w:spacing w:before="240"/>
        <w:rPr>
          <w:rFonts w:cs="Calibri"/>
          <w:lang w:val="en-US"/>
        </w:rPr>
      </w:pPr>
      <w:r>
        <w:rPr>
          <w:lang w:eastAsia="x-none"/>
        </w:rPr>
        <w:t xml:space="preserve">WBCs have focused on </w:t>
      </w:r>
      <w:r w:rsidR="00E026A4">
        <w:rPr>
          <w:lang w:eastAsia="x-none"/>
        </w:rPr>
        <w:t xml:space="preserve">delivering services related to </w:t>
      </w:r>
      <w:r>
        <w:rPr>
          <w:lang w:eastAsia="x-none"/>
        </w:rPr>
        <w:t xml:space="preserve">mental health, alcohol and other drugs (but not smoking specifically) and SEWB issues more broadly. </w:t>
      </w:r>
      <w:r w:rsidR="009C3D2B" w:rsidRPr="00DA5CD4">
        <w:rPr>
          <w:lang w:eastAsia="x-none"/>
        </w:rPr>
        <w:t xml:space="preserve">While </w:t>
      </w:r>
      <w:r w:rsidR="009C3D2B" w:rsidRPr="00DA5CD4">
        <w:rPr>
          <w:lang w:val="en-US" w:eastAsia="x-none"/>
        </w:rPr>
        <w:t xml:space="preserve">mental health is considered in the </w:t>
      </w:r>
      <w:r w:rsidR="009C3D2B" w:rsidRPr="00DA5CD4">
        <w:rPr>
          <w:i/>
          <w:lang w:val="en-US" w:eastAsia="x-none"/>
        </w:rPr>
        <w:t>Aboriginal and Torres Strait Islander Health Plan (2013 – 2023)</w:t>
      </w:r>
      <w:r w:rsidR="009C3D2B" w:rsidRPr="00DA5CD4">
        <w:rPr>
          <w:lang w:val="en-US" w:eastAsia="x-none"/>
        </w:rPr>
        <w:t xml:space="preserve">, there is no specific national </w:t>
      </w:r>
      <w:r w:rsidR="009C3D2B">
        <w:rPr>
          <w:lang w:val="en-US" w:eastAsia="x-none"/>
        </w:rPr>
        <w:t>strategy</w:t>
      </w:r>
      <w:r w:rsidR="009C3D2B" w:rsidRPr="00DA5CD4">
        <w:rPr>
          <w:lang w:val="en-US" w:eastAsia="x-none"/>
        </w:rPr>
        <w:t xml:space="preserve"> to close the gap in the area of mental health and alcohol and other drugs (which has been argued by some </w:t>
      </w:r>
      <w:r>
        <w:rPr>
          <w:rFonts w:cs="Calibri"/>
          <w:lang w:val="en-US"/>
        </w:rPr>
        <w:t>groups)</w:t>
      </w:r>
      <w:r w:rsidR="00F325F6">
        <w:rPr>
          <w:rStyle w:val="FootnoteReference"/>
          <w:rFonts w:cs="Calibri"/>
          <w:lang w:val="en-US"/>
        </w:rPr>
        <w:footnoteReference w:id="28"/>
      </w:r>
      <w:r>
        <w:rPr>
          <w:rFonts w:cs="Calibri"/>
          <w:lang w:val="en-US"/>
        </w:rPr>
        <w:t>.</w:t>
      </w:r>
    </w:p>
    <w:p w14:paraId="2EBE2E98" w14:textId="77777777" w:rsidR="00FE28A4" w:rsidRDefault="00091D99" w:rsidP="00801C93">
      <w:pPr>
        <w:spacing w:before="240"/>
        <w:rPr>
          <w:lang w:eastAsia="x-none"/>
        </w:rPr>
      </w:pPr>
      <w:r>
        <w:rPr>
          <w:lang w:eastAsia="x-none"/>
        </w:rPr>
        <w:t>Consistent with the multiple factors impacting upon the life expectancy and mortality, and the long lead time required to change, as anticipated there is no direct evidence that the WBCs have contributed to observable changes in the life</w:t>
      </w:r>
      <w:r w:rsidR="00E026A4">
        <w:rPr>
          <w:lang w:eastAsia="x-none"/>
        </w:rPr>
        <w:t xml:space="preserve"> expectancy and mortality gaps to date. </w:t>
      </w:r>
      <w:r>
        <w:rPr>
          <w:lang w:eastAsia="x-none"/>
        </w:rPr>
        <w:t>This is a longer term objective which is consistent with the construct of the service model.</w:t>
      </w:r>
    </w:p>
    <w:p w14:paraId="2EBE2E99" w14:textId="77777777" w:rsidR="0005223E" w:rsidRDefault="0005223E" w:rsidP="0005223E">
      <w:pPr>
        <w:pBdr>
          <w:top w:val="single" w:sz="4" w:space="1" w:color="auto"/>
          <w:left w:val="single" w:sz="4" w:space="4" w:color="auto"/>
          <w:bottom w:val="single" w:sz="4" w:space="1" w:color="auto"/>
          <w:right w:val="single" w:sz="4" w:space="4" w:color="auto"/>
        </w:pBdr>
        <w:shd w:val="clear" w:color="auto" w:fill="B8CCE4" w:themeFill="accent1" w:themeFillTint="66"/>
        <w:spacing w:before="240"/>
        <w:rPr>
          <w:lang w:eastAsia="x-none"/>
        </w:rPr>
      </w:pPr>
      <w:r w:rsidRPr="00FE28A4">
        <w:rPr>
          <w:b/>
        </w:rPr>
        <w:t>Rev</w:t>
      </w:r>
      <w:r>
        <w:rPr>
          <w:b/>
        </w:rPr>
        <w:t>iew finding #4</w:t>
      </w:r>
      <w:r w:rsidRPr="00FE28A4">
        <w:rPr>
          <w:b/>
        </w:rPr>
        <w:t xml:space="preserve">: </w:t>
      </w:r>
      <w:r>
        <w:t>G</w:t>
      </w:r>
      <w:r w:rsidRPr="00FE28A4">
        <w:t>iven there are multiple factors impacting upon life expectancy and mortality, and the long lead time required to observe change, as anticipated there is no direct evidence that the WBCs have contributed to observable changes in the life expectancy and mortality gaps to date.</w:t>
      </w:r>
    </w:p>
    <w:p w14:paraId="2EBE2E9A" w14:textId="77777777" w:rsidR="00204D69" w:rsidRDefault="00204D69" w:rsidP="00801C93">
      <w:pPr>
        <w:pStyle w:val="Heading2"/>
        <w:spacing w:before="240"/>
        <w:rPr>
          <w:lang w:val="en-AU"/>
        </w:rPr>
      </w:pPr>
      <w:bookmarkStart w:id="122" w:name="_Toc440038438"/>
      <w:r>
        <w:t>Future use of outcome measures</w:t>
      </w:r>
      <w:bookmarkEnd w:id="122"/>
    </w:p>
    <w:p w14:paraId="2EBE2E9B" w14:textId="77777777" w:rsidR="00204D69" w:rsidRDefault="00204D69" w:rsidP="00801C93">
      <w:pPr>
        <w:spacing w:before="240"/>
        <w:rPr>
          <w:lang w:eastAsia="x-none"/>
        </w:rPr>
      </w:pPr>
      <w:r>
        <w:rPr>
          <w:lang w:eastAsia="x-none"/>
        </w:rPr>
        <w:t>As highlighted previously the RFDS is administering a range of screening tools and outcome measures that were available for the purposes of the evaluation.</w:t>
      </w:r>
      <w:r w:rsidR="00834785">
        <w:rPr>
          <w:lang w:eastAsia="x-none"/>
        </w:rPr>
        <w:t xml:space="preserve"> </w:t>
      </w:r>
      <w:r>
        <w:rPr>
          <w:lang w:eastAsia="x-none"/>
        </w:rPr>
        <w:t xml:space="preserve">In the RFDS Adapted State-wide Standardised Suite of Clinical Documentation, User Guide it was intended that some of these screening tools would </w:t>
      </w:r>
      <w:r>
        <w:rPr>
          <w:lang w:eastAsia="x-none"/>
        </w:rPr>
        <w:lastRenderedPageBreak/>
        <w:t>be used at the clinician’s discretion rather than systematically collected and used as outcome measures.</w:t>
      </w:r>
    </w:p>
    <w:p w14:paraId="2EBE2E9C" w14:textId="77777777" w:rsidR="00204D69" w:rsidRDefault="00204D69" w:rsidP="00801C93">
      <w:pPr>
        <w:spacing w:before="240"/>
        <w:rPr>
          <w:lang w:eastAsia="x-none"/>
        </w:rPr>
      </w:pPr>
      <w:r>
        <w:rPr>
          <w:lang w:eastAsia="x-none"/>
        </w:rPr>
        <w:t>The evaluators consider that the number of outcome indicators collected and reported systematically should be minimised to reduce the burden on clinical staff in a challenging service environment.</w:t>
      </w:r>
      <w:r w:rsidR="001A2B6A">
        <w:rPr>
          <w:lang w:eastAsia="x-none"/>
        </w:rPr>
        <w:t xml:space="preserve"> However, we would emphasise the importance of determining which tools are to be routinely collected and ensuring that this is systematically occurring within the WBC environment.</w:t>
      </w:r>
    </w:p>
    <w:p w14:paraId="2EBE2E9D" w14:textId="77777777" w:rsidR="00204D69" w:rsidRPr="000B5C52" w:rsidRDefault="00204D69" w:rsidP="00801C93">
      <w:pPr>
        <w:shd w:val="clear" w:color="auto" w:fill="DBE5F1" w:themeFill="accent1" w:themeFillTint="33"/>
        <w:spacing w:before="240" w:line="240" w:lineRule="atLeast"/>
        <w:rPr>
          <w:lang w:eastAsia="en-AU"/>
        </w:rPr>
      </w:pPr>
      <w:r w:rsidRPr="000B5C52">
        <w:rPr>
          <w:b/>
          <w:lang w:eastAsia="en-AU"/>
        </w:rPr>
        <w:t xml:space="preserve">It is </w:t>
      </w:r>
      <w:r w:rsidR="00486CD5">
        <w:rPr>
          <w:b/>
          <w:lang w:eastAsia="en-AU"/>
        </w:rPr>
        <w:t>proposed</w:t>
      </w:r>
      <w:r w:rsidRPr="000B5C52">
        <w:rPr>
          <w:lang w:eastAsia="en-AU"/>
        </w:rPr>
        <w:t xml:space="preserve"> that </w:t>
      </w:r>
      <w:r w:rsidRPr="005A03B7">
        <w:rPr>
          <w:lang w:eastAsia="en-AU"/>
        </w:rPr>
        <w:t>HoNOS, K</w:t>
      </w:r>
      <w:r w:rsidR="006D529B">
        <w:rPr>
          <w:lang w:eastAsia="en-AU"/>
        </w:rPr>
        <w:t>5</w:t>
      </w:r>
      <w:r w:rsidRPr="005A03B7">
        <w:rPr>
          <w:lang w:eastAsia="en-AU"/>
        </w:rPr>
        <w:t>, AUDIT-C and the SDS be utilised on an ongoing basis. It is considered this combination of tools best represents the key foci of the WBCs (i.e. mental health, SEWB and drug and alcohol).</w:t>
      </w:r>
    </w:p>
    <w:p w14:paraId="2EBE2E9E" w14:textId="77777777" w:rsidR="00204D69" w:rsidRDefault="00204D69" w:rsidP="0083588E">
      <w:pPr>
        <w:pStyle w:val="ListParagraph"/>
        <w:numPr>
          <w:ilvl w:val="0"/>
          <w:numId w:val="45"/>
        </w:numPr>
        <w:spacing w:before="240"/>
        <w:rPr>
          <w:lang w:eastAsia="x-none"/>
        </w:rPr>
      </w:pPr>
      <w:r>
        <w:rPr>
          <w:lang w:eastAsia="x-none"/>
        </w:rPr>
        <w:t>The HONOS has g</w:t>
      </w:r>
      <w:r w:rsidRPr="00EC332A">
        <w:rPr>
          <w:lang w:eastAsia="x-none"/>
        </w:rPr>
        <w:t xml:space="preserve">enerally adequate validity and reliability. </w:t>
      </w:r>
      <w:r>
        <w:rPr>
          <w:lang w:eastAsia="x-none"/>
        </w:rPr>
        <w:t>It has been t</w:t>
      </w:r>
      <w:r w:rsidRPr="00EC332A">
        <w:rPr>
          <w:lang w:eastAsia="x-none"/>
        </w:rPr>
        <w:t>horoughly evaluated and extensively used acro</w:t>
      </w:r>
      <w:r>
        <w:rPr>
          <w:lang w:eastAsia="x-none"/>
        </w:rPr>
        <w:t>ss a range of populations (including</w:t>
      </w:r>
      <w:r w:rsidRPr="00EC332A">
        <w:rPr>
          <w:lang w:eastAsia="x-none"/>
        </w:rPr>
        <w:t xml:space="preserve"> Indigen</w:t>
      </w:r>
      <w:r>
        <w:rPr>
          <w:lang w:eastAsia="x-none"/>
        </w:rPr>
        <w:t>ous Australians and mental health clients).</w:t>
      </w:r>
      <w:r>
        <w:rPr>
          <w:rStyle w:val="FootnoteReference"/>
          <w:lang w:eastAsia="x-none"/>
        </w:rPr>
        <w:footnoteReference w:id="29"/>
      </w:r>
      <w:r>
        <w:rPr>
          <w:lang w:eastAsia="x-none"/>
        </w:rPr>
        <w:t xml:space="preserve"> </w:t>
      </w:r>
    </w:p>
    <w:p w14:paraId="2EBE2E9F" w14:textId="77777777" w:rsidR="00204D69" w:rsidRDefault="00204D69" w:rsidP="0083588E">
      <w:pPr>
        <w:pStyle w:val="ListParagraph"/>
        <w:numPr>
          <w:ilvl w:val="0"/>
          <w:numId w:val="45"/>
        </w:numPr>
        <w:spacing w:before="240"/>
        <w:rPr>
          <w:lang w:eastAsia="x-none"/>
        </w:rPr>
      </w:pPr>
      <w:r>
        <w:rPr>
          <w:lang w:eastAsia="x-none"/>
        </w:rPr>
        <w:t>The AUDIT is widely used and is the preferred tool of the Australian Government</w:t>
      </w:r>
      <w:r w:rsidRPr="00630FC7">
        <w:rPr>
          <w:lang w:eastAsia="x-none"/>
        </w:rPr>
        <w:t xml:space="preserve"> </w:t>
      </w:r>
      <w:r>
        <w:rPr>
          <w:lang w:eastAsia="x-none"/>
        </w:rPr>
        <w:t>for funded alcohol and other drug services. There is concern about utility in Indigenous populations</w:t>
      </w:r>
      <w:r w:rsidR="00280D7B">
        <w:rPr>
          <w:rStyle w:val="FootnoteReference"/>
          <w:lang w:eastAsia="x-none"/>
        </w:rPr>
        <w:footnoteReference w:id="30"/>
      </w:r>
      <w:r>
        <w:rPr>
          <w:lang w:eastAsia="x-none"/>
        </w:rPr>
        <w:t xml:space="preserve"> and the </w:t>
      </w:r>
      <w:r w:rsidR="00280D7B">
        <w:rPr>
          <w:lang w:eastAsia="x-none"/>
        </w:rPr>
        <w:t xml:space="preserve">shorter </w:t>
      </w:r>
      <w:r>
        <w:rPr>
          <w:lang w:eastAsia="x-none"/>
        </w:rPr>
        <w:t>AUDIT–C has been developed which could be used</w:t>
      </w:r>
      <w:r w:rsidR="00280D7B">
        <w:rPr>
          <w:rStyle w:val="FootnoteReference"/>
          <w:lang w:eastAsia="x-none"/>
        </w:rPr>
        <w:footnoteReference w:id="31"/>
      </w:r>
      <w:r>
        <w:rPr>
          <w:lang w:eastAsia="x-none"/>
        </w:rPr>
        <w:t>.</w:t>
      </w:r>
    </w:p>
    <w:p w14:paraId="2EBE2EA0" w14:textId="77777777" w:rsidR="00204D69" w:rsidRDefault="00204D69" w:rsidP="0083588E">
      <w:pPr>
        <w:pStyle w:val="ListParagraph"/>
        <w:numPr>
          <w:ilvl w:val="0"/>
          <w:numId w:val="45"/>
        </w:numPr>
        <w:spacing w:before="240"/>
        <w:rPr>
          <w:lang w:eastAsia="x-none"/>
        </w:rPr>
      </w:pPr>
      <w:r>
        <w:rPr>
          <w:lang w:eastAsia="x-none"/>
        </w:rPr>
        <w:t xml:space="preserve">The K10 is widely accepted, validated and used nationally. </w:t>
      </w:r>
      <w:r w:rsidR="006D529B">
        <w:rPr>
          <w:lang w:eastAsia="x-none"/>
        </w:rPr>
        <w:t xml:space="preserve">The K5 was developed for Indigenous people </w:t>
      </w:r>
      <w:r w:rsidR="006D529B">
        <w:rPr>
          <w:rStyle w:val="FootnoteReference"/>
          <w:lang w:eastAsia="x-none"/>
        </w:rPr>
        <w:footnoteReference w:id="32"/>
      </w:r>
      <w:r w:rsidR="006D529B">
        <w:rPr>
          <w:lang w:eastAsia="x-none"/>
        </w:rPr>
        <w:t>and used in the</w:t>
      </w:r>
      <w:r w:rsidR="006D529B" w:rsidRPr="006D529B">
        <w:t xml:space="preserve"> </w:t>
      </w:r>
      <w:r w:rsidR="006D529B" w:rsidRPr="006D529B">
        <w:rPr>
          <w:lang w:eastAsia="x-none"/>
        </w:rPr>
        <w:t>National Aboriginal and Torres Strait Islander Social Survey</w:t>
      </w:r>
      <w:r w:rsidR="006D529B">
        <w:rPr>
          <w:lang w:eastAsia="x-none"/>
        </w:rPr>
        <w:t xml:space="preserve"> 2008</w:t>
      </w:r>
      <w:r w:rsidR="006D529B">
        <w:rPr>
          <w:rStyle w:val="FootnoteReference"/>
          <w:lang w:eastAsia="x-none"/>
        </w:rPr>
        <w:footnoteReference w:id="33"/>
      </w:r>
      <w:r w:rsidR="00144D18">
        <w:rPr>
          <w:lang w:eastAsia="x-none"/>
        </w:rPr>
        <w:t xml:space="preserve"> and </w:t>
      </w:r>
      <w:r w:rsidR="00144D18" w:rsidRPr="00144D18">
        <w:t>Aboriginal and Torres Strait Islander Health Survey</w:t>
      </w:r>
      <w:r w:rsidR="00144D18">
        <w:rPr>
          <w:lang w:eastAsia="x-none"/>
        </w:rPr>
        <w:t xml:space="preserve"> 2012/13.</w:t>
      </w:r>
      <w:r w:rsidR="00144D18">
        <w:rPr>
          <w:rStyle w:val="FootnoteReference"/>
          <w:lang w:eastAsia="x-none"/>
        </w:rPr>
        <w:footnoteReference w:id="34"/>
      </w:r>
    </w:p>
    <w:p w14:paraId="2EBE2EA1" w14:textId="77777777" w:rsidR="00204D69" w:rsidRDefault="00204D69" w:rsidP="0083588E">
      <w:pPr>
        <w:pStyle w:val="ListParagraph"/>
        <w:numPr>
          <w:ilvl w:val="0"/>
          <w:numId w:val="45"/>
        </w:numPr>
        <w:spacing w:before="240"/>
        <w:rPr>
          <w:lang w:eastAsia="x-none"/>
        </w:rPr>
      </w:pPr>
      <w:r>
        <w:rPr>
          <w:lang w:eastAsia="x-none"/>
        </w:rPr>
        <w:t>The SDS has generally adequate psychometrics and can be utilised for a r</w:t>
      </w:r>
      <w:r w:rsidRPr="00630FC7">
        <w:rPr>
          <w:lang w:eastAsia="x-none"/>
        </w:rPr>
        <w:t>ange of substances</w:t>
      </w:r>
      <w:r>
        <w:rPr>
          <w:lang w:eastAsia="x-none"/>
        </w:rPr>
        <w:t>.</w:t>
      </w:r>
      <w:r w:rsidRPr="00834785">
        <w:footnoteReference w:id="35"/>
      </w:r>
    </w:p>
    <w:p w14:paraId="2EBE2EA2" w14:textId="77777777" w:rsidR="00204D69" w:rsidRDefault="00204D69" w:rsidP="0083588E">
      <w:pPr>
        <w:pStyle w:val="ListParagraph"/>
        <w:numPr>
          <w:ilvl w:val="0"/>
          <w:numId w:val="45"/>
        </w:numPr>
        <w:spacing w:before="240"/>
        <w:rPr>
          <w:lang w:eastAsia="x-none"/>
        </w:rPr>
      </w:pPr>
      <w:r>
        <w:rPr>
          <w:lang w:eastAsia="x-none"/>
        </w:rPr>
        <w:t xml:space="preserve">The Indigenous Risk Impact Screen (IRIS) has </w:t>
      </w:r>
      <w:r w:rsidRPr="00F95481">
        <w:rPr>
          <w:lang w:eastAsia="x-none"/>
        </w:rPr>
        <w:t>a high degree of convergence with the K10 and the AUDIT</w:t>
      </w:r>
      <w:r>
        <w:rPr>
          <w:lang w:eastAsia="x-none"/>
        </w:rPr>
        <w:t xml:space="preserve"> and should not </w:t>
      </w:r>
      <w:r w:rsidR="00486CD5">
        <w:rPr>
          <w:lang w:eastAsia="x-none"/>
        </w:rPr>
        <w:t>be required as an outcome tool.</w:t>
      </w:r>
    </w:p>
    <w:p w14:paraId="2EBE2EA4" w14:textId="77777777" w:rsidR="00B14D28" w:rsidRPr="00204D69" w:rsidRDefault="00B14D28" w:rsidP="00906B1F">
      <w:pPr>
        <w:pStyle w:val="ChLetter"/>
        <w:pageBreakBefore/>
      </w:pPr>
      <w:r>
        <w:lastRenderedPageBreak/>
        <w:t>3</w:t>
      </w:r>
    </w:p>
    <w:p w14:paraId="2EBE2EA5" w14:textId="77777777" w:rsidR="00C70CDC" w:rsidRDefault="007620CE" w:rsidP="0005223E">
      <w:pPr>
        <w:pStyle w:val="Heading1"/>
      </w:pPr>
      <w:bookmarkStart w:id="123" w:name="_Toc440038439"/>
      <w:r>
        <w:t xml:space="preserve">The </w:t>
      </w:r>
      <w:r w:rsidR="00C70CDC">
        <w:t>Service Model</w:t>
      </w:r>
      <w:r>
        <w:t xml:space="preserve"> and its Implementation</w:t>
      </w:r>
      <w:bookmarkEnd w:id="123"/>
    </w:p>
    <w:p w14:paraId="2EBE2EA6" w14:textId="77777777" w:rsidR="00204D69" w:rsidRPr="00B7423C" w:rsidRDefault="00204D69" w:rsidP="00204D69">
      <w:r w:rsidRPr="00FA44DC">
        <w:t>This chapter examines the following key evaluation questions for the service model, service management, partnerships and community engagement evaluation domains</w:t>
      </w:r>
      <w:r w:rsidRPr="00B7423C">
        <w:t>:</w:t>
      </w:r>
    </w:p>
    <w:p w14:paraId="2EBE2EA7" w14:textId="77777777" w:rsidR="00204D69" w:rsidRPr="00B7423C" w:rsidRDefault="00204D69" w:rsidP="0083588E">
      <w:pPr>
        <w:numPr>
          <w:ilvl w:val="0"/>
          <w:numId w:val="4"/>
        </w:numPr>
        <w:spacing w:after="120"/>
        <w:ind w:left="357" w:hanging="357"/>
        <w:rPr>
          <w:szCs w:val="22"/>
        </w:rPr>
      </w:pPr>
      <w:r w:rsidRPr="00B7423C">
        <w:rPr>
          <w:szCs w:val="22"/>
        </w:rPr>
        <w:t xml:space="preserve">Has a service model been documented that aligns with the key service elements and is </w:t>
      </w:r>
      <w:r>
        <w:rPr>
          <w:szCs w:val="22"/>
        </w:rPr>
        <w:t xml:space="preserve">it </w:t>
      </w:r>
      <w:r w:rsidRPr="00B7423C">
        <w:rPr>
          <w:szCs w:val="22"/>
        </w:rPr>
        <w:t>in alignment with the program theory? Do staff understand the service model?</w:t>
      </w:r>
    </w:p>
    <w:p w14:paraId="2EBE2EA8" w14:textId="77777777" w:rsidR="00204D69" w:rsidRDefault="00204D69" w:rsidP="0083588E">
      <w:pPr>
        <w:numPr>
          <w:ilvl w:val="0"/>
          <w:numId w:val="4"/>
        </w:numPr>
        <w:spacing w:after="120"/>
        <w:ind w:left="357" w:hanging="357"/>
        <w:rPr>
          <w:szCs w:val="22"/>
        </w:rPr>
      </w:pPr>
      <w:r w:rsidRPr="00B7423C">
        <w:rPr>
          <w:szCs w:val="22"/>
        </w:rPr>
        <w:t xml:space="preserve">Has the service model as agreed been implemented? If not what are the variations and what was the rationale for any change? </w:t>
      </w:r>
    </w:p>
    <w:p w14:paraId="2EBE2EA9" w14:textId="77777777" w:rsidR="00204D69" w:rsidRPr="00F53670" w:rsidRDefault="00204D69" w:rsidP="0083588E">
      <w:pPr>
        <w:numPr>
          <w:ilvl w:val="0"/>
          <w:numId w:val="4"/>
        </w:numPr>
        <w:spacing w:after="120"/>
        <w:rPr>
          <w:i/>
          <w:szCs w:val="22"/>
        </w:rPr>
      </w:pPr>
      <w:r w:rsidRPr="00B7423C">
        <w:rPr>
          <w:szCs w:val="22"/>
        </w:rPr>
        <w:t xml:space="preserve">Has the service model resulted in better access to services than in other comparable </w:t>
      </w:r>
      <w:r>
        <w:rPr>
          <w:szCs w:val="22"/>
        </w:rPr>
        <w:t>communities</w:t>
      </w:r>
      <w:r w:rsidRPr="00B7423C">
        <w:rPr>
          <w:szCs w:val="22"/>
        </w:rPr>
        <w:t xml:space="preserve"> and how does </w:t>
      </w:r>
      <w:r w:rsidRPr="00B7423C">
        <w:t>the service profile and service approach compare?</w:t>
      </w:r>
    </w:p>
    <w:p w14:paraId="2EBE2EAA" w14:textId="77777777" w:rsidR="00204D69" w:rsidRPr="007620CE" w:rsidRDefault="00204D69" w:rsidP="0083588E">
      <w:pPr>
        <w:numPr>
          <w:ilvl w:val="0"/>
          <w:numId w:val="4"/>
        </w:numPr>
        <w:spacing w:after="120"/>
        <w:ind w:left="357" w:hanging="357"/>
        <w:rPr>
          <w:i/>
          <w:szCs w:val="22"/>
        </w:rPr>
      </w:pPr>
      <w:r w:rsidRPr="007620CE">
        <w:rPr>
          <w:szCs w:val="22"/>
        </w:rPr>
        <w:t xml:space="preserve">How should the service model be changed to enhance its contribution to individuals, families and communities functioning and wellbeing? </w:t>
      </w:r>
    </w:p>
    <w:p w14:paraId="2EBE2EAB" w14:textId="77777777" w:rsidR="00204D69" w:rsidRPr="00915116" w:rsidRDefault="00204D69" w:rsidP="0083588E">
      <w:pPr>
        <w:numPr>
          <w:ilvl w:val="0"/>
          <w:numId w:val="4"/>
        </w:numPr>
        <w:spacing w:after="120"/>
        <w:rPr>
          <w:szCs w:val="22"/>
        </w:rPr>
      </w:pPr>
      <w:r w:rsidRPr="00915116">
        <w:rPr>
          <w:szCs w:val="22"/>
        </w:rPr>
        <w:t>Is the WBC establishing effective partnerships of the type required with respective partner stakeholders? If so, what has worked or is working and why, and what has not worked or is not working and why?</w:t>
      </w:r>
    </w:p>
    <w:p w14:paraId="2EBE2EAC" w14:textId="77777777" w:rsidR="00204D69" w:rsidRDefault="00204D69" w:rsidP="0083588E">
      <w:pPr>
        <w:numPr>
          <w:ilvl w:val="0"/>
          <w:numId w:val="4"/>
        </w:numPr>
        <w:spacing w:after="120"/>
        <w:rPr>
          <w:szCs w:val="22"/>
        </w:rPr>
      </w:pPr>
      <w:r w:rsidRPr="00915116">
        <w:rPr>
          <w:szCs w:val="22"/>
        </w:rPr>
        <w:t xml:space="preserve">How could partnerships be strengthened to enhance the WBC’s contribution to individuals, families and </w:t>
      </w:r>
      <w:r>
        <w:rPr>
          <w:szCs w:val="22"/>
        </w:rPr>
        <w:t>communities</w:t>
      </w:r>
      <w:r w:rsidRPr="00915116">
        <w:rPr>
          <w:szCs w:val="22"/>
        </w:rPr>
        <w:t xml:space="preserve"> functioning and wellbeing?</w:t>
      </w:r>
    </w:p>
    <w:p w14:paraId="2EBE2EAD" w14:textId="77777777" w:rsidR="00204D69" w:rsidRPr="006641EE" w:rsidRDefault="00204D69" w:rsidP="0083588E">
      <w:pPr>
        <w:numPr>
          <w:ilvl w:val="0"/>
          <w:numId w:val="4"/>
        </w:numPr>
        <w:spacing w:after="120"/>
        <w:rPr>
          <w:szCs w:val="22"/>
        </w:rPr>
      </w:pPr>
      <w:r w:rsidRPr="007A4CB3">
        <w:rPr>
          <w:szCs w:val="22"/>
        </w:rPr>
        <w:t>Are the WBCs effectively</w:t>
      </w:r>
      <w:r w:rsidRPr="006641EE">
        <w:rPr>
          <w:szCs w:val="22"/>
        </w:rPr>
        <w:t xml:space="preserve"> engaging the community? If so, what has or is working and why, and what has not worked and why?</w:t>
      </w:r>
    </w:p>
    <w:p w14:paraId="2EBE2EAE" w14:textId="77777777" w:rsidR="00204D69" w:rsidRPr="006641EE" w:rsidRDefault="00204D69" w:rsidP="0083588E">
      <w:pPr>
        <w:numPr>
          <w:ilvl w:val="0"/>
          <w:numId w:val="4"/>
        </w:numPr>
        <w:spacing w:after="120"/>
        <w:rPr>
          <w:szCs w:val="22"/>
        </w:rPr>
      </w:pPr>
      <w:r w:rsidRPr="006641EE">
        <w:rPr>
          <w:szCs w:val="22"/>
        </w:rPr>
        <w:t xml:space="preserve">How could community engagement be improved to enhance the WBC’s contribution to individuals, families and </w:t>
      </w:r>
      <w:r>
        <w:rPr>
          <w:szCs w:val="22"/>
        </w:rPr>
        <w:t>community</w:t>
      </w:r>
      <w:r w:rsidRPr="006641EE">
        <w:rPr>
          <w:szCs w:val="22"/>
        </w:rPr>
        <w:t>’</w:t>
      </w:r>
      <w:r>
        <w:rPr>
          <w:szCs w:val="22"/>
        </w:rPr>
        <w:t>s</w:t>
      </w:r>
      <w:r w:rsidRPr="006641EE">
        <w:rPr>
          <w:szCs w:val="22"/>
        </w:rPr>
        <w:t xml:space="preserve"> functioning and wellbeing?</w:t>
      </w:r>
    </w:p>
    <w:p w14:paraId="2EBE2EAF" w14:textId="77777777" w:rsidR="00204D69" w:rsidRDefault="00204D69" w:rsidP="0083588E">
      <w:pPr>
        <w:numPr>
          <w:ilvl w:val="0"/>
          <w:numId w:val="4"/>
        </w:numPr>
        <w:rPr>
          <w:szCs w:val="22"/>
        </w:rPr>
      </w:pPr>
      <w:r w:rsidRPr="006641EE">
        <w:rPr>
          <w:szCs w:val="22"/>
        </w:rPr>
        <w:t>Have community capacity building efforts been effective in underpinning a longer term enhancement of community control?</w:t>
      </w:r>
    </w:p>
    <w:p w14:paraId="2EBE2EB0" w14:textId="77777777" w:rsidR="00204D69" w:rsidRDefault="00204D69" w:rsidP="00B14D28">
      <w:pPr>
        <w:pStyle w:val="Heading2"/>
        <w:numPr>
          <w:ilvl w:val="1"/>
          <w:numId w:val="51"/>
        </w:numPr>
      </w:pPr>
      <w:bookmarkStart w:id="124" w:name="_Ref387397317"/>
      <w:bookmarkStart w:id="125" w:name="_Toc440038440"/>
      <w:r>
        <w:t>Service model description</w:t>
      </w:r>
      <w:bookmarkEnd w:id="124"/>
      <w:bookmarkEnd w:id="125"/>
    </w:p>
    <w:p w14:paraId="2EBE2EB1" w14:textId="77777777" w:rsidR="00204D69" w:rsidRPr="00700802" w:rsidRDefault="00204D69" w:rsidP="00204D69">
      <w:pPr>
        <w:rPr>
          <w:color w:val="auto"/>
        </w:rPr>
      </w:pPr>
      <w:r w:rsidRPr="00700802">
        <w:rPr>
          <w:color w:val="auto"/>
        </w:rPr>
        <w:t>The aim of this section is to provide a brief overvi</w:t>
      </w:r>
      <w:r>
        <w:rPr>
          <w:color w:val="auto"/>
        </w:rPr>
        <w:t xml:space="preserve">ew of the current service model and supplement the information provided in Section </w:t>
      </w:r>
      <w:r>
        <w:rPr>
          <w:color w:val="auto"/>
        </w:rPr>
        <w:fldChar w:fldCharType="begin"/>
      </w:r>
      <w:r>
        <w:rPr>
          <w:color w:val="auto"/>
        </w:rPr>
        <w:instrText xml:space="preserve"> REF _Ref387397141 \r \h </w:instrText>
      </w:r>
      <w:r>
        <w:rPr>
          <w:color w:val="auto"/>
        </w:rPr>
      </w:r>
      <w:r>
        <w:rPr>
          <w:color w:val="auto"/>
        </w:rPr>
        <w:fldChar w:fldCharType="separate"/>
      </w:r>
      <w:r w:rsidR="009A19EB">
        <w:rPr>
          <w:color w:val="auto"/>
        </w:rPr>
        <w:t>1.5</w:t>
      </w:r>
      <w:r>
        <w:rPr>
          <w:color w:val="auto"/>
        </w:rPr>
        <w:fldChar w:fldCharType="end"/>
      </w:r>
      <w:r>
        <w:rPr>
          <w:color w:val="auto"/>
        </w:rPr>
        <w:t>.</w:t>
      </w:r>
    </w:p>
    <w:p w14:paraId="2EBE2EB2" w14:textId="77777777" w:rsidR="00204D69" w:rsidRDefault="00204D69" w:rsidP="00204D69">
      <w:r>
        <w:t>As stated in the WBC service model, WBCs deliver a community based model through a capacity development and empowerment lens that:</w:t>
      </w:r>
    </w:p>
    <w:p w14:paraId="2EBE2EB3" w14:textId="77777777" w:rsidR="00204D69" w:rsidRPr="002A2437" w:rsidRDefault="002A768F" w:rsidP="0083588E">
      <w:pPr>
        <w:numPr>
          <w:ilvl w:val="0"/>
          <w:numId w:val="9"/>
        </w:numPr>
        <w:spacing w:after="120"/>
        <w:ind w:left="357" w:hanging="357"/>
        <w:rPr>
          <w:lang w:eastAsia="en-AU"/>
        </w:rPr>
      </w:pPr>
      <w:r>
        <w:rPr>
          <w:lang w:eastAsia="en-AU"/>
        </w:rPr>
        <w:t>P</w:t>
      </w:r>
      <w:r w:rsidRPr="002A2437">
        <w:rPr>
          <w:lang w:eastAsia="en-AU"/>
        </w:rPr>
        <w:t>rov</w:t>
      </w:r>
      <w:r w:rsidR="00204D69" w:rsidRPr="002A2437">
        <w:rPr>
          <w:lang w:eastAsia="en-AU"/>
        </w:rPr>
        <w:t xml:space="preserve">ides a service that supports and involves community input while focusing on addressing alcohol </w:t>
      </w:r>
      <w:r w:rsidR="00204D69">
        <w:rPr>
          <w:lang w:eastAsia="en-AU"/>
        </w:rPr>
        <w:t xml:space="preserve">and other </w:t>
      </w:r>
      <w:r w:rsidR="00204D69" w:rsidRPr="002A2437">
        <w:rPr>
          <w:lang w:eastAsia="en-AU"/>
        </w:rPr>
        <w:t xml:space="preserve">drug use issues, gambling, family violence, and SEWB </w:t>
      </w:r>
    </w:p>
    <w:p w14:paraId="2EBE2EB4" w14:textId="77777777" w:rsidR="00204D69" w:rsidRPr="002A2437" w:rsidRDefault="002A768F" w:rsidP="0083588E">
      <w:pPr>
        <w:numPr>
          <w:ilvl w:val="0"/>
          <w:numId w:val="9"/>
        </w:numPr>
        <w:spacing w:after="120"/>
        <w:ind w:left="357" w:hanging="357"/>
        <w:rPr>
          <w:lang w:eastAsia="en-AU"/>
        </w:rPr>
      </w:pPr>
      <w:r>
        <w:rPr>
          <w:lang w:eastAsia="en-AU"/>
        </w:rPr>
        <w:t>A</w:t>
      </w:r>
      <w:r w:rsidR="00204D69" w:rsidRPr="002A2437">
        <w:rPr>
          <w:lang w:eastAsia="en-AU"/>
        </w:rPr>
        <w:t>ims to ensure a high level of local decision-making</w:t>
      </w:r>
    </w:p>
    <w:p w14:paraId="2EBE2EB5" w14:textId="77777777" w:rsidR="00204D69" w:rsidRPr="002A2437" w:rsidRDefault="002A768F" w:rsidP="0083588E">
      <w:pPr>
        <w:numPr>
          <w:ilvl w:val="0"/>
          <w:numId w:val="9"/>
        </w:numPr>
        <w:spacing w:after="120"/>
        <w:ind w:left="357" w:hanging="357"/>
        <w:rPr>
          <w:lang w:eastAsia="en-AU"/>
        </w:rPr>
      </w:pPr>
      <w:r>
        <w:rPr>
          <w:lang w:eastAsia="en-AU"/>
        </w:rPr>
        <w:t>I</w:t>
      </w:r>
      <w:r w:rsidR="00204D69" w:rsidRPr="002A2437">
        <w:rPr>
          <w:lang w:eastAsia="en-AU"/>
        </w:rPr>
        <w:t>s flexible in provision of services in community or on country including traditional views of health and healing</w:t>
      </w:r>
    </w:p>
    <w:p w14:paraId="2EBE2EB6" w14:textId="77777777" w:rsidR="00204D69" w:rsidRDefault="002A768F" w:rsidP="0083588E">
      <w:pPr>
        <w:numPr>
          <w:ilvl w:val="0"/>
          <w:numId w:val="9"/>
        </w:numPr>
        <w:spacing w:after="120"/>
        <w:ind w:left="357" w:hanging="357"/>
      </w:pPr>
      <w:r>
        <w:rPr>
          <w:lang w:eastAsia="en-AU"/>
        </w:rPr>
        <w:t>F</w:t>
      </w:r>
      <w:r w:rsidR="00204D69" w:rsidRPr="002A2437">
        <w:rPr>
          <w:lang w:eastAsia="en-AU"/>
        </w:rPr>
        <w:t xml:space="preserve">ocuses on empowering individuals and </w:t>
      </w:r>
      <w:r w:rsidR="00204D69">
        <w:rPr>
          <w:lang w:eastAsia="en-AU"/>
        </w:rPr>
        <w:t>communities</w:t>
      </w:r>
      <w:r w:rsidR="00204D69" w:rsidRPr="002A2437">
        <w:rPr>
          <w:lang w:eastAsia="en-AU"/>
        </w:rPr>
        <w:t xml:space="preserve"> as a whole to take responsibility for making</w:t>
      </w:r>
      <w:r w:rsidR="00204D69">
        <w:rPr>
          <w:lang w:eastAsia="en-AU"/>
        </w:rPr>
        <w:t xml:space="preserve"> positive choices</w:t>
      </w:r>
      <w:r>
        <w:t xml:space="preserve"> about their health and well</w:t>
      </w:r>
      <w:r w:rsidR="00204D69">
        <w:t>being.</w:t>
      </w:r>
    </w:p>
    <w:p w14:paraId="2EBE2EB7" w14:textId="77777777" w:rsidR="00204D69" w:rsidRDefault="00204D69" w:rsidP="00204D69">
      <w:r>
        <w:lastRenderedPageBreak/>
        <w:t xml:space="preserve">Following referral or presentation at a WBC, a comprehensive holistic assessment and engagement process is undertaken with relevant clients to determine the most appropriate programs and activities from which that particular client would benefit most. </w:t>
      </w:r>
    </w:p>
    <w:p w14:paraId="2EBE2EB8" w14:textId="77777777" w:rsidR="00204D69" w:rsidRDefault="00204D69" w:rsidP="00204D69">
      <w:pPr>
        <w:rPr>
          <w:color w:val="auto"/>
        </w:rPr>
      </w:pPr>
      <w:r w:rsidRPr="00700802">
        <w:rPr>
          <w:color w:val="auto"/>
        </w:rPr>
        <w:t xml:space="preserve">The model of care recognises that the needs of each community are different and that the type or mix of services may therefore be different within the context of the overall service provision framework. </w:t>
      </w:r>
      <w:r>
        <w:rPr>
          <w:color w:val="auto"/>
        </w:rPr>
        <w:t xml:space="preserve">Hence, whilst there is a core range and type of services being offered, </w:t>
      </w:r>
      <w:r w:rsidRPr="00700802">
        <w:rPr>
          <w:color w:val="auto"/>
        </w:rPr>
        <w:t xml:space="preserve">the target and focus of </w:t>
      </w:r>
      <w:r>
        <w:rPr>
          <w:color w:val="auto"/>
        </w:rPr>
        <w:t xml:space="preserve">individual and </w:t>
      </w:r>
      <w:r w:rsidRPr="00700802">
        <w:rPr>
          <w:color w:val="auto"/>
        </w:rPr>
        <w:t xml:space="preserve">group activities and </w:t>
      </w:r>
      <w:r>
        <w:rPr>
          <w:color w:val="auto"/>
        </w:rPr>
        <w:t xml:space="preserve">the type of partners and </w:t>
      </w:r>
      <w:r w:rsidRPr="00700802">
        <w:rPr>
          <w:color w:val="auto"/>
        </w:rPr>
        <w:t xml:space="preserve">how they work with particular partners do differ. </w:t>
      </w:r>
    </w:p>
    <w:p w14:paraId="2EBE2EB9" w14:textId="77777777" w:rsidR="00204D69" w:rsidRPr="00700802" w:rsidRDefault="00204D69" w:rsidP="00204D69">
      <w:pPr>
        <w:rPr>
          <w:color w:val="auto"/>
        </w:rPr>
      </w:pPr>
      <w:r w:rsidRPr="00700802">
        <w:rPr>
          <w:color w:val="auto"/>
        </w:rPr>
        <w:t xml:space="preserve">The model of care highlights the importance of working in partnership and coordinating services with </w:t>
      </w:r>
      <w:r>
        <w:rPr>
          <w:color w:val="auto"/>
        </w:rPr>
        <w:t>other key service provider</w:t>
      </w:r>
      <w:r w:rsidRPr="00700802">
        <w:rPr>
          <w:color w:val="auto"/>
        </w:rPr>
        <w:t>s but provides little guidance or detail in this area. The service model does highlight that for mandated clients there is need for clarity around confidentiality and that harm minimisation will be a major focus which should be communicated clearly with the client/family the referrer and other relevant providers. It also notes that client resistance may be experienced and home visits may be required.</w:t>
      </w:r>
    </w:p>
    <w:p w14:paraId="2EBE2EBA" w14:textId="77777777" w:rsidR="00204D69" w:rsidRPr="00A03B12" w:rsidRDefault="00204D69" w:rsidP="00204D69">
      <w:pPr>
        <w:rPr>
          <w:color w:val="auto"/>
        </w:rPr>
      </w:pPr>
      <w:r w:rsidRPr="00A03B12">
        <w:rPr>
          <w:color w:val="auto"/>
        </w:rPr>
        <w:t xml:space="preserve">The service model discusses the relevance of, but does not mandate, particular approaches or therapies (e.g. cognitive behaviour therapy, motivational interviewing, narrative therapy). </w:t>
      </w:r>
      <w:r>
        <w:rPr>
          <w:color w:val="auto"/>
        </w:rPr>
        <w:t>Our consultations to date note that the range of approaches and therapies is broad, largely influenced by the fact the teams consist of professionals from varying backgrounds (e.g. mental health nursing, psychology, social work).</w:t>
      </w:r>
    </w:p>
    <w:p w14:paraId="2EBE2EBB" w14:textId="77777777" w:rsidR="00204D69" w:rsidRDefault="00204D69" w:rsidP="00204D69">
      <w:r>
        <w:t xml:space="preserve">The clinical practice framework within the model of care (based on the previously developed </w:t>
      </w:r>
      <w:r>
        <w:rPr>
          <w:i/>
        </w:rPr>
        <w:t>Foundation o</w:t>
      </w:r>
      <w:r w:rsidRPr="00C402C7">
        <w:rPr>
          <w:i/>
        </w:rPr>
        <w:t>f Well-Being Framework</w:t>
      </w:r>
      <w:r w:rsidRPr="001647D5">
        <w:t>)</w:t>
      </w:r>
      <w:r>
        <w:rPr>
          <w:i/>
        </w:rPr>
        <w:t>,</w:t>
      </w:r>
      <w:r>
        <w:t xml:space="preserve"> emphasises the importance of screening and assessment. The framework identifies four psycho-social modules namely for use with the client group:</w:t>
      </w:r>
    </w:p>
    <w:p w14:paraId="2EBE2EBC" w14:textId="77777777" w:rsidR="00204D69" w:rsidRDefault="00204D69" w:rsidP="0083588E">
      <w:pPr>
        <w:numPr>
          <w:ilvl w:val="0"/>
          <w:numId w:val="9"/>
        </w:numPr>
        <w:spacing w:after="120"/>
        <w:ind w:left="357" w:hanging="357"/>
        <w:rPr>
          <w:lang w:eastAsia="en-AU"/>
        </w:rPr>
      </w:pPr>
      <w:r>
        <w:rPr>
          <w:lang w:eastAsia="en-AU"/>
        </w:rPr>
        <w:t>A</w:t>
      </w:r>
      <w:r w:rsidRPr="000B676D">
        <w:rPr>
          <w:lang w:eastAsia="en-AU"/>
        </w:rPr>
        <w:t>lcohol</w:t>
      </w:r>
      <w:r>
        <w:rPr>
          <w:lang w:eastAsia="en-AU"/>
        </w:rPr>
        <w:t xml:space="preserve"> and other drug misuse</w:t>
      </w:r>
    </w:p>
    <w:p w14:paraId="2EBE2EBD" w14:textId="77777777" w:rsidR="00204D69" w:rsidRDefault="00204D69" w:rsidP="0083588E">
      <w:pPr>
        <w:numPr>
          <w:ilvl w:val="0"/>
          <w:numId w:val="9"/>
        </w:numPr>
        <w:spacing w:after="120"/>
        <w:ind w:left="357" w:hanging="357"/>
        <w:rPr>
          <w:lang w:eastAsia="en-AU"/>
        </w:rPr>
      </w:pPr>
      <w:r>
        <w:rPr>
          <w:lang w:eastAsia="en-AU"/>
        </w:rPr>
        <w:t>Domestic violence</w:t>
      </w:r>
    </w:p>
    <w:p w14:paraId="2EBE2EBE" w14:textId="77777777" w:rsidR="00204D69" w:rsidRDefault="00204D69" w:rsidP="0083588E">
      <w:pPr>
        <w:numPr>
          <w:ilvl w:val="0"/>
          <w:numId w:val="9"/>
        </w:numPr>
        <w:spacing w:after="120"/>
        <w:ind w:left="357" w:hanging="357"/>
        <w:rPr>
          <w:lang w:eastAsia="en-AU"/>
        </w:rPr>
      </w:pPr>
      <w:r>
        <w:rPr>
          <w:lang w:eastAsia="en-AU"/>
        </w:rPr>
        <w:t>Mental health and well-being</w:t>
      </w:r>
    </w:p>
    <w:p w14:paraId="2EBE2EBF" w14:textId="77777777" w:rsidR="00204D69" w:rsidRDefault="00204D69" w:rsidP="0083588E">
      <w:pPr>
        <w:numPr>
          <w:ilvl w:val="0"/>
          <w:numId w:val="9"/>
        </w:numPr>
        <w:spacing w:after="120"/>
        <w:ind w:left="357" w:hanging="357"/>
      </w:pPr>
      <w:r>
        <w:rPr>
          <w:lang w:eastAsia="en-AU"/>
        </w:rPr>
        <w:t>Relationships</w:t>
      </w:r>
      <w:r>
        <w:t>/family and parenting.</w:t>
      </w:r>
    </w:p>
    <w:p w14:paraId="2EBE2EC0" w14:textId="77777777" w:rsidR="00204D69" w:rsidRPr="00A03B12" w:rsidRDefault="00204D69" w:rsidP="00204D69">
      <w:pPr>
        <w:spacing w:after="120"/>
        <w:rPr>
          <w:color w:val="auto"/>
        </w:rPr>
      </w:pPr>
      <w:r w:rsidRPr="00A03B12">
        <w:rPr>
          <w:color w:val="auto"/>
        </w:rPr>
        <w:t>There are no plans to develop any further modules at this stage. In fact the RFDS is currently considering the role of these modules and a further explanation of how they are to be used within the proposed update to the model of care.</w:t>
      </w:r>
    </w:p>
    <w:p w14:paraId="2EBE2EC1" w14:textId="77777777" w:rsidR="00204D69" w:rsidRPr="00A03B12" w:rsidRDefault="00204D69" w:rsidP="00204D69">
      <w:pPr>
        <w:spacing w:after="120"/>
        <w:rPr>
          <w:color w:val="auto"/>
        </w:rPr>
      </w:pPr>
      <w:r w:rsidRPr="00A03B12">
        <w:rPr>
          <w:color w:val="auto"/>
        </w:rPr>
        <w:t>Each module has a number of specific topics within it and links are provided to relevant support materials to assist staff in delivery. Clinical staff select the specific topics they believe appropriate to the client need. Note that each module does not consist of a fully developed suite of program delivery materials and it is this lack of clarity that HOI believe has contributed to the frustration of some stakeholders, notably the FRC, to understand exactly what activities the WBC undertakes with its referred clients.</w:t>
      </w:r>
    </w:p>
    <w:p w14:paraId="2EBE2EC2" w14:textId="77777777" w:rsidR="00204D69" w:rsidRPr="00A03B12" w:rsidRDefault="00204D69" w:rsidP="00204D69">
      <w:pPr>
        <w:rPr>
          <w:color w:val="auto"/>
          <w:lang w:eastAsia="en-AU"/>
        </w:rPr>
      </w:pPr>
      <w:r w:rsidRPr="00A03B12">
        <w:rPr>
          <w:color w:val="auto"/>
          <w:lang w:eastAsia="en-AU"/>
        </w:rPr>
        <w:t>In a practical sense there is an expectation that the WBCs will:</w:t>
      </w:r>
    </w:p>
    <w:p w14:paraId="2EBE2EC3" w14:textId="77777777" w:rsidR="00204D69" w:rsidRPr="00A03B12" w:rsidRDefault="00C56FF7" w:rsidP="0083588E">
      <w:pPr>
        <w:numPr>
          <w:ilvl w:val="0"/>
          <w:numId w:val="9"/>
        </w:numPr>
        <w:spacing w:after="120"/>
        <w:ind w:left="357" w:hanging="357"/>
        <w:rPr>
          <w:color w:val="auto"/>
          <w:lang w:eastAsia="en-AU"/>
        </w:rPr>
      </w:pPr>
      <w:r>
        <w:rPr>
          <w:color w:val="auto"/>
          <w:lang w:eastAsia="en-AU"/>
        </w:rPr>
        <w:t>P</w:t>
      </w:r>
      <w:r w:rsidR="00204D69" w:rsidRPr="00A03B12">
        <w:rPr>
          <w:color w:val="auto"/>
          <w:lang w:eastAsia="en-AU"/>
        </w:rPr>
        <w:t>rovide a key point of contact and referral including receiving mandatory referrals from the FRC</w:t>
      </w:r>
    </w:p>
    <w:p w14:paraId="2EBE2EC4" w14:textId="77777777" w:rsidR="00204D69" w:rsidRPr="00A03B12" w:rsidRDefault="00C56FF7" w:rsidP="0083588E">
      <w:pPr>
        <w:numPr>
          <w:ilvl w:val="0"/>
          <w:numId w:val="9"/>
        </w:numPr>
        <w:spacing w:after="120"/>
        <w:ind w:left="357" w:hanging="357"/>
        <w:rPr>
          <w:color w:val="auto"/>
          <w:lang w:eastAsia="en-AU"/>
        </w:rPr>
      </w:pPr>
      <w:r>
        <w:rPr>
          <w:color w:val="auto"/>
          <w:lang w:eastAsia="en-AU"/>
        </w:rPr>
        <w:t>P</w:t>
      </w:r>
      <w:r w:rsidR="00204D69" w:rsidRPr="00A03B12">
        <w:rPr>
          <w:color w:val="auto"/>
          <w:lang w:eastAsia="en-AU"/>
        </w:rPr>
        <w:t>rovide clinical and general counselling both at individual and family level that meets the assessed need of the client</w:t>
      </w:r>
    </w:p>
    <w:p w14:paraId="2EBE2EC5" w14:textId="77777777" w:rsidR="00204D69" w:rsidRPr="00A03B12" w:rsidRDefault="00C56FF7" w:rsidP="0083588E">
      <w:pPr>
        <w:numPr>
          <w:ilvl w:val="0"/>
          <w:numId w:val="9"/>
        </w:numPr>
        <w:spacing w:after="120"/>
        <w:ind w:left="357" w:hanging="357"/>
        <w:rPr>
          <w:color w:val="auto"/>
          <w:lang w:eastAsia="en-AU"/>
        </w:rPr>
      </w:pPr>
      <w:r>
        <w:rPr>
          <w:color w:val="auto"/>
          <w:lang w:eastAsia="en-AU"/>
        </w:rPr>
        <w:t>C</w:t>
      </w:r>
      <w:r w:rsidR="00204D69" w:rsidRPr="00A03B12">
        <w:rPr>
          <w:color w:val="auto"/>
          <w:lang w:eastAsia="en-AU"/>
        </w:rPr>
        <w:t>onduct regular group activities targeted at particular age groups or gender focusing on relevant issues and responding to community need</w:t>
      </w:r>
    </w:p>
    <w:p w14:paraId="2EBE2EC6" w14:textId="77777777" w:rsidR="00204D69" w:rsidRPr="00A03B12" w:rsidRDefault="00C56FF7" w:rsidP="0083588E">
      <w:pPr>
        <w:numPr>
          <w:ilvl w:val="0"/>
          <w:numId w:val="9"/>
        </w:numPr>
        <w:spacing w:after="120"/>
        <w:ind w:left="357" w:hanging="357"/>
        <w:rPr>
          <w:color w:val="auto"/>
          <w:lang w:eastAsia="en-AU"/>
        </w:rPr>
      </w:pPr>
      <w:r>
        <w:rPr>
          <w:color w:val="auto"/>
          <w:lang w:eastAsia="en-AU"/>
        </w:rPr>
        <w:lastRenderedPageBreak/>
        <w:t>L</w:t>
      </w:r>
      <w:r w:rsidR="00204D69" w:rsidRPr="00A03B12">
        <w:rPr>
          <w:color w:val="auto"/>
          <w:lang w:eastAsia="en-AU"/>
        </w:rPr>
        <w:t>ead or participate in community wide campaigns to address relevant key social issues and provide leadership at a community level in relation to responding to relevant social issues</w:t>
      </w:r>
    </w:p>
    <w:p w14:paraId="2EBE2EC7" w14:textId="77777777" w:rsidR="00204D69" w:rsidRPr="00A03B12" w:rsidRDefault="00C56FF7" w:rsidP="0083588E">
      <w:pPr>
        <w:numPr>
          <w:ilvl w:val="0"/>
          <w:numId w:val="9"/>
        </w:numPr>
        <w:spacing w:after="120"/>
        <w:ind w:left="357" w:hanging="357"/>
        <w:rPr>
          <w:color w:val="auto"/>
          <w:lang w:eastAsia="en-AU"/>
        </w:rPr>
      </w:pPr>
      <w:r>
        <w:rPr>
          <w:color w:val="auto"/>
          <w:lang w:eastAsia="en-AU"/>
        </w:rPr>
        <w:t>F</w:t>
      </w:r>
      <w:r w:rsidR="00204D69" w:rsidRPr="00A03B12">
        <w:rPr>
          <w:color w:val="auto"/>
          <w:lang w:eastAsia="en-AU"/>
        </w:rPr>
        <w:t>ocus on drug and alcohol problems</w:t>
      </w:r>
      <w:r w:rsidR="00896FF3">
        <w:rPr>
          <w:color w:val="auto"/>
          <w:lang w:eastAsia="en-AU"/>
        </w:rPr>
        <w:t xml:space="preserve"> and clients with mental health issues</w:t>
      </w:r>
      <w:r w:rsidR="00204D69" w:rsidRPr="00A03B12">
        <w:rPr>
          <w:color w:val="auto"/>
          <w:lang w:eastAsia="en-AU"/>
        </w:rPr>
        <w:t xml:space="preserve"> as well a wide range of other SEWB issues</w:t>
      </w:r>
    </w:p>
    <w:p w14:paraId="2EBE2EC8" w14:textId="77777777" w:rsidR="00204D69" w:rsidRPr="00A03B12" w:rsidRDefault="00C56FF7" w:rsidP="0083588E">
      <w:pPr>
        <w:numPr>
          <w:ilvl w:val="0"/>
          <w:numId w:val="9"/>
        </w:numPr>
        <w:spacing w:after="120"/>
        <w:ind w:left="357" w:hanging="357"/>
        <w:rPr>
          <w:color w:val="auto"/>
          <w:lang w:eastAsia="en-AU"/>
        </w:rPr>
      </w:pPr>
      <w:r>
        <w:rPr>
          <w:color w:val="auto"/>
          <w:lang w:eastAsia="en-AU"/>
        </w:rPr>
        <w:t>W</w:t>
      </w:r>
      <w:r w:rsidR="00204D69" w:rsidRPr="00A03B12">
        <w:rPr>
          <w:color w:val="auto"/>
          <w:lang w:eastAsia="en-AU"/>
        </w:rPr>
        <w:t xml:space="preserve">ork closely with key partners and coordinate services accordingly at </w:t>
      </w:r>
      <w:r w:rsidR="00204D69">
        <w:rPr>
          <w:color w:val="auto"/>
          <w:lang w:eastAsia="en-AU"/>
        </w:rPr>
        <w:t xml:space="preserve">the </w:t>
      </w:r>
      <w:r w:rsidR="00204D69" w:rsidRPr="00A03B12">
        <w:rPr>
          <w:color w:val="auto"/>
          <w:lang w:eastAsia="en-AU"/>
        </w:rPr>
        <w:t>individual</w:t>
      </w:r>
      <w:r w:rsidR="00204D69">
        <w:rPr>
          <w:color w:val="auto"/>
          <w:lang w:eastAsia="en-AU"/>
        </w:rPr>
        <w:t>, group</w:t>
      </w:r>
      <w:r w:rsidR="00204D69" w:rsidRPr="00A03B12">
        <w:rPr>
          <w:color w:val="auto"/>
          <w:lang w:eastAsia="en-AU"/>
        </w:rPr>
        <w:t xml:space="preserve"> and community level</w:t>
      </w:r>
      <w:r w:rsidR="00DA441F">
        <w:rPr>
          <w:color w:val="auto"/>
          <w:lang w:eastAsia="en-AU"/>
        </w:rPr>
        <w:t xml:space="preserve">. This would include referral to/from the Cape York Family Centre being developed in Cooktown, however, </w:t>
      </w:r>
      <w:r w:rsidR="00DA25A7">
        <w:rPr>
          <w:color w:val="auto"/>
          <w:lang w:eastAsia="en-AU"/>
        </w:rPr>
        <w:t xml:space="preserve">this service is </w:t>
      </w:r>
      <w:r w:rsidR="00DA441F">
        <w:rPr>
          <w:color w:val="auto"/>
          <w:lang w:eastAsia="en-AU"/>
        </w:rPr>
        <w:t xml:space="preserve">still in </w:t>
      </w:r>
      <w:r w:rsidR="00DA25A7">
        <w:rPr>
          <w:color w:val="auto"/>
          <w:lang w:eastAsia="en-AU"/>
        </w:rPr>
        <w:t xml:space="preserve">a relatively </w:t>
      </w:r>
      <w:r w:rsidR="00DA441F">
        <w:rPr>
          <w:color w:val="auto"/>
          <w:lang w:eastAsia="en-AU"/>
        </w:rPr>
        <w:t>early stage of establishment</w:t>
      </w:r>
      <w:r w:rsidR="00DA25A7">
        <w:rPr>
          <w:color w:val="auto"/>
          <w:lang w:eastAsia="en-AU"/>
        </w:rPr>
        <w:t xml:space="preserve"> during the period of the evaluation</w:t>
      </w:r>
      <w:r w:rsidR="00DA441F">
        <w:rPr>
          <w:color w:val="auto"/>
          <w:lang w:eastAsia="en-AU"/>
        </w:rPr>
        <w:t>.</w:t>
      </w:r>
    </w:p>
    <w:p w14:paraId="2EBE2EC9" w14:textId="77777777" w:rsidR="00204D69" w:rsidRPr="00A03B12" w:rsidRDefault="00C56FF7" w:rsidP="0083588E">
      <w:pPr>
        <w:numPr>
          <w:ilvl w:val="0"/>
          <w:numId w:val="9"/>
        </w:numPr>
        <w:spacing w:after="120"/>
        <w:ind w:left="357" w:hanging="357"/>
        <w:rPr>
          <w:color w:val="auto"/>
          <w:lang w:eastAsia="en-AU"/>
        </w:rPr>
      </w:pPr>
      <w:r>
        <w:rPr>
          <w:color w:val="auto"/>
          <w:lang w:eastAsia="en-AU"/>
        </w:rPr>
        <w:t>A</w:t>
      </w:r>
      <w:r w:rsidR="00204D69" w:rsidRPr="00A03B12">
        <w:rPr>
          <w:color w:val="auto"/>
          <w:lang w:eastAsia="en-AU"/>
        </w:rPr>
        <w:t>ct as a key referral service for the FRC and respond appropriately to both voluntary and mandatory referrals</w:t>
      </w:r>
    </w:p>
    <w:p w14:paraId="2EBE2ECA" w14:textId="77777777" w:rsidR="00204D69" w:rsidRPr="00A03B12" w:rsidRDefault="00C56FF7" w:rsidP="0083588E">
      <w:pPr>
        <w:numPr>
          <w:ilvl w:val="0"/>
          <w:numId w:val="9"/>
        </w:numPr>
        <w:spacing w:after="120"/>
        <w:ind w:left="357" w:hanging="357"/>
        <w:rPr>
          <w:color w:val="auto"/>
          <w:lang w:eastAsia="en-AU"/>
        </w:rPr>
      </w:pPr>
      <w:r>
        <w:rPr>
          <w:color w:val="auto"/>
          <w:lang w:eastAsia="en-AU"/>
        </w:rPr>
        <w:t>E</w:t>
      </w:r>
      <w:r w:rsidR="00204D69" w:rsidRPr="00A03B12">
        <w:rPr>
          <w:color w:val="auto"/>
          <w:lang w:eastAsia="en-AU"/>
        </w:rPr>
        <w:t>ffec</w:t>
      </w:r>
      <w:r w:rsidR="00204D69">
        <w:rPr>
          <w:color w:val="auto"/>
          <w:lang w:eastAsia="en-AU"/>
        </w:rPr>
        <w:t>tively engage the community</w:t>
      </w:r>
    </w:p>
    <w:p w14:paraId="2EBE2ECB" w14:textId="77777777" w:rsidR="00204D69" w:rsidRDefault="00C56FF7" w:rsidP="0083588E">
      <w:pPr>
        <w:numPr>
          <w:ilvl w:val="0"/>
          <w:numId w:val="9"/>
        </w:numPr>
        <w:spacing w:after="120"/>
        <w:ind w:left="357" w:hanging="357"/>
        <w:rPr>
          <w:color w:val="auto"/>
          <w:lang w:eastAsia="en-AU"/>
        </w:rPr>
      </w:pPr>
      <w:r>
        <w:rPr>
          <w:color w:val="auto"/>
          <w:lang w:eastAsia="en-AU"/>
        </w:rPr>
        <w:t>B</w:t>
      </w:r>
      <w:r w:rsidR="00204D69" w:rsidRPr="00A03B12">
        <w:rPr>
          <w:color w:val="auto"/>
          <w:lang w:eastAsia="en-AU"/>
        </w:rPr>
        <w:t>e available for use as a drop-in centre (at least by some stakeholders in some locations)</w:t>
      </w:r>
      <w:r w:rsidR="00204D69">
        <w:rPr>
          <w:color w:val="auto"/>
          <w:lang w:eastAsia="en-AU"/>
        </w:rPr>
        <w:t xml:space="preserve"> </w:t>
      </w:r>
    </w:p>
    <w:p w14:paraId="2EBE2ECC" w14:textId="77777777" w:rsidR="00204D69" w:rsidRDefault="00C56FF7" w:rsidP="0083588E">
      <w:pPr>
        <w:numPr>
          <w:ilvl w:val="0"/>
          <w:numId w:val="9"/>
        </w:numPr>
        <w:spacing w:after="120"/>
        <w:ind w:left="357" w:hanging="357"/>
        <w:rPr>
          <w:color w:val="auto"/>
          <w:lang w:eastAsia="en-AU"/>
        </w:rPr>
      </w:pPr>
      <w:r>
        <w:rPr>
          <w:color w:val="auto"/>
          <w:lang w:eastAsia="en-AU"/>
        </w:rPr>
        <w:t xml:space="preserve">Be </w:t>
      </w:r>
      <w:r w:rsidR="00204D69">
        <w:rPr>
          <w:color w:val="auto"/>
          <w:lang w:eastAsia="en-AU"/>
        </w:rPr>
        <w:t>part of an integrated approach to primary health care</w:t>
      </w:r>
      <w:r w:rsidR="00204D69" w:rsidRPr="00A03B12">
        <w:rPr>
          <w:color w:val="auto"/>
          <w:lang w:eastAsia="en-AU"/>
        </w:rPr>
        <w:t>.</w:t>
      </w:r>
      <w:bookmarkStart w:id="126" w:name="_Toc351816044"/>
      <w:bookmarkStart w:id="127" w:name="_Toc355880492"/>
    </w:p>
    <w:p w14:paraId="2EBE2ECD" w14:textId="77777777" w:rsidR="00580F82" w:rsidRDefault="00580F82" w:rsidP="00580F82">
      <w:pPr>
        <w:spacing w:after="120"/>
        <w:rPr>
          <w:color w:val="auto"/>
          <w:lang w:eastAsia="en-AU"/>
        </w:rPr>
      </w:pPr>
      <w:r>
        <w:rPr>
          <w:color w:val="auto"/>
          <w:lang w:eastAsia="en-AU"/>
        </w:rPr>
        <w:t xml:space="preserve">The service model </w:t>
      </w:r>
      <w:r w:rsidRPr="00580F82">
        <w:rPr>
          <w:color w:val="auto"/>
          <w:lang w:eastAsia="en-AU"/>
        </w:rPr>
        <w:t>provid</w:t>
      </w:r>
      <w:r>
        <w:rPr>
          <w:color w:val="auto"/>
          <w:lang w:eastAsia="en-AU"/>
        </w:rPr>
        <w:t>es</w:t>
      </w:r>
      <w:r w:rsidRPr="00580F82">
        <w:rPr>
          <w:color w:val="auto"/>
          <w:lang w:eastAsia="en-AU"/>
        </w:rPr>
        <w:t xml:space="preserve"> a new and unique approach to the provision of SEWB services</w:t>
      </w:r>
      <w:r>
        <w:rPr>
          <w:color w:val="auto"/>
          <w:lang w:eastAsia="en-AU"/>
        </w:rPr>
        <w:t>.</w:t>
      </w:r>
    </w:p>
    <w:p w14:paraId="2EBE2ECE" w14:textId="77777777" w:rsidR="00204D69" w:rsidRPr="000A0E4C" w:rsidRDefault="00204D69" w:rsidP="00204D69">
      <w:pPr>
        <w:pStyle w:val="Heading2"/>
      </w:pPr>
      <w:bookmarkStart w:id="128" w:name="_Toc440038441"/>
      <w:r w:rsidRPr="000A0E4C">
        <w:t>Service model development</w:t>
      </w:r>
      <w:bookmarkEnd w:id="126"/>
      <w:bookmarkEnd w:id="127"/>
      <w:bookmarkEnd w:id="128"/>
    </w:p>
    <w:p w14:paraId="2EBE2ECF" w14:textId="77777777" w:rsidR="00204D69" w:rsidRPr="00026CCF" w:rsidRDefault="00204D69" w:rsidP="00204D69">
      <w:pPr>
        <w:rPr>
          <w:color w:val="auto"/>
          <w:lang w:eastAsia="en-AU"/>
        </w:rPr>
      </w:pPr>
      <w:r w:rsidRPr="00026CCF">
        <w:rPr>
          <w:color w:val="auto"/>
          <w:lang w:eastAsia="en-AU"/>
        </w:rPr>
        <w:t xml:space="preserve">During the evaluation design stage (first half of 2012), it was evident through our consultations and review of key documentation that there was no clear program theory documented and the service model was not comprehensive nor was it broadly understood by partners. While evident that the program theory for the WBCs had been discussed at great length, it had not been formally documented or agreed with key partners. Further, stakeholders consulted during the design stage reported to HOI that they were not clear on the WBC service model and the Family Responsibilities Commission (FRC) in particular felt that the then </w:t>
      </w:r>
      <w:r w:rsidRPr="00026CCF">
        <w:rPr>
          <w:i/>
          <w:color w:val="auto"/>
          <w:lang w:eastAsia="en-AU"/>
        </w:rPr>
        <w:t>Foundation of Wellbeing Framework</w:t>
      </w:r>
      <w:r w:rsidRPr="00026CCF">
        <w:rPr>
          <w:color w:val="auto"/>
          <w:lang w:eastAsia="en-AU"/>
        </w:rPr>
        <w:t xml:space="preserve"> was not particularly helpful or informative for their needs (even though it had been designed largely with their needs in mind). Feedback from stakeholders also suggested that this had led to inconsistencies of practice and approach between the four WBCs.</w:t>
      </w:r>
    </w:p>
    <w:p w14:paraId="2EBE2ED0" w14:textId="77777777" w:rsidR="00204D69" w:rsidRDefault="00204D69" w:rsidP="00204D69">
      <w:pPr>
        <w:rPr>
          <w:color w:val="auto"/>
          <w:lang w:eastAsia="en-AU"/>
        </w:rPr>
      </w:pPr>
      <w:r w:rsidRPr="00700802">
        <w:rPr>
          <w:color w:val="auto"/>
          <w:lang w:eastAsia="en-AU"/>
        </w:rPr>
        <w:t>In response to this stakeholder feedback and early evaluation work, the RFDS invested significant time and effort in developing a new document entitled ‘</w:t>
      </w:r>
      <w:r w:rsidRPr="00700802">
        <w:rPr>
          <w:i/>
          <w:color w:val="auto"/>
          <w:lang w:eastAsia="en-AU"/>
        </w:rPr>
        <w:t>Mo</w:t>
      </w:r>
      <w:r>
        <w:rPr>
          <w:i/>
          <w:color w:val="auto"/>
          <w:lang w:eastAsia="en-AU"/>
        </w:rPr>
        <w:t>del of Care – Wellbeing Centre</w:t>
      </w:r>
      <w:r w:rsidRPr="00700802">
        <w:rPr>
          <w:i/>
          <w:color w:val="auto"/>
          <w:lang w:eastAsia="en-AU"/>
        </w:rPr>
        <w:t xml:space="preserve">, September 2012’ </w:t>
      </w:r>
      <w:r w:rsidRPr="00700802">
        <w:rPr>
          <w:color w:val="auto"/>
          <w:lang w:eastAsia="en-AU"/>
        </w:rPr>
        <w:t>to replace</w:t>
      </w:r>
      <w:r w:rsidRPr="00700802">
        <w:rPr>
          <w:i/>
          <w:color w:val="auto"/>
          <w:lang w:eastAsia="en-AU"/>
        </w:rPr>
        <w:t xml:space="preserve"> </w:t>
      </w:r>
      <w:r w:rsidRPr="00700802">
        <w:rPr>
          <w:color w:val="auto"/>
          <w:lang w:eastAsia="en-AU"/>
        </w:rPr>
        <w:t>the former ‘</w:t>
      </w:r>
      <w:r w:rsidRPr="00700802">
        <w:rPr>
          <w:i/>
          <w:color w:val="auto"/>
          <w:lang w:eastAsia="en-AU"/>
        </w:rPr>
        <w:t>Wellbeing Centres, the Foundation of Wellbeing Framework, version 2, 2010’</w:t>
      </w:r>
      <w:r>
        <w:rPr>
          <w:color w:val="auto"/>
          <w:lang w:eastAsia="en-AU"/>
        </w:rPr>
        <w:t xml:space="preserve">. </w:t>
      </w:r>
    </w:p>
    <w:p w14:paraId="2EBE2ED1" w14:textId="77777777" w:rsidR="00204D69" w:rsidRDefault="00204D69" w:rsidP="00204D69">
      <w:pPr>
        <w:rPr>
          <w:lang w:eastAsia="en-AU"/>
        </w:rPr>
      </w:pPr>
      <w:r w:rsidRPr="00700802">
        <w:rPr>
          <w:color w:val="auto"/>
          <w:lang w:eastAsia="en-AU"/>
        </w:rPr>
        <w:t xml:space="preserve">This model included a requirement for a more systematic and consistent approach in </w:t>
      </w:r>
      <w:r>
        <w:rPr>
          <w:lang w:eastAsia="en-AU"/>
        </w:rPr>
        <w:t>assessment and outcome measurement in particular using tools such as the Indigenous Risk Impact Screen (IRIS) and the Alcohol Use Disorders Identification Test (AUDIT) as well as the Health of the Nation Outcome Scale (HoNOS) and the Kessler (K10).</w:t>
      </w:r>
    </w:p>
    <w:p w14:paraId="2EBE2ED2" w14:textId="77777777" w:rsidR="00204D69" w:rsidRPr="00700802" w:rsidRDefault="00204D69" w:rsidP="00204D69">
      <w:pPr>
        <w:rPr>
          <w:color w:val="auto"/>
          <w:lang w:eastAsia="en-AU"/>
        </w:rPr>
      </w:pPr>
      <w:r w:rsidRPr="00700802">
        <w:rPr>
          <w:color w:val="auto"/>
          <w:lang w:eastAsia="en-AU"/>
        </w:rPr>
        <w:t xml:space="preserve">A large part of the feedback concerning the need for the documentation of a more comprehensive service model arose from partner ‘criticism’ regarding ‘clinical service provision and standards’. The sense at the time was that the early focus had been on the provision of a broad SEWB service and that ‘clinical’ work (1:1 counselling/therapy) was not being afforded a sufficient priority and there were questions concerning the relevant skills and experience of WBC staff to provide these services. In response, RFDS have adopted a purposeful strategy to employ people with psychology qualifications </w:t>
      </w:r>
      <w:r>
        <w:rPr>
          <w:color w:val="auto"/>
          <w:lang w:eastAsia="en-AU"/>
        </w:rPr>
        <w:t xml:space="preserve">and/or </w:t>
      </w:r>
      <w:r w:rsidRPr="00700802">
        <w:rPr>
          <w:color w:val="auto"/>
          <w:lang w:eastAsia="en-AU"/>
        </w:rPr>
        <w:t xml:space="preserve">strong </w:t>
      </w:r>
      <w:r>
        <w:rPr>
          <w:color w:val="auto"/>
          <w:lang w:eastAsia="en-AU"/>
        </w:rPr>
        <w:t>mental health</w:t>
      </w:r>
      <w:r w:rsidRPr="00700802">
        <w:rPr>
          <w:color w:val="auto"/>
          <w:lang w:eastAsia="en-AU"/>
        </w:rPr>
        <w:t xml:space="preserve"> backgrounds. In addition relevant policies and procedures for outcomes measures and client assessment have now been incorporated into the RFDS (Qld) Well Being Services, Adapted State-wide Standardised Suite of clinical documentation - User Guide. The approaches are consistent with Queensland Health.</w:t>
      </w:r>
    </w:p>
    <w:p w14:paraId="2EBE2ED3" w14:textId="77777777" w:rsidR="00204D69" w:rsidRDefault="00204D69" w:rsidP="00204D69">
      <w:pPr>
        <w:rPr>
          <w:lang w:eastAsia="en-AU"/>
        </w:rPr>
      </w:pPr>
      <w:r>
        <w:rPr>
          <w:lang w:eastAsia="en-AU"/>
        </w:rPr>
        <w:lastRenderedPageBreak/>
        <w:t xml:space="preserve">RFDS plan </w:t>
      </w:r>
      <w:r w:rsidRPr="00DC7EEB">
        <w:rPr>
          <w:lang w:eastAsia="en-AU"/>
        </w:rPr>
        <w:t>to review, update and republish th</w:t>
      </w:r>
      <w:r>
        <w:rPr>
          <w:lang w:eastAsia="en-AU"/>
        </w:rPr>
        <w:t xml:space="preserve">e service model in 2014. </w:t>
      </w:r>
      <w:r w:rsidRPr="00FB4B10">
        <w:rPr>
          <w:lang w:eastAsia="en-AU"/>
        </w:rPr>
        <w:t>The ongoing development of the model of care is fully supported</w:t>
      </w:r>
      <w:r>
        <w:rPr>
          <w:lang w:eastAsia="en-AU"/>
        </w:rPr>
        <w:t xml:space="preserve"> by stakeholders.</w:t>
      </w:r>
    </w:p>
    <w:p w14:paraId="2EBE2ED4" w14:textId="77777777" w:rsidR="00204D69" w:rsidRDefault="00204D69" w:rsidP="00204D69">
      <w:pPr>
        <w:rPr>
          <w:lang w:eastAsia="en-AU"/>
        </w:rPr>
      </w:pPr>
      <w:r>
        <w:rPr>
          <w:lang w:eastAsia="en-AU"/>
        </w:rPr>
        <w:t>Feedback from recent stakeholder consultations indicates that the model of care document has not been proactively used as much as it could have been to promote the service and educate staff.</w:t>
      </w:r>
    </w:p>
    <w:p w14:paraId="2EBE2ED5" w14:textId="77777777" w:rsidR="00204D69" w:rsidRPr="003F49F0" w:rsidRDefault="00204D69" w:rsidP="00204D69">
      <w:pPr>
        <w:rPr>
          <w:lang w:eastAsia="en-AU"/>
        </w:rPr>
      </w:pPr>
      <w:r w:rsidRPr="003F49F0">
        <w:rPr>
          <w:lang w:eastAsia="en-AU"/>
        </w:rPr>
        <w:t>Key areas identified by stakeholders for service model enhancement include:</w:t>
      </w:r>
    </w:p>
    <w:p w14:paraId="2EBE2ED6" w14:textId="77777777" w:rsidR="00204D69" w:rsidRPr="003F49F0" w:rsidRDefault="00C56FF7" w:rsidP="0083588E">
      <w:pPr>
        <w:numPr>
          <w:ilvl w:val="0"/>
          <w:numId w:val="9"/>
        </w:numPr>
        <w:spacing w:after="120"/>
        <w:ind w:left="357" w:hanging="357"/>
        <w:rPr>
          <w:lang w:eastAsia="en-AU"/>
        </w:rPr>
      </w:pPr>
      <w:r>
        <w:rPr>
          <w:lang w:eastAsia="en-AU"/>
        </w:rPr>
        <w:t>T</w:t>
      </w:r>
      <w:r w:rsidR="00204D69" w:rsidRPr="003F49F0">
        <w:rPr>
          <w:lang w:eastAsia="en-AU"/>
        </w:rPr>
        <w:t>he need for a clear description of the services provided by the WBCs in the mental health and ATODS service lines and the associated interface with Queensland Health</w:t>
      </w:r>
      <w:r w:rsidR="00DA441F">
        <w:rPr>
          <w:lang w:eastAsia="en-AU"/>
        </w:rPr>
        <w:t xml:space="preserve"> and the newly established Family Centre in Cooktown.</w:t>
      </w:r>
    </w:p>
    <w:p w14:paraId="2EBE2ED7" w14:textId="77777777" w:rsidR="00204D69" w:rsidRPr="003F49F0" w:rsidRDefault="00C56FF7" w:rsidP="0083588E">
      <w:pPr>
        <w:numPr>
          <w:ilvl w:val="0"/>
          <w:numId w:val="9"/>
        </w:numPr>
        <w:spacing w:after="120"/>
        <w:ind w:left="357" w:hanging="357"/>
        <w:rPr>
          <w:lang w:eastAsia="en-AU"/>
        </w:rPr>
      </w:pPr>
      <w:r>
        <w:rPr>
          <w:lang w:eastAsia="en-AU"/>
        </w:rPr>
        <w:t>T</w:t>
      </w:r>
      <w:r w:rsidR="00204D69" w:rsidRPr="003F49F0">
        <w:rPr>
          <w:lang w:eastAsia="en-AU"/>
        </w:rPr>
        <w:t>he need for a clear description of the services provided by the WBCs in relation to FRC clients and how the WBC and FRC can work more closely together to improve outcomes for clients</w:t>
      </w:r>
    </w:p>
    <w:p w14:paraId="2EBE2ED8" w14:textId="77777777" w:rsidR="00204D69" w:rsidRPr="003F49F0" w:rsidRDefault="00C56FF7" w:rsidP="0083588E">
      <w:pPr>
        <w:numPr>
          <w:ilvl w:val="0"/>
          <w:numId w:val="9"/>
        </w:numPr>
        <w:spacing w:after="120"/>
        <w:ind w:left="357" w:hanging="357"/>
        <w:rPr>
          <w:color w:val="auto"/>
          <w:lang w:eastAsia="en-AU"/>
        </w:rPr>
      </w:pPr>
      <w:r>
        <w:rPr>
          <w:color w:val="auto"/>
          <w:lang w:eastAsia="en-AU"/>
        </w:rPr>
        <w:t>A</w:t>
      </w:r>
      <w:r w:rsidR="00204D69" w:rsidRPr="003F49F0">
        <w:rPr>
          <w:color w:val="auto"/>
          <w:lang w:eastAsia="en-AU"/>
        </w:rPr>
        <w:t>ligned to the above points, the need to clarify how and when modules and specific topics are used and for whom</w:t>
      </w:r>
    </w:p>
    <w:p w14:paraId="2EBE2ED9" w14:textId="77777777" w:rsidR="00204D69" w:rsidRPr="003F49F0" w:rsidRDefault="00C56FF7" w:rsidP="0083588E">
      <w:pPr>
        <w:numPr>
          <w:ilvl w:val="0"/>
          <w:numId w:val="9"/>
        </w:numPr>
        <w:spacing w:after="120"/>
        <w:ind w:left="357" w:hanging="357"/>
        <w:rPr>
          <w:color w:val="auto"/>
          <w:lang w:eastAsia="en-AU"/>
        </w:rPr>
      </w:pPr>
      <w:r>
        <w:rPr>
          <w:color w:val="auto"/>
          <w:lang w:eastAsia="en-AU"/>
        </w:rPr>
        <w:t>T</w:t>
      </w:r>
      <w:r w:rsidR="00204D69" w:rsidRPr="003F49F0">
        <w:rPr>
          <w:color w:val="auto"/>
          <w:lang w:eastAsia="en-AU"/>
        </w:rPr>
        <w:t>he need to strengthen description of the approach to non SEWB primary health care services.</w:t>
      </w:r>
    </w:p>
    <w:p w14:paraId="2EBE2EDA" w14:textId="77777777" w:rsidR="00204D69" w:rsidRPr="003F49F0" w:rsidRDefault="00C56FF7" w:rsidP="0083588E">
      <w:pPr>
        <w:numPr>
          <w:ilvl w:val="0"/>
          <w:numId w:val="9"/>
        </w:numPr>
        <w:spacing w:after="120"/>
        <w:ind w:left="357" w:hanging="357"/>
        <w:rPr>
          <w:lang w:eastAsia="en-AU"/>
        </w:rPr>
      </w:pPr>
      <w:r>
        <w:rPr>
          <w:lang w:eastAsia="en-AU"/>
        </w:rPr>
        <w:t>T</w:t>
      </w:r>
      <w:r w:rsidR="00204D69" w:rsidRPr="003F49F0">
        <w:rPr>
          <w:lang w:eastAsia="en-AU"/>
        </w:rPr>
        <w:t>he need for a clear description of the skills and qualification required to work in the WBC and associated workforce development strategies.</w:t>
      </w:r>
    </w:p>
    <w:p w14:paraId="2EBE2EDB" w14:textId="77777777" w:rsidR="00204D69" w:rsidRPr="003F49F0" w:rsidRDefault="00204D69" w:rsidP="00204D69">
      <w:pPr>
        <w:shd w:val="clear" w:color="auto" w:fill="DBE5F1" w:themeFill="accent1" w:themeFillTint="33"/>
        <w:spacing w:after="120"/>
        <w:rPr>
          <w:lang w:eastAsia="en-AU"/>
        </w:rPr>
      </w:pPr>
      <w:r w:rsidRPr="0005223E">
        <w:rPr>
          <w:rStyle w:val="Strong"/>
        </w:rPr>
        <w:t xml:space="preserve">It is </w:t>
      </w:r>
      <w:r w:rsidR="00541E99" w:rsidRPr="0005223E">
        <w:rPr>
          <w:rStyle w:val="Strong"/>
        </w:rPr>
        <w:t>proposed</w:t>
      </w:r>
      <w:r w:rsidRPr="003F49F0">
        <w:rPr>
          <w:lang w:eastAsia="en-AU"/>
        </w:rPr>
        <w:t xml:space="preserve"> that the service model description be updated in the second half of 2014.</w:t>
      </w:r>
      <w:r w:rsidR="007A05D2">
        <w:rPr>
          <w:lang w:eastAsia="en-AU"/>
        </w:rPr>
        <w:t xml:space="preserve"> </w:t>
      </w:r>
      <w:r w:rsidRPr="003F49F0">
        <w:rPr>
          <w:lang w:eastAsia="en-AU"/>
        </w:rPr>
        <w:t xml:space="preserve">The update should incorporate the key areas identified above. </w:t>
      </w:r>
    </w:p>
    <w:p w14:paraId="2EBE2EDC" w14:textId="77777777" w:rsidR="00204D69" w:rsidRDefault="00204D69" w:rsidP="00204D69">
      <w:pPr>
        <w:pStyle w:val="Heading2"/>
        <w:ind w:left="851" w:hanging="851"/>
        <w:rPr>
          <w:lang w:val="en-AU"/>
        </w:rPr>
      </w:pPr>
      <w:bookmarkStart w:id="129" w:name="_Toc440038442"/>
      <w:r>
        <w:rPr>
          <w:lang w:val="en-AU"/>
        </w:rPr>
        <w:t>A</w:t>
      </w:r>
      <w:r w:rsidRPr="00C8149E">
        <w:t>lignment with program theory and</w:t>
      </w:r>
      <w:r w:rsidRPr="00C8149E">
        <w:rPr>
          <w:lang w:val="en-AU"/>
        </w:rPr>
        <w:t xml:space="preserve"> key</w:t>
      </w:r>
      <w:r w:rsidRPr="00C8149E">
        <w:t xml:space="preserve"> </w:t>
      </w:r>
      <w:r w:rsidRPr="00C8149E">
        <w:rPr>
          <w:lang w:val="en-AU"/>
        </w:rPr>
        <w:t xml:space="preserve">service </w:t>
      </w:r>
      <w:r w:rsidRPr="00C8149E">
        <w:t>elements</w:t>
      </w:r>
      <w:bookmarkEnd w:id="129"/>
    </w:p>
    <w:p w14:paraId="2EBE2EDD" w14:textId="77777777" w:rsidR="00204D69" w:rsidRDefault="00204D69" w:rsidP="00204D69">
      <w:pPr>
        <w:rPr>
          <w:lang w:eastAsia="x-none"/>
        </w:rPr>
      </w:pPr>
      <w:r>
        <w:rPr>
          <w:lang w:eastAsia="x-none"/>
        </w:rPr>
        <w:t>Appendix 5 presents the</w:t>
      </w:r>
      <w:r w:rsidRPr="005D281A">
        <w:rPr>
          <w:lang w:eastAsia="x-none"/>
        </w:rPr>
        <w:t xml:space="preserve"> </w:t>
      </w:r>
      <w:r>
        <w:rPr>
          <w:lang w:eastAsia="x-none"/>
        </w:rPr>
        <w:t>WBC program theory and Appendix 6 sets out the key elements of the service agreement and whether they have been integrated into the WBC service model.</w:t>
      </w:r>
      <w:r w:rsidR="007A05D2">
        <w:rPr>
          <w:lang w:eastAsia="x-none"/>
        </w:rPr>
        <w:t xml:space="preserve"> </w:t>
      </w:r>
      <w:r w:rsidRPr="008F6D7A">
        <w:rPr>
          <w:lang w:eastAsia="x-none"/>
        </w:rPr>
        <w:t>The service model as currently documented aligns with the WBC program theory</w:t>
      </w:r>
      <w:r>
        <w:rPr>
          <w:lang w:eastAsia="x-none"/>
        </w:rPr>
        <w:t xml:space="preserve"> </w:t>
      </w:r>
      <w:r w:rsidRPr="008F6D7A">
        <w:rPr>
          <w:lang w:eastAsia="x-none"/>
        </w:rPr>
        <w:t>which</w:t>
      </w:r>
      <w:r>
        <w:rPr>
          <w:lang w:eastAsia="x-none"/>
        </w:rPr>
        <w:t xml:space="preserve"> itself is </w:t>
      </w:r>
      <w:r w:rsidRPr="008F6D7A">
        <w:rPr>
          <w:lang w:eastAsia="x-none"/>
        </w:rPr>
        <w:t>aligned to the Cape Y</w:t>
      </w:r>
      <w:r>
        <w:rPr>
          <w:lang w:eastAsia="x-none"/>
        </w:rPr>
        <w:t>ork Welfare Reform Trial theory and the</w:t>
      </w:r>
      <w:r w:rsidRPr="008F6D7A">
        <w:rPr>
          <w:lang w:eastAsia="x-none"/>
        </w:rPr>
        <w:t xml:space="preserve"> WBC service agreement. </w:t>
      </w:r>
    </w:p>
    <w:p w14:paraId="2EBE2EDE" w14:textId="77777777" w:rsidR="00204D69" w:rsidRDefault="00204D69" w:rsidP="00204D69">
      <w:pPr>
        <w:rPr>
          <w:lang w:eastAsia="x-none"/>
        </w:rPr>
      </w:pPr>
      <w:r w:rsidRPr="008F6D7A">
        <w:rPr>
          <w:lang w:eastAsia="x-none"/>
        </w:rPr>
        <w:t xml:space="preserve">One key area of difference </w:t>
      </w:r>
      <w:r>
        <w:rPr>
          <w:lang w:eastAsia="x-none"/>
        </w:rPr>
        <w:t>in implementation has been</w:t>
      </w:r>
      <w:r w:rsidRPr="008F6D7A">
        <w:rPr>
          <w:lang w:eastAsia="x-none"/>
        </w:rPr>
        <w:t xml:space="preserve"> the provision of </w:t>
      </w:r>
      <w:r>
        <w:rPr>
          <w:lang w:eastAsia="x-none"/>
        </w:rPr>
        <w:t xml:space="preserve">non SEWB </w:t>
      </w:r>
      <w:r w:rsidRPr="008F6D7A">
        <w:rPr>
          <w:lang w:eastAsia="x-none"/>
        </w:rPr>
        <w:t xml:space="preserve">primary health care brief interventions which </w:t>
      </w:r>
      <w:r>
        <w:rPr>
          <w:lang w:eastAsia="x-none"/>
        </w:rPr>
        <w:t xml:space="preserve">until more recently </w:t>
      </w:r>
      <w:r w:rsidRPr="008F6D7A">
        <w:rPr>
          <w:lang w:eastAsia="x-none"/>
        </w:rPr>
        <w:t>has not been built into the WBC activities</w:t>
      </w:r>
      <w:r>
        <w:rPr>
          <w:lang w:eastAsia="x-none"/>
        </w:rPr>
        <w:t xml:space="preserve"> in a structured way. Examples of how the WBCs have now integrated non-SEWB primary health care are discussed </w:t>
      </w:r>
      <w:r w:rsidRPr="002226FE">
        <w:rPr>
          <w:lang w:eastAsia="x-none"/>
        </w:rPr>
        <w:t xml:space="preserve">in Section </w:t>
      </w:r>
      <w:r>
        <w:rPr>
          <w:lang w:eastAsia="x-none"/>
        </w:rPr>
        <w:fldChar w:fldCharType="begin"/>
      </w:r>
      <w:r>
        <w:rPr>
          <w:lang w:eastAsia="x-none"/>
        </w:rPr>
        <w:instrText xml:space="preserve"> REF _Ref387059412 \r \h </w:instrText>
      </w:r>
      <w:r>
        <w:rPr>
          <w:lang w:eastAsia="x-none"/>
        </w:rPr>
      </w:r>
      <w:r>
        <w:rPr>
          <w:lang w:eastAsia="x-none"/>
        </w:rPr>
        <w:fldChar w:fldCharType="separate"/>
      </w:r>
      <w:r w:rsidR="009A19EB">
        <w:rPr>
          <w:lang w:eastAsia="x-none"/>
        </w:rPr>
        <w:t>3.5.8</w:t>
      </w:r>
      <w:r>
        <w:rPr>
          <w:lang w:eastAsia="x-none"/>
        </w:rPr>
        <w:fldChar w:fldCharType="end"/>
      </w:r>
      <w:r w:rsidRPr="002226FE">
        <w:rPr>
          <w:lang w:eastAsia="x-none"/>
        </w:rPr>
        <w:t>.</w:t>
      </w:r>
    </w:p>
    <w:p w14:paraId="2EBE2EDF" w14:textId="77777777" w:rsidR="00204D69" w:rsidRPr="00A60B38" w:rsidRDefault="00204D69" w:rsidP="00204D69">
      <w:pPr>
        <w:pStyle w:val="Heading2"/>
      </w:pPr>
      <w:bookmarkStart w:id="130" w:name="_Service_activity_and"/>
      <w:bookmarkStart w:id="131" w:name="_Ref387397586"/>
      <w:bookmarkStart w:id="132" w:name="_Ref387397765"/>
      <w:bookmarkStart w:id="133" w:name="_Toc440038443"/>
      <w:bookmarkEnd w:id="130"/>
      <w:r w:rsidRPr="00A60B38">
        <w:t>Service activity and client profile</w:t>
      </w:r>
      <w:bookmarkEnd w:id="131"/>
      <w:bookmarkEnd w:id="132"/>
      <w:bookmarkEnd w:id="133"/>
    </w:p>
    <w:p w14:paraId="2EBE2EE0" w14:textId="77777777" w:rsidR="00204D69" w:rsidRDefault="00204D69" w:rsidP="00204D69">
      <w:pPr>
        <w:rPr>
          <w:lang w:eastAsia="x-none"/>
        </w:rPr>
      </w:pPr>
      <w:r>
        <w:rPr>
          <w:lang w:eastAsia="x-none"/>
        </w:rPr>
        <w:t xml:space="preserve">This section presents an overview of service activity and the client profile. A </w:t>
      </w:r>
      <w:r w:rsidR="0000787D">
        <w:rPr>
          <w:lang w:eastAsia="x-none"/>
        </w:rPr>
        <w:t xml:space="preserve">more </w:t>
      </w:r>
      <w:r>
        <w:rPr>
          <w:lang w:eastAsia="x-none"/>
        </w:rPr>
        <w:t xml:space="preserve">detailed presentation of service activity and client profile is presented at </w:t>
      </w:r>
      <w:r w:rsidRPr="009D0A47">
        <w:rPr>
          <w:lang w:eastAsia="x-none"/>
        </w:rPr>
        <w:t>Appendix 15.</w:t>
      </w:r>
    </w:p>
    <w:p w14:paraId="2EBE2EE1" w14:textId="77777777" w:rsidR="00204D69" w:rsidRDefault="00204D69" w:rsidP="00BC0A26">
      <w:pPr>
        <w:pStyle w:val="Heading3"/>
      </w:pPr>
      <w:r>
        <w:t xml:space="preserve">Service activity </w:t>
      </w:r>
    </w:p>
    <w:p w14:paraId="2EBE2EE2" w14:textId="77777777" w:rsidR="007A66D5" w:rsidRPr="007A66D5" w:rsidRDefault="007A66D5" w:rsidP="007A66D5">
      <w:pPr>
        <w:rPr>
          <w:lang w:eastAsia="x-none"/>
        </w:rPr>
      </w:pPr>
      <w:r w:rsidRPr="007A66D5">
        <w:rPr>
          <w:lang w:eastAsia="x-none"/>
        </w:rPr>
        <w:t xml:space="preserve">Overall, 48% of the entire community, 57% of the adult community (&gt;19 years) </w:t>
      </w:r>
      <w:r w:rsidR="008F54CA" w:rsidRPr="007A66D5">
        <w:rPr>
          <w:lang w:eastAsia="x-none"/>
        </w:rPr>
        <w:t xml:space="preserve">and 26% of the population &lt;20 years </w:t>
      </w:r>
      <w:r w:rsidRPr="007A66D5">
        <w:rPr>
          <w:lang w:eastAsia="x-none"/>
        </w:rPr>
        <w:t>are currently or have been WBC clients. As at 31 March 2014 13% of the entire community were recorded as being WBC clients</w:t>
      </w:r>
      <w:r w:rsidR="007A05D2">
        <w:rPr>
          <w:lang w:eastAsia="x-none"/>
        </w:rPr>
        <w:t xml:space="preserve"> </w:t>
      </w:r>
      <w:r w:rsidR="007B64C5">
        <w:rPr>
          <w:lang w:eastAsia="x-none"/>
        </w:rPr>
        <w:t>(b</w:t>
      </w:r>
      <w:r w:rsidR="000108A5">
        <w:rPr>
          <w:lang w:eastAsia="x-none"/>
        </w:rPr>
        <w:t>ased on 2011 census</w:t>
      </w:r>
      <w:r w:rsidR="007A05D2">
        <w:rPr>
          <w:lang w:eastAsia="x-none"/>
        </w:rPr>
        <w:t xml:space="preserve">, </w:t>
      </w:r>
      <w:r w:rsidR="007B64C5">
        <w:rPr>
          <w:lang w:eastAsia="x-none"/>
        </w:rPr>
        <w:t>2815</w:t>
      </w:r>
      <w:r w:rsidR="000108A5">
        <w:rPr>
          <w:lang w:eastAsia="x-none"/>
        </w:rPr>
        <w:t xml:space="preserve"> peop</w:t>
      </w:r>
      <w:r w:rsidR="007B64C5">
        <w:rPr>
          <w:lang w:eastAsia="x-none"/>
        </w:rPr>
        <w:t>le residing in WBC communities as follows: Aurukun 1294, Coen 416, Hopevale 1005, and Mossman Gorge 100).</w:t>
      </w:r>
    </w:p>
    <w:p w14:paraId="2EBE2EE3" w14:textId="77777777" w:rsidR="00204D69" w:rsidRPr="00C84E0B" w:rsidRDefault="00204D69" w:rsidP="00204D69">
      <w:pPr>
        <w:rPr>
          <w:lang w:eastAsia="x-none"/>
        </w:rPr>
      </w:pPr>
      <w:r w:rsidRPr="00C84E0B">
        <w:rPr>
          <w:lang w:eastAsia="x-none"/>
        </w:rPr>
        <w:t xml:space="preserve">The percentage of the community who have been clients is relatively consistent in the </w:t>
      </w:r>
      <w:r>
        <w:rPr>
          <w:lang w:eastAsia="x-none"/>
        </w:rPr>
        <w:t>communities</w:t>
      </w:r>
      <w:r w:rsidRPr="00C84E0B">
        <w:rPr>
          <w:lang w:eastAsia="x-none"/>
        </w:rPr>
        <w:t xml:space="preserve"> of Aurukun, Coen and Hopevale. Mossman Gorge has the highest percentage of the community as clients, although the population is considerably less than the other three </w:t>
      </w:r>
      <w:r>
        <w:rPr>
          <w:lang w:eastAsia="x-none"/>
        </w:rPr>
        <w:t>communities. This high percentage will be attributable to the transient nature of the Mossman Gorge population.</w:t>
      </w:r>
    </w:p>
    <w:p w14:paraId="2EBE2EE4" w14:textId="77777777" w:rsidR="00204D69" w:rsidRDefault="00204D69" w:rsidP="00204D69">
      <w:pPr>
        <w:rPr>
          <w:lang w:eastAsia="x-none"/>
        </w:rPr>
      </w:pPr>
      <w:r>
        <w:rPr>
          <w:lang w:eastAsia="x-none"/>
        </w:rPr>
        <w:lastRenderedPageBreak/>
        <w:fldChar w:fldCharType="begin"/>
      </w:r>
      <w:r>
        <w:rPr>
          <w:lang w:eastAsia="x-none"/>
        </w:rPr>
        <w:instrText xml:space="preserve"> REF _Ref385432161 \h </w:instrText>
      </w:r>
      <w:r>
        <w:rPr>
          <w:lang w:eastAsia="x-none"/>
        </w:rPr>
      </w:r>
      <w:r>
        <w:rPr>
          <w:lang w:eastAsia="x-none"/>
        </w:rPr>
        <w:fldChar w:fldCharType="separate"/>
      </w:r>
      <w:r w:rsidR="009A19EB" w:rsidRPr="004D6271">
        <w:t xml:space="preserve">Figure </w:t>
      </w:r>
      <w:r w:rsidR="009A19EB">
        <w:rPr>
          <w:noProof/>
        </w:rPr>
        <w:t>3</w:t>
      </w:r>
      <w:r w:rsidR="009A19EB">
        <w:t>.</w:t>
      </w:r>
      <w:r w:rsidR="009A19EB">
        <w:rPr>
          <w:noProof/>
        </w:rPr>
        <w:t>1</w:t>
      </w:r>
      <w:r>
        <w:rPr>
          <w:lang w:eastAsia="x-none"/>
        </w:rPr>
        <w:fldChar w:fldCharType="end"/>
      </w:r>
      <w:r>
        <w:rPr>
          <w:lang w:eastAsia="x-none"/>
        </w:rPr>
        <w:t xml:space="preserve"> presents the number of all service contacts and actual contacts by year for all WBCs. Overall there have been </w:t>
      </w:r>
      <w:r w:rsidR="008C027C">
        <w:rPr>
          <w:lang w:eastAsia="x-none"/>
        </w:rPr>
        <w:t>26,661</w:t>
      </w:r>
      <w:r>
        <w:rPr>
          <w:lang w:eastAsia="x-none"/>
        </w:rPr>
        <w:t xml:space="preserve"> service contacts and </w:t>
      </w:r>
      <w:r w:rsidR="008C027C">
        <w:rPr>
          <w:lang w:eastAsia="x-none"/>
        </w:rPr>
        <w:t>15,787</w:t>
      </w:r>
      <w:r w:rsidRPr="004D6271">
        <w:rPr>
          <w:lang w:eastAsia="x-none"/>
        </w:rPr>
        <w:t xml:space="preserve"> actual client service contacts </w:t>
      </w:r>
      <w:r w:rsidR="008C027C">
        <w:rPr>
          <w:lang w:eastAsia="x-none"/>
        </w:rPr>
        <w:t xml:space="preserve">recorded since inception to 30 March 2014. The figure includes an estimate for the last 3 months of 2013/14 to </w:t>
      </w:r>
      <w:r w:rsidR="006E6E35">
        <w:rPr>
          <w:lang w:eastAsia="x-none"/>
        </w:rPr>
        <w:t>facilitate yearly comparisons.</w:t>
      </w:r>
      <w:r w:rsidR="008C027C">
        <w:rPr>
          <w:lang w:eastAsia="x-none"/>
        </w:rPr>
        <w:t xml:space="preserve"> </w:t>
      </w:r>
    </w:p>
    <w:p w14:paraId="2EBE2EE5" w14:textId="5EE7C443" w:rsidR="00204D69" w:rsidRDefault="00AA7DC9" w:rsidP="00AA7DC9">
      <w:pPr>
        <w:pStyle w:val="Caption"/>
        <w:rPr>
          <w:vertAlign w:val="superscript"/>
        </w:rPr>
      </w:pPr>
      <w:bookmarkStart w:id="134" w:name="_Ref385432161"/>
      <w:bookmarkStart w:id="135" w:name="_Toc392683529"/>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w:t>
      </w:r>
      <w:r>
        <w:fldChar w:fldCharType="end"/>
      </w:r>
      <w:bookmarkEnd w:id="134"/>
      <w:r w:rsidR="00204D69" w:rsidRPr="004D6271">
        <w:t>: Service contacts by year all WBCs</w:t>
      </w:r>
      <w:r w:rsidR="00204D69" w:rsidRPr="004D6271">
        <w:rPr>
          <w:vertAlign w:val="superscript"/>
        </w:rPr>
        <w:t>1</w:t>
      </w:r>
      <w:bookmarkEnd w:id="135"/>
    </w:p>
    <w:p w14:paraId="2EBE2EE6" w14:textId="77777777" w:rsidR="00204D69" w:rsidRDefault="008C027C" w:rsidP="00204D69">
      <w:pPr>
        <w:jc w:val="center"/>
      </w:pPr>
      <w:r>
        <w:rPr>
          <w:noProof/>
          <w:lang w:eastAsia="en-AU"/>
        </w:rPr>
        <w:drawing>
          <wp:inline distT="0" distB="0" distL="0" distR="0" wp14:anchorId="2EBE3337" wp14:editId="2EBE3338">
            <wp:extent cx="4952389" cy="2538375"/>
            <wp:effectExtent l="0" t="0" r="635" b="0"/>
            <wp:docPr id="1" name="Picture 1" descr="Figure 3.1 is a column graph that presents the number of all service contacts and actual contactsfrom 2008-09 to 2013-14 for all WBCs.  The x-axis contains the six years that were analysed and the y-axis contains the number of contacts from 0-7000.  The number of 'Actual Contacts' is displayed in the left column and the 'Total' contacts is displayed in the right hand column." title="Figure 3.1: Service contacts by year all W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0306" cy="2537307"/>
                    </a:xfrm>
                    <a:prstGeom prst="rect">
                      <a:avLst/>
                    </a:prstGeom>
                    <a:noFill/>
                  </pic:spPr>
                </pic:pic>
              </a:graphicData>
            </a:graphic>
          </wp:inline>
        </w:drawing>
      </w:r>
    </w:p>
    <w:p w14:paraId="2EBE2EE7" w14:textId="77777777" w:rsidR="00204D69" w:rsidRDefault="00204D69" w:rsidP="00204D69">
      <w:pPr>
        <w:spacing w:before="120" w:after="120"/>
        <w:jc w:val="left"/>
        <w:rPr>
          <w:noProof/>
          <w:sz w:val="16"/>
          <w:szCs w:val="16"/>
          <w:lang w:eastAsia="en-AU"/>
        </w:rPr>
      </w:pPr>
      <w:r w:rsidRPr="000D5387">
        <w:rPr>
          <w:noProof/>
          <w:sz w:val="16"/>
          <w:szCs w:val="16"/>
          <w:lang w:eastAsia="en-AU"/>
        </w:rPr>
        <w:t>Note (1): Service contacts include all contacts or discrete activities relating to a client by WBC staff. They do not necessarily mean face to face contacts. They include non-client contact activity e.g. relevant phone calls, case meetings</w:t>
      </w:r>
    </w:p>
    <w:p w14:paraId="2EBE2EE8" w14:textId="77777777" w:rsidR="00204D69" w:rsidRDefault="00204D69" w:rsidP="00204D69">
      <w:pPr>
        <w:spacing w:before="120" w:after="120"/>
        <w:jc w:val="left"/>
        <w:rPr>
          <w:noProof/>
          <w:sz w:val="16"/>
          <w:szCs w:val="16"/>
          <w:lang w:eastAsia="en-AU"/>
        </w:rPr>
      </w:pPr>
      <w:r>
        <w:rPr>
          <w:noProof/>
          <w:sz w:val="16"/>
          <w:szCs w:val="16"/>
          <w:lang w:eastAsia="en-AU"/>
        </w:rPr>
        <w:t>Note (2): Actual service contacts are primarily face-to-face contacts.</w:t>
      </w:r>
    </w:p>
    <w:p w14:paraId="2EBE2EE9" w14:textId="77777777" w:rsidR="008C027C" w:rsidRPr="000D5387" w:rsidRDefault="008C027C" w:rsidP="00204D69">
      <w:pPr>
        <w:spacing w:before="120" w:after="120"/>
        <w:jc w:val="left"/>
        <w:rPr>
          <w:noProof/>
          <w:sz w:val="16"/>
          <w:szCs w:val="16"/>
          <w:lang w:eastAsia="en-AU"/>
        </w:rPr>
      </w:pPr>
      <w:r>
        <w:rPr>
          <w:noProof/>
          <w:sz w:val="16"/>
          <w:szCs w:val="16"/>
          <w:lang w:eastAsia="en-AU"/>
        </w:rPr>
        <w:t xml:space="preserve">Note (3): 2013/14 estimate based on extrapolation of nine months actuals from July 13 to March 14. </w:t>
      </w:r>
    </w:p>
    <w:p w14:paraId="2EBE2EEA" w14:textId="77777777" w:rsidR="00204D69" w:rsidRDefault="00204D69" w:rsidP="00204D69">
      <w:pPr>
        <w:rPr>
          <w:noProof/>
          <w:lang w:eastAsia="en-AU"/>
        </w:rPr>
      </w:pPr>
      <w:r>
        <w:rPr>
          <w:noProof/>
          <w:lang w:eastAsia="en-AU"/>
        </w:rPr>
        <w:t xml:space="preserve">Actual </w:t>
      </w:r>
      <w:r w:rsidRPr="00C84E0B">
        <w:rPr>
          <w:noProof/>
          <w:lang w:eastAsia="en-AU"/>
        </w:rPr>
        <w:t>service contacts</w:t>
      </w:r>
      <w:r>
        <w:rPr>
          <w:noProof/>
          <w:lang w:eastAsia="en-AU"/>
        </w:rPr>
        <w:t xml:space="preserve"> are trending upwards</w:t>
      </w:r>
      <w:r w:rsidRPr="00C84E0B">
        <w:rPr>
          <w:noProof/>
          <w:lang w:eastAsia="en-AU"/>
        </w:rPr>
        <w:t>. An examination of the underlying data</w:t>
      </w:r>
      <w:r w:rsidR="006E6E35">
        <w:rPr>
          <w:noProof/>
          <w:lang w:eastAsia="en-AU"/>
        </w:rPr>
        <w:t xml:space="preserve"> presented in </w:t>
      </w:r>
      <w:r w:rsidR="006E6E35">
        <w:rPr>
          <w:noProof/>
          <w:lang w:eastAsia="en-AU"/>
        </w:rPr>
        <w:fldChar w:fldCharType="begin"/>
      </w:r>
      <w:r w:rsidR="006E6E35">
        <w:rPr>
          <w:noProof/>
          <w:lang w:eastAsia="en-AU"/>
        </w:rPr>
        <w:instrText xml:space="preserve"> REF _Ref390696244 \h </w:instrText>
      </w:r>
      <w:r w:rsidR="006E6E35">
        <w:rPr>
          <w:noProof/>
          <w:lang w:eastAsia="en-AU"/>
        </w:rPr>
      </w:r>
      <w:r w:rsidR="006E6E35">
        <w:rPr>
          <w:noProof/>
          <w:lang w:eastAsia="en-AU"/>
        </w:rPr>
        <w:fldChar w:fldCharType="separate"/>
      </w:r>
      <w:r w:rsidR="009A19EB">
        <w:t xml:space="preserve">Figure </w:t>
      </w:r>
      <w:r w:rsidR="009A19EB">
        <w:rPr>
          <w:noProof/>
        </w:rPr>
        <w:t>3</w:t>
      </w:r>
      <w:r w:rsidR="009A19EB">
        <w:t>.</w:t>
      </w:r>
      <w:r w:rsidR="009A19EB">
        <w:rPr>
          <w:noProof/>
        </w:rPr>
        <w:t>2</w:t>
      </w:r>
      <w:r w:rsidR="006E6E35">
        <w:rPr>
          <w:noProof/>
          <w:lang w:eastAsia="en-AU"/>
        </w:rPr>
        <w:fldChar w:fldCharType="end"/>
      </w:r>
      <w:r w:rsidRPr="00C84E0B">
        <w:rPr>
          <w:noProof/>
          <w:lang w:eastAsia="en-AU"/>
        </w:rPr>
        <w:t xml:space="preserve"> by WBC shows that Aurukun was lower in the 2010/11 due to difficulties experienced in the community during that period. </w:t>
      </w:r>
      <w:r w:rsidR="006E6E35">
        <w:rPr>
          <w:noProof/>
          <w:lang w:eastAsia="en-AU"/>
        </w:rPr>
        <w:t>While there had</w:t>
      </w:r>
      <w:r w:rsidRPr="00C84E0B">
        <w:rPr>
          <w:noProof/>
          <w:lang w:eastAsia="en-AU"/>
        </w:rPr>
        <w:t xml:space="preserve"> been a steady decline in service contacts at Mossman Gorge</w:t>
      </w:r>
      <w:r w:rsidR="006E6E35">
        <w:rPr>
          <w:noProof/>
          <w:lang w:eastAsia="en-AU"/>
        </w:rPr>
        <w:t xml:space="preserve"> in 2012/13</w:t>
      </w:r>
      <w:r w:rsidRPr="00C84E0B">
        <w:rPr>
          <w:noProof/>
          <w:lang w:eastAsia="en-AU"/>
        </w:rPr>
        <w:t xml:space="preserve"> </w:t>
      </w:r>
      <w:r w:rsidR="006E6E35">
        <w:rPr>
          <w:noProof/>
          <w:lang w:eastAsia="en-AU"/>
        </w:rPr>
        <w:t xml:space="preserve">this has been reversed in 2013/14 </w:t>
      </w:r>
      <w:r w:rsidRPr="00C84E0B">
        <w:rPr>
          <w:noProof/>
          <w:lang w:eastAsia="en-AU"/>
        </w:rPr>
        <w:t>with the introduction of new management</w:t>
      </w:r>
      <w:r w:rsidR="006E6E35">
        <w:rPr>
          <w:noProof/>
          <w:lang w:eastAsia="en-AU"/>
        </w:rPr>
        <w:t xml:space="preserve"> at that WBC</w:t>
      </w:r>
      <w:r w:rsidRPr="00C84E0B">
        <w:rPr>
          <w:noProof/>
          <w:lang w:eastAsia="en-AU"/>
        </w:rPr>
        <w:t xml:space="preserve">. A decline in Hopevale in the 2012/13 year is attributed to a vacant clinical position for much of that year. The steady increase in Coen </w:t>
      </w:r>
      <w:r w:rsidR="006E6E35">
        <w:rPr>
          <w:noProof/>
          <w:lang w:eastAsia="en-AU"/>
        </w:rPr>
        <w:t xml:space="preserve">until 2012/13 </w:t>
      </w:r>
      <w:r w:rsidRPr="00C84E0B">
        <w:rPr>
          <w:noProof/>
          <w:lang w:eastAsia="en-AU"/>
        </w:rPr>
        <w:t>has been attributed to the ongoing engagement with th</w:t>
      </w:r>
      <w:r w:rsidR="006E6E35">
        <w:rPr>
          <w:noProof/>
          <w:lang w:eastAsia="en-AU"/>
        </w:rPr>
        <w:t>at</w:t>
      </w:r>
      <w:r w:rsidRPr="00C84E0B">
        <w:rPr>
          <w:noProof/>
          <w:lang w:eastAsia="en-AU"/>
        </w:rPr>
        <w:t xml:space="preserve"> community.</w:t>
      </w:r>
    </w:p>
    <w:p w14:paraId="2EBE2EEB" w14:textId="1C2158AA" w:rsidR="006E6E35" w:rsidRDefault="00AA7DC9" w:rsidP="00AA7DC9">
      <w:pPr>
        <w:pStyle w:val="Caption"/>
      </w:pPr>
      <w:bookmarkStart w:id="136" w:name="_Ref390696244"/>
      <w:bookmarkStart w:id="137" w:name="_Toc392683530"/>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2</w:t>
      </w:r>
      <w:r>
        <w:fldChar w:fldCharType="end"/>
      </w:r>
      <w:bookmarkEnd w:id="136"/>
      <w:r w:rsidR="006E6E35">
        <w:t>: Actual service contacts by year per WBC</w:t>
      </w:r>
      <w:bookmarkEnd w:id="137"/>
      <w:r w:rsidR="006E6E35">
        <w:t xml:space="preserve"> </w:t>
      </w:r>
    </w:p>
    <w:p w14:paraId="2EBE2EEC" w14:textId="77777777" w:rsidR="006E6E35" w:rsidRDefault="006E6E35" w:rsidP="006E6E35">
      <w:pPr>
        <w:jc w:val="center"/>
      </w:pPr>
      <w:r>
        <w:rPr>
          <w:noProof/>
          <w:lang w:eastAsia="en-AU"/>
        </w:rPr>
        <w:drawing>
          <wp:inline distT="0" distB="0" distL="0" distR="0" wp14:anchorId="2EBE3339" wp14:editId="2EBE333A">
            <wp:extent cx="5057792" cy="2380142"/>
            <wp:effectExtent l="0" t="0" r="0" b="1270"/>
            <wp:docPr id="2" name="Picture 2" descr="Figure 3.2 is a line graph that shows trends in 'Actual service contacts' from 2008-09 to 2013-14.  The x-axis contains the year of the data and the y-axis contains the number of actual contacts with a range from 0 to1800.  The figures for Aurukun are represented by a line with diamonds interspersed on the line, Coen is represented by a line with squares interepsersed on it, Hope Vale is represented by a line with triangles interspersed on it and Mossman Gorge is represented by a line with crosses interspersed on it. " title="Figure 3.2: Actual service contacts by year per W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7792" cy="2380142"/>
                    </a:xfrm>
                    <a:prstGeom prst="rect">
                      <a:avLst/>
                    </a:prstGeom>
                    <a:noFill/>
                  </pic:spPr>
                </pic:pic>
              </a:graphicData>
            </a:graphic>
          </wp:inline>
        </w:drawing>
      </w:r>
    </w:p>
    <w:p w14:paraId="2EBE2EED" w14:textId="77777777" w:rsidR="006E6E35" w:rsidRPr="006E6E35" w:rsidRDefault="006E6E35" w:rsidP="006E6E35">
      <w:pPr>
        <w:jc w:val="center"/>
        <w:rPr>
          <w:sz w:val="16"/>
          <w:szCs w:val="16"/>
        </w:rPr>
      </w:pPr>
      <w:r w:rsidRPr="006E6E35">
        <w:rPr>
          <w:sz w:val="16"/>
          <w:szCs w:val="16"/>
        </w:rPr>
        <w:t>Note (1): 2013/14 estimate based on extrapolation of nine months actuals from July 13 to March 14.</w:t>
      </w:r>
    </w:p>
    <w:p w14:paraId="2EBE2EEE" w14:textId="77777777" w:rsidR="003F5061" w:rsidRPr="00C84E0B" w:rsidRDefault="003F5061" w:rsidP="003F5061">
      <w:pPr>
        <w:rPr>
          <w:lang w:eastAsia="x-none"/>
        </w:rPr>
      </w:pPr>
      <w:r>
        <w:rPr>
          <w:lang w:eastAsia="x-none"/>
        </w:rPr>
        <w:lastRenderedPageBreak/>
        <w:t>F</w:t>
      </w:r>
      <w:r w:rsidRPr="00C84E0B">
        <w:rPr>
          <w:lang w:eastAsia="x-none"/>
        </w:rPr>
        <w:t>or the period January to June 2013 there were a</w:t>
      </w:r>
      <w:r>
        <w:rPr>
          <w:lang w:eastAsia="x-none"/>
        </w:rPr>
        <w:t xml:space="preserve"> total of 6.3</w:t>
      </w:r>
      <w:r w:rsidRPr="00C84E0B">
        <w:rPr>
          <w:lang w:eastAsia="x-none"/>
        </w:rPr>
        <w:t xml:space="preserve"> events per week</w:t>
      </w:r>
      <w:r>
        <w:rPr>
          <w:lang w:eastAsia="x-none"/>
        </w:rPr>
        <w:t xml:space="preserve"> (average of 1.6 per community)</w:t>
      </w:r>
      <w:r w:rsidRPr="00C84E0B">
        <w:rPr>
          <w:lang w:eastAsia="x-none"/>
        </w:rPr>
        <w:t xml:space="preserve"> and 12 attendees per event</w:t>
      </w:r>
      <w:r>
        <w:rPr>
          <w:lang w:eastAsia="x-none"/>
        </w:rPr>
        <w:t xml:space="preserve">. </w:t>
      </w:r>
      <w:r w:rsidRPr="00C84E0B">
        <w:rPr>
          <w:lang w:eastAsia="x-none"/>
        </w:rPr>
        <w:t>For the period J</w:t>
      </w:r>
      <w:r>
        <w:rPr>
          <w:lang w:eastAsia="x-none"/>
        </w:rPr>
        <w:t>uly to December</w:t>
      </w:r>
      <w:r w:rsidRPr="00C84E0B">
        <w:rPr>
          <w:lang w:eastAsia="x-none"/>
        </w:rPr>
        <w:t xml:space="preserve"> 2013 </w:t>
      </w:r>
      <w:r w:rsidRPr="00FD28CD">
        <w:rPr>
          <w:lang w:eastAsia="x-none"/>
        </w:rPr>
        <w:t xml:space="preserve">there were a total of </w:t>
      </w:r>
      <w:r>
        <w:rPr>
          <w:lang w:eastAsia="x-none"/>
        </w:rPr>
        <w:t>13.6</w:t>
      </w:r>
      <w:r w:rsidRPr="00FD28CD">
        <w:rPr>
          <w:lang w:eastAsia="x-none"/>
        </w:rPr>
        <w:t xml:space="preserve"> events per week (average of </w:t>
      </w:r>
      <w:r>
        <w:rPr>
          <w:lang w:eastAsia="x-none"/>
        </w:rPr>
        <w:t>3.4</w:t>
      </w:r>
      <w:r w:rsidRPr="00FD28CD">
        <w:rPr>
          <w:lang w:eastAsia="x-none"/>
        </w:rPr>
        <w:t xml:space="preserve"> per community) and 1</w:t>
      </w:r>
      <w:r>
        <w:rPr>
          <w:lang w:eastAsia="x-none"/>
        </w:rPr>
        <w:t>7</w:t>
      </w:r>
      <w:r w:rsidRPr="00FD28CD">
        <w:rPr>
          <w:lang w:eastAsia="x-none"/>
        </w:rPr>
        <w:t xml:space="preserve"> attendees per event</w:t>
      </w:r>
      <w:r>
        <w:rPr>
          <w:lang w:eastAsia="x-none"/>
        </w:rPr>
        <w:t>.</w:t>
      </w:r>
      <w:r w:rsidRPr="00C84E0B">
        <w:rPr>
          <w:lang w:eastAsia="x-none"/>
        </w:rPr>
        <w:t xml:space="preserve"> </w:t>
      </w:r>
      <w:r>
        <w:rPr>
          <w:lang w:eastAsia="x-none"/>
        </w:rPr>
        <w:t xml:space="preserve">As illustrated in </w:t>
      </w:r>
      <w:r>
        <w:rPr>
          <w:lang w:eastAsia="x-none"/>
        </w:rPr>
        <w:fldChar w:fldCharType="begin"/>
      </w:r>
      <w:r>
        <w:rPr>
          <w:lang w:eastAsia="x-none"/>
        </w:rPr>
        <w:instrText xml:space="preserve"> REF _Ref390700579 \h </w:instrText>
      </w:r>
      <w:r>
        <w:rPr>
          <w:lang w:eastAsia="x-none"/>
        </w:rPr>
      </w:r>
      <w:r>
        <w:rPr>
          <w:lang w:eastAsia="x-none"/>
        </w:rPr>
        <w:fldChar w:fldCharType="separate"/>
      </w:r>
      <w:r w:rsidR="009A19EB">
        <w:t xml:space="preserve">Figure </w:t>
      </w:r>
      <w:r w:rsidR="009A19EB">
        <w:rPr>
          <w:noProof/>
        </w:rPr>
        <w:t>3</w:t>
      </w:r>
      <w:r w:rsidR="009A19EB">
        <w:t>.</w:t>
      </w:r>
      <w:r w:rsidR="009A19EB">
        <w:rPr>
          <w:noProof/>
        </w:rPr>
        <w:t>3</w:t>
      </w:r>
      <w:r>
        <w:rPr>
          <w:lang w:eastAsia="x-none"/>
        </w:rPr>
        <w:fldChar w:fldCharType="end"/>
      </w:r>
      <w:r>
        <w:rPr>
          <w:lang w:eastAsia="x-none"/>
        </w:rPr>
        <w:t xml:space="preserve"> the number of events and the number of attendees increased substantially in the July to December 2013 period compared to the previous six months all sites except Aurukun where only the number of attendees increased by small margin.</w:t>
      </w:r>
    </w:p>
    <w:p w14:paraId="2EBE2EEF" w14:textId="6A16DEA6" w:rsidR="003F5061" w:rsidRDefault="00AA7DC9" w:rsidP="00AA7DC9">
      <w:pPr>
        <w:pStyle w:val="Caption"/>
        <w:rPr>
          <w:lang w:eastAsia="x-none"/>
        </w:rPr>
      </w:pPr>
      <w:bookmarkStart w:id="138" w:name="_Ref390700579"/>
      <w:bookmarkStart w:id="139" w:name="_Toc392683531"/>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3</w:t>
      </w:r>
      <w:r>
        <w:fldChar w:fldCharType="end"/>
      </w:r>
      <w:bookmarkEnd w:id="138"/>
      <w:r w:rsidR="003F5061">
        <w:t xml:space="preserve"> Group activity – events, attendees and attendees per event – Jan- Jun 13, Jul – Dec 13</w:t>
      </w:r>
      <w:bookmarkEnd w:id="139"/>
    </w:p>
    <w:p w14:paraId="2EBE2EF0" w14:textId="77777777" w:rsidR="003F5061" w:rsidRDefault="003F5061" w:rsidP="00204D69">
      <w:pPr>
        <w:rPr>
          <w:lang w:eastAsia="x-none"/>
        </w:rPr>
      </w:pPr>
      <w:r>
        <w:rPr>
          <w:noProof/>
          <w:lang w:eastAsia="en-AU"/>
        </w:rPr>
        <w:drawing>
          <wp:inline distT="0" distB="0" distL="0" distR="0" wp14:anchorId="2EBE333B" wp14:editId="2EBE333C">
            <wp:extent cx="6198228" cy="2243188"/>
            <wp:effectExtent l="0" t="0" r="0" b="5080"/>
            <wp:docPr id="9" name="Picture 9" descr="Figure 3.3 consists of three column graphs.  The first graph displays the number of events that occurred in each of the four Cape York communities in 2013, the second graph displays the number of attendees at the events, and the third graph displays the number of attendees per event.  The x-axis contains the community and the y-axis contains the number of events.  The results are shown in the order of Aurukun, Coen, Hope Vale and Mossman Gorge.  There are two columns above each community.  The first column represents data from January 2013 to June 2013 and the second column represents data from July 2013 to December 2013. " title="Figure 3.3: Group activity - events, attendess and attendess per event - Jan-Jun 13, Jul-De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147" cy="2247502"/>
                    </a:xfrm>
                    <a:prstGeom prst="rect">
                      <a:avLst/>
                    </a:prstGeom>
                    <a:noFill/>
                  </pic:spPr>
                </pic:pic>
              </a:graphicData>
            </a:graphic>
          </wp:inline>
        </w:drawing>
      </w:r>
    </w:p>
    <w:p w14:paraId="2EBE2EF1" w14:textId="77777777" w:rsidR="00204D69" w:rsidRDefault="00204D69" w:rsidP="00BC0A26">
      <w:pPr>
        <w:pStyle w:val="Heading3"/>
      </w:pPr>
      <w:r>
        <w:t>Client profile</w:t>
      </w:r>
    </w:p>
    <w:p w14:paraId="2EBE2EF2" w14:textId="77777777" w:rsidR="00204D69" w:rsidRPr="00C84E0B" w:rsidRDefault="00204D69" w:rsidP="00204D69">
      <w:r w:rsidRPr="00C84E0B">
        <w:t xml:space="preserve">The total HoNOS scores for all WBC clients is similar to the national profile of mental health ambulatory clients (8.69 compared to 9.1). On a subscale basis, behaviour scores are greater than the national profile (2.25 to 1.6) and the impairment and symptoms subscale are less (0.95 compared to 1.3 and 2.06 compared to 3 respectively). This result is not surprising given </w:t>
      </w:r>
      <w:r w:rsidR="006B4C1F">
        <w:t xml:space="preserve">the </w:t>
      </w:r>
      <w:r w:rsidRPr="00C84E0B">
        <w:t xml:space="preserve">behavioural problems </w:t>
      </w:r>
      <w:r w:rsidR="006B4C1F">
        <w:t xml:space="preserve">evident </w:t>
      </w:r>
      <w:r w:rsidRPr="00C84E0B">
        <w:t xml:space="preserve">in these Aboriginal </w:t>
      </w:r>
      <w:r>
        <w:t>communities</w:t>
      </w:r>
      <w:r w:rsidR="006B4C1F">
        <w:t>. I</w:t>
      </w:r>
      <w:r w:rsidRPr="00C84E0B">
        <w:t xml:space="preserve">n relation to impairment and symptoms the national profile is based on people with </w:t>
      </w:r>
      <w:r w:rsidRPr="00186394">
        <w:t>diagnosed mental illness whereas the WBC is a SEWB service seeing a much broader range of clients</w:t>
      </w:r>
      <w:r w:rsidR="006B4C1F">
        <w:t xml:space="preserve"> and hence a lower score might also have been expected</w:t>
      </w:r>
      <w:r w:rsidRPr="00186394">
        <w:t xml:space="preserve">. </w:t>
      </w:r>
      <w:r>
        <w:t>The n</w:t>
      </w:r>
      <w:r w:rsidRPr="00186394">
        <w:t xml:space="preserve">on-FRC and FRC client profile is </w:t>
      </w:r>
      <w:r w:rsidR="006B4C1F">
        <w:t xml:space="preserve">of a </w:t>
      </w:r>
      <w:r w:rsidRPr="00186394">
        <w:t>similar</w:t>
      </w:r>
      <w:r w:rsidR="006B4C1F">
        <w:t xml:space="preserve"> score</w:t>
      </w:r>
      <w:r w:rsidRPr="00186394">
        <w:t>.</w:t>
      </w:r>
    </w:p>
    <w:p w14:paraId="2EBE2EF3" w14:textId="77777777" w:rsidR="00204D69" w:rsidRPr="00C84E0B" w:rsidRDefault="00204D69" w:rsidP="00204D69">
      <w:r w:rsidRPr="00C84E0B">
        <w:t xml:space="preserve">The K10 score for all WBC clients is similar to the national profile of mental health ambulatory clients. This result is to be expected given </w:t>
      </w:r>
      <w:r w:rsidR="006B4C1F">
        <w:t xml:space="preserve">the </w:t>
      </w:r>
      <w:r w:rsidRPr="00C84E0B">
        <w:t xml:space="preserve">WBC clients </w:t>
      </w:r>
      <w:r w:rsidR="006B4C1F">
        <w:t xml:space="preserve">are attending </w:t>
      </w:r>
      <w:r w:rsidRPr="00C84E0B">
        <w:t xml:space="preserve">a SEWB service </w:t>
      </w:r>
      <w:r w:rsidR="006B4C1F">
        <w:t>that</w:t>
      </w:r>
      <w:r w:rsidRPr="00C84E0B">
        <w:t xml:space="preserve"> sees a broad range of clients many of whom can be stressed. The score indicates that on average clients are in Risk Zone II (likely to have a moderate disorder, K10 score 16-21) at the time their first score is collected.</w:t>
      </w:r>
    </w:p>
    <w:p w14:paraId="2EBE2EF4" w14:textId="77777777" w:rsidR="00204D69" w:rsidRPr="00C84E0B" w:rsidRDefault="00204D69" w:rsidP="00204D69">
      <w:pPr>
        <w:spacing w:after="120"/>
        <w:rPr>
          <w:szCs w:val="20"/>
        </w:rPr>
      </w:pPr>
      <w:r w:rsidRPr="00C84E0B">
        <w:rPr>
          <w:szCs w:val="20"/>
        </w:rPr>
        <w:t>The percentage of WBC clients at high or very high distress levels is marginally greater than the general Indigenous population (33% compared to around 27% to 30%) and significantly greater than the non-Indigenous population. This level of distress is to be expected given the presenting circumstances of the</w:t>
      </w:r>
      <w:r w:rsidRPr="00C84E0B">
        <w:t xml:space="preserve"> </w:t>
      </w:r>
      <w:r w:rsidRPr="00C84E0B">
        <w:rPr>
          <w:szCs w:val="20"/>
        </w:rPr>
        <w:t>WBC clients.</w:t>
      </w:r>
    </w:p>
    <w:p w14:paraId="2EBE2EF5" w14:textId="77777777" w:rsidR="00204D69" w:rsidRPr="00C84E0B" w:rsidRDefault="00204D69" w:rsidP="00204D69">
      <w:pPr>
        <w:spacing w:before="120" w:after="120"/>
        <w:jc w:val="left"/>
        <w:rPr>
          <w:rFonts w:cs="Segoe UI"/>
          <w:szCs w:val="20"/>
        </w:rPr>
      </w:pPr>
      <w:r w:rsidRPr="00C84E0B">
        <w:rPr>
          <w:rFonts w:cs="Segoe UI"/>
          <w:szCs w:val="20"/>
        </w:rPr>
        <w:t>Overall WBC clients fell in the risky or hazardous level of drin</w:t>
      </w:r>
      <w:r>
        <w:rPr>
          <w:rFonts w:cs="Segoe UI"/>
          <w:szCs w:val="20"/>
        </w:rPr>
        <w:t xml:space="preserve">king category on initial score and </w:t>
      </w:r>
      <w:r w:rsidRPr="00C84E0B">
        <w:rPr>
          <w:rFonts w:cs="Segoe UI"/>
          <w:szCs w:val="20"/>
        </w:rPr>
        <w:t xml:space="preserve">FRC clients were in the same category. There were variations between WBCs with Mossman Gorge clients on average being in the high risk category and all other WBCs being in the risky or hazardous level of drinking. </w:t>
      </w:r>
      <w:r w:rsidR="006B4C1F">
        <w:rPr>
          <w:rFonts w:cs="Segoe UI"/>
          <w:szCs w:val="20"/>
        </w:rPr>
        <w:t>Unfortunately, t</w:t>
      </w:r>
      <w:r w:rsidRPr="00C84E0B">
        <w:rPr>
          <w:rFonts w:cs="Segoe UI"/>
          <w:szCs w:val="20"/>
        </w:rPr>
        <w:t>here is no benchmark data</w:t>
      </w:r>
      <w:r w:rsidR="006B4C1F">
        <w:rPr>
          <w:rFonts w:cs="Segoe UI"/>
          <w:szCs w:val="20"/>
        </w:rPr>
        <w:t xml:space="preserve"> on which comparisons could be made</w:t>
      </w:r>
      <w:r w:rsidRPr="00C84E0B">
        <w:rPr>
          <w:rFonts w:cs="Segoe UI"/>
          <w:szCs w:val="20"/>
        </w:rPr>
        <w:t>.</w:t>
      </w:r>
    </w:p>
    <w:p w14:paraId="2EBE2EF6" w14:textId="77777777" w:rsidR="00204D69" w:rsidRDefault="00204D69" w:rsidP="00204D69">
      <w:r w:rsidRPr="00C84E0B">
        <w:t xml:space="preserve">Based on the SDS 36% of clients demonstrated </w:t>
      </w:r>
      <w:r w:rsidR="006B4C1F">
        <w:t xml:space="preserve">a </w:t>
      </w:r>
      <w:r w:rsidRPr="00C84E0B">
        <w:t>dependence on cannabis with significant variations between WBCs. Mossman Gorge and Aurukun had the highest percentage of clients recorded as being dependent upon cannabis and consequently the highest average score</w:t>
      </w:r>
      <w:r>
        <w:t>.</w:t>
      </w:r>
    </w:p>
    <w:p w14:paraId="2EBE2EF7" w14:textId="77777777" w:rsidR="00896FF3" w:rsidRDefault="007A05D2" w:rsidP="00204D69">
      <w:r>
        <w:lastRenderedPageBreak/>
        <w:t xml:space="preserve">Whilst many clients present with more than one issue, </w:t>
      </w:r>
      <w:r w:rsidR="00204D69">
        <w:fldChar w:fldCharType="begin"/>
      </w:r>
      <w:r w:rsidR="00204D69">
        <w:instrText xml:space="preserve"> REF _Ref387392137 \h </w:instrText>
      </w:r>
      <w:r w:rsidR="00204D69">
        <w:fldChar w:fldCharType="separate"/>
      </w:r>
      <w:r w:rsidR="009A19EB">
        <w:t xml:space="preserve">Figure </w:t>
      </w:r>
      <w:r w:rsidR="009A19EB">
        <w:rPr>
          <w:noProof/>
        </w:rPr>
        <w:t>3</w:t>
      </w:r>
      <w:r w:rsidR="009A19EB">
        <w:t>.</w:t>
      </w:r>
      <w:r w:rsidR="009A19EB">
        <w:rPr>
          <w:noProof/>
        </w:rPr>
        <w:t>4</w:t>
      </w:r>
      <w:r w:rsidR="00204D69">
        <w:fldChar w:fldCharType="end"/>
      </w:r>
      <w:r w:rsidR="00204D69">
        <w:t xml:space="preserve"> presents the prim</w:t>
      </w:r>
      <w:r>
        <w:t xml:space="preserve">ary diagnosed assessment issue </w:t>
      </w:r>
      <w:r w:rsidR="00204D69">
        <w:t xml:space="preserve">for those clients with a </w:t>
      </w:r>
      <w:r>
        <w:t xml:space="preserve">service </w:t>
      </w:r>
      <w:r w:rsidR="00204D69">
        <w:t>contact in the July to December 2013 period (the only period for which this data is available)</w:t>
      </w:r>
      <w:r w:rsidR="000120CC">
        <w:rPr>
          <w:rStyle w:val="FootnoteReference"/>
        </w:rPr>
        <w:footnoteReference w:id="36"/>
      </w:r>
      <w:r w:rsidR="00204D69">
        <w:t xml:space="preserve">. The </w:t>
      </w:r>
      <w:r w:rsidR="00BA4911">
        <w:t xml:space="preserve">graph below </w:t>
      </w:r>
      <w:r w:rsidR="00204D69">
        <w:t>demonstrates that violence (</w:t>
      </w:r>
      <w:r w:rsidR="00BA4911">
        <w:t xml:space="preserve">90 clients, </w:t>
      </w:r>
      <w:r w:rsidR="00204D69">
        <w:t>21%), mental health (</w:t>
      </w:r>
      <w:r w:rsidR="00BA4911">
        <w:t xml:space="preserve">89 clients, </w:t>
      </w:r>
      <w:r w:rsidR="00204D69">
        <w:t>21%), alcohol (</w:t>
      </w:r>
      <w:r w:rsidR="00BA4911">
        <w:t xml:space="preserve">85 clients, </w:t>
      </w:r>
      <w:r w:rsidR="00204D69">
        <w:t>20%) and welfare and other support (</w:t>
      </w:r>
      <w:r>
        <w:t xml:space="preserve">69 clients, </w:t>
      </w:r>
      <w:r w:rsidR="00204D69">
        <w:t>16%) together make up 78% of the diagnosed assessment issue categories</w:t>
      </w:r>
      <w:r w:rsidR="00204D69" w:rsidRPr="009D0A47">
        <w:t xml:space="preserve">. </w:t>
      </w:r>
      <w:r>
        <w:t>More detailed data</w:t>
      </w:r>
      <w:r w:rsidRPr="009D0A47">
        <w:t xml:space="preserve"> </w:t>
      </w:r>
      <w:r>
        <w:t xml:space="preserve">is provided in </w:t>
      </w:r>
      <w:r w:rsidR="00204D69" w:rsidRPr="009D0A47">
        <w:t>Appendix 15</w:t>
      </w:r>
      <w:r w:rsidR="00896FF3">
        <w:t xml:space="preserve">. An examination of underlying issues for all clients since inception indicate that 53% </w:t>
      </w:r>
      <w:r>
        <w:t xml:space="preserve">and 43% </w:t>
      </w:r>
      <w:r w:rsidR="00896FF3">
        <w:t>of clients had at least one presentation where alcohol or other drugs</w:t>
      </w:r>
      <w:r w:rsidR="00A50CF3">
        <w:t>,</w:t>
      </w:r>
      <w:r w:rsidR="00896FF3">
        <w:t xml:space="preserve"> </w:t>
      </w:r>
      <w:r w:rsidR="00A50CF3">
        <w:t xml:space="preserve">or </w:t>
      </w:r>
      <w:r w:rsidR="00896FF3">
        <w:t>mental health was an underlying issue</w:t>
      </w:r>
      <w:r w:rsidR="00A50CF3">
        <w:t xml:space="preserve"> respectively</w:t>
      </w:r>
      <w:r w:rsidR="00896FF3">
        <w:t xml:space="preserve"> (this data not necessarily equate with</w:t>
      </w:r>
      <w:r>
        <w:t xml:space="preserve"> the</w:t>
      </w:r>
      <w:r w:rsidR="00896FF3">
        <w:t xml:space="preserve"> number of clients with a formal mental health diagnosis </w:t>
      </w:r>
      <w:r>
        <w:t>a</w:t>
      </w:r>
      <w:r w:rsidR="00896FF3">
        <w:t>s this data was not available).</w:t>
      </w:r>
    </w:p>
    <w:p w14:paraId="2EBE2EF8" w14:textId="48595FBC" w:rsidR="00204D69" w:rsidRPr="000B5C52" w:rsidRDefault="00AA7DC9" w:rsidP="00AA7DC9">
      <w:pPr>
        <w:pStyle w:val="Caption"/>
      </w:pPr>
      <w:bookmarkStart w:id="140" w:name="_Ref387392137"/>
      <w:bookmarkStart w:id="141" w:name="_Toc392683532"/>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4</w:t>
      </w:r>
      <w:r>
        <w:fldChar w:fldCharType="end"/>
      </w:r>
      <w:bookmarkEnd w:id="140"/>
      <w:r w:rsidR="00204D69" w:rsidRPr="000B5C52">
        <w:t xml:space="preserve">: </w:t>
      </w:r>
      <w:r w:rsidR="007A05D2">
        <w:t>Primary d</w:t>
      </w:r>
      <w:r w:rsidR="00204D69" w:rsidRPr="000B5C52">
        <w:t>iagnosed assessment issue category</w:t>
      </w:r>
      <w:bookmarkEnd w:id="141"/>
    </w:p>
    <w:p w14:paraId="2EBE2EF9" w14:textId="77777777" w:rsidR="00204D69" w:rsidRPr="00FA19BA" w:rsidRDefault="00BA4911" w:rsidP="00204D69">
      <w:pPr>
        <w:jc w:val="center"/>
      </w:pPr>
      <w:r>
        <w:rPr>
          <w:noProof/>
          <w:lang w:eastAsia="en-AU"/>
        </w:rPr>
        <w:drawing>
          <wp:inline distT="0" distB="0" distL="0" distR="0" wp14:anchorId="2EBE333D" wp14:editId="2EBE333E">
            <wp:extent cx="5457139" cy="3189427"/>
            <wp:effectExtent l="0" t="0" r="10795" b="11430"/>
            <wp:docPr id="19" name="Chart 19" descr="Figure 3.4 is a column graph that displays the primary diagnosed assessment issue caterogy of clients attending the WBC.  The x-axis has the primary diagnosed assessment issue and the y-axis displays the number of clients presenting with each issue from 0 to 100.  " title="Figure 3.4: Primary diagnosed assessment issue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BE2EFA" w14:textId="77777777" w:rsidR="00204D69" w:rsidRDefault="00204D69" w:rsidP="007A05D2">
      <w:pPr>
        <w:spacing w:after="120"/>
        <w:jc w:val="left"/>
        <w:rPr>
          <w:sz w:val="16"/>
          <w:szCs w:val="16"/>
        </w:rPr>
      </w:pPr>
      <w:r w:rsidRPr="000A1665">
        <w:rPr>
          <w:sz w:val="16"/>
          <w:szCs w:val="16"/>
        </w:rPr>
        <w:t xml:space="preserve">Note (1): This data has been </w:t>
      </w:r>
      <w:r>
        <w:rPr>
          <w:sz w:val="16"/>
          <w:szCs w:val="16"/>
        </w:rPr>
        <w:t>collected</w:t>
      </w:r>
      <w:r w:rsidRPr="000A1665">
        <w:rPr>
          <w:sz w:val="16"/>
          <w:szCs w:val="16"/>
        </w:rPr>
        <w:t xml:space="preserve"> manually by the RFDS. From April 2014 it will be captured in the upgraded information system. The total number of clients on which this gra</w:t>
      </w:r>
      <w:r>
        <w:rPr>
          <w:sz w:val="16"/>
          <w:szCs w:val="16"/>
        </w:rPr>
        <w:t>ph</w:t>
      </w:r>
      <w:r w:rsidRPr="000A1665">
        <w:rPr>
          <w:sz w:val="16"/>
          <w:szCs w:val="16"/>
        </w:rPr>
        <w:t xml:space="preserve"> is based was 425.</w:t>
      </w:r>
      <w:r w:rsidR="007A05D2">
        <w:rPr>
          <w:sz w:val="16"/>
          <w:szCs w:val="16"/>
        </w:rPr>
        <w:br/>
      </w:r>
      <w:r>
        <w:rPr>
          <w:sz w:val="16"/>
          <w:szCs w:val="16"/>
        </w:rPr>
        <w:t>Note (2): Each client only has one diagnosis assessment category allocated being the primary issue. In reality other presenting reasons usually exist.</w:t>
      </w:r>
    </w:p>
    <w:p w14:paraId="2EBE2EFB" w14:textId="77777777" w:rsidR="00204D69" w:rsidRPr="00797AAF" w:rsidRDefault="00204D69" w:rsidP="00204D69">
      <w:r w:rsidRPr="00797AAF">
        <w:fldChar w:fldCharType="begin"/>
      </w:r>
      <w:r w:rsidRPr="00797AAF">
        <w:instrText xml:space="preserve"> REF _Ref385494950 \h  \* MERGEFORMAT </w:instrText>
      </w:r>
      <w:r w:rsidRPr="00797AAF">
        <w:fldChar w:fldCharType="separate"/>
      </w:r>
      <w:r w:rsidR="009A19EB">
        <w:t xml:space="preserve">Figure </w:t>
      </w:r>
      <w:r w:rsidR="009A19EB">
        <w:rPr>
          <w:noProof/>
        </w:rPr>
        <w:t>3.5</w:t>
      </w:r>
      <w:r w:rsidRPr="00797AAF">
        <w:fldChar w:fldCharType="end"/>
      </w:r>
      <w:r w:rsidRPr="00797AAF">
        <w:t xml:space="preserve"> presents a comparison of </w:t>
      </w:r>
      <w:r w:rsidR="007A05D2">
        <w:t xml:space="preserve">primary </w:t>
      </w:r>
      <w:r w:rsidRPr="00797AAF">
        <w:t>diagnosed assessment issue categories between WBCs. The figure shows that Mossman Gorge has relatively less clients who have violence and mental health as the diagnosed assessment issue category, but relatively more clients where welfare and other support and relationships are the primary issues.</w:t>
      </w:r>
    </w:p>
    <w:p w14:paraId="2EBE2EFC" w14:textId="137C1287" w:rsidR="00204D69" w:rsidRDefault="00AA7DC9" w:rsidP="00AA7DC9">
      <w:pPr>
        <w:pStyle w:val="Caption"/>
      </w:pPr>
      <w:bookmarkStart w:id="142" w:name="_Ref385494950"/>
      <w:bookmarkStart w:id="143" w:name="_Toc392683533"/>
      <w:r>
        <w:lastRenderedPageBreak/>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5</w:t>
      </w:r>
      <w:r>
        <w:fldChar w:fldCharType="end"/>
      </w:r>
      <w:bookmarkEnd w:id="142"/>
      <w:r w:rsidR="00204D69">
        <w:t xml:space="preserve">: Comparison of </w:t>
      </w:r>
      <w:r w:rsidR="007A05D2">
        <w:t xml:space="preserve">primary </w:t>
      </w:r>
      <w:r w:rsidR="00204D69">
        <w:t>diagnosed assessment issue categories between WBCs</w:t>
      </w:r>
      <w:bookmarkEnd w:id="143"/>
    </w:p>
    <w:p w14:paraId="2EBE2EFD" w14:textId="77777777" w:rsidR="00204D69" w:rsidRPr="000A1665" w:rsidRDefault="00204D69" w:rsidP="00204D69">
      <w:pPr>
        <w:jc w:val="center"/>
      </w:pPr>
      <w:r>
        <w:rPr>
          <w:noProof/>
          <w:lang w:eastAsia="en-AU"/>
        </w:rPr>
        <w:drawing>
          <wp:inline distT="0" distB="0" distL="0" distR="0" wp14:anchorId="2EBE333F" wp14:editId="2EBE3340">
            <wp:extent cx="5281574" cy="2187245"/>
            <wp:effectExtent l="0" t="0" r="14605" b="22860"/>
            <wp:docPr id="47" name="Chart 47" descr="Figure 3.5 is a column graph which shows the percentage of people presenting to the WBCs for five primary diagnosed assessment issue categories and provides a comparison between the four WBCs.  The x-axis contains data for the four WBCs grouped according to primary diagnosed assessment categories, which are Violence, Mental health, Alcohol, Welfare and other support and Relationship.  Aurukun is the first column of each segment, followed by Coen, Hopevale and Mossman Gorge.  The y-axis contains percentage values from 0% to 35%.  " title="Figure 3.5: Comparison of primary diagnosed assessment issue categories between WBC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BE2EFE" w14:textId="77777777" w:rsidR="00204D69" w:rsidRDefault="00204D69" w:rsidP="00204D69">
      <w:r>
        <w:fldChar w:fldCharType="begin"/>
      </w:r>
      <w:r>
        <w:instrText xml:space="preserve"> REF _Ref385431339 \h </w:instrText>
      </w:r>
      <w:r>
        <w:fldChar w:fldCharType="separate"/>
      </w:r>
      <w:r w:rsidR="009A19EB">
        <w:t xml:space="preserve">Figure </w:t>
      </w:r>
      <w:r w:rsidR="009A19EB">
        <w:rPr>
          <w:noProof/>
        </w:rPr>
        <w:t>3</w:t>
      </w:r>
      <w:r w:rsidR="009A19EB">
        <w:t>.</w:t>
      </w:r>
      <w:r w:rsidR="009A19EB">
        <w:rPr>
          <w:noProof/>
        </w:rPr>
        <w:t>6</w:t>
      </w:r>
      <w:r>
        <w:fldChar w:fldCharType="end"/>
      </w:r>
      <w:r>
        <w:t xml:space="preserve"> presents on a proportionate basis </w:t>
      </w:r>
      <w:r w:rsidRPr="0046261B">
        <w:t xml:space="preserve">the top reasons </w:t>
      </w:r>
      <w:r>
        <w:t>for all client presentations</w:t>
      </w:r>
      <w:r w:rsidRPr="0046261B">
        <w:t xml:space="preserve"> </w:t>
      </w:r>
      <w:r>
        <w:t xml:space="preserve">and compares this to </w:t>
      </w:r>
      <w:r w:rsidRPr="0046261B">
        <w:t>FRC referred clients</w:t>
      </w:r>
      <w:r>
        <w:t xml:space="preserve"> (note one client can have multiple reasons for presentation) </w:t>
      </w:r>
      <w:r w:rsidR="000779D3">
        <w:t xml:space="preserve">from </w:t>
      </w:r>
      <w:r>
        <w:t>inception to 30 June 2013</w:t>
      </w:r>
      <w:r w:rsidRPr="0046261B">
        <w:t xml:space="preserve">. </w:t>
      </w:r>
      <w:r w:rsidRPr="0073268D">
        <w:t xml:space="preserve">The </w:t>
      </w:r>
      <w:r>
        <w:t xml:space="preserve">data illustrates </w:t>
      </w:r>
      <w:r w:rsidRPr="0073268D">
        <w:t>that</w:t>
      </w:r>
      <w:r>
        <w:t>:</w:t>
      </w:r>
      <w:r w:rsidRPr="0073268D">
        <w:t xml:space="preserve"> addic</w:t>
      </w:r>
      <w:r>
        <w:t>tion to alcohol/other drugs/gambling (2</w:t>
      </w:r>
      <w:r w:rsidR="00EA67AF">
        <w:t>0</w:t>
      </w:r>
      <w:r>
        <w:t>%), violence (1</w:t>
      </w:r>
      <w:r w:rsidR="00EA67AF">
        <w:t>1</w:t>
      </w:r>
      <w:r w:rsidRPr="0073268D">
        <w:t>%) relationships (</w:t>
      </w:r>
      <w:r w:rsidR="00EA67AF">
        <w:t>10</w:t>
      </w:r>
      <w:r w:rsidRPr="0073268D">
        <w:t xml:space="preserve">%), </w:t>
      </w:r>
      <w:r>
        <w:t>welfare support (</w:t>
      </w:r>
      <w:r w:rsidR="00EA67AF">
        <w:t>12</w:t>
      </w:r>
      <w:r>
        <w:t>%), stress (8</w:t>
      </w:r>
      <w:r w:rsidRPr="0073268D">
        <w:t>%</w:t>
      </w:r>
      <w:r>
        <w:t>) and legal (7%) together make up 6</w:t>
      </w:r>
      <w:r w:rsidR="00EA67AF">
        <w:t>8</w:t>
      </w:r>
      <w:r w:rsidRPr="0073268D">
        <w:t xml:space="preserve">% of </w:t>
      </w:r>
      <w:r>
        <w:t>the reasons for presentation. Note the term “addiction”</w:t>
      </w:r>
      <w:r w:rsidRPr="00D2507F">
        <w:t xml:space="preserve"> relate</w:t>
      </w:r>
      <w:r>
        <w:t>s</w:t>
      </w:r>
      <w:r w:rsidRPr="00D2507F">
        <w:t xml:space="preserve"> to clients presenting with problems associated with alcohol and/or other drug use and gambling, including problems of heavy episodic use, rather than those formally diagnosed as being alcohol or other drug dependent.</w:t>
      </w:r>
    </w:p>
    <w:p w14:paraId="2EBE2EFF" w14:textId="77777777" w:rsidR="00204D69" w:rsidRDefault="00204D69" w:rsidP="00204D69">
      <w:r>
        <w:t>T</w:t>
      </w:r>
      <w:r w:rsidRPr="0046261B">
        <w:t>he</w:t>
      </w:r>
      <w:r w:rsidR="000779D3">
        <w:t xml:space="preserve"> data shows the</w:t>
      </w:r>
      <w:r w:rsidRPr="0046261B">
        <w:t xml:space="preserve">re </w:t>
      </w:r>
      <w:r w:rsidR="000779D3" w:rsidRPr="0046261B">
        <w:t>are a higher percentage of FRC clients</w:t>
      </w:r>
      <w:r w:rsidRPr="0046261B">
        <w:t xml:space="preserve"> presenting with addiction problems (3</w:t>
      </w:r>
      <w:r w:rsidR="00EA67AF">
        <w:t>0</w:t>
      </w:r>
      <w:r w:rsidRPr="0046261B">
        <w:t>% of FRC clients compared to 2</w:t>
      </w:r>
      <w:r w:rsidR="00EA67AF">
        <w:t>0</w:t>
      </w:r>
      <w:r w:rsidRPr="0046261B">
        <w:t>% of all clients).</w:t>
      </w:r>
      <w:r w:rsidRPr="00215ADC">
        <w:t xml:space="preserve"> </w:t>
      </w:r>
      <w:r w:rsidRPr="003543D6">
        <w:t xml:space="preserve">While the reasons for presentation are of similar proportion in </w:t>
      </w:r>
      <w:r w:rsidR="00EA67AF">
        <w:t>2013/14</w:t>
      </w:r>
      <w:r w:rsidRPr="003543D6">
        <w:t xml:space="preserve"> to that</w:t>
      </w:r>
      <w:r>
        <w:t xml:space="preserve"> since </w:t>
      </w:r>
      <w:r w:rsidRPr="003543D6">
        <w:t>inception</w:t>
      </w:r>
      <w:r w:rsidR="00EA67AF">
        <w:t xml:space="preserve"> for most categories</w:t>
      </w:r>
      <w:r w:rsidRPr="003543D6">
        <w:t xml:space="preserve">, the proportion of welfare support activity has increased from 9% since inception to </w:t>
      </w:r>
      <w:r w:rsidR="00EA67AF">
        <w:t>23</w:t>
      </w:r>
      <w:r w:rsidRPr="003543D6">
        <w:t xml:space="preserve">% in </w:t>
      </w:r>
      <w:r w:rsidR="00EA67AF">
        <w:t>2013/14</w:t>
      </w:r>
      <w:r>
        <w:t xml:space="preserve"> which </w:t>
      </w:r>
      <w:r w:rsidRPr="003543D6">
        <w:t xml:space="preserve">has been driven by </w:t>
      </w:r>
      <w:r w:rsidR="00EA67AF">
        <w:t>all WBCs</w:t>
      </w:r>
      <w:r>
        <w:t>.</w:t>
      </w:r>
    </w:p>
    <w:p w14:paraId="2EBE2F00" w14:textId="7B6173B7" w:rsidR="00204D69" w:rsidRDefault="00AA7DC9" w:rsidP="00AA7DC9">
      <w:pPr>
        <w:pStyle w:val="Caption"/>
      </w:pPr>
      <w:bookmarkStart w:id="144" w:name="_Ref385431339"/>
      <w:bookmarkStart w:id="145" w:name="_Toc392683534"/>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6</w:t>
      </w:r>
      <w:r>
        <w:fldChar w:fldCharType="end"/>
      </w:r>
      <w:bookmarkEnd w:id="144"/>
      <w:r w:rsidR="00204D69">
        <w:t>: Reason for presentation all clients versus FRC clients (percentages)</w:t>
      </w:r>
      <w:bookmarkEnd w:id="145"/>
    </w:p>
    <w:p w14:paraId="2EBE2F01" w14:textId="77777777" w:rsidR="00EA67AF" w:rsidRPr="00EA67AF" w:rsidRDefault="00EA67AF" w:rsidP="00EA67AF">
      <w:pPr>
        <w:jc w:val="center"/>
      </w:pPr>
      <w:r>
        <w:rPr>
          <w:noProof/>
          <w:lang w:eastAsia="en-AU"/>
        </w:rPr>
        <w:drawing>
          <wp:inline distT="0" distB="0" distL="0" distR="0" wp14:anchorId="2EBE3341" wp14:editId="2EBE3342">
            <wp:extent cx="5052772" cy="2750515"/>
            <wp:effectExtent l="0" t="0" r="0" b="0"/>
            <wp:docPr id="10" name="Picture 10" descr="Figure 3.6 is a column graph that displays the percentage reason for presentation at the WBCs for all clients versus the FRC clients.  The x-axis contains the reasons for presentations in the order of Addictions, Violence, Relationships, Welfare Support, Stress, Legal, Child Abuse and Neglect, Parent/Carer and Child and Grief/Loss.  The data for all clients ('% Total') and 'FRC' client is grouped together for each reason for presentation.  '% Total' is shown in the first column of each group and 'FRC' is the right hand column of each group.  " title="Figure 3.6: Reason for presentation all clients versus FRC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2774" cy="2750516"/>
                    </a:xfrm>
                    <a:prstGeom prst="rect">
                      <a:avLst/>
                    </a:prstGeom>
                    <a:noFill/>
                  </pic:spPr>
                </pic:pic>
              </a:graphicData>
            </a:graphic>
          </wp:inline>
        </w:drawing>
      </w:r>
    </w:p>
    <w:p w14:paraId="2EBE2F02" w14:textId="77777777" w:rsidR="00204D69" w:rsidRPr="000E42B0" w:rsidRDefault="00204D69" w:rsidP="000779D3">
      <w:pPr>
        <w:spacing w:after="120"/>
        <w:jc w:val="left"/>
        <w:rPr>
          <w:sz w:val="16"/>
          <w:szCs w:val="16"/>
          <w:lang w:eastAsia="en-AU"/>
        </w:rPr>
      </w:pPr>
      <w:r>
        <w:rPr>
          <w:sz w:val="16"/>
          <w:szCs w:val="16"/>
          <w:lang w:eastAsia="en-AU"/>
        </w:rPr>
        <w:t>Note (1</w:t>
      </w:r>
      <w:r w:rsidRPr="00811F20">
        <w:rPr>
          <w:sz w:val="16"/>
          <w:szCs w:val="16"/>
          <w:lang w:eastAsia="en-AU"/>
        </w:rPr>
        <w:t>):</w:t>
      </w:r>
      <w:r>
        <w:rPr>
          <w:sz w:val="16"/>
          <w:szCs w:val="16"/>
          <w:lang w:eastAsia="en-AU"/>
        </w:rPr>
        <w:t xml:space="preserve"> Data is since inception to 3</w:t>
      </w:r>
      <w:r w:rsidR="00EA67AF">
        <w:rPr>
          <w:sz w:val="16"/>
          <w:szCs w:val="16"/>
          <w:lang w:eastAsia="en-AU"/>
        </w:rPr>
        <w:t>1</w:t>
      </w:r>
      <w:r>
        <w:rPr>
          <w:sz w:val="16"/>
          <w:szCs w:val="16"/>
          <w:lang w:eastAsia="en-AU"/>
        </w:rPr>
        <w:t xml:space="preserve"> </w:t>
      </w:r>
      <w:r w:rsidR="00EA67AF">
        <w:rPr>
          <w:sz w:val="16"/>
          <w:szCs w:val="16"/>
          <w:lang w:eastAsia="en-AU"/>
        </w:rPr>
        <w:t>March 2014</w:t>
      </w:r>
      <w:r>
        <w:rPr>
          <w:sz w:val="16"/>
          <w:szCs w:val="16"/>
          <w:lang w:eastAsia="en-AU"/>
        </w:rPr>
        <w:t>.</w:t>
      </w:r>
      <w:r w:rsidR="000779D3">
        <w:rPr>
          <w:sz w:val="16"/>
          <w:szCs w:val="16"/>
          <w:lang w:eastAsia="en-AU"/>
        </w:rPr>
        <w:br/>
      </w:r>
      <w:r w:rsidR="009D6846">
        <w:rPr>
          <w:sz w:val="16"/>
          <w:szCs w:val="16"/>
          <w:lang w:eastAsia="en-AU"/>
        </w:rPr>
        <w:t>Note (2</w:t>
      </w:r>
      <w:r w:rsidRPr="00811F20">
        <w:rPr>
          <w:sz w:val="16"/>
          <w:szCs w:val="16"/>
          <w:lang w:eastAsia="en-AU"/>
        </w:rPr>
        <w:t>): The database does not allow for an accurate breakdown of the ‘addi</w:t>
      </w:r>
      <w:r>
        <w:rPr>
          <w:sz w:val="16"/>
          <w:szCs w:val="16"/>
          <w:lang w:eastAsia="en-AU"/>
        </w:rPr>
        <w:t>ction’ reason for presentation, but it is primarily for alcohol and other drugs.</w:t>
      </w:r>
      <w:r w:rsidR="000779D3">
        <w:rPr>
          <w:sz w:val="16"/>
          <w:szCs w:val="16"/>
          <w:lang w:eastAsia="en-AU"/>
        </w:rPr>
        <w:br/>
      </w:r>
      <w:r w:rsidRPr="00811F20">
        <w:rPr>
          <w:sz w:val="16"/>
          <w:szCs w:val="16"/>
          <w:lang w:eastAsia="en-AU"/>
        </w:rPr>
        <w:t>Note (</w:t>
      </w:r>
      <w:r w:rsidR="009D6846">
        <w:rPr>
          <w:sz w:val="16"/>
          <w:szCs w:val="16"/>
          <w:lang w:eastAsia="en-AU"/>
        </w:rPr>
        <w:t>3</w:t>
      </w:r>
      <w:r w:rsidRPr="00811F20">
        <w:rPr>
          <w:sz w:val="16"/>
          <w:szCs w:val="16"/>
          <w:lang w:eastAsia="en-AU"/>
        </w:rPr>
        <w:t>): Addictions relate to clients presenting with problems associated with alcohol and/or other drug use, including problems of heavy episodic use, rather than those formally diagnosed as being alcohol or other drug dependent.</w:t>
      </w:r>
      <w:r w:rsidR="000779D3">
        <w:rPr>
          <w:sz w:val="16"/>
          <w:szCs w:val="16"/>
          <w:lang w:eastAsia="en-AU"/>
        </w:rPr>
        <w:br/>
      </w:r>
      <w:r w:rsidRPr="000E42B0">
        <w:rPr>
          <w:sz w:val="16"/>
          <w:szCs w:val="16"/>
          <w:lang w:eastAsia="en-AU"/>
        </w:rPr>
        <w:t>Note (</w:t>
      </w:r>
      <w:r w:rsidR="009D6846">
        <w:rPr>
          <w:sz w:val="16"/>
          <w:szCs w:val="16"/>
          <w:lang w:eastAsia="en-AU"/>
        </w:rPr>
        <w:t>4</w:t>
      </w:r>
      <w:r w:rsidRPr="000E42B0">
        <w:rPr>
          <w:sz w:val="16"/>
          <w:szCs w:val="16"/>
          <w:lang w:eastAsia="en-AU"/>
        </w:rPr>
        <w:t>): One contact can have multiple reasons for presentation.</w:t>
      </w:r>
    </w:p>
    <w:p w14:paraId="2EBE2F03" w14:textId="77777777" w:rsidR="00204D69" w:rsidRPr="00BF2FB5" w:rsidRDefault="00204D69" w:rsidP="00204D69">
      <w:pPr>
        <w:rPr>
          <w:color w:val="auto"/>
        </w:rPr>
      </w:pPr>
      <w:r w:rsidRPr="00E57472">
        <w:rPr>
          <w:color w:val="auto"/>
        </w:rPr>
        <w:lastRenderedPageBreak/>
        <w:t>A comparison between WBCs of the reason for presentation for the 2012/13</w:t>
      </w:r>
      <w:r w:rsidR="00E57472" w:rsidRPr="00E57472">
        <w:rPr>
          <w:color w:val="auto"/>
        </w:rPr>
        <w:t xml:space="preserve"> and 2013/14</w:t>
      </w:r>
      <w:r w:rsidRPr="00E57472">
        <w:rPr>
          <w:color w:val="auto"/>
        </w:rPr>
        <w:t xml:space="preserve"> year</w:t>
      </w:r>
      <w:r w:rsidR="00E57472" w:rsidRPr="00E57472">
        <w:rPr>
          <w:color w:val="auto"/>
        </w:rPr>
        <w:t>s</w:t>
      </w:r>
      <w:r w:rsidR="00E57472">
        <w:rPr>
          <w:color w:val="auto"/>
        </w:rPr>
        <w:t xml:space="preserve"> combined</w:t>
      </w:r>
      <w:r w:rsidRPr="00BF2FB5">
        <w:rPr>
          <w:color w:val="auto"/>
        </w:rPr>
        <w:t xml:space="preserve"> </w:t>
      </w:r>
      <w:r w:rsidR="000779D3">
        <w:rPr>
          <w:color w:val="auto"/>
        </w:rPr>
        <w:t>(</w:t>
      </w:r>
      <w:r w:rsidR="00E57472">
        <w:rPr>
          <w:color w:val="auto"/>
        </w:rPr>
        <w:fldChar w:fldCharType="begin"/>
      </w:r>
      <w:r w:rsidR="00E57472">
        <w:rPr>
          <w:color w:val="auto"/>
        </w:rPr>
        <w:instrText xml:space="preserve"> REF _Ref390854815 \h </w:instrText>
      </w:r>
      <w:r w:rsidR="00E57472">
        <w:rPr>
          <w:color w:val="auto"/>
        </w:rPr>
      </w:r>
      <w:r w:rsidR="00E57472">
        <w:rPr>
          <w:color w:val="auto"/>
        </w:rPr>
        <w:fldChar w:fldCharType="separate"/>
      </w:r>
      <w:r w:rsidR="009A19EB">
        <w:t xml:space="preserve">Figure </w:t>
      </w:r>
      <w:r w:rsidR="009A19EB">
        <w:rPr>
          <w:noProof/>
        </w:rPr>
        <w:t>3</w:t>
      </w:r>
      <w:r w:rsidR="009A19EB">
        <w:t>.</w:t>
      </w:r>
      <w:r w:rsidR="009A19EB">
        <w:rPr>
          <w:noProof/>
        </w:rPr>
        <w:t>7</w:t>
      </w:r>
      <w:r w:rsidR="00E57472">
        <w:rPr>
          <w:color w:val="auto"/>
        </w:rPr>
        <w:fldChar w:fldCharType="end"/>
      </w:r>
      <w:r w:rsidR="000779D3">
        <w:rPr>
          <w:color w:val="auto"/>
        </w:rPr>
        <w:t>)</w:t>
      </w:r>
      <w:r w:rsidR="00E57472">
        <w:rPr>
          <w:color w:val="auto"/>
        </w:rPr>
        <w:t xml:space="preserve"> </w:t>
      </w:r>
      <w:r>
        <w:rPr>
          <w:color w:val="auto"/>
        </w:rPr>
        <w:t xml:space="preserve">demonstrates that </w:t>
      </w:r>
      <w:r w:rsidR="00E57472">
        <w:rPr>
          <w:color w:val="auto"/>
        </w:rPr>
        <w:t>Aurukun</w:t>
      </w:r>
      <w:r w:rsidRPr="00BF2FB5">
        <w:rPr>
          <w:color w:val="auto"/>
        </w:rPr>
        <w:t xml:space="preserve"> has the highest proportion of presentati</w:t>
      </w:r>
      <w:r w:rsidR="00E57472">
        <w:rPr>
          <w:color w:val="auto"/>
        </w:rPr>
        <w:t xml:space="preserve">ons for addictions and </w:t>
      </w:r>
      <w:r w:rsidRPr="00BF2FB5">
        <w:rPr>
          <w:color w:val="auto"/>
        </w:rPr>
        <w:t>violence, Mossman Gorge for welfare support and Hopev</w:t>
      </w:r>
      <w:r w:rsidR="00E57472">
        <w:rPr>
          <w:color w:val="auto"/>
        </w:rPr>
        <w:t>ale for child abuse and neglect</w:t>
      </w:r>
      <w:r w:rsidRPr="00BF2FB5">
        <w:rPr>
          <w:color w:val="auto"/>
        </w:rPr>
        <w:t>.</w:t>
      </w:r>
    </w:p>
    <w:p w14:paraId="2EBE2F04" w14:textId="2AB5BD30" w:rsidR="00E57472" w:rsidRDefault="00AA7DC9" w:rsidP="00AA7DC9">
      <w:pPr>
        <w:pStyle w:val="Caption"/>
      </w:pPr>
      <w:bookmarkStart w:id="146" w:name="_Ref390854815"/>
      <w:bookmarkStart w:id="147" w:name="_Toc392683535"/>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7</w:t>
      </w:r>
      <w:r>
        <w:fldChar w:fldCharType="end"/>
      </w:r>
      <w:bookmarkEnd w:id="146"/>
      <w:r w:rsidR="00E57472">
        <w:t>: Reasons for presentation – WBC comparison</w:t>
      </w:r>
      <w:bookmarkEnd w:id="147"/>
    </w:p>
    <w:p w14:paraId="2EBE2F05" w14:textId="77777777" w:rsidR="00E57472" w:rsidRPr="00E57472" w:rsidRDefault="00E57472" w:rsidP="00E57472">
      <w:pPr>
        <w:pStyle w:val="Caption"/>
        <w:rPr>
          <w:sz w:val="18"/>
        </w:rPr>
      </w:pPr>
      <w:bookmarkStart w:id="148" w:name="_Toc392603410"/>
      <w:bookmarkStart w:id="149" w:name="_Toc392683536"/>
      <w:r w:rsidRPr="00E57472">
        <w:rPr>
          <w:noProof/>
          <w:sz w:val="18"/>
          <w:lang w:eastAsia="en-AU"/>
        </w:rPr>
        <w:drawing>
          <wp:inline distT="0" distB="0" distL="0" distR="0" wp14:anchorId="2EBE3343" wp14:editId="2EBE3344">
            <wp:extent cx="5135525" cy="3101263"/>
            <wp:effectExtent l="0" t="0" r="8255" b="4445"/>
            <wp:docPr id="15" name="Picture 15" descr="Figure 3.7 is a column graph that displays the percentage reason for presentation at the WBCs with a comparison between WBCs.  The x-axis contains the reasons for presentations in the order of Welfare Support, Addictions, Relationships, Violence, Parent/Carer, Stress, Legal and Child and Child Abuse and Neglect.  The data for all four WBCs is grouped together for each reason for presentation.  Data for Aurukun is shown in the first column of each group, Coen in the second, Hopevale in the third and Mossman Gorge in the fourth column of each group.  The y-axis contains percentage values between 0% and 35%.  " title="Figure 3.7: Reasons for presentation - WBC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7611"/>
                    <a:stretch/>
                  </pic:blipFill>
                  <pic:spPr bwMode="auto">
                    <a:xfrm>
                      <a:off x="0" y="0"/>
                      <a:ext cx="5135959" cy="3101525"/>
                    </a:xfrm>
                    <a:prstGeom prst="rect">
                      <a:avLst/>
                    </a:prstGeom>
                    <a:noFill/>
                    <a:ln>
                      <a:noFill/>
                    </a:ln>
                    <a:extLst>
                      <a:ext uri="{53640926-AAD7-44D8-BBD7-CCE9431645EC}">
                        <a14:shadowObscured xmlns:a14="http://schemas.microsoft.com/office/drawing/2010/main"/>
                      </a:ext>
                    </a:extLst>
                  </pic:spPr>
                </pic:pic>
              </a:graphicData>
            </a:graphic>
          </wp:inline>
        </w:drawing>
      </w:r>
      <w:bookmarkEnd w:id="148"/>
      <w:bookmarkEnd w:id="149"/>
    </w:p>
    <w:p w14:paraId="2EBE2F06" w14:textId="77777777" w:rsidR="00E57472" w:rsidRPr="00E57472" w:rsidRDefault="00E57472" w:rsidP="00E57472">
      <w:pPr>
        <w:rPr>
          <w:sz w:val="18"/>
          <w:szCs w:val="18"/>
        </w:rPr>
      </w:pPr>
      <w:r w:rsidRPr="00E57472">
        <w:rPr>
          <w:sz w:val="18"/>
          <w:szCs w:val="18"/>
        </w:rPr>
        <w:t xml:space="preserve">Note (1): Relates to period 2012/13 and July 13 to March 2014. </w:t>
      </w:r>
    </w:p>
    <w:p w14:paraId="2EBE2F07" w14:textId="77777777" w:rsidR="000779D3" w:rsidRDefault="000779D3" w:rsidP="000779D3">
      <w:r>
        <w:t>For males, addictions and prison related matters make up a significantly greater percentage of the reasons for presentation than females. For females, welfare support, relationships and parent/carer and child support makes up a greater proportion of reasons for presentation than males.</w:t>
      </w:r>
    </w:p>
    <w:p w14:paraId="2EBE2F08" w14:textId="77777777" w:rsidR="00955331" w:rsidRDefault="000779D3" w:rsidP="00200167">
      <w:r>
        <w:t>As noted above, the growth in attendances for welfare support</w:t>
      </w:r>
      <w:r w:rsidR="00955331">
        <w:t xml:space="preserve"> across all WBCs (but particularly at Mossman Gorge)</w:t>
      </w:r>
      <w:r>
        <w:t xml:space="preserve"> is a vexed issue. </w:t>
      </w:r>
      <w:r w:rsidR="00955331">
        <w:t xml:space="preserve">The positive aspects of this include an increasing trust in the WBC as a service that can provide a holistic and integrated range of SEWB services (including welfare support) to the community. Additionally, the provision of assistance with matters of welfare has been an important way of addressing the overall level of stress in a community and it </w:t>
      </w:r>
      <w:r w:rsidR="00B71BE9">
        <w:t xml:space="preserve">has proven to be </w:t>
      </w:r>
      <w:r w:rsidR="00955331">
        <w:t>an important tool for f</w:t>
      </w:r>
      <w:r w:rsidR="00B71BE9">
        <w:t>acilitating the f</w:t>
      </w:r>
      <w:r w:rsidR="00955331">
        <w:t xml:space="preserve">irst engagement with </w:t>
      </w:r>
      <w:r w:rsidR="00B71BE9">
        <w:t xml:space="preserve">a </w:t>
      </w:r>
      <w:r w:rsidR="00955331">
        <w:t xml:space="preserve">client that very often leads to more in-depth counselling. In this respect it </w:t>
      </w:r>
      <w:r w:rsidR="00B71BE9">
        <w:t>i</w:t>
      </w:r>
      <w:r w:rsidR="00955331">
        <w:t xml:space="preserve">s </w:t>
      </w:r>
      <w:r w:rsidR="00B71BE9">
        <w:t xml:space="preserve">regarded as </w:t>
      </w:r>
      <w:r w:rsidR="00955331">
        <w:t xml:space="preserve">an invaluable tool in promoting the WBC service and engaging with all </w:t>
      </w:r>
      <w:r w:rsidR="00B71BE9">
        <w:t xml:space="preserve">members of the </w:t>
      </w:r>
      <w:r w:rsidR="00955331">
        <w:t>communit</w:t>
      </w:r>
      <w:r w:rsidR="00B71BE9">
        <w:t>y</w:t>
      </w:r>
      <w:r w:rsidR="00955331">
        <w:t xml:space="preserve">. However, it might also be </w:t>
      </w:r>
      <w:r w:rsidR="0009590A">
        <w:t xml:space="preserve">reasonably </w:t>
      </w:r>
      <w:r w:rsidR="00955331">
        <w:t>argued that a range of other services in the community have been funded to provide primary welfare support and hence care needs to be taken that this does not become a disproportionate amount of the work undertaken by the WBCs, particularly given th</w:t>
      </w:r>
      <w:r w:rsidR="0009590A">
        <w:t xml:space="preserve">ere hasn’t been commensurate funding for this work. </w:t>
      </w:r>
      <w:r w:rsidR="00B71BE9">
        <w:t xml:space="preserve">Alternatively it may be considered that in the design and </w:t>
      </w:r>
      <w:r w:rsidR="00955331">
        <w:t xml:space="preserve">delivery of wellbeing services </w:t>
      </w:r>
      <w:r w:rsidR="00B71BE9">
        <w:t>in the longer term, a</w:t>
      </w:r>
      <w:r w:rsidR="00955331">
        <w:t xml:space="preserve"> more efficient and </w:t>
      </w:r>
      <w:r w:rsidR="00B71BE9">
        <w:t xml:space="preserve">client/family centred approach is to incorporate </w:t>
      </w:r>
      <w:r w:rsidR="0009590A">
        <w:t xml:space="preserve">relevant </w:t>
      </w:r>
      <w:r w:rsidR="00B71BE9">
        <w:t xml:space="preserve">existing </w:t>
      </w:r>
      <w:r w:rsidR="00955331">
        <w:t xml:space="preserve">‘welfare </w:t>
      </w:r>
      <w:r w:rsidR="00B71BE9">
        <w:t xml:space="preserve">and support </w:t>
      </w:r>
      <w:r w:rsidR="00955331">
        <w:t xml:space="preserve">funding’ sources into the </w:t>
      </w:r>
      <w:r w:rsidR="00B71BE9">
        <w:t>wellbeing services f</w:t>
      </w:r>
      <w:r w:rsidR="00955331">
        <w:t xml:space="preserve">unding pool </w:t>
      </w:r>
      <w:r w:rsidR="00B71BE9">
        <w:t xml:space="preserve">and deliver a more integrated service. This should be considered on a community by community basis and the relative strengths and weaknesses of such an approach balanced. </w:t>
      </w:r>
    </w:p>
    <w:p w14:paraId="2EBE2F09" w14:textId="77777777" w:rsidR="00B71BE9" w:rsidRDefault="00B71BE9" w:rsidP="00B71BE9">
      <w:pPr>
        <w:shd w:val="clear" w:color="auto" w:fill="DBE5F1" w:themeFill="accent1" w:themeFillTint="33"/>
        <w:rPr>
          <w:lang w:eastAsia="x-none"/>
        </w:rPr>
      </w:pPr>
      <w:r w:rsidRPr="0005223E">
        <w:rPr>
          <w:rStyle w:val="Strong"/>
        </w:rPr>
        <w:t>It is proposed</w:t>
      </w:r>
      <w:r>
        <w:rPr>
          <w:lang w:eastAsia="x-none"/>
        </w:rPr>
        <w:t xml:space="preserve"> </w:t>
      </w:r>
      <w:r w:rsidRPr="00F325F6">
        <w:rPr>
          <w:lang w:eastAsia="x-none"/>
        </w:rPr>
        <w:t xml:space="preserve">that </w:t>
      </w:r>
      <w:r>
        <w:rPr>
          <w:lang w:eastAsia="x-none"/>
        </w:rPr>
        <w:t xml:space="preserve">opportunities for formally integrating welfare and support services into </w:t>
      </w:r>
      <w:r w:rsidR="00E2055C">
        <w:rPr>
          <w:lang w:eastAsia="x-none"/>
        </w:rPr>
        <w:t xml:space="preserve">social and emotional </w:t>
      </w:r>
      <w:r>
        <w:rPr>
          <w:lang w:eastAsia="x-none"/>
        </w:rPr>
        <w:t>wellbeing services including appropriate funding be considered on a community by community basis.</w:t>
      </w:r>
    </w:p>
    <w:p w14:paraId="2EBE2F0A" w14:textId="77777777" w:rsidR="00204D69" w:rsidRPr="00C6003B" w:rsidRDefault="00204D69" w:rsidP="00204D69">
      <w:pPr>
        <w:pStyle w:val="Heading2"/>
        <w:rPr>
          <w:lang w:val="en-AU"/>
        </w:rPr>
      </w:pPr>
      <w:bookmarkStart w:id="150" w:name="_Toc440038444"/>
      <w:r w:rsidRPr="00C6003B">
        <w:lastRenderedPageBreak/>
        <w:t>Service model implementation</w:t>
      </w:r>
      <w:bookmarkEnd w:id="150"/>
    </w:p>
    <w:p w14:paraId="2EBE2F0B" w14:textId="77777777" w:rsidR="00204D69" w:rsidRDefault="00204D69" w:rsidP="00204D69">
      <w:pPr>
        <w:rPr>
          <w:color w:val="auto"/>
          <w:lang w:eastAsia="x-none"/>
        </w:rPr>
      </w:pPr>
      <w:r w:rsidRPr="00A03B12">
        <w:rPr>
          <w:color w:val="auto"/>
          <w:lang w:eastAsia="x-none"/>
        </w:rPr>
        <w:t>This section examines what is happening on the ground in the context of the practical service expectations</w:t>
      </w:r>
      <w:r>
        <w:rPr>
          <w:color w:val="auto"/>
          <w:lang w:eastAsia="x-none"/>
        </w:rPr>
        <w:t xml:space="preserve"> highlighted </w:t>
      </w:r>
      <w:r w:rsidRPr="00A03B12">
        <w:rPr>
          <w:color w:val="auto"/>
          <w:lang w:eastAsia="x-none"/>
        </w:rPr>
        <w:t xml:space="preserve">in </w:t>
      </w:r>
      <w:r w:rsidRPr="009D0A47">
        <w:rPr>
          <w:color w:val="auto"/>
          <w:lang w:eastAsia="x-none"/>
        </w:rPr>
        <w:t xml:space="preserve">Section </w:t>
      </w:r>
      <w:r w:rsidRPr="009D0A47">
        <w:rPr>
          <w:color w:val="auto"/>
          <w:lang w:eastAsia="x-none"/>
        </w:rPr>
        <w:fldChar w:fldCharType="begin"/>
      </w:r>
      <w:r w:rsidRPr="009D0A47">
        <w:rPr>
          <w:color w:val="auto"/>
          <w:lang w:eastAsia="x-none"/>
        </w:rPr>
        <w:instrText xml:space="preserve"> REF _Ref387397317 \r \h </w:instrText>
      </w:r>
      <w:r>
        <w:rPr>
          <w:color w:val="auto"/>
          <w:lang w:eastAsia="x-none"/>
        </w:rPr>
        <w:instrText xml:space="preserve"> \* MERGEFORMAT </w:instrText>
      </w:r>
      <w:r w:rsidRPr="009D0A47">
        <w:rPr>
          <w:color w:val="auto"/>
          <w:lang w:eastAsia="x-none"/>
        </w:rPr>
      </w:r>
      <w:r w:rsidRPr="009D0A47">
        <w:rPr>
          <w:color w:val="auto"/>
          <w:lang w:eastAsia="x-none"/>
        </w:rPr>
        <w:fldChar w:fldCharType="separate"/>
      </w:r>
      <w:r w:rsidR="009A19EB">
        <w:rPr>
          <w:color w:val="auto"/>
          <w:lang w:eastAsia="x-none"/>
        </w:rPr>
        <w:t>3.1</w:t>
      </w:r>
      <w:r w:rsidRPr="009D0A47">
        <w:rPr>
          <w:color w:val="auto"/>
          <w:lang w:eastAsia="x-none"/>
        </w:rPr>
        <w:fldChar w:fldCharType="end"/>
      </w:r>
      <w:r>
        <w:rPr>
          <w:color w:val="auto"/>
          <w:lang w:eastAsia="x-none"/>
        </w:rPr>
        <w:t xml:space="preserve"> </w:t>
      </w:r>
      <w:r w:rsidRPr="00A03B12">
        <w:rPr>
          <w:color w:val="auto"/>
          <w:lang w:eastAsia="x-none"/>
        </w:rPr>
        <w:t>and addresses the evaluation question has the service model as agreed been implemented?</w:t>
      </w:r>
    </w:p>
    <w:p w14:paraId="2EBE2F0C" w14:textId="77777777" w:rsidR="00204D69" w:rsidRDefault="00204D69" w:rsidP="00204D69">
      <w:pPr>
        <w:rPr>
          <w:noProof/>
          <w:color w:val="auto"/>
          <w:lang w:eastAsia="en-AU"/>
        </w:rPr>
      </w:pPr>
      <w:r w:rsidRPr="00A03B12">
        <w:rPr>
          <w:noProof/>
          <w:color w:val="auto"/>
          <w:lang w:eastAsia="en-AU"/>
        </w:rPr>
        <w:t>Each WBC is addressing the range of service expectations identified from the service model relatively well</w:t>
      </w:r>
      <w:r>
        <w:rPr>
          <w:noProof/>
          <w:color w:val="auto"/>
          <w:lang w:eastAsia="en-AU"/>
        </w:rPr>
        <w:t>.</w:t>
      </w:r>
      <w:r w:rsidRPr="00A03B12">
        <w:rPr>
          <w:noProof/>
          <w:color w:val="auto"/>
          <w:lang w:eastAsia="en-AU"/>
        </w:rPr>
        <w:t xml:space="preserve"> While each area is discussed separately, a strength and uniqueness of the model is</w:t>
      </w:r>
      <w:r>
        <w:rPr>
          <w:noProof/>
          <w:color w:val="auto"/>
          <w:lang w:eastAsia="en-AU"/>
        </w:rPr>
        <w:t xml:space="preserve"> the level of integration between the areas of activity</w:t>
      </w:r>
      <w:r w:rsidRPr="00A03B12">
        <w:rPr>
          <w:noProof/>
          <w:color w:val="auto"/>
          <w:lang w:eastAsia="en-AU"/>
        </w:rPr>
        <w:t xml:space="preserve"> with a client often participating in multiple types of activity</w:t>
      </w:r>
      <w:r>
        <w:rPr>
          <w:noProof/>
          <w:color w:val="auto"/>
          <w:lang w:eastAsia="en-AU"/>
        </w:rPr>
        <w:t>, often with a joint approach by service providers</w:t>
      </w:r>
      <w:r w:rsidRPr="00A03B12">
        <w:rPr>
          <w:noProof/>
          <w:color w:val="auto"/>
          <w:lang w:eastAsia="en-AU"/>
        </w:rPr>
        <w:t>.</w:t>
      </w:r>
    </w:p>
    <w:p w14:paraId="2EBE2F0D" w14:textId="77777777" w:rsidR="00204D69" w:rsidRDefault="00204D69" w:rsidP="00BC0A26">
      <w:pPr>
        <w:pStyle w:val="Heading3"/>
        <w:rPr>
          <w:lang w:val="en-AU"/>
        </w:rPr>
      </w:pPr>
      <w:r>
        <w:rPr>
          <w:lang w:val="en-AU"/>
        </w:rPr>
        <w:t>K</w:t>
      </w:r>
      <w:r w:rsidRPr="000601A8">
        <w:t>ey point of contact and referral</w:t>
      </w:r>
    </w:p>
    <w:p w14:paraId="2EBE2F0E" w14:textId="77777777" w:rsidR="00204D69" w:rsidRPr="00624871" w:rsidRDefault="00204D69" w:rsidP="00204D69">
      <w:pPr>
        <w:rPr>
          <w:color w:val="auto"/>
          <w:lang w:eastAsia="x-none"/>
        </w:rPr>
      </w:pPr>
      <w:r w:rsidRPr="00624871">
        <w:rPr>
          <w:color w:val="auto"/>
          <w:lang w:eastAsia="x-none"/>
        </w:rPr>
        <w:t>Each WBC is providing a key point of contact and referra</w:t>
      </w:r>
      <w:r w:rsidR="002F022C">
        <w:rPr>
          <w:color w:val="auto"/>
          <w:lang w:eastAsia="x-none"/>
        </w:rPr>
        <w:t>l for the community. T</w:t>
      </w:r>
      <w:r w:rsidRPr="00624871">
        <w:rPr>
          <w:color w:val="auto"/>
          <w:lang w:eastAsia="x-none"/>
        </w:rPr>
        <w:t>he data indicates that since inception 7</w:t>
      </w:r>
      <w:r w:rsidR="00C62FBE">
        <w:rPr>
          <w:color w:val="auto"/>
          <w:lang w:eastAsia="x-none"/>
        </w:rPr>
        <w:t>7</w:t>
      </w:r>
      <w:r w:rsidRPr="00624871">
        <w:rPr>
          <w:color w:val="auto"/>
          <w:lang w:eastAsia="x-none"/>
        </w:rPr>
        <w:t>% of clients (10</w:t>
      </w:r>
      <w:r w:rsidR="002F022C">
        <w:rPr>
          <w:color w:val="auto"/>
          <w:lang w:eastAsia="x-none"/>
        </w:rPr>
        <w:t>3</w:t>
      </w:r>
      <w:r w:rsidRPr="00624871">
        <w:rPr>
          <w:color w:val="auto"/>
          <w:lang w:eastAsia="x-none"/>
        </w:rPr>
        <w:t>% of FRC clients) were recorded as completing the intake process, 4</w:t>
      </w:r>
      <w:r w:rsidR="00C62FBE">
        <w:rPr>
          <w:color w:val="auto"/>
          <w:lang w:eastAsia="x-none"/>
        </w:rPr>
        <w:t>6</w:t>
      </w:r>
      <w:r w:rsidRPr="00624871">
        <w:rPr>
          <w:color w:val="auto"/>
          <w:lang w:eastAsia="x-none"/>
        </w:rPr>
        <w:t>% the holistic assessment (6</w:t>
      </w:r>
      <w:r w:rsidR="002F022C">
        <w:rPr>
          <w:color w:val="auto"/>
          <w:lang w:eastAsia="x-none"/>
        </w:rPr>
        <w:t>2</w:t>
      </w:r>
      <w:r w:rsidRPr="00624871">
        <w:rPr>
          <w:color w:val="auto"/>
          <w:lang w:eastAsia="x-none"/>
        </w:rPr>
        <w:t xml:space="preserve">% of FRC clients) and </w:t>
      </w:r>
      <w:r w:rsidR="002F022C">
        <w:rPr>
          <w:color w:val="auto"/>
          <w:lang w:eastAsia="x-none"/>
        </w:rPr>
        <w:t>40</w:t>
      </w:r>
      <w:r w:rsidRPr="00624871">
        <w:rPr>
          <w:color w:val="auto"/>
          <w:lang w:eastAsia="x-none"/>
        </w:rPr>
        <w:t xml:space="preserve">% the engagement social education session streaming (54% of FRC clients). </w:t>
      </w:r>
      <w:r w:rsidR="002F022C">
        <w:rPr>
          <w:color w:val="auto"/>
          <w:lang w:eastAsia="x-none"/>
        </w:rPr>
        <w:t>Data capture in this area has strengthened since the earlier years</w:t>
      </w:r>
      <w:r w:rsidRPr="00624871">
        <w:rPr>
          <w:color w:val="auto"/>
          <w:lang w:eastAsia="x-none"/>
        </w:rPr>
        <w:t xml:space="preserve">. </w:t>
      </w:r>
    </w:p>
    <w:p w14:paraId="2EBE2F0F" w14:textId="77777777" w:rsidR="00204D69" w:rsidRPr="00624871" w:rsidRDefault="00204D69" w:rsidP="00204D69">
      <w:pPr>
        <w:rPr>
          <w:color w:val="auto"/>
          <w:lang w:eastAsia="x-none"/>
        </w:rPr>
      </w:pPr>
      <w:r w:rsidRPr="00624871">
        <w:rPr>
          <w:color w:val="auto"/>
          <w:lang w:eastAsia="x-none"/>
        </w:rPr>
        <w:t>Of the clients interviewed in relation to their experience of the referral process and first contact with the WBC, most answered the question (41</w:t>
      </w:r>
      <w:r>
        <w:rPr>
          <w:color w:val="auto"/>
          <w:lang w:eastAsia="x-none"/>
        </w:rPr>
        <w:t xml:space="preserve"> clients</w:t>
      </w:r>
      <w:r w:rsidRPr="00624871">
        <w:rPr>
          <w:color w:val="auto"/>
          <w:lang w:eastAsia="x-none"/>
        </w:rPr>
        <w:t xml:space="preserve"> or 96%, n=43) as either ‘no worries’ with the process or found it to be ‘really smooth and clear’. Only two clients found it slow or confusing. Ninety four percent of clients interviewed (44 clients, n=47) felt comfortable with their initial contact with the WBC and 91% of clients (43 clients, n=47) felt the whole process was satisfactorily explained.</w:t>
      </w:r>
    </w:p>
    <w:p w14:paraId="2EBE2F10" w14:textId="77777777" w:rsidR="00204D69" w:rsidRDefault="00204D69" w:rsidP="00204D69">
      <w:pPr>
        <w:rPr>
          <w:color w:val="auto"/>
          <w:lang w:eastAsia="x-none"/>
        </w:rPr>
      </w:pPr>
      <w:r w:rsidRPr="00624871">
        <w:rPr>
          <w:color w:val="auto"/>
          <w:lang w:eastAsia="x-none"/>
        </w:rPr>
        <w:t xml:space="preserve">There was no significant difference reported between those mandatorily referred and those who attended voluntarily. Of the FRC referrals, one client expressed being angry about the referral and another felt shame at first, but both still described </w:t>
      </w:r>
      <w:r>
        <w:rPr>
          <w:color w:val="auto"/>
          <w:lang w:eastAsia="x-none"/>
        </w:rPr>
        <w:t xml:space="preserve">the WBC </w:t>
      </w:r>
      <w:r w:rsidRPr="00624871">
        <w:rPr>
          <w:color w:val="auto"/>
          <w:lang w:eastAsia="x-none"/>
        </w:rPr>
        <w:t>entry process</w:t>
      </w:r>
      <w:r>
        <w:rPr>
          <w:color w:val="auto"/>
          <w:lang w:eastAsia="x-none"/>
        </w:rPr>
        <w:t xml:space="preserve"> as being good</w:t>
      </w:r>
      <w:r w:rsidRPr="00624871">
        <w:rPr>
          <w:color w:val="auto"/>
          <w:lang w:eastAsia="x-none"/>
        </w:rPr>
        <w:t>.</w:t>
      </w:r>
    </w:p>
    <w:p w14:paraId="2EBE2F11" w14:textId="77777777" w:rsidR="00204D69" w:rsidRDefault="00204D69" w:rsidP="00204D69">
      <w:pPr>
        <w:rPr>
          <w:color w:val="auto"/>
          <w:lang w:eastAsia="x-none"/>
        </w:rPr>
      </w:pPr>
      <w:r>
        <w:rPr>
          <w:color w:val="auto"/>
          <w:lang w:eastAsia="x-none"/>
        </w:rPr>
        <w:t>Partners also considered that the WBC was a key point of contact with community and that appropriate referrals were being made to and by their respective organisations, often informally.</w:t>
      </w:r>
    </w:p>
    <w:p w14:paraId="2EBE2F12" w14:textId="77777777" w:rsidR="00204D69" w:rsidRPr="000601A8" w:rsidRDefault="00204D69" w:rsidP="00BC0A26">
      <w:pPr>
        <w:pStyle w:val="Heading3"/>
      </w:pPr>
      <w:r>
        <w:rPr>
          <w:lang w:val="en-AU"/>
        </w:rPr>
        <w:t>U</w:t>
      </w:r>
      <w:r w:rsidRPr="000601A8">
        <w:t xml:space="preserve">se as a drop-in centre </w:t>
      </w:r>
    </w:p>
    <w:p w14:paraId="2EBE2F13" w14:textId="77777777" w:rsidR="00204D69" w:rsidRPr="00624871" w:rsidRDefault="00204D69" w:rsidP="00204D69">
      <w:pPr>
        <w:rPr>
          <w:noProof/>
          <w:color w:val="auto"/>
          <w:lang w:eastAsia="en-AU"/>
        </w:rPr>
      </w:pPr>
      <w:r w:rsidRPr="00624871">
        <w:rPr>
          <w:color w:val="auto"/>
          <w:lang w:eastAsia="x-none"/>
        </w:rPr>
        <w:t xml:space="preserve">Aligned with being a key contact point, </w:t>
      </w:r>
      <w:r w:rsidRPr="00624871">
        <w:rPr>
          <w:noProof/>
          <w:color w:val="auto"/>
          <w:lang w:eastAsia="en-AU"/>
        </w:rPr>
        <w:t>one of the most significant roles the WBCs are playing is that as a point of pressure relief. Clients (or</w:t>
      </w:r>
      <w:r>
        <w:rPr>
          <w:noProof/>
          <w:color w:val="auto"/>
          <w:lang w:eastAsia="en-AU"/>
        </w:rPr>
        <w:t xml:space="preserve"> in fact general community members</w:t>
      </w:r>
      <w:r w:rsidRPr="00624871">
        <w:rPr>
          <w:noProof/>
          <w:color w:val="auto"/>
          <w:lang w:eastAsia="en-AU"/>
        </w:rPr>
        <w:t xml:space="preserve">) who are highly stressed/distressed </w:t>
      </w:r>
      <w:r>
        <w:rPr>
          <w:noProof/>
          <w:color w:val="auto"/>
          <w:lang w:eastAsia="en-AU"/>
        </w:rPr>
        <w:t xml:space="preserve">often as a result of heightened tension and confrontation in the home or community, </w:t>
      </w:r>
      <w:r w:rsidRPr="00624871">
        <w:rPr>
          <w:noProof/>
          <w:color w:val="auto"/>
          <w:lang w:eastAsia="en-AU"/>
        </w:rPr>
        <w:t xml:space="preserve">come to the WBC to talk, be listened to, have a cup of tea, and simply get time out. </w:t>
      </w:r>
      <w:r>
        <w:rPr>
          <w:noProof/>
          <w:color w:val="auto"/>
          <w:lang w:eastAsia="en-AU"/>
        </w:rPr>
        <w:t>Clients and community members also utilise an available telephone to help manage administrative matters.</w:t>
      </w:r>
      <w:r>
        <w:rPr>
          <w:color w:val="auto"/>
        </w:rPr>
        <w:t xml:space="preserve"> This drop-in aspect </w:t>
      </w:r>
      <w:r w:rsidRPr="00624871">
        <w:rPr>
          <w:color w:val="auto"/>
        </w:rPr>
        <w:t>is highly valued by the client group</w:t>
      </w:r>
      <w:r>
        <w:rPr>
          <w:color w:val="auto"/>
        </w:rPr>
        <w:t>,</w:t>
      </w:r>
      <w:r w:rsidRPr="00624871">
        <w:rPr>
          <w:color w:val="auto"/>
        </w:rPr>
        <w:t xml:space="preserve"> the community more generally and </w:t>
      </w:r>
      <w:r>
        <w:rPr>
          <w:color w:val="auto"/>
        </w:rPr>
        <w:t>many</w:t>
      </w:r>
      <w:r w:rsidRPr="00624871">
        <w:rPr>
          <w:color w:val="auto"/>
        </w:rPr>
        <w:t xml:space="preserve"> of the partner agencies. </w:t>
      </w:r>
    </w:p>
    <w:p w14:paraId="2EBE2F14" w14:textId="77777777" w:rsidR="00204D69" w:rsidRDefault="00204D69" w:rsidP="00204D69">
      <w:pPr>
        <w:rPr>
          <w:lang w:eastAsia="x-none"/>
        </w:rPr>
      </w:pPr>
      <w:r w:rsidRPr="00760AB1">
        <w:rPr>
          <w:lang w:eastAsia="x-none"/>
        </w:rPr>
        <w:t xml:space="preserve">Whilst the use of the WBC as a stress relief point was observed in each community, this was </w:t>
      </w:r>
      <w:r>
        <w:rPr>
          <w:lang w:eastAsia="x-none"/>
        </w:rPr>
        <w:t xml:space="preserve">more </w:t>
      </w:r>
      <w:r w:rsidRPr="00760AB1">
        <w:rPr>
          <w:lang w:eastAsia="x-none"/>
        </w:rPr>
        <w:t>substantial in Aurukun. There was a significant amount of ‘drop in’ occurring for a range of issues and correspondingly crisis management</w:t>
      </w:r>
      <w:r>
        <w:rPr>
          <w:color w:val="auto"/>
        </w:rPr>
        <w:t>.</w:t>
      </w:r>
      <w:r w:rsidRPr="00624871">
        <w:rPr>
          <w:color w:val="auto"/>
        </w:rPr>
        <w:t xml:space="preserve"> </w:t>
      </w:r>
      <w:r>
        <w:rPr>
          <w:color w:val="auto"/>
          <w:lang w:eastAsia="x-none"/>
        </w:rPr>
        <w:t>Whilst acknowledging the importance of a drop-in service, t</w:t>
      </w:r>
      <w:r w:rsidRPr="00E401D1">
        <w:rPr>
          <w:color w:val="auto"/>
          <w:lang w:eastAsia="x-none"/>
        </w:rPr>
        <w:t xml:space="preserve">he RFDS have recognised the need to ensure </w:t>
      </w:r>
      <w:r>
        <w:rPr>
          <w:color w:val="auto"/>
          <w:lang w:eastAsia="x-none"/>
        </w:rPr>
        <w:t>this</w:t>
      </w:r>
      <w:r w:rsidRPr="00E401D1">
        <w:rPr>
          <w:color w:val="auto"/>
          <w:lang w:eastAsia="x-none"/>
        </w:rPr>
        <w:t xml:space="preserve"> does not overwhelm the therapeutic </w:t>
      </w:r>
      <w:r>
        <w:rPr>
          <w:color w:val="auto"/>
          <w:lang w:eastAsia="x-none"/>
        </w:rPr>
        <w:t xml:space="preserve">service particularly at </w:t>
      </w:r>
      <w:r w:rsidRPr="00E401D1">
        <w:rPr>
          <w:color w:val="auto"/>
          <w:lang w:eastAsia="x-none"/>
        </w:rPr>
        <w:t>Aurukun</w:t>
      </w:r>
      <w:r>
        <w:rPr>
          <w:color w:val="auto"/>
          <w:lang w:eastAsia="x-none"/>
        </w:rPr>
        <w:t xml:space="preserve"> and they have implemented management changes</w:t>
      </w:r>
      <w:r w:rsidRPr="00E401D1">
        <w:rPr>
          <w:color w:val="auto"/>
          <w:lang w:eastAsia="x-none"/>
        </w:rPr>
        <w:t xml:space="preserve"> to support </w:t>
      </w:r>
      <w:r>
        <w:rPr>
          <w:color w:val="auto"/>
          <w:lang w:eastAsia="x-none"/>
        </w:rPr>
        <w:t xml:space="preserve">an appropriate service balance </w:t>
      </w:r>
      <w:r w:rsidRPr="00E401D1">
        <w:rPr>
          <w:color w:val="auto"/>
          <w:lang w:eastAsia="x-none"/>
        </w:rPr>
        <w:t>being implemented</w:t>
      </w:r>
      <w:r>
        <w:rPr>
          <w:color w:val="auto"/>
          <w:lang w:eastAsia="x-none"/>
        </w:rPr>
        <w:t xml:space="preserve"> and maintained</w:t>
      </w:r>
      <w:r w:rsidRPr="00E401D1">
        <w:rPr>
          <w:color w:val="auto"/>
          <w:lang w:eastAsia="x-none"/>
        </w:rPr>
        <w:t>.</w:t>
      </w:r>
    </w:p>
    <w:p w14:paraId="2EBE2F15" w14:textId="77777777" w:rsidR="00204D69" w:rsidRPr="00624871" w:rsidRDefault="00204D69" w:rsidP="00204D69">
      <w:pPr>
        <w:rPr>
          <w:noProof/>
          <w:color w:val="auto"/>
          <w:lang w:eastAsia="en-AU"/>
        </w:rPr>
      </w:pPr>
      <w:r>
        <w:rPr>
          <w:color w:val="auto"/>
        </w:rPr>
        <w:t>At the time of reporting, d</w:t>
      </w:r>
      <w:r w:rsidRPr="00624871">
        <w:rPr>
          <w:color w:val="auto"/>
        </w:rPr>
        <w:t>ata for the level of drop</w:t>
      </w:r>
      <w:r>
        <w:rPr>
          <w:color w:val="auto"/>
        </w:rPr>
        <w:t>-</w:t>
      </w:r>
      <w:r w:rsidRPr="00624871">
        <w:rPr>
          <w:color w:val="auto"/>
        </w:rPr>
        <w:t xml:space="preserve">in activity </w:t>
      </w:r>
      <w:r>
        <w:rPr>
          <w:color w:val="auto"/>
        </w:rPr>
        <w:t xml:space="preserve">was </w:t>
      </w:r>
      <w:r w:rsidRPr="00624871">
        <w:rPr>
          <w:color w:val="auto"/>
        </w:rPr>
        <w:t xml:space="preserve">not </w:t>
      </w:r>
      <w:r>
        <w:rPr>
          <w:color w:val="auto"/>
        </w:rPr>
        <w:t>systematically recorded</w:t>
      </w:r>
      <w:r w:rsidRPr="00624871">
        <w:rPr>
          <w:color w:val="auto"/>
        </w:rPr>
        <w:t xml:space="preserve"> but it can be substantial</w:t>
      </w:r>
      <w:r>
        <w:rPr>
          <w:color w:val="auto"/>
        </w:rPr>
        <w:t>. A recent 3 day audit showed</w:t>
      </w:r>
      <w:r w:rsidRPr="00C6003B">
        <w:rPr>
          <w:color w:val="auto"/>
        </w:rPr>
        <w:t xml:space="preserve"> that 73% of all visits in that period were not re</w:t>
      </w:r>
      <w:r>
        <w:rPr>
          <w:color w:val="auto"/>
        </w:rPr>
        <w:t>corded and advice was</w:t>
      </w:r>
      <w:r w:rsidRPr="00C6003B">
        <w:rPr>
          <w:color w:val="auto"/>
        </w:rPr>
        <w:t xml:space="preserve"> that these visits related primarily to drop-in and other informal activities </w:t>
      </w:r>
      <w:r>
        <w:rPr>
          <w:color w:val="auto"/>
        </w:rPr>
        <w:t xml:space="preserve">(refer to </w:t>
      </w:r>
      <w:r w:rsidRPr="009D0A47">
        <w:rPr>
          <w:color w:val="auto"/>
        </w:rPr>
        <w:t>Appendix 15)</w:t>
      </w:r>
      <w:r>
        <w:rPr>
          <w:color w:val="auto"/>
        </w:rPr>
        <w:t>. This was certainly observed to be the case by the evaluators who have spent of 3-5 days in the WBCs on four separate occasions</w:t>
      </w:r>
      <w:r w:rsidRPr="00DA5CD4">
        <w:rPr>
          <w:color w:val="auto"/>
        </w:rPr>
        <w:t>.</w:t>
      </w:r>
    </w:p>
    <w:p w14:paraId="2EBE2F16" w14:textId="77777777" w:rsidR="00204D69" w:rsidRDefault="00204D69" w:rsidP="00204D69">
      <w:pPr>
        <w:rPr>
          <w:color w:val="auto"/>
          <w:lang w:eastAsia="x-none"/>
        </w:rPr>
      </w:pPr>
      <w:r w:rsidRPr="00E401D1">
        <w:rPr>
          <w:color w:val="auto"/>
          <w:lang w:eastAsia="x-none"/>
        </w:rPr>
        <w:lastRenderedPageBreak/>
        <w:t xml:space="preserve">It was clear however, that through the provision of this ‘drop in’ service at each of the WBCs, opportunities are opened up for community members to receive brief intervention and engage as clients (where they are not already clients) for longer term follow up and therapeutic intervention through counselling and groups. Staff noted however, that this transition from utilisation as a drop-in service, to use as a service for ongoing intervention is a slow process. </w:t>
      </w:r>
    </w:p>
    <w:p w14:paraId="2EBE2F17" w14:textId="77777777" w:rsidR="00204D69" w:rsidRPr="00E401D1" w:rsidRDefault="00204D69" w:rsidP="00204D69">
      <w:pPr>
        <w:rPr>
          <w:color w:val="auto"/>
          <w:lang w:eastAsia="x-none"/>
        </w:rPr>
      </w:pPr>
      <w:r w:rsidRPr="00E401D1">
        <w:rPr>
          <w:color w:val="auto"/>
          <w:lang w:eastAsia="x-none"/>
        </w:rPr>
        <w:t>There is no data available in relation to the number of clients who originally attended as a ‘drop-in’, but overall 29% of clients were self-referred (23% Aurukun, 31% Hopevale and 31% Mossman Gorge) since inception and it is likely a proportion of these originally attended as a drop-in. Of the clients we interviewed who were self-referred (n= 22), 50% indicated they highly valued drop-in services. Overall 32% of all clients interviewed and 88% of clients who had used the WBC as a ‘drop-in’ stated that these services had contributed to the changes they had made.</w:t>
      </w:r>
      <w:r>
        <w:rPr>
          <w:color w:val="auto"/>
          <w:lang w:eastAsia="x-none"/>
        </w:rPr>
        <w:t xml:space="preserve"> </w:t>
      </w:r>
      <w:r w:rsidRPr="00860A0C">
        <w:rPr>
          <w:color w:val="auto"/>
          <w:lang w:eastAsia="x-none"/>
        </w:rPr>
        <w:t>Additionally 46% and 28%</w:t>
      </w:r>
      <w:r>
        <w:rPr>
          <w:color w:val="auto"/>
          <w:lang w:eastAsia="x-none"/>
        </w:rPr>
        <w:t xml:space="preserve"> of community members interviewed felt that drop-in services and being a safe place respectively were most helpful components of the service model.</w:t>
      </w:r>
    </w:p>
    <w:p w14:paraId="2EBE2F18" w14:textId="77777777" w:rsidR="00204D69" w:rsidRDefault="00204D69" w:rsidP="00204D69">
      <w:pPr>
        <w:rPr>
          <w:color w:val="auto"/>
          <w:lang w:eastAsia="x-none"/>
        </w:rPr>
      </w:pPr>
      <w:r w:rsidRPr="00E401D1">
        <w:rPr>
          <w:color w:val="auto"/>
          <w:lang w:eastAsia="x-none"/>
        </w:rPr>
        <w:t>Where the person is willing to engage further, the WBC is able to provide significant assistance, support and therapeutic intervention that can and does assist with the immediate problem and some underlying problems.</w:t>
      </w:r>
    </w:p>
    <w:p w14:paraId="2EBE2F19" w14:textId="77777777" w:rsidR="00204D69" w:rsidRPr="00E401D1" w:rsidRDefault="00204D69" w:rsidP="00204D69">
      <w:pPr>
        <w:rPr>
          <w:color w:val="auto"/>
          <w:lang w:eastAsia="x-none"/>
        </w:rPr>
      </w:pPr>
      <w:r>
        <w:rPr>
          <w:color w:val="auto"/>
          <w:lang w:eastAsia="x-none"/>
        </w:rPr>
        <w:t>As noted, many partners also highlighted both the importance of the drop-in service and a designated facility where this could be facilitated comfortably. Many consider this service to be critical to averting crisis for individuals and de-escalating conflict and confrontation between family and community members. Both the justice group and the police in Coen provided examples of how community members known to them had taken themselves to the WBC prior to or in response to confrontation, (rather than reacting) knowing that this would allow them time to calm down and prevent them taking action they would regret.</w:t>
      </w:r>
    </w:p>
    <w:p w14:paraId="2EBE2F1A" w14:textId="77777777" w:rsidR="00204D69" w:rsidRPr="00E401D1" w:rsidRDefault="00204D69" w:rsidP="00204D69">
      <w:pPr>
        <w:rPr>
          <w:color w:val="auto"/>
          <w:lang w:eastAsia="x-none"/>
        </w:rPr>
      </w:pPr>
      <w:r w:rsidRPr="00E401D1">
        <w:rPr>
          <w:color w:val="auto"/>
          <w:lang w:eastAsia="x-none"/>
        </w:rPr>
        <w:t>These presentations to the WBCs to assist in the management of high levels of stress and distress align with the Australian Indigenous Psychological Association description of what constitutes p</w:t>
      </w:r>
      <w:bookmarkStart w:id="151" w:name="_Ref320608895"/>
      <w:r>
        <w:rPr>
          <w:color w:val="auto"/>
          <w:lang w:eastAsia="x-none"/>
        </w:rPr>
        <w:t>oor SEWB for Indigenous people.</w:t>
      </w:r>
      <w:r w:rsidRPr="00E401D1">
        <w:rPr>
          <w:color w:val="auto"/>
          <w:vertAlign w:val="superscript"/>
          <w:lang w:eastAsia="x-none"/>
        </w:rPr>
        <w:footnoteReference w:id="37"/>
      </w:r>
      <w:bookmarkEnd w:id="151"/>
    </w:p>
    <w:p w14:paraId="2EBE2F1B" w14:textId="77777777" w:rsidR="00204D69" w:rsidRPr="008179BF" w:rsidRDefault="00204D69" w:rsidP="00BC0A26">
      <w:pPr>
        <w:pStyle w:val="Heading3"/>
        <w:rPr>
          <w:lang w:val="en-AU"/>
        </w:rPr>
      </w:pPr>
      <w:r w:rsidRPr="008179BF">
        <w:rPr>
          <w:lang w:val="en-AU"/>
        </w:rPr>
        <w:t>C</w:t>
      </w:r>
      <w:r w:rsidRPr="008179BF">
        <w:t>linical and general counselling both at individual and family level that meets the assessed need of the client</w:t>
      </w:r>
    </w:p>
    <w:p w14:paraId="2EBE2F1C" w14:textId="77777777" w:rsidR="00204D69" w:rsidRPr="000774D3" w:rsidRDefault="00204D69" w:rsidP="00204D69">
      <w:pPr>
        <w:rPr>
          <w:color w:val="auto"/>
          <w:lang w:eastAsia="x-none"/>
        </w:rPr>
      </w:pPr>
      <w:r w:rsidRPr="008179BF">
        <w:rPr>
          <w:color w:val="auto"/>
          <w:lang w:eastAsia="x-none"/>
        </w:rPr>
        <w:t xml:space="preserve">The WBC has offered clinical and general counselling at both individual and family level to varying levels since inception. Service activity and reasons for presentation are reported on in Section </w:t>
      </w:r>
      <w:r>
        <w:rPr>
          <w:color w:val="auto"/>
          <w:lang w:eastAsia="x-none"/>
        </w:rPr>
        <w:fldChar w:fldCharType="begin"/>
      </w:r>
      <w:r>
        <w:rPr>
          <w:color w:val="auto"/>
          <w:lang w:eastAsia="x-none"/>
        </w:rPr>
        <w:instrText xml:space="preserve"> REF _Ref387397586 \r \h </w:instrText>
      </w:r>
      <w:r>
        <w:rPr>
          <w:color w:val="auto"/>
          <w:lang w:eastAsia="x-none"/>
        </w:rPr>
      </w:r>
      <w:r>
        <w:rPr>
          <w:color w:val="auto"/>
          <w:lang w:eastAsia="x-none"/>
        </w:rPr>
        <w:fldChar w:fldCharType="separate"/>
      </w:r>
      <w:r w:rsidR="009A19EB">
        <w:rPr>
          <w:color w:val="auto"/>
          <w:lang w:eastAsia="x-none"/>
        </w:rPr>
        <w:t>3.4</w:t>
      </w:r>
      <w:r>
        <w:rPr>
          <w:color w:val="auto"/>
          <w:lang w:eastAsia="x-none"/>
        </w:rPr>
        <w:fldChar w:fldCharType="end"/>
      </w:r>
      <w:r>
        <w:rPr>
          <w:color w:val="auto"/>
          <w:lang w:eastAsia="x-none"/>
        </w:rPr>
        <w:t xml:space="preserve"> </w:t>
      </w:r>
      <w:r w:rsidRPr="008179BF">
        <w:rPr>
          <w:color w:val="auto"/>
          <w:lang w:eastAsia="x-none"/>
        </w:rPr>
        <w:t xml:space="preserve">and </w:t>
      </w:r>
      <w:r w:rsidRPr="003C3D25">
        <w:rPr>
          <w:color w:val="auto"/>
          <w:lang w:eastAsia="x-none"/>
        </w:rPr>
        <w:t>Appendix 15.</w:t>
      </w:r>
    </w:p>
    <w:p w14:paraId="2EBE2F1D" w14:textId="77777777" w:rsidR="00204D69" w:rsidRPr="000774D3" w:rsidRDefault="00204D69" w:rsidP="00204D69">
      <w:pPr>
        <w:rPr>
          <w:color w:val="auto"/>
          <w:lang w:eastAsia="x-none"/>
        </w:rPr>
      </w:pPr>
      <w:r w:rsidRPr="000774D3">
        <w:rPr>
          <w:color w:val="auto"/>
          <w:lang w:eastAsia="x-none"/>
        </w:rPr>
        <w:t xml:space="preserve">As reported previously, over time the RFDS has moved to strengthen the therapeutic aspect of the service in </w:t>
      </w:r>
      <w:r>
        <w:rPr>
          <w:color w:val="auto"/>
          <w:lang w:eastAsia="x-none"/>
        </w:rPr>
        <w:t xml:space="preserve">line with stakeholder feedback. </w:t>
      </w:r>
      <w:r w:rsidRPr="000774D3">
        <w:rPr>
          <w:color w:val="auto"/>
          <w:lang w:eastAsia="x-none"/>
        </w:rPr>
        <w:t>While there is no data available WBC team leaders advise that greater than 50% of clients involve the family in some capacity.</w:t>
      </w:r>
    </w:p>
    <w:p w14:paraId="2EBE2F1E" w14:textId="77777777" w:rsidR="00204D69" w:rsidRPr="000774D3" w:rsidRDefault="00204D69" w:rsidP="00ED65D7">
      <w:pPr>
        <w:spacing w:after="120"/>
        <w:rPr>
          <w:color w:val="auto"/>
          <w:lang w:eastAsia="x-none"/>
        </w:rPr>
      </w:pPr>
      <w:r w:rsidRPr="000774D3">
        <w:rPr>
          <w:color w:val="auto"/>
          <w:lang w:eastAsia="x-none"/>
        </w:rPr>
        <w:t>The profile and number of contacts varies widely. Sixteen percent of total WBC contacts occurred within the first two months of first contact, 33% of total contacts occur by the end of six months and 49% of contacts occur by the end of 12 months. The profile is almost identical for FRC referred WBC clients. Forty eight percent of all clients have had a total of 1 to 10 contacts to date (29% for FRC clients) and 44% of all clients had between 11 and 50 contacts (57% for FRC).</w:t>
      </w:r>
    </w:p>
    <w:p w14:paraId="2EBE2F1F" w14:textId="77777777" w:rsidR="00204D69" w:rsidRDefault="00204D69" w:rsidP="00ED65D7">
      <w:pPr>
        <w:spacing w:after="120"/>
        <w:rPr>
          <w:lang w:eastAsia="en-AU"/>
        </w:rPr>
      </w:pPr>
      <w:r>
        <w:rPr>
          <w:lang w:eastAsia="en-AU"/>
        </w:rPr>
        <w:lastRenderedPageBreak/>
        <w:t>Overall 89% of all clients we interviewed and 100% of clients who had had received 1:1 counselling stated that these services had contributed to the changes they had made. Of these clients, 48% specifically mentioned the listening aspects of counselling as being helpful.</w:t>
      </w:r>
    </w:p>
    <w:p w14:paraId="2EBE2F20" w14:textId="77777777" w:rsidR="00204D69" w:rsidRPr="006155AD" w:rsidRDefault="00204D69" w:rsidP="00ED65D7">
      <w:pPr>
        <w:spacing w:after="120"/>
        <w:rPr>
          <w:color w:val="auto"/>
          <w:lang w:eastAsia="en-AU"/>
        </w:rPr>
      </w:pPr>
      <w:r>
        <w:rPr>
          <w:color w:val="auto"/>
          <w:lang w:eastAsia="en-AU"/>
        </w:rPr>
        <w:t>T</w:t>
      </w:r>
      <w:r w:rsidRPr="000774D3">
        <w:rPr>
          <w:color w:val="auto"/>
          <w:lang w:eastAsia="en-AU"/>
        </w:rPr>
        <w:t>here is no one mandated approach being used and it is left largely to the discretion of the clinician as to the most appropriate approach for a particular client and their individual preference (consistent with many other health services). It also means that it is not possible to determine whether any one particular or specific ap</w:t>
      </w:r>
      <w:r>
        <w:rPr>
          <w:color w:val="auto"/>
          <w:lang w:eastAsia="en-AU"/>
        </w:rPr>
        <w:t xml:space="preserve">proach is better than another.  </w:t>
      </w:r>
      <w:r>
        <w:rPr>
          <w:lang w:eastAsia="en-AU"/>
        </w:rPr>
        <w:t>Staff reported the most common counselling/intervention approaches used with individuals and by extension those considered most effective included:</w:t>
      </w:r>
    </w:p>
    <w:p w14:paraId="2EBE2F21" w14:textId="77777777" w:rsidR="00204D69" w:rsidRDefault="00C56FF7" w:rsidP="0083588E">
      <w:pPr>
        <w:numPr>
          <w:ilvl w:val="0"/>
          <w:numId w:val="12"/>
        </w:numPr>
        <w:spacing w:after="120"/>
      </w:pPr>
      <w:r>
        <w:t>General counselling</w:t>
      </w:r>
    </w:p>
    <w:p w14:paraId="2EBE2F22" w14:textId="77777777" w:rsidR="00204D69" w:rsidRDefault="00C56FF7" w:rsidP="0083588E">
      <w:pPr>
        <w:numPr>
          <w:ilvl w:val="0"/>
          <w:numId w:val="12"/>
        </w:numPr>
        <w:spacing w:after="120"/>
      </w:pPr>
      <w:r>
        <w:t>Motivational interviewing</w:t>
      </w:r>
    </w:p>
    <w:p w14:paraId="2EBE2F23" w14:textId="77777777" w:rsidR="00204D69" w:rsidRDefault="00C56FF7" w:rsidP="0083588E">
      <w:pPr>
        <w:numPr>
          <w:ilvl w:val="0"/>
          <w:numId w:val="12"/>
        </w:numPr>
        <w:spacing w:after="120"/>
      </w:pPr>
      <w:r>
        <w:t>Narrative therapy</w:t>
      </w:r>
    </w:p>
    <w:p w14:paraId="2EBE2F24" w14:textId="77777777" w:rsidR="00204D69" w:rsidRDefault="00C56FF7" w:rsidP="0083588E">
      <w:pPr>
        <w:numPr>
          <w:ilvl w:val="0"/>
          <w:numId w:val="12"/>
        </w:numPr>
        <w:spacing w:after="120"/>
      </w:pPr>
      <w:r>
        <w:t>Cogniti</w:t>
      </w:r>
      <w:r w:rsidR="00204D69">
        <w:t>ve behavioural therapy</w:t>
      </w:r>
    </w:p>
    <w:p w14:paraId="2EBE2F25" w14:textId="77777777" w:rsidR="00204D69" w:rsidRDefault="00C56FF7" w:rsidP="0083588E">
      <w:pPr>
        <w:numPr>
          <w:ilvl w:val="0"/>
          <w:numId w:val="12"/>
        </w:numPr>
        <w:spacing w:after="120"/>
      </w:pPr>
      <w:r>
        <w:t>Strengths based approach</w:t>
      </w:r>
    </w:p>
    <w:p w14:paraId="2EBE2F26" w14:textId="77777777" w:rsidR="00204D69" w:rsidRDefault="00C56FF7" w:rsidP="0083588E">
      <w:pPr>
        <w:numPr>
          <w:ilvl w:val="0"/>
          <w:numId w:val="12"/>
        </w:numPr>
        <w:spacing w:after="120"/>
      </w:pPr>
      <w:r>
        <w:t>Psycho-social education</w:t>
      </w:r>
    </w:p>
    <w:p w14:paraId="2EBE2F27" w14:textId="77777777" w:rsidR="00204D69" w:rsidRDefault="00C56FF7" w:rsidP="0083588E">
      <w:pPr>
        <w:numPr>
          <w:ilvl w:val="0"/>
          <w:numId w:val="12"/>
        </w:numPr>
        <w:spacing w:after="120"/>
      </w:pPr>
      <w:r>
        <w:t xml:space="preserve">Group work </w:t>
      </w:r>
    </w:p>
    <w:p w14:paraId="2EBE2F28" w14:textId="77777777" w:rsidR="00204D69" w:rsidRDefault="00C56FF7" w:rsidP="0083588E">
      <w:pPr>
        <w:numPr>
          <w:ilvl w:val="0"/>
          <w:numId w:val="12"/>
        </w:numPr>
        <w:spacing w:after="120"/>
      </w:pPr>
      <w:r>
        <w:t>Advoca</w:t>
      </w:r>
      <w:r w:rsidR="00204D69">
        <w:rPr>
          <w:lang w:eastAsia="en-AU"/>
        </w:rPr>
        <w:t>cy.</w:t>
      </w:r>
    </w:p>
    <w:p w14:paraId="2EBE2F29" w14:textId="77777777" w:rsidR="00204D69" w:rsidRPr="00CB00F7" w:rsidRDefault="00204D69" w:rsidP="00204D69">
      <w:pPr>
        <w:spacing w:after="120"/>
      </w:pPr>
      <w:r>
        <w:t>In most cases a combination of approaches is used. Recent changes to the information system will capture this information systematically in future.</w:t>
      </w:r>
    </w:p>
    <w:p w14:paraId="2EBE2F2A" w14:textId="77777777" w:rsidR="00204D69" w:rsidRDefault="00204D69" w:rsidP="00204D69">
      <w:pPr>
        <w:rPr>
          <w:color w:val="auto"/>
          <w:lang w:eastAsia="x-none"/>
        </w:rPr>
      </w:pPr>
      <w:r>
        <w:rPr>
          <w:color w:val="auto"/>
          <w:lang w:eastAsia="x-none"/>
        </w:rPr>
        <w:t xml:space="preserve">As </w:t>
      </w:r>
      <w:r w:rsidRPr="008179BF">
        <w:rPr>
          <w:color w:val="auto"/>
          <w:lang w:eastAsia="x-none"/>
        </w:rPr>
        <w:t>presented in</w:t>
      </w:r>
      <w:r w:rsidRPr="008179BF">
        <w:rPr>
          <w:b/>
          <w:color w:val="auto"/>
          <w:lang w:eastAsia="x-none"/>
        </w:rPr>
        <w:t xml:space="preserve"> </w:t>
      </w:r>
      <w:r>
        <w:rPr>
          <w:b/>
          <w:color w:val="auto"/>
          <w:lang w:eastAsia="x-none"/>
        </w:rPr>
        <w:fldChar w:fldCharType="begin"/>
      </w:r>
      <w:r>
        <w:rPr>
          <w:b/>
          <w:color w:val="auto"/>
          <w:lang w:eastAsia="x-none"/>
        </w:rPr>
        <w:instrText xml:space="preserve"> REF _Ref387392310 \h </w:instrText>
      </w:r>
      <w:r>
        <w:rPr>
          <w:b/>
          <w:color w:val="auto"/>
          <w:lang w:eastAsia="x-none"/>
        </w:rPr>
      </w:r>
      <w:r>
        <w:rPr>
          <w:b/>
          <w:color w:val="auto"/>
          <w:lang w:eastAsia="x-none"/>
        </w:rPr>
        <w:fldChar w:fldCharType="separate"/>
      </w:r>
      <w:r w:rsidR="009A19EB">
        <w:t xml:space="preserve">Table </w:t>
      </w:r>
      <w:r w:rsidR="009A19EB">
        <w:rPr>
          <w:noProof/>
        </w:rPr>
        <w:t>3</w:t>
      </w:r>
      <w:r w:rsidR="009A19EB">
        <w:t>.</w:t>
      </w:r>
      <w:r w:rsidR="009A19EB">
        <w:rPr>
          <w:noProof/>
        </w:rPr>
        <w:t>1</w:t>
      </w:r>
      <w:r>
        <w:rPr>
          <w:b/>
          <w:color w:val="auto"/>
          <w:lang w:eastAsia="x-none"/>
        </w:rPr>
        <w:fldChar w:fldCharType="end"/>
      </w:r>
      <w:r>
        <w:rPr>
          <w:color w:val="auto"/>
          <w:lang w:eastAsia="x-none"/>
        </w:rPr>
        <w:t xml:space="preserve"> t</w:t>
      </w:r>
      <w:r w:rsidRPr="000774D3">
        <w:rPr>
          <w:color w:val="auto"/>
          <w:lang w:eastAsia="x-none"/>
        </w:rPr>
        <w:t xml:space="preserve">he most commonly selected </w:t>
      </w:r>
      <w:r>
        <w:rPr>
          <w:color w:val="auto"/>
          <w:lang w:eastAsia="x-none"/>
        </w:rPr>
        <w:t>psychosocial module was the ‘</w:t>
      </w:r>
      <w:r w:rsidRPr="000774D3">
        <w:rPr>
          <w:color w:val="auto"/>
          <w:lang w:eastAsia="x-none"/>
        </w:rPr>
        <w:t>drug and alcohol misuse module</w:t>
      </w:r>
      <w:r>
        <w:rPr>
          <w:color w:val="auto"/>
          <w:lang w:eastAsia="x-none"/>
        </w:rPr>
        <w:t>’,</w:t>
      </w:r>
      <w:r w:rsidRPr="000774D3">
        <w:rPr>
          <w:color w:val="auto"/>
          <w:lang w:eastAsia="x-none"/>
        </w:rPr>
        <w:t xml:space="preserve"> underta</w:t>
      </w:r>
      <w:r>
        <w:rPr>
          <w:color w:val="auto"/>
          <w:lang w:eastAsia="x-none"/>
        </w:rPr>
        <w:t>ken by 26% of all clients and 47</w:t>
      </w:r>
      <w:r w:rsidRPr="000774D3">
        <w:rPr>
          <w:color w:val="auto"/>
          <w:lang w:eastAsia="x-none"/>
        </w:rPr>
        <w:t>% of FRC clients. The judicial module was the least common</w:t>
      </w:r>
      <w:r>
        <w:rPr>
          <w:color w:val="auto"/>
          <w:lang w:eastAsia="x-none"/>
        </w:rPr>
        <w:t>.</w:t>
      </w:r>
    </w:p>
    <w:p w14:paraId="2EBE2F2B" w14:textId="4A397A39" w:rsidR="00204D69" w:rsidRPr="003B2254" w:rsidRDefault="00AA7DC9" w:rsidP="00AA7DC9">
      <w:pPr>
        <w:pStyle w:val="Caption"/>
        <w:rPr>
          <w:rFonts w:eastAsia="Times New Roman"/>
          <w:szCs w:val="20"/>
          <w:vertAlign w:val="superscript"/>
          <w:lang w:eastAsia="x-none"/>
        </w:rPr>
      </w:pPr>
      <w:bookmarkStart w:id="152" w:name="_Toc392686438"/>
      <w:bookmarkStart w:id="153" w:name="_Ref387392310"/>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1</w:t>
      </w:r>
      <w:r>
        <w:fldChar w:fldCharType="end"/>
      </w:r>
      <w:bookmarkEnd w:id="153"/>
      <w:r w:rsidR="00204D69">
        <w:t>: Number and proportion of all clients and FRC clients completing selective module streams</w:t>
      </w:r>
      <w:bookmarkEnd w:id="152"/>
    </w:p>
    <w:tbl>
      <w:tblPr>
        <w:tblStyle w:val="Hoi2"/>
        <w:tblW w:w="6345" w:type="dxa"/>
        <w:jc w:val="center"/>
        <w:tblLayout w:type="fixed"/>
        <w:tblLook w:val="04A0" w:firstRow="1" w:lastRow="0" w:firstColumn="1" w:lastColumn="0" w:noHBand="0" w:noVBand="1"/>
        <w:tblCaption w:val="Table 3.1: Number and proportion of all clients and FRC clients completing selective module streams"/>
        <w:tblDescription w:val="Table 3.1 presents data on the number and proportion of all clients and FRC clients completing selective module streams.  The first column presents the module stream completed and the following columns contain the number of all clients, number of FRC clients, percentage of all clients and percentage of FRC clients that completed each module.  "/>
      </w:tblPr>
      <w:tblGrid>
        <w:gridCol w:w="2376"/>
        <w:gridCol w:w="992"/>
        <w:gridCol w:w="993"/>
        <w:gridCol w:w="992"/>
        <w:gridCol w:w="992"/>
      </w:tblGrid>
      <w:tr w:rsidR="00204D69" w:rsidRPr="00E404FB" w14:paraId="2EBE2F31" w14:textId="77777777" w:rsidTr="00377FC2">
        <w:trPr>
          <w:cnfStyle w:val="100000000000" w:firstRow="1" w:lastRow="0" w:firstColumn="0" w:lastColumn="0" w:oddVBand="0" w:evenVBand="0" w:oddHBand="0" w:evenHBand="0" w:firstRowFirstColumn="0" w:firstRowLastColumn="0" w:lastRowFirstColumn="0" w:lastRowLastColumn="0"/>
          <w:trHeight w:val="255"/>
          <w:tblHeader/>
          <w:jc w:val="center"/>
        </w:trPr>
        <w:tc>
          <w:tcPr>
            <w:tcW w:w="2376" w:type="dxa"/>
            <w:tcBorders>
              <w:bottom w:val="single" w:sz="4" w:space="0" w:color="FFFFFF"/>
            </w:tcBorders>
            <w:noWrap/>
            <w:vAlign w:val="center"/>
            <w:hideMark/>
          </w:tcPr>
          <w:p w14:paraId="2EBE2F2C" w14:textId="77777777" w:rsidR="00204D69" w:rsidRPr="00E404FB" w:rsidRDefault="00204D69" w:rsidP="00782511">
            <w:pPr>
              <w:jc w:val="left"/>
              <w:rPr>
                <w:rFonts w:ascii="Segoe UI" w:hAnsi="Segoe UI" w:cs="Segoe UI"/>
                <w:b/>
                <w:sz w:val="18"/>
                <w:szCs w:val="18"/>
              </w:rPr>
            </w:pPr>
            <w:r w:rsidRPr="00E404FB">
              <w:rPr>
                <w:rFonts w:ascii="Segoe UI" w:hAnsi="Segoe UI" w:cs="Segoe UI"/>
                <w:b/>
                <w:sz w:val="18"/>
                <w:szCs w:val="18"/>
              </w:rPr>
              <w:t>Module</w:t>
            </w:r>
          </w:p>
        </w:tc>
        <w:tc>
          <w:tcPr>
            <w:tcW w:w="992" w:type="dxa"/>
            <w:tcBorders>
              <w:bottom w:val="single" w:sz="4" w:space="0" w:color="FFFFFF"/>
            </w:tcBorders>
            <w:noWrap/>
            <w:vAlign w:val="center"/>
            <w:hideMark/>
          </w:tcPr>
          <w:p w14:paraId="2EBE2F2D" w14:textId="77777777" w:rsidR="00204D69" w:rsidRPr="00CD5EA9" w:rsidRDefault="00204D69" w:rsidP="00782511">
            <w:pPr>
              <w:jc w:val="center"/>
              <w:rPr>
                <w:rFonts w:ascii="Segoe UI" w:hAnsi="Segoe UI" w:cs="Segoe UI"/>
                <w:b/>
                <w:sz w:val="18"/>
                <w:szCs w:val="18"/>
              </w:rPr>
            </w:pPr>
            <w:r>
              <w:rPr>
                <w:rFonts w:ascii="Segoe UI" w:hAnsi="Segoe UI" w:cs="Segoe UI"/>
                <w:b/>
                <w:sz w:val="18"/>
                <w:szCs w:val="18"/>
              </w:rPr>
              <w:t>No. of</w:t>
            </w:r>
            <w:r w:rsidRPr="00CD5EA9">
              <w:rPr>
                <w:rFonts w:ascii="Segoe UI" w:hAnsi="Segoe UI" w:cs="Segoe UI"/>
                <w:b/>
                <w:sz w:val="18"/>
                <w:szCs w:val="18"/>
              </w:rPr>
              <w:t xml:space="preserve"> clients</w:t>
            </w:r>
          </w:p>
        </w:tc>
        <w:tc>
          <w:tcPr>
            <w:tcW w:w="993" w:type="dxa"/>
            <w:tcBorders>
              <w:bottom w:val="single" w:sz="4" w:space="0" w:color="FFFFFF"/>
            </w:tcBorders>
            <w:noWrap/>
            <w:vAlign w:val="center"/>
            <w:hideMark/>
          </w:tcPr>
          <w:p w14:paraId="2EBE2F2E" w14:textId="77777777" w:rsidR="00204D69" w:rsidRPr="00CD5EA9" w:rsidRDefault="00204D69" w:rsidP="00782511">
            <w:pPr>
              <w:jc w:val="center"/>
              <w:rPr>
                <w:rFonts w:ascii="Segoe UI" w:hAnsi="Segoe UI" w:cs="Segoe UI"/>
                <w:b/>
                <w:sz w:val="18"/>
                <w:szCs w:val="18"/>
              </w:rPr>
            </w:pPr>
            <w:r>
              <w:rPr>
                <w:rFonts w:ascii="Segoe UI" w:hAnsi="Segoe UI" w:cs="Segoe UI"/>
                <w:b/>
                <w:sz w:val="18"/>
                <w:szCs w:val="18"/>
              </w:rPr>
              <w:t xml:space="preserve">No. of </w:t>
            </w:r>
            <w:r w:rsidRPr="00CD5EA9">
              <w:rPr>
                <w:rFonts w:ascii="Segoe UI" w:hAnsi="Segoe UI" w:cs="Segoe UI"/>
                <w:b/>
                <w:sz w:val="18"/>
                <w:szCs w:val="18"/>
              </w:rPr>
              <w:t>FRC clients</w:t>
            </w:r>
          </w:p>
        </w:tc>
        <w:tc>
          <w:tcPr>
            <w:tcW w:w="992" w:type="dxa"/>
            <w:tcBorders>
              <w:bottom w:val="single" w:sz="4" w:space="0" w:color="FFFFFF"/>
            </w:tcBorders>
            <w:noWrap/>
            <w:vAlign w:val="center"/>
            <w:hideMark/>
          </w:tcPr>
          <w:p w14:paraId="2EBE2F2F" w14:textId="77777777" w:rsidR="00204D69" w:rsidRPr="00CD5EA9" w:rsidRDefault="00204D69" w:rsidP="00782511">
            <w:pPr>
              <w:jc w:val="center"/>
              <w:rPr>
                <w:rFonts w:ascii="Segoe UI" w:hAnsi="Segoe UI" w:cs="Segoe UI"/>
                <w:b/>
                <w:sz w:val="18"/>
                <w:szCs w:val="18"/>
              </w:rPr>
            </w:pPr>
            <w:r w:rsidRPr="00CD5EA9">
              <w:rPr>
                <w:rFonts w:ascii="Segoe UI" w:hAnsi="Segoe UI" w:cs="Segoe UI"/>
                <w:b/>
                <w:sz w:val="18"/>
                <w:szCs w:val="18"/>
              </w:rPr>
              <w:t>% of All clients</w:t>
            </w:r>
          </w:p>
        </w:tc>
        <w:tc>
          <w:tcPr>
            <w:tcW w:w="992" w:type="dxa"/>
            <w:tcBorders>
              <w:bottom w:val="single" w:sz="4" w:space="0" w:color="FFFFFF"/>
            </w:tcBorders>
            <w:noWrap/>
            <w:vAlign w:val="center"/>
            <w:hideMark/>
          </w:tcPr>
          <w:p w14:paraId="2EBE2F30" w14:textId="77777777" w:rsidR="00204D69" w:rsidRPr="00CD5EA9" w:rsidRDefault="00204D69" w:rsidP="00782511">
            <w:pPr>
              <w:jc w:val="center"/>
              <w:rPr>
                <w:rFonts w:ascii="Segoe UI" w:hAnsi="Segoe UI" w:cs="Segoe UI"/>
                <w:b/>
                <w:sz w:val="18"/>
                <w:szCs w:val="18"/>
              </w:rPr>
            </w:pPr>
            <w:r w:rsidRPr="00CD5EA9">
              <w:rPr>
                <w:rFonts w:ascii="Segoe UI" w:hAnsi="Segoe UI" w:cs="Segoe UI"/>
                <w:b/>
                <w:sz w:val="18"/>
                <w:szCs w:val="18"/>
              </w:rPr>
              <w:t>% of FRC clients</w:t>
            </w:r>
          </w:p>
        </w:tc>
      </w:tr>
      <w:tr w:rsidR="00204D69" w:rsidRPr="00E404FB" w14:paraId="2EBE2F37" w14:textId="77777777" w:rsidTr="00782511">
        <w:trPr>
          <w:trHeight w:val="255"/>
          <w:jc w:val="center"/>
        </w:trPr>
        <w:tc>
          <w:tcPr>
            <w:tcW w:w="2376" w:type="dxa"/>
            <w:shd w:val="clear" w:color="auto" w:fill="F2F2F2" w:themeFill="background1" w:themeFillShade="F2"/>
            <w:noWrap/>
            <w:hideMark/>
          </w:tcPr>
          <w:p w14:paraId="2EBE2F32" w14:textId="77777777" w:rsidR="00204D69" w:rsidRPr="00E404FB" w:rsidRDefault="00204D69" w:rsidP="00782511">
            <w:pPr>
              <w:rPr>
                <w:rFonts w:cs="Segoe UI"/>
                <w:sz w:val="18"/>
                <w:szCs w:val="18"/>
              </w:rPr>
            </w:pPr>
            <w:r w:rsidRPr="00E404FB">
              <w:rPr>
                <w:rFonts w:cs="Segoe UI"/>
                <w:sz w:val="18"/>
                <w:szCs w:val="18"/>
              </w:rPr>
              <w:t xml:space="preserve">Drug and Alcohol Misuse </w:t>
            </w:r>
          </w:p>
        </w:tc>
        <w:tc>
          <w:tcPr>
            <w:tcW w:w="992" w:type="dxa"/>
            <w:shd w:val="clear" w:color="auto" w:fill="F2F2F2" w:themeFill="background1" w:themeFillShade="F2"/>
            <w:noWrap/>
            <w:hideMark/>
          </w:tcPr>
          <w:p w14:paraId="2EBE2F33" w14:textId="77777777" w:rsidR="00204D69" w:rsidRPr="00E404FB" w:rsidRDefault="00204D69" w:rsidP="00782511">
            <w:pPr>
              <w:jc w:val="center"/>
              <w:rPr>
                <w:rFonts w:cs="Segoe UI"/>
                <w:sz w:val="18"/>
                <w:szCs w:val="18"/>
              </w:rPr>
            </w:pPr>
            <w:r w:rsidRPr="00E404FB">
              <w:rPr>
                <w:rFonts w:cs="Segoe UI"/>
                <w:sz w:val="18"/>
                <w:szCs w:val="18"/>
              </w:rPr>
              <w:t>277</w:t>
            </w:r>
          </w:p>
        </w:tc>
        <w:tc>
          <w:tcPr>
            <w:tcW w:w="993" w:type="dxa"/>
            <w:shd w:val="clear" w:color="auto" w:fill="F2F2F2" w:themeFill="background1" w:themeFillShade="F2"/>
            <w:noWrap/>
            <w:hideMark/>
          </w:tcPr>
          <w:p w14:paraId="2EBE2F34" w14:textId="77777777" w:rsidR="00204D69" w:rsidRPr="00E404FB" w:rsidRDefault="00204D69" w:rsidP="00782511">
            <w:pPr>
              <w:jc w:val="center"/>
              <w:rPr>
                <w:rFonts w:cs="Segoe UI"/>
                <w:sz w:val="18"/>
                <w:szCs w:val="18"/>
              </w:rPr>
            </w:pPr>
            <w:r w:rsidRPr="00E404FB">
              <w:rPr>
                <w:rFonts w:cs="Segoe UI"/>
                <w:sz w:val="18"/>
                <w:szCs w:val="18"/>
              </w:rPr>
              <w:t>180</w:t>
            </w:r>
          </w:p>
        </w:tc>
        <w:tc>
          <w:tcPr>
            <w:tcW w:w="992" w:type="dxa"/>
            <w:tcBorders>
              <w:bottom w:val="single" w:sz="4" w:space="0" w:color="FFFFFF"/>
            </w:tcBorders>
            <w:shd w:val="clear" w:color="auto" w:fill="BFBFBF" w:themeFill="background1" w:themeFillShade="BF"/>
            <w:noWrap/>
            <w:hideMark/>
          </w:tcPr>
          <w:p w14:paraId="2EBE2F35" w14:textId="77777777" w:rsidR="00204D69" w:rsidRPr="00E404FB" w:rsidRDefault="00204D69" w:rsidP="00782511">
            <w:pPr>
              <w:jc w:val="center"/>
              <w:rPr>
                <w:rFonts w:cs="Segoe UI"/>
                <w:sz w:val="18"/>
                <w:szCs w:val="18"/>
              </w:rPr>
            </w:pPr>
            <w:r w:rsidRPr="00E404FB">
              <w:rPr>
                <w:rFonts w:cs="Segoe UI"/>
                <w:sz w:val="18"/>
                <w:szCs w:val="18"/>
              </w:rPr>
              <w:t>26%</w:t>
            </w:r>
          </w:p>
        </w:tc>
        <w:tc>
          <w:tcPr>
            <w:tcW w:w="992" w:type="dxa"/>
            <w:tcBorders>
              <w:bottom w:val="single" w:sz="4" w:space="0" w:color="FFFFFF"/>
            </w:tcBorders>
            <w:shd w:val="clear" w:color="auto" w:fill="BFBFBF" w:themeFill="background1" w:themeFillShade="BF"/>
            <w:noWrap/>
            <w:hideMark/>
          </w:tcPr>
          <w:p w14:paraId="2EBE2F36" w14:textId="77777777" w:rsidR="00204D69" w:rsidRPr="00E404FB" w:rsidRDefault="00204D69" w:rsidP="00782511">
            <w:pPr>
              <w:jc w:val="center"/>
              <w:rPr>
                <w:rFonts w:cs="Segoe UI"/>
                <w:sz w:val="18"/>
                <w:szCs w:val="18"/>
              </w:rPr>
            </w:pPr>
            <w:r w:rsidRPr="00E404FB">
              <w:rPr>
                <w:rFonts w:cs="Segoe UI"/>
                <w:sz w:val="18"/>
                <w:szCs w:val="18"/>
              </w:rPr>
              <w:t>47%</w:t>
            </w:r>
          </w:p>
        </w:tc>
      </w:tr>
      <w:tr w:rsidR="00204D69" w:rsidRPr="00E404FB" w14:paraId="2EBE2F3D" w14:textId="77777777" w:rsidTr="00782511">
        <w:trPr>
          <w:trHeight w:val="255"/>
          <w:jc w:val="center"/>
        </w:trPr>
        <w:tc>
          <w:tcPr>
            <w:tcW w:w="2376" w:type="dxa"/>
            <w:shd w:val="clear" w:color="auto" w:fill="F2F2F2" w:themeFill="background1" w:themeFillShade="F2"/>
            <w:noWrap/>
            <w:hideMark/>
          </w:tcPr>
          <w:p w14:paraId="2EBE2F38" w14:textId="77777777" w:rsidR="00204D69" w:rsidRPr="00E404FB" w:rsidRDefault="00204D69" w:rsidP="00782511">
            <w:pPr>
              <w:rPr>
                <w:rFonts w:cs="Segoe UI"/>
                <w:sz w:val="18"/>
                <w:szCs w:val="18"/>
              </w:rPr>
            </w:pPr>
            <w:r w:rsidRPr="00E404FB">
              <w:rPr>
                <w:rFonts w:cs="Segoe UI"/>
                <w:sz w:val="18"/>
                <w:szCs w:val="18"/>
              </w:rPr>
              <w:t>Domestic Violence</w:t>
            </w:r>
          </w:p>
        </w:tc>
        <w:tc>
          <w:tcPr>
            <w:tcW w:w="992" w:type="dxa"/>
            <w:shd w:val="clear" w:color="auto" w:fill="F2F2F2" w:themeFill="background1" w:themeFillShade="F2"/>
            <w:noWrap/>
            <w:hideMark/>
          </w:tcPr>
          <w:p w14:paraId="2EBE2F39" w14:textId="77777777" w:rsidR="00204D69" w:rsidRPr="00E404FB" w:rsidRDefault="00204D69" w:rsidP="00782511">
            <w:pPr>
              <w:jc w:val="center"/>
              <w:rPr>
                <w:rFonts w:cs="Segoe UI"/>
                <w:sz w:val="18"/>
                <w:szCs w:val="18"/>
              </w:rPr>
            </w:pPr>
            <w:r w:rsidRPr="00E404FB">
              <w:rPr>
                <w:rFonts w:cs="Segoe UI"/>
                <w:sz w:val="18"/>
                <w:szCs w:val="18"/>
              </w:rPr>
              <w:t>179</w:t>
            </w:r>
          </w:p>
        </w:tc>
        <w:tc>
          <w:tcPr>
            <w:tcW w:w="993" w:type="dxa"/>
            <w:shd w:val="clear" w:color="auto" w:fill="F2F2F2" w:themeFill="background1" w:themeFillShade="F2"/>
            <w:noWrap/>
            <w:hideMark/>
          </w:tcPr>
          <w:p w14:paraId="2EBE2F3A" w14:textId="77777777" w:rsidR="00204D69" w:rsidRPr="00E404FB" w:rsidRDefault="00204D69" w:rsidP="00782511">
            <w:pPr>
              <w:jc w:val="center"/>
              <w:rPr>
                <w:rFonts w:cs="Segoe UI"/>
                <w:sz w:val="18"/>
                <w:szCs w:val="18"/>
              </w:rPr>
            </w:pPr>
            <w:r w:rsidRPr="00E404FB">
              <w:rPr>
                <w:rFonts w:cs="Segoe UI"/>
                <w:sz w:val="18"/>
                <w:szCs w:val="18"/>
              </w:rPr>
              <w:t>97</w:t>
            </w:r>
          </w:p>
        </w:tc>
        <w:tc>
          <w:tcPr>
            <w:tcW w:w="992" w:type="dxa"/>
            <w:shd w:val="clear" w:color="auto" w:fill="F2F2F2" w:themeFill="background1" w:themeFillShade="F2"/>
            <w:noWrap/>
            <w:hideMark/>
          </w:tcPr>
          <w:p w14:paraId="2EBE2F3B" w14:textId="77777777" w:rsidR="00204D69" w:rsidRPr="00E404FB" w:rsidRDefault="00204D69" w:rsidP="00782511">
            <w:pPr>
              <w:jc w:val="center"/>
              <w:rPr>
                <w:rFonts w:cs="Segoe UI"/>
                <w:sz w:val="18"/>
                <w:szCs w:val="18"/>
              </w:rPr>
            </w:pPr>
            <w:r w:rsidRPr="00E404FB">
              <w:rPr>
                <w:rFonts w:cs="Segoe UI"/>
                <w:sz w:val="18"/>
                <w:szCs w:val="18"/>
              </w:rPr>
              <w:t>17%</w:t>
            </w:r>
          </w:p>
        </w:tc>
        <w:tc>
          <w:tcPr>
            <w:tcW w:w="992" w:type="dxa"/>
            <w:shd w:val="clear" w:color="auto" w:fill="F2F2F2" w:themeFill="background1" w:themeFillShade="F2"/>
            <w:noWrap/>
            <w:hideMark/>
          </w:tcPr>
          <w:p w14:paraId="2EBE2F3C" w14:textId="77777777" w:rsidR="00204D69" w:rsidRPr="00E404FB" w:rsidRDefault="00204D69" w:rsidP="00782511">
            <w:pPr>
              <w:jc w:val="center"/>
              <w:rPr>
                <w:rFonts w:cs="Segoe UI"/>
                <w:sz w:val="18"/>
                <w:szCs w:val="18"/>
              </w:rPr>
            </w:pPr>
            <w:r w:rsidRPr="00E404FB">
              <w:rPr>
                <w:rFonts w:cs="Segoe UI"/>
                <w:sz w:val="18"/>
                <w:szCs w:val="18"/>
              </w:rPr>
              <w:t>25%</w:t>
            </w:r>
          </w:p>
        </w:tc>
      </w:tr>
      <w:tr w:rsidR="00204D69" w:rsidRPr="00E404FB" w14:paraId="2EBE2F43" w14:textId="77777777" w:rsidTr="00782511">
        <w:trPr>
          <w:trHeight w:val="255"/>
          <w:jc w:val="center"/>
        </w:trPr>
        <w:tc>
          <w:tcPr>
            <w:tcW w:w="2376" w:type="dxa"/>
            <w:shd w:val="clear" w:color="auto" w:fill="F2F2F2" w:themeFill="background1" w:themeFillShade="F2"/>
            <w:noWrap/>
            <w:hideMark/>
          </w:tcPr>
          <w:p w14:paraId="2EBE2F3E" w14:textId="77777777" w:rsidR="00204D69" w:rsidRPr="00E404FB" w:rsidRDefault="00204D69" w:rsidP="00782511">
            <w:pPr>
              <w:rPr>
                <w:rFonts w:cs="Segoe UI"/>
                <w:sz w:val="18"/>
                <w:szCs w:val="18"/>
              </w:rPr>
            </w:pPr>
            <w:r w:rsidRPr="00E404FB">
              <w:rPr>
                <w:rFonts w:cs="Segoe UI"/>
                <w:sz w:val="18"/>
                <w:szCs w:val="18"/>
              </w:rPr>
              <w:t>Rel</w:t>
            </w:r>
            <w:r>
              <w:rPr>
                <w:rFonts w:cs="Segoe UI"/>
                <w:sz w:val="18"/>
                <w:szCs w:val="18"/>
              </w:rPr>
              <w:t>ationships/Parenting and Family</w:t>
            </w:r>
          </w:p>
        </w:tc>
        <w:tc>
          <w:tcPr>
            <w:tcW w:w="992" w:type="dxa"/>
            <w:shd w:val="clear" w:color="auto" w:fill="F2F2F2" w:themeFill="background1" w:themeFillShade="F2"/>
            <w:noWrap/>
            <w:hideMark/>
          </w:tcPr>
          <w:p w14:paraId="2EBE2F3F" w14:textId="77777777" w:rsidR="00204D69" w:rsidRPr="00E404FB" w:rsidRDefault="00204D69" w:rsidP="00782511">
            <w:pPr>
              <w:jc w:val="center"/>
              <w:rPr>
                <w:rFonts w:cs="Segoe UI"/>
                <w:sz w:val="18"/>
                <w:szCs w:val="18"/>
              </w:rPr>
            </w:pPr>
            <w:r w:rsidRPr="00E404FB">
              <w:rPr>
                <w:rFonts w:cs="Segoe UI"/>
                <w:sz w:val="18"/>
                <w:szCs w:val="18"/>
              </w:rPr>
              <w:t>171</w:t>
            </w:r>
          </w:p>
        </w:tc>
        <w:tc>
          <w:tcPr>
            <w:tcW w:w="993" w:type="dxa"/>
            <w:shd w:val="clear" w:color="auto" w:fill="F2F2F2" w:themeFill="background1" w:themeFillShade="F2"/>
            <w:noWrap/>
            <w:hideMark/>
          </w:tcPr>
          <w:p w14:paraId="2EBE2F40" w14:textId="77777777" w:rsidR="00204D69" w:rsidRPr="00E404FB" w:rsidRDefault="00204D69" w:rsidP="00782511">
            <w:pPr>
              <w:jc w:val="center"/>
              <w:rPr>
                <w:rFonts w:cs="Segoe UI"/>
                <w:sz w:val="18"/>
                <w:szCs w:val="18"/>
              </w:rPr>
            </w:pPr>
            <w:r w:rsidRPr="00E404FB">
              <w:rPr>
                <w:rFonts w:cs="Segoe UI"/>
                <w:sz w:val="18"/>
                <w:szCs w:val="18"/>
              </w:rPr>
              <w:t>71</w:t>
            </w:r>
          </w:p>
        </w:tc>
        <w:tc>
          <w:tcPr>
            <w:tcW w:w="992" w:type="dxa"/>
            <w:shd w:val="clear" w:color="auto" w:fill="F2F2F2" w:themeFill="background1" w:themeFillShade="F2"/>
            <w:noWrap/>
            <w:hideMark/>
          </w:tcPr>
          <w:p w14:paraId="2EBE2F41" w14:textId="77777777" w:rsidR="00204D69" w:rsidRPr="00E404FB" w:rsidRDefault="00204D69" w:rsidP="00782511">
            <w:pPr>
              <w:jc w:val="center"/>
              <w:rPr>
                <w:rFonts w:cs="Segoe UI"/>
                <w:sz w:val="18"/>
                <w:szCs w:val="18"/>
              </w:rPr>
            </w:pPr>
            <w:r w:rsidRPr="00E404FB">
              <w:rPr>
                <w:rFonts w:cs="Segoe UI"/>
                <w:sz w:val="18"/>
                <w:szCs w:val="18"/>
              </w:rPr>
              <w:t>16%</w:t>
            </w:r>
          </w:p>
        </w:tc>
        <w:tc>
          <w:tcPr>
            <w:tcW w:w="992" w:type="dxa"/>
            <w:shd w:val="clear" w:color="auto" w:fill="F2F2F2" w:themeFill="background1" w:themeFillShade="F2"/>
            <w:noWrap/>
            <w:hideMark/>
          </w:tcPr>
          <w:p w14:paraId="2EBE2F42" w14:textId="77777777" w:rsidR="00204D69" w:rsidRPr="00E404FB" w:rsidRDefault="00204D69" w:rsidP="00782511">
            <w:pPr>
              <w:jc w:val="center"/>
              <w:rPr>
                <w:rFonts w:cs="Segoe UI"/>
                <w:sz w:val="18"/>
                <w:szCs w:val="18"/>
              </w:rPr>
            </w:pPr>
            <w:r w:rsidRPr="00E404FB">
              <w:rPr>
                <w:rFonts w:cs="Segoe UI"/>
                <w:sz w:val="18"/>
                <w:szCs w:val="18"/>
              </w:rPr>
              <w:t>18%</w:t>
            </w:r>
          </w:p>
        </w:tc>
      </w:tr>
      <w:tr w:rsidR="00204D69" w:rsidRPr="00E404FB" w14:paraId="2EBE2F49" w14:textId="77777777" w:rsidTr="00782511">
        <w:trPr>
          <w:trHeight w:val="255"/>
          <w:jc w:val="center"/>
        </w:trPr>
        <w:tc>
          <w:tcPr>
            <w:tcW w:w="2376" w:type="dxa"/>
            <w:shd w:val="clear" w:color="auto" w:fill="F2F2F2" w:themeFill="background1" w:themeFillShade="F2"/>
            <w:noWrap/>
            <w:hideMark/>
          </w:tcPr>
          <w:p w14:paraId="2EBE2F44" w14:textId="77777777" w:rsidR="00204D69" w:rsidRPr="00E404FB" w:rsidRDefault="00204D69" w:rsidP="00782511">
            <w:pPr>
              <w:rPr>
                <w:rFonts w:cs="Segoe UI"/>
                <w:sz w:val="18"/>
                <w:szCs w:val="18"/>
              </w:rPr>
            </w:pPr>
            <w:r w:rsidRPr="00E404FB">
              <w:rPr>
                <w:rFonts w:cs="Segoe UI"/>
                <w:sz w:val="18"/>
                <w:szCs w:val="18"/>
              </w:rPr>
              <w:t>Mental Health Modules</w:t>
            </w:r>
          </w:p>
        </w:tc>
        <w:tc>
          <w:tcPr>
            <w:tcW w:w="992" w:type="dxa"/>
            <w:shd w:val="clear" w:color="auto" w:fill="F2F2F2" w:themeFill="background1" w:themeFillShade="F2"/>
            <w:noWrap/>
            <w:hideMark/>
          </w:tcPr>
          <w:p w14:paraId="2EBE2F45" w14:textId="77777777" w:rsidR="00204D69" w:rsidRPr="00E404FB" w:rsidRDefault="00204D69" w:rsidP="00782511">
            <w:pPr>
              <w:jc w:val="center"/>
              <w:rPr>
                <w:rFonts w:cs="Segoe UI"/>
                <w:sz w:val="18"/>
                <w:szCs w:val="18"/>
              </w:rPr>
            </w:pPr>
            <w:r w:rsidRPr="00E404FB">
              <w:rPr>
                <w:rFonts w:cs="Segoe UI"/>
                <w:sz w:val="18"/>
                <w:szCs w:val="18"/>
              </w:rPr>
              <w:t>95</w:t>
            </w:r>
          </w:p>
        </w:tc>
        <w:tc>
          <w:tcPr>
            <w:tcW w:w="993" w:type="dxa"/>
            <w:shd w:val="clear" w:color="auto" w:fill="F2F2F2" w:themeFill="background1" w:themeFillShade="F2"/>
            <w:noWrap/>
            <w:hideMark/>
          </w:tcPr>
          <w:p w14:paraId="2EBE2F46" w14:textId="77777777" w:rsidR="00204D69" w:rsidRPr="00E404FB" w:rsidRDefault="00204D69" w:rsidP="00782511">
            <w:pPr>
              <w:jc w:val="center"/>
              <w:rPr>
                <w:rFonts w:cs="Segoe UI"/>
                <w:sz w:val="18"/>
                <w:szCs w:val="18"/>
              </w:rPr>
            </w:pPr>
            <w:r w:rsidRPr="00E404FB">
              <w:rPr>
                <w:rFonts w:cs="Segoe UI"/>
                <w:sz w:val="18"/>
                <w:szCs w:val="18"/>
              </w:rPr>
              <w:t>30</w:t>
            </w:r>
          </w:p>
        </w:tc>
        <w:tc>
          <w:tcPr>
            <w:tcW w:w="992" w:type="dxa"/>
            <w:shd w:val="clear" w:color="auto" w:fill="F2F2F2" w:themeFill="background1" w:themeFillShade="F2"/>
            <w:noWrap/>
            <w:hideMark/>
          </w:tcPr>
          <w:p w14:paraId="2EBE2F47" w14:textId="77777777" w:rsidR="00204D69" w:rsidRPr="00E404FB" w:rsidRDefault="00204D69" w:rsidP="00782511">
            <w:pPr>
              <w:jc w:val="center"/>
              <w:rPr>
                <w:rFonts w:cs="Segoe UI"/>
                <w:sz w:val="18"/>
                <w:szCs w:val="18"/>
              </w:rPr>
            </w:pPr>
            <w:r w:rsidRPr="00E404FB">
              <w:rPr>
                <w:rFonts w:cs="Segoe UI"/>
                <w:sz w:val="18"/>
                <w:szCs w:val="18"/>
              </w:rPr>
              <w:t>9%</w:t>
            </w:r>
          </w:p>
        </w:tc>
        <w:tc>
          <w:tcPr>
            <w:tcW w:w="992" w:type="dxa"/>
            <w:shd w:val="clear" w:color="auto" w:fill="F2F2F2" w:themeFill="background1" w:themeFillShade="F2"/>
            <w:noWrap/>
            <w:hideMark/>
          </w:tcPr>
          <w:p w14:paraId="2EBE2F48" w14:textId="77777777" w:rsidR="00204D69" w:rsidRPr="00E404FB" w:rsidRDefault="00204D69" w:rsidP="00782511">
            <w:pPr>
              <w:jc w:val="center"/>
              <w:rPr>
                <w:rFonts w:cs="Segoe UI"/>
                <w:sz w:val="18"/>
                <w:szCs w:val="18"/>
              </w:rPr>
            </w:pPr>
            <w:r w:rsidRPr="00E404FB">
              <w:rPr>
                <w:rFonts w:cs="Segoe UI"/>
                <w:sz w:val="18"/>
                <w:szCs w:val="18"/>
              </w:rPr>
              <w:t>8%</w:t>
            </w:r>
          </w:p>
        </w:tc>
      </w:tr>
      <w:tr w:rsidR="00204D69" w:rsidRPr="00E404FB" w14:paraId="2EBE2F4F" w14:textId="77777777" w:rsidTr="00782511">
        <w:trPr>
          <w:trHeight w:val="255"/>
          <w:jc w:val="center"/>
        </w:trPr>
        <w:tc>
          <w:tcPr>
            <w:tcW w:w="2376" w:type="dxa"/>
            <w:shd w:val="clear" w:color="auto" w:fill="F2F2F2" w:themeFill="background1" w:themeFillShade="F2"/>
            <w:noWrap/>
            <w:hideMark/>
          </w:tcPr>
          <w:p w14:paraId="2EBE2F4A" w14:textId="77777777" w:rsidR="00204D69" w:rsidRPr="00E404FB" w:rsidRDefault="00204D69" w:rsidP="00782511">
            <w:pPr>
              <w:rPr>
                <w:rFonts w:cs="Segoe UI"/>
                <w:sz w:val="18"/>
                <w:szCs w:val="18"/>
              </w:rPr>
            </w:pPr>
            <w:r w:rsidRPr="00E404FB">
              <w:rPr>
                <w:rFonts w:cs="Segoe UI"/>
                <w:sz w:val="18"/>
                <w:szCs w:val="18"/>
              </w:rPr>
              <w:t>Judicial Modules</w:t>
            </w:r>
          </w:p>
        </w:tc>
        <w:tc>
          <w:tcPr>
            <w:tcW w:w="992" w:type="dxa"/>
            <w:shd w:val="clear" w:color="auto" w:fill="F2F2F2" w:themeFill="background1" w:themeFillShade="F2"/>
            <w:noWrap/>
            <w:hideMark/>
          </w:tcPr>
          <w:p w14:paraId="2EBE2F4B" w14:textId="77777777" w:rsidR="00204D69" w:rsidRPr="00E404FB" w:rsidRDefault="00204D69" w:rsidP="00782511">
            <w:pPr>
              <w:jc w:val="center"/>
              <w:rPr>
                <w:rFonts w:cs="Segoe UI"/>
                <w:sz w:val="18"/>
                <w:szCs w:val="18"/>
              </w:rPr>
            </w:pPr>
            <w:r w:rsidRPr="00E404FB">
              <w:rPr>
                <w:rFonts w:cs="Segoe UI"/>
                <w:sz w:val="18"/>
                <w:szCs w:val="18"/>
              </w:rPr>
              <w:t>7</w:t>
            </w:r>
          </w:p>
        </w:tc>
        <w:tc>
          <w:tcPr>
            <w:tcW w:w="993" w:type="dxa"/>
            <w:shd w:val="clear" w:color="auto" w:fill="F2F2F2" w:themeFill="background1" w:themeFillShade="F2"/>
            <w:noWrap/>
            <w:hideMark/>
          </w:tcPr>
          <w:p w14:paraId="2EBE2F4C" w14:textId="77777777" w:rsidR="00204D69" w:rsidRPr="00E404FB" w:rsidRDefault="00204D69" w:rsidP="00782511">
            <w:pPr>
              <w:jc w:val="center"/>
              <w:rPr>
                <w:rFonts w:cs="Segoe UI"/>
                <w:sz w:val="18"/>
                <w:szCs w:val="18"/>
              </w:rPr>
            </w:pPr>
            <w:r w:rsidRPr="00E404FB">
              <w:rPr>
                <w:rFonts w:cs="Segoe UI"/>
                <w:sz w:val="18"/>
                <w:szCs w:val="18"/>
              </w:rPr>
              <w:t>3</w:t>
            </w:r>
          </w:p>
        </w:tc>
        <w:tc>
          <w:tcPr>
            <w:tcW w:w="992" w:type="dxa"/>
            <w:shd w:val="clear" w:color="auto" w:fill="F2F2F2" w:themeFill="background1" w:themeFillShade="F2"/>
            <w:noWrap/>
            <w:hideMark/>
          </w:tcPr>
          <w:p w14:paraId="2EBE2F4D" w14:textId="77777777" w:rsidR="00204D69" w:rsidRPr="00E404FB" w:rsidRDefault="00204D69" w:rsidP="00782511">
            <w:pPr>
              <w:jc w:val="center"/>
              <w:rPr>
                <w:rFonts w:cs="Segoe UI"/>
                <w:sz w:val="18"/>
                <w:szCs w:val="18"/>
              </w:rPr>
            </w:pPr>
            <w:r w:rsidRPr="00E404FB">
              <w:rPr>
                <w:rFonts w:cs="Segoe UI"/>
                <w:sz w:val="18"/>
                <w:szCs w:val="18"/>
              </w:rPr>
              <w:t>1%</w:t>
            </w:r>
          </w:p>
        </w:tc>
        <w:tc>
          <w:tcPr>
            <w:tcW w:w="992" w:type="dxa"/>
            <w:shd w:val="clear" w:color="auto" w:fill="F2F2F2" w:themeFill="background1" w:themeFillShade="F2"/>
            <w:noWrap/>
            <w:hideMark/>
          </w:tcPr>
          <w:p w14:paraId="2EBE2F4E" w14:textId="77777777" w:rsidR="00204D69" w:rsidRPr="00E404FB" w:rsidRDefault="00204D69" w:rsidP="00782511">
            <w:pPr>
              <w:jc w:val="center"/>
              <w:rPr>
                <w:rFonts w:cs="Segoe UI"/>
                <w:sz w:val="18"/>
                <w:szCs w:val="18"/>
              </w:rPr>
            </w:pPr>
            <w:r w:rsidRPr="00E404FB">
              <w:rPr>
                <w:rFonts w:cs="Segoe UI"/>
                <w:sz w:val="18"/>
                <w:szCs w:val="18"/>
              </w:rPr>
              <w:t>1%</w:t>
            </w:r>
          </w:p>
        </w:tc>
      </w:tr>
    </w:tbl>
    <w:p w14:paraId="2EBE2F50" w14:textId="77777777" w:rsidR="00204D69" w:rsidRPr="008179BF" w:rsidRDefault="00204D69" w:rsidP="00204D69">
      <w:pPr>
        <w:rPr>
          <w:sz w:val="16"/>
          <w:szCs w:val="16"/>
        </w:rPr>
      </w:pPr>
      <w:r w:rsidRPr="00D32D20">
        <w:rPr>
          <w:sz w:val="16"/>
          <w:szCs w:val="16"/>
        </w:rPr>
        <w:t>Note (1): Period</w:t>
      </w:r>
      <w:r>
        <w:rPr>
          <w:sz w:val="16"/>
          <w:szCs w:val="16"/>
        </w:rPr>
        <w:t xml:space="preserve"> is since inception to June 2013</w:t>
      </w:r>
      <w:r w:rsidRPr="00D32D20">
        <w:rPr>
          <w:sz w:val="16"/>
          <w:szCs w:val="16"/>
        </w:rPr>
        <w:t>.</w:t>
      </w:r>
    </w:p>
    <w:p w14:paraId="2EBE2F51" w14:textId="77777777" w:rsidR="00204D69" w:rsidRDefault="00204D69" w:rsidP="00204D69">
      <w:pPr>
        <w:rPr>
          <w:color w:val="auto"/>
        </w:rPr>
      </w:pPr>
      <w:r w:rsidRPr="000774D3">
        <w:rPr>
          <w:color w:val="auto"/>
        </w:rPr>
        <w:t xml:space="preserve">Approximately </w:t>
      </w:r>
      <w:r w:rsidR="00257B73">
        <w:rPr>
          <w:color w:val="auto"/>
        </w:rPr>
        <w:t>88</w:t>
      </w:r>
      <w:r w:rsidRPr="000774D3">
        <w:rPr>
          <w:color w:val="auto"/>
        </w:rPr>
        <w:t xml:space="preserve">% of actual contacts were either not recorded as </w:t>
      </w:r>
      <w:r>
        <w:rPr>
          <w:color w:val="auto"/>
        </w:rPr>
        <w:t>being undertaken in the context of a</w:t>
      </w:r>
      <w:r w:rsidRPr="000774D3">
        <w:rPr>
          <w:color w:val="auto"/>
        </w:rPr>
        <w:t xml:space="preserve"> speci</w:t>
      </w:r>
      <w:r>
        <w:rPr>
          <w:color w:val="auto"/>
        </w:rPr>
        <w:t xml:space="preserve">fic modules or the treatment </w:t>
      </w:r>
      <w:r w:rsidRPr="000774D3">
        <w:rPr>
          <w:color w:val="auto"/>
        </w:rPr>
        <w:t xml:space="preserve">was not provided within the context of those modules. This reflects a need to articulate more clearly in the revised model of care, the </w:t>
      </w:r>
      <w:r>
        <w:rPr>
          <w:color w:val="auto"/>
        </w:rPr>
        <w:t xml:space="preserve">purpose and use </w:t>
      </w:r>
      <w:r w:rsidRPr="000774D3">
        <w:rPr>
          <w:color w:val="auto"/>
        </w:rPr>
        <w:t>of the modules.</w:t>
      </w:r>
    </w:p>
    <w:p w14:paraId="2EBE2F52" w14:textId="77777777" w:rsidR="00204D69" w:rsidRDefault="00204D69" w:rsidP="00BC0A26">
      <w:pPr>
        <w:pStyle w:val="Heading3"/>
        <w:rPr>
          <w:lang w:val="en-AU"/>
        </w:rPr>
      </w:pPr>
      <w:r w:rsidRPr="0098506D">
        <w:lastRenderedPageBreak/>
        <w:t xml:space="preserve">Conduct regular group activities targeted at particular age groups or </w:t>
      </w:r>
      <w:r>
        <w:rPr>
          <w:lang w:val="en-AU"/>
        </w:rPr>
        <w:t>gender</w:t>
      </w:r>
      <w:r w:rsidRPr="0098506D">
        <w:t xml:space="preserve"> focusing on relevant issues and responding to community need</w:t>
      </w:r>
    </w:p>
    <w:p w14:paraId="2EBE2F53" w14:textId="77777777" w:rsidR="00204D69" w:rsidRDefault="00204D69" w:rsidP="00204D69">
      <w:pPr>
        <w:rPr>
          <w:color w:val="auto"/>
          <w:lang w:eastAsia="x-none"/>
        </w:rPr>
      </w:pPr>
      <w:r w:rsidRPr="00CC7264">
        <w:rPr>
          <w:color w:val="auto"/>
          <w:lang w:eastAsia="x-none"/>
        </w:rPr>
        <w:t xml:space="preserve">All WBCs provide or are involved in various group activities </w:t>
      </w:r>
      <w:r>
        <w:rPr>
          <w:color w:val="auto"/>
          <w:lang w:eastAsia="x-none"/>
        </w:rPr>
        <w:t xml:space="preserve">either </w:t>
      </w:r>
      <w:r w:rsidRPr="00CC7264">
        <w:rPr>
          <w:color w:val="auto"/>
          <w:lang w:eastAsia="x-none"/>
        </w:rPr>
        <w:t>as the lead agency</w:t>
      </w:r>
      <w:r>
        <w:rPr>
          <w:color w:val="auto"/>
          <w:lang w:eastAsia="x-none"/>
        </w:rPr>
        <w:t xml:space="preserve"> or in collaboration with other agencies. T</w:t>
      </w:r>
      <w:r w:rsidRPr="00CC7264">
        <w:rPr>
          <w:color w:val="auto"/>
          <w:lang w:eastAsia="x-none"/>
        </w:rPr>
        <w:t>hese groups are used to convey key messages consistent with the WBC mandate. Regular Men’s and Women’s groups are common in each of the WBCs</w:t>
      </w:r>
      <w:r>
        <w:rPr>
          <w:color w:val="auto"/>
          <w:lang w:eastAsia="x-none"/>
        </w:rPr>
        <w:t xml:space="preserve"> although they have waxed and waned over time</w:t>
      </w:r>
      <w:r w:rsidRPr="00CC7264">
        <w:rPr>
          <w:color w:val="auto"/>
          <w:lang w:eastAsia="x-none"/>
        </w:rPr>
        <w:t>. Groups for children and adolescents</w:t>
      </w:r>
      <w:r>
        <w:rPr>
          <w:color w:val="auto"/>
          <w:lang w:eastAsia="x-none"/>
        </w:rPr>
        <w:t xml:space="preserve"> were </w:t>
      </w:r>
      <w:r w:rsidRPr="00CC7264">
        <w:rPr>
          <w:color w:val="auto"/>
          <w:lang w:eastAsia="x-none"/>
        </w:rPr>
        <w:t>less common</w:t>
      </w:r>
      <w:r>
        <w:rPr>
          <w:color w:val="auto"/>
          <w:lang w:eastAsia="x-none"/>
        </w:rPr>
        <w:t xml:space="preserve"> initially</w:t>
      </w:r>
      <w:r w:rsidRPr="00CC7264">
        <w:rPr>
          <w:color w:val="auto"/>
          <w:lang w:eastAsia="x-none"/>
        </w:rPr>
        <w:t>, although these have developed</w:t>
      </w:r>
      <w:r>
        <w:rPr>
          <w:color w:val="auto"/>
          <w:lang w:eastAsia="x-none"/>
        </w:rPr>
        <w:t xml:space="preserve"> significantly</w:t>
      </w:r>
      <w:r w:rsidRPr="00CC7264">
        <w:rPr>
          <w:color w:val="auto"/>
          <w:lang w:eastAsia="x-none"/>
        </w:rPr>
        <w:t xml:space="preserve"> since the Phase One Evaluation Report</w:t>
      </w:r>
      <w:r>
        <w:rPr>
          <w:color w:val="auto"/>
          <w:lang w:eastAsia="x-none"/>
        </w:rPr>
        <w:t xml:space="preserve"> (April 2013)</w:t>
      </w:r>
      <w:r w:rsidRPr="00CC7264">
        <w:rPr>
          <w:color w:val="auto"/>
          <w:lang w:eastAsia="x-none"/>
        </w:rPr>
        <w:t xml:space="preserve"> with active gr</w:t>
      </w:r>
      <w:r>
        <w:rPr>
          <w:color w:val="auto"/>
          <w:lang w:eastAsia="x-none"/>
        </w:rPr>
        <w:t>oups in all WBCs</w:t>
      </w:r>
      <w:r w:rsidRPr="00CC7264">
        <w:rPr>
          <w:color w:val="auto"/>
          <w:lang w:eastAsia="x-none"/>
        </w:rPr>
        <w:t>. This direction is strongly supported by partners. One key success is the long standing weekly cooking classes for primary aged school children run by Apunipima in Coen, held in the WBC and supported by their staff. One night each is allocated to boys and girls and a few parents (a number of who are WBC clients) also attend. These are held in the WBC and supported by WBC staff. This has been sus</w:t>
      </w:r>
      <w:r>
        <w:rPr>
          <w:color w:val="auto"/>
          <w:lang w:eastAsia="x-none"/>
        </w:rPr>
        <w:t>tained for a couple of years</w:t>
      </w:r>
      <w:r w:rsidRPr="00CC7264">
        <w:rPr>
          <w:color w:val="auto"/>
          <w:lang w:eastAsia="x-none"/>
        </w:rPr>
        <w:t xml:space="preserve">. </w:t>
      </w:r>
    </w:p>
    <w:p w14:paraId="2EBE2F54" w14:textId="77777777" w:rsidR="00204D69" w:rsidRPr="00CC7264" w:rsidRDefault="00204D69" w:rsidP="00204D69">
      <w:pPr>
        <w:rPr>
          <w:color w:val="auto"/>
          <w:lang w:eastAsia="x-none"/>
        </w:rPr>
      </w:pPr>
      <w:r w:rsidRPr="00CC7264">
        <w:rPr>
          <w:color w:val="auto"/>
          <w:lang w:eastAsia="x-none"/>
        </w:rPr>
        <w:t xml:space="preserve">Another success is the twice weekly homework groups in Mossman Gorge which are now being supplemented by an educator. In Hopevale a number of activities have been implemented and/or supported by the WBC: an inter-agency working group has been established with the WBC playing a lead role; supporting a program that is working with a small number of boys who are creating challenges at the Cooktown school; and leading with visiting mental health clinicians a </w:t>
      </w:r>
      <w:r>
        <w:rPr>
          <w:color w:val="auto"/>
          <w:lang w:eastAsia="x-none"/>
        </w:rPr>
        <w:t xml:space="preserve">personal development and protection </w:t>
      </w:r>
      <w:r w:rsidRPr="00CC7264">
        <w:rPr>
          <w:color w:val="auto"/>
          <w:lang w:eastAsia="x-none"/>
        </w:rPr>
        <w:t>program for young girls that culminated in a camp</w:t>
      </w:r>
      <w:r>
        <w:rPr>
          <w:color w:val="auto"/>
          <w:lang w:eastAsia="x-none"/>
        </w:rPr>
        <w:t xml:space="preserve"> and now ongoing group activities</w:t>
      </w:r>
      <w:r w:rsidRPr="00CC7264">
        <w:rPr>
          <w:color w:val="auto"/>
          <w:lang w:eastAsia="x-none"/>
        </w:rPr>
        <w:t>. Most significantly, these latter two programs have been facilitated by the local community development consultants.</w:t>
      </w:r>
    </w:p>
    <w:p w14:paraId="2EBE2F55" w14:textId="77777777" w:rsidR="00204D69" w:rsidRDefault="00204D69" w:rsidP="00204D69">
      <w:pPr>
        <w:rPr>
          <w:color w:val="auto"/>
          <w:lang w:eastAsia="x-none"/>
        </w:rPr>
      </w:pPr>
      <w:r w:rsidRPr="00CC7264">
        <w:rPr>
          <w:color w:val="auto"/>
          <w:lang w:eastAsia="x-none"/>
        </w:rPr>
        <w:t>The number and type of groups has changed over time</w:t>
      </w:r>
      <w:r>
        <w:rPr>
          <w:color w:val="auto"/>
          <w:lang w:eastAsia="x-none"/>
        </w:rPr>
        <w:t xml:space="preserve"> </w:t>
      </w:r>
      <w:r w:rsidRPr="00CC7264">
        <w:rPr>
          <w:color w:val="auto"/>
          <w:lang w:eastAsia="x-none"/>
        </w:rPr>
        <w:t>and a more detailed level of activity is presented in</w:t>
      </w:r>
      <w:r>
        <w:rPr>
          <w:color w:val="auto"/>
          <w:lang w:eastAsia="x-none"/>
        </w:rPr>
        <w:t xml:space="preserve"> </w:t>
      </w:r>
      <w:r w:rsidRPr="003C3D25">
        <w:rPr>
          <w:color w:val="auto"/>
          <w:lang w:eastAsia="x-none"/>
        </w:rPr>
        <w:t>Appendix 15</w:t>
      </w:r>
      <w:r w:rsidRPr="00CC7264">
        <w:rPr>
          <w:color w:val="auto"/>
          <w:lang w:eastAsia="x-none"/>
        </w:rPr>
        <w:t>. Overall 28% or 13 of all clients we interviewed and 50% of clients who had participated in groups stated that these services had contributed to the changes they had made.</w:t>
      </w:r>
    </w:p>
    <w:p w14:paraId="2EBE2F56" w14:textId="77777777" w:rsidR="00204D69" w:rsidRPr="00CC7264" w:rsidRDefault="00204D69" w:rsidP="00204D69">
      <w:pPr>
        <w:rPr>
          <w:color w:val="auto"/>
          <w:lang w:eastAsia="x-none"/>
        </w:rPr>
      </w:pPr>
      <w:r>
        <w:rPr>
          <w:lang w:eastAsia="en-AU"/>
        </w:rPr>
        <w:t>Fifty per</w:t>
      </w:r>
      <w:r w:rsidR="00834785">
        <w:rPr>
          <w:lang w:eastAsia="en-AU"/>
        </w:rPr>
        <w:t xml:space="preserve"> </w:t>
      </w:r>
      <w:r>
        <w:rPr>
          <w:lang w:eastAsia="en-AU"/>
        </w:rPr>
        <w:t>cent of relevant community members interviewed (50%, 175 people) indicated they found groups a most useful service.</w:t>
      </w:r>
    </w:p>
    <w:p w14:paraId="2EBE2F57" w14:textId="77777777" w:rsidR="00204D69" w:rsidRDefault="00204D69" w:rsidP="00204D69">
      <w:pPr>
        <w:rPr>
          <w:lang w:eastAsia="x-none"/>
        </w:rPr>
      </w:pPr>
      <w:r w:rsidRPr="003923A8">
        <w:rPr>
          <w:lang w:eastAsia="x-none"/>
        </w:rPr>
        <w:t>Each of the WBCs are providing on-country activities (group cultural activities, camps, health/mental health checks</w:t>
      </w:r>
      <w:r>
        <w:rPr>
          <w:lang w:eastAsia="x-none"/>
        </w:rPr>
        <w:t>, outreach visits</w:t>
      </w:r>
      <w:r w:rsidRPr="003923A8">
        <w:rPr>
          <w:lang w:eastAsia="x-none"/>
        </w:rPr>
        <w:t>)</w:t>
      </w:r>
      <w:r>
        <w:rPr>
          <w:lang w:eastAsia="x-none"/>
        </w:rPr>
        <w:t xml:space="preserve"> to varying degrees</w:t>
      </w:r>
      <w:r w:rsidRPr="003923A8">
        <w:rPr>
          <w:lang w:eastAsia="x-none"/>
        </w:rPr>
        <w:t xml:space="preserve"> and these are highly regarded by clients/community. Additionally, the WBCs offer community ‘events’ or support partners in these activities. Stakeholders generally believed there may be opportunity to expand on these initiatives in response to identified community need</w:t>
      </w:r>
      <w:r>
        <w:rPr>
          <w:lang w:eastAsia="x-none"/>
        </w:rPr>
        <w:t>.</w:t>
      </w:r>
    </w:p>
    <w:p w14:paraId="2EBE2F58" w14:textId="77777777" w:rsidR="00204D69" w:rsidRPr="00647192" w:rsidRDefault="00204D69" w:rsidP="00BC0A26">
      <w:pPr>
        <w:pStyle w:val="Heading3"/>
      </w:pPr>
      <w:bookmarkStart w:id="154" w:name="_Ref387397815"/>
      <w:r w:rsidRPr="00647192">
        <w:t>Lead or participate in community wide campaigns to address relevant key social issues and provide leadership at a community level in relation to responding to relevant social issues</w:t>
      </w:r>
      <w:bookmarkEnd w:id="154"/>
    </w:p>
    <w:p w14:paraId="2EBE2F59" w14:textId="77777777" w:rsidR="00204D69" w:rsidRDefault="00204D69" w:rsidP="00204D69">
      <w:pPr>
        <w:rPr>
          <w:color w:val="auto"/>
          <w:lang w:eastAsia="x-none"/>
        </w:rPr>
      </w:pPr>
      <w:r w:rsidRPr="00CC7264">
        <w:rPr>
          <w:color w:val="auto"/>
          <w:lang w:eastAsia="x-none"/>
        </w:rPr>
        <w:t>HOI reported</w:t>
      </w:r>
      <w:r>
        <w:rPr>
          <w:color w:val="auto"/>
          <w:lang w:eastAsia="x-none"/>
        </w:rPr>
        <w:t xml:space="preserve"> during earlier evaluation activity </w:t>
      </w:r>
      <w:r w:rsidRPr="00CC7264">
        <w:rPr>
          <w:color w:val="auto"/>
          <w:lang w:eastAsia="x-none"/>
        </w:rPr>
        <w:t xml:space="preserve">of an apparent lack of leadership </w:t>
      </w:r>
      <w:r>
        <w:rPr>
          <w:color w:val="auto"/>
          <w:lang w:eastAsia="x-none"/>
        </w:rPr>
        <w:t xml:space="preserve">and coordination </w:t>
      </w:r>
      <w:r w:rsidRPr="00CC7264">
        <w:rPr>
          <w:color w:val="auto"/>
          <w:lang w:eastAsia="x-none"/>
        </w:rPr>
        <w:t xml:space="preserve">at the local level for agencies to identify issues and develop strategies </w:t>
      </w:r>
      <w:r>
        <w:rPr>
          <w:color w:val="auto"/>
          <w:lang w:eastAsia="x-none"/>
        </w:rPr>
        <w:t xml:space="preserve">for particular families or </w:t>
      </w:r>
      <w:r w:rsidRPr="00CC7264">
        <w:rPr>
          <w:color w:val="auto"/>
          <w:lang w:eastAsia="x-none"/>
        </w:rPr>
        <w:t xml:space="preserve">community wide </w:t>
      </w:r>
      <w:r>
        <w:rPr>
          <w:color w:val="auto"/>
          <w:lang w:eastAsia="x-none"/>
        </w:rPr>
        <w:t xml:space="preserve">addressing </w:t>
      </w:r>
      <w:r w:rsidRPr="00CC7264">
        <w:rPr>
          <w:color w:val="auto"/>
          <w:lang w:eastAsia="x-none"/>
        </w:rPr>
        <w:t xml:space="preserve">relevant social issues. </w:t>
      </w:r>
      <w:r>
        <w:rPr>
          <w:color w:val="auto"/>
          <w:lang w:eastAsia="x-none"/>
        </w:rPr>
        <w:t>T</w:t>
      </w:r>
      <w:r w:rsidRPr="00CC7264">
        <w:rPr>
          <w:color w:val="auto"/>
          <w:lang w:eastAsia="x-none"/>
        </w:rPr>
        <w:t xml:space="preserve">here is more recent evidence of the WBC, </w:t>
      </w:r>
      <w:r>
        <w:rPr>
          <w:color w:val="auto"/>
          <w:lang w:eastAsia="x-none"/>
        </w:rPr>
        <w:t>community’s</w:t>
      </w:r>
      <w:r w:rsidRPr="00CC7264">
        <w:rPr>
          <w:color w:val="auto"/>
          <w:lang w:eastAsia="x-none"/>
        </w:rPr>
        <w:t xml:space="preserve"> and local agencies coming together to address particular prioritised community needs (e.g. focus on youth in Hopevale, difficult to manage younger people in Aurukun, and petrol sniffing and provision of after-school and holiday activities in Mossman Gorge) and this should continue to be encouraged. </w:t>
      </w:r>
    </w:p>
    <w:p w14:paraId="2EBE2F5A" w14:textId="77777777" w:rsidR="00204D69" w:rsidRPr="00CC7264" w:rsidRDefault="00204D69" w:rsidP="00204D69">
      <w:pPr>
        <w:rPr>
          <w:color w:val="auto"/>
          <w:lang w:eastAsia="x-none"/>
        </w:rPr>
      </w:pPr>
      <w:r>
        <w:rPr>
          <w:color w:val="auto"/>
          <w:lang w:eastAsia="x-none"/>
        </w:rPr>
        <w:t>There does not appear to be any cross agency social service/primary health group that formally interacts with community leaders to oversee this process</w:t>
      </w:r>
      <w:r w:rsidRPr="005B720F">
        <w:rPr>
          <w:color w:val="auto"/>
          <w:lang w:eastAsia="x-none"/>
        </w:rPr>
        <w:t>. This is something that needs to be developed within the context of each community and is further discussed in Section 3.</w:t>
      </w:r>
      <w:r>
        <w:rPr>
          <w:color w:val="auto"/>
          <w:lang w:eastAsia="x-none"/>
        </w:rPr>
        <w:t>7.5</w:t>
      </w:r>
      <w:r w:rsidRPr="005B720F">
        <w:rPr>
          <w:color w:val="auto"/>
          <w:lang w:eastAsia="x-none"/>
        </w:rPr>
        <w:t xml:space="preserve"> Ultimately</w:t>
      </w:r>
      <w:r>
        <w:rPr>
          <w:color w:val="auto"/>
          <w:lang w:eastAsia="x-none"/>
        </w:rPr>
        <w:t xml:space="preserve"> t</w:t>
      </w:r>
      <w:r w:rsidRPr="00CC7264">
        <w:rPr>
          <w:color w:val="auto"/>
          <w:lang w:eastAsia="x-none"/>
        </w:rPr>
        <w:t>he role played by the WBC</w:t>
      </w:r>
      <w:r>
        <w:rPr>
          <w:color w:val="auto"/>
          <w:lang w:eastAsia="x-none"/>
        </w:rPr>
        <w:t xml:space="preserve"> will </w:t>
      </w:r>
      <w:r w:rsidRPr="00CC7264">
        <w:rPr>
          <w:color w:val="auto"/>
          <w:lang w:eastAsia="x-none"/>
        </w:rPr>
        <w:t>vary depending on the type of issue and the community.</w:t>
      </w:r>
    </w:p>
    <w:p w14:paraId="2EBE2F5B" w14:textId="77777777" w:rsidR="00204D69" w:rsidRDefault="00E1297E" w:rsidP="00BC0A26">
      <w:pPr>
        <w:pStyle w:val="Heading3"/>
        <w:rPr>
          <w:lang w:val="en-AU"/>
        </w:rPr>
      </w:pPr>
      <w:r>
        <w:rPr>
          <w:lang w:val="en-AU"/>
        </w:rPr>
        <w:lastRenderedPageBreak/>
        <w:t>A f</w:t>
      </w:r>
      <w:r w:rsidR="00204D69" w:rsidRPr="00CC268D">
        <w:t xml:space="preserve">ocus on drug and alcohol problems </w:t>
      </w:r>
      <w:r>
        <w:rPr>
          <w:lang w:val="en-AU"/>
        </w:rPr>
        <w:t>(</w:t>
      </w:r>
      <w:r w:rsidR="00204D69" w:rsidRPr="00CC268D">
        <w:t>as well a wide range of other SEWB issues</w:t>
      </w:r>
      <w:r>
        <w:rPr>
          <w:lang w:val="en-AU"/>
        </w:rPr>
        <w:t>)</w:t>
      </w:r>
    </w:p>
    <w:p w14:paraId="2EBE2F5C" w14:textId="77777777" w:rsidR="00204D69" w:rsidRPr="00CC7264" w:rsidRDefault="00204D69" w:rsidP="00204D69">
      <w:pPr>
        <w:rPr>
          <w:color w:val="auto"/>
          <w:lang w:eastAsia="x-none"/>
        </w:rPr>
      </w:pPr>
      <w:r w:rsidRPr="00CC7264">
        <w:rPr>
          <w:color w:val="auto"/>
          <w:lang w:eastAsia="x-none"/>
        </w:rPr>
        <w:t>In relation to ATODS services the WBCs provide assessment, counselling, information and education, support and case management. They do not provide withdrawal management, residential rehabilitation or pharmacotherapy. Clients requiring these services and willing to participate are currently referred to an appropriate service</w:t>
      </w:r>
      <w:r>
        <w:rPr>
          <w:color w:val="auto"/>
          <w:lang w:eastAsia="x-none"/>
        </w:rPr>
        <w:t xml:space="preserve"> out of community</w:t>
      </w:r>
      <w:r w:rsidRPr="00CC7264">
        <w:rPr>
          <w:color w:val="auto"/>
          <w:lang w:eastAsia="x-none"/>
        </w:rPr>
        <w:t xml:space="preserve">. </w:t>
      </w:r>
    </w:p>
    <w:p w14:paraId="2EBE2F5D" w14:textId="77777777" w:rsidR="00204D69" w:rsidRDefault="00204D69" w:rsidP="00204D69">
      <w:r w:rsidRPr="00CC7264">
        <w:rPr>
          <w:color w:val="auto"/>
          <w:lang w:eastAsia="x-none"/>
        </w:rPr>
        <w:t xml:space="preserve">The </w:t>
      </w:r>
      <w:r>
        <w:rPr>
          <w:color w:val="auto"/>
          <w:lang w:eastAsia="x-none"/>
        </w:rPr>
        <w:t>diagnosed assessment issue and reason</w:t>
      </w:r>
      <w:r w:rsidRPr="00CC7264">
        <w:rPr>
          <w:color w:val="auto"/>
          <w:lang w:eastAsia="x-none"/>
        </w:rPr>
        <w:t xml:space="preserve"> for presentation are set out in </w:t>
      </w:r>
      <w:r>
        <w:rPr>
          <w:color w:val="auto"/>
          <w:lang w:eastAsia="x-none"/>
        </w:rPr>
        <w:t xml:space="preserve">Section 3.4.2 </w:t>
      </w:r>
      <w:r w:rsidRPr="00CC7264">
        <w:rPr>
          <w:color w:val="auto"/>
          <w:lang w:eastAsia="x-none"/>
        </w:rPr>
        <w:t xml:space="preserve">and demonstrate that the WBCs have clients with a wide range of presenting problems </w:t>
      </w:r>
      <w:r>
        <w:rPr>
          <w:color w:val="auto"/>
          <w:lang w:eastAsia="x-none"/>
        </w:rPr>
        <w:t>inc</w:t>
      </w:r>
      <w:r w:rsidR="00AA7FBB">
        <w:rPr>
          <w:color w:val="auto"/>
          <w:lang w:eastAsia="x-none"/>
        </w:rPr>
        <w:t xml:space="preserve">luding alcohol and other drugs </w:t>
      </w:r>
      <w:r>
        <w:rPr>
          <w:color w:val="auto"/>
          <w:lang w:eastAsia="x-none"/>
        </w:rPr>
        <w:t>which comprise</w:t>
      </w:r>
      <w:r w:rsidR="00AA7FBB">
        <w:rPr>
          <w:color w:val="auto"/>
          <w:lang w:eastAsia="x-none"/>
        </w:rPr>
        <w:t>d</w:t>
      </w:r>
      <w:r>
        <w:rPr>
          <w:color w:val="auto"/>
          <w:lang w:eastAsia="x-none"/>
        </w:rPr>
        <w:t xml:space="preserve"> 20% of primary diagnosis issues</w:t>
      </w:r>
      <w:r w:rsidRPr="00CC7264">
        <w:rPr>
          <w:color w:val="auto"/>
          <w:lang w:eastAsia="x-none"/>
        </w:rPr>
        <w:t>.</w:t>
      </w:r>
      <w:r w:rsidR="00E1297E">
        <w:rPr>
          <w:color w:val="auto"/>
          <w:lang w:eastAsia="x-none"/>
        </w:rPr>
        <w:t xml:space="preserve"> In addition </w:t>
      </w:r>
      <w:r w:rsidR="00E1297E">
        <w:t>an examination of underlying issues for all clients since inception indicate</w:t>
      </w:r>
      <w:r w:rsidR="00AA7FBB">
        <w:t>s</w:t>
      </w:r>
      <w:r w:rsidR="00E1297E">
        <w:t xml:space="preserve"> that 53% of clients had at least one presentation where alcohol or other drugs was an underlying issue.</w:t>
      </w:r>
    </w:p>
    <w:p w14:paraId="2EBE2F5E" w14:textId="77777777" w:rsidR="00E1297E" w:rsidRDefault="00E1297E" w:rsidP="00BC0A26">
      <w:pPr>
        <w:pStyle w:val="Heading3"/>
      </w:pPr>
      <w:r w:rsidRPr="00E1297E">
        <w:t>A focus on mental health issues (as well a wide range of other SEWB issues)</w:t>
      </w:r>
    </w:p>
    <w:p w14:paraId="2EBE2F5F" w14:textId="77777777" w:rsidR="00A31330" w:rsidRDefault="00A31330" w:rsidP="00A31330">
      <w:r w:rsidRPr="00CC7264">
        <w:rPr>
          <w:color w:val="auto"/>
          <w:lang w:eastAsia="x-none"/>
        </w:rPr>
        <w:t xml:space="preserve">The </w:t>
      </w:r>
      <w:r>
        <w:rPr>
          <w:color w:val="auto"/>
          <w:lang w:eastAsia="x-none"/>
        </w:rPr>
        <w:t>diagnosed assessment issue and reason</w:t>
      </w:r>
      <w:r w:rsidRPr="00CC7264">
        <w:rPr>
          <w:color w:val="auto"/>
          <w:lang w:eastAsia="x-none"/>
        </w:rPr>
        <w:t xml:space="preserve"> for presentation are set out in </w:t>
      </w:r>
      <w:r>
        <w:rPr>
          <w:color w:val="auto"/>
          <w:lang w:eastAsia="x-none"/>
        </w:rPr>
        <w:t xml:space="preserve">Section 3.4.2 </w:t>
      </w:r>
      <w:r w:rsidRPr="00CC7264">
        <w:rPr>
          <w:color w:val="auto"/>
          <w:lang w:eastAsia="x-none"/>
        </w:rPr>
        <w:t xml:space="preserve">and demonstrate that the WBCs have clients with a wide range of presenting problems </w:t>
      </w:r>
      <w:r w:rsidR="00AA7FBB">
        <w:rPr>
          <w:color w:val="auto"/>
          <w:lang w:eastAsia="x-none"/>
        </w:rPr>
        <w:t xml:space="preserve">including mental health </w:t>
      </w:r>
      <w:r>
        <w:rPr>
          <w:color w:val="auto"/>
          <w:lang w:eastAsia="x-none"/>
        </w:rPr>
        <w:t>which comprise</w:t>
      </w:r>
      <w:r w:rsidR="00AA7FBB">
        <w:rPr>
          <w:color w:val="auto"/>
          <w:lang w:eastAsia="x-none"/>
        </w:rPr>
        <w:t>d</w:t>
      </w:r>
      <w:r>
        <w:rPr>
          <w:color w:val="auto"/>
          <w:lang w:eastAsia="x-none"/>
        </w:rPr>
        <w:t xml:space="preserve"> 2</w:t>
      </w:r>
      <w:r w:rsidR="00AA7FBB">
        <w:rPr>
          <w:color w:val="auto"/>
          <w:lang w:eastAsia="x-none"/>
        </w:rPr>
        <w:t>1</w:t>
      </w:r>
      <w:r>
        <w:rPr>
          <w:color w:val="auto"/>
          <w:lang w:eastAsia="x-none"/>
        </w:rPr>
        <w:t>% of primary diagnosis issues</w:t>
      </w:r>
      <w:r w:rsidRPr="00CC7264">
        <w:rPr>
          <w:color w:val="auto"/>
          <w:lang w:eastAsia="x-none"/>
        </w:rPr>
        <w:t>.</w:t>
      </w:r>
      <w:r>
        <w:rPr>
          <w:color w:val="auto"/>
          <w:lang w:eastAsia="x-none"/>
        </w:rPr>
        <w:t xml:space="preserve"> In addition </w:t>
      </w:r>
      <w:r>
        <w:t>an examination of underlying issues for all clients</w:t>
      </w:r>
      <w:r w:rsidR="00AA7FBB">
        <w:t xml:space="preserve"> since inception indicates that 4</w:t>
      </w:r>
      <w:r>
        <w:t xml:space="preserve">3% of clients had at least one presentation where </w:t>
      </w:r>
      <w:r w:rsidR="00AA7FBB">
        <w:t>mental health</w:t>
      </w:r>
      <w:r>
        <w:t xml:space="preserve"> was an underly</w:t>
      </w:r>
      <w:r w:rsidR="00AA7FBB">
        <w:t>ing issue - this is not necessarily based on a formal diagnosis but rather an underlying issue identified by the staff member at the time of that presentation.</w:t>
      </w:r>
    </w:p>
    <w:p w14:paraId="2EBE2F60" w14:textId="77777777" w:rsidR="0021373C" w:rsidRDefault="00E1297E" w:rsidP="0021373C">
      <w:pPr>
        <w:rPr>
          <w:lang w:eastAsia="x-none"/>
        </w:rPr>
      </w:pPr>
      <w:r>
        <w:rPr>
          <w:lang w:eastAsia="x-none"/>
        </w:rPr>
        <w:t>WBCs receive referrals from general practitioners working at the health clinics. As general practitioners are not fun</w:t>
      </w:r>
      <w:r w:rsidR="00796D8C">
        <w:rPr>
          <w:lang w:eastAsia="x-none"/>
        </w:rPr>
        <w:t>ded on the basis of developing</w:t>
      </w:r>
      <w:r>
        <w:rPr>
          <w:lang w:eastAsia="x-none"/>
        </w:rPr>
        <w:t xml:space="preserve"> formal mental health care plan</w:t>
      </w:r>
      <w:r w:rsidR="00266EBF">
        <w:rPr>
          <w:lang w:eastAsia="x-none"/>
        </w:rPr>
        <w:t>s</w:t>
      </w:r>
      <w:r>
        <w:rPr>
          <w:lang w:eastAsia="x-none"/>
        </w:rPr>
        <w:t>, such plan</w:t>
      </w:r>
      <w:r w:rsidR="00266EBF">
        <w:rPr>
          <w:lang w:eastAsia="x-none"/>
        </w:rPr>
        <w:t>s</w:t>
      </w:r>
      <w:r>
        <w:rPr>
          <w:lang w:eastAsia="x-none"/>
        </w:rPr>
        <w:t xml:space="preserve"> </w:t>
      </w:r>
      <w:r w:rsidR="00266EBF">
        <w:rPr>
          <w:lang w:eastAsia="x-none"/>
        </w:rPr>
        <w:t>are</w:t>
      </w:r>
      <w:r>
        <w:rPr>
          <w:lang w:eastAsia="x-none"/>
        </w:rPr>
        <w:t xml:space="preserve"> not completed. Rather a simple referral is made to the WBC. The WBC will undertake its own assessment and refer back to</w:t>
      </w:r>
      <w:r w:rsidR="00796D8C">
        <w:rPr>
          <w:lang w:eastAsia="x-none"/>
        </w:rPr>
        <w:t>, and work with</w:t>
      </w:r>
      <w:r>
        <w:rPr>
          <w:lang w:eastAsia="x-none"/>
        </w:rPr>
        <w:t xml:space="preserve"> the GP as required. The shared care arrangements are not formalised.</w:t>
      </w:r>
      <w:r w:rsidR="00A31330">
        <w:rPr>
          <w:lang w:eastAsia="x-none"/>
        </w:rPr>
        <w:t xml:space="preserve"> </w:t>
      </w:r>
      <w:r w:rsidR="003218B1">
        <w:rPr>
          <w:lang w:eastAsia="x-none"/>
        </w:rPr>
        <w:t xml:space="preserve">The Department of Health have advised that all clients should have been under the management of the GP care plan. </w:t>
      </w:r>
      <w:r w:rsidR="00A31330">
        <w:rPr>
          <w:lang w:eastAsia="x-none"/>
        </w:rPr>
        <w:t xml:space="preserve">Where clients are also clients of CYHHS Mental Health close working relationships are developed between front line service providers. </w:t>
      </w:r>
      <w:r w:rsidR="0021373C">
        <w:rPr>
          <w:lang w:eastAsia="x-none"/>
        </w:rPr>
        <w:t>As identified elsewhere in this report there is opportunity to strengthen the formalised relationships and operational protocols with CYHHS Mental Health.</w:t>
      </w:r>
    </w:p>
    <w:p w14:paraId="2EBE2F61" w14:textId="77777777" w:rsidR="00A31330" w:rsidRDefault="00A31330" w:rsidP="00E1297E">
      <w:pPr>
        <w:rPr>
          <w:lang w:eastAsia="x-none"/>
        </w:rPr>
      </w:pPr>
      <w:r>
        <w:rPr>
          <w:lang w:eastAsia="x-none"/>
        </w:rPr>
        <w:t xml:space="preserve">In Aurukun most community members who are clients of CYHHS Mental Health are also clients of the Personal Helpers and Mentors program. Any support provided by staff based in Aurukun relating to these clients </w:t>
      </w:r>
      <w:r w:rsidR="0021373C">
        <w:rPr>
          <w:lang w:eastAsia="x-none"/>
        </w:rPr>
        <w:t>is</w:t>
      </w:r>
      <w:r>
        <w:rPr>
          <w:lang w:eastAsia="x-none"/>
        </w:rPr>
        <w:t xml:space="preserve"> attached to that program.</w:t>
      </w:r>
    </w:p>
    <w:p w14:paraId="2EBE2F62" w14:textId="77777777" w:rsidR="00ED65D7" w:rsidRDefault="00266EBF" w:rsidP="00266EBF">
      <w:pPr>
        <w:rPr>
          <w:lang w:eastAsia="x-none"/>
        </w:rPr>
      </w:pPr>
      <w:r>
        <w:rPr>
          <w:lang w:eastAsia="x-none"/>
        </w:rPr>
        <w:t>For mental health clients WBCs are providing clinical counselling, general counselling</w:t>
      </w:r>
      <w:r w:rsidR="0021373C">
        <w:rPr>
          <w:lang w:eastAsia="x-none"/>
        </w:rPr>
        <w:t xml:space="preserve"> and psychosocial support to the client, family support</w:t>
      </w:r>
      <w:r>
        <w:rPr>
          <w:lang w:eastAsia="x-none"/>
        </w:rPr>
        <w:t>, access to group activities and a drop</w:t>
      </w:r>
      <w:r w:rsidR="0021373C">
        <w:rPr>
          <w:lang w:eastAsia="x-none"/>
        </w:rPr>
        <w:t>-in facility if required. While</w:t>
      </w:r>
      <w:r>
        <w:rPr>
          <w:lang w:eastAsia="x-none"/>
        </w:rPr>
        <w:t xml:space="preserve"> they do not administer drugs they facilitate locating the client</w:t>
      </w:r>
      <w:r w:rsidR="00796D8C">
        <w:rPr>
          <w:lang w:eastAsia="x-none"/>
        </w:rPr>
        <w:t xml:space="preserve"> and monitoring the effects</w:t>
      </w:r>
      <w:r>
        <w:rPr>
          <w:lang w:eastAsia="x-none"/>
        </w:rPr>
        <w:t xml:space="preserve">. </w:t>
      </w:r>
    </w:p>
    <w:p w14:paraId="2EBE2F63" w14:textId="77777777" w:rsidR="00204D69" w:rsidRPr="00E461F0" w:rsidRDefault="00204D69" w:rsidP="00BC0A26">
      <w:pPr>
        <w:pStyle w:val="Heading3"/>
        <w:rPr>
          <w:noProof/>
          <w:lang w:val="en-AU"/>
        </w:rPr>
      </w:pPr>
      <w:bookmarkStart w:id="155" w:name="_Ref387059412"/>
      <w:r w:rsidRPr="00E461F0">
        <w:rPr>
          <w:noProof/>
        </w:rPr>
        <w:t>Primary health care integration</w:t>
      </w:r>
      <w:bookmarkEnd w:id="155"/>
    </w:p>
    <w:p w14:paraId="2EBE2F64" w14:textId="77777777" w:rsidR="005F504E" w:rsidRDefault="00D8681E" w:rsidP="00204D69">
      <w:pPr>
        <w:rPr>
          <w:lang w:eastAsia="x-none"/>
        </w:rPr>
      </w:pPr>
      <w:r w:rsidRPr="00BD5004">
        <w:rPr>
          <w:rFonts w:cs="Segoe UI"/>
        </w:rPr>
        <w:t>The WBC</w:t>
      </w:r>
      <w:r>
        <w:rPr>
          <w:rFonts w:cs="Segoe UI"/>
        </w:rPr>
        <w:t xml:space="preserve">s were established to </w:t>
      </w:r>
      <w:r w:rsidRPr="00BD5004">
        <w:rPr>
          <w:rFonts w:cs="Segoe UI"/>
        </w:rPr>
        <w:t xml:space="preserve">deliver an integrated, community based and culturally appropriate social health service with a focus on </w:t>
      </w:r>
      <w:r>
        <w:rPr>
          <w:rFonts w:cs="Segoe UI"/>
        </w:rPr>
        <w:t>alcohol and other drugs,</w:t>
      </w:r>
      <w:r w:rsidRPr="00BD5004">
        <w:rPr>
          <w:rFonts w:cs="Segoe UI"/>
        </w:rPr>
        <w:t xml:space="preserve"> gambling, family violence, mental health and general counselling in each of the four sites.</w:t>
      </w:r>
      <w:r w:rsidR="005F504E">
        <w:rPr>
          <w:rFonts w:cs="Segoe UI"/>
        </w:rPr>
        <w:t xml:space="preserve"> </w:t>
      </w:r>
      <w:r w:rsidR="00204D69">
        <w:rPr>
          <w:lang w:eastAsia="x-none"/>
        </w:rPr>
        <w:t>I</w:t>
      </w:r>
      <w:r w:rsidR="00204D69" w:rsidRPr="00CB6E41">
        <w:rPr>
          <w:lang w:eastAsia="x-none"/>
        </w:rPr>
        <w:t>n the early years of operation</w:t>
      </w:r>
      <w:r w:rsidR="00204D69">
        <w:rPr>
          <w:lang w:eastAsia="x-none"/>
        </w:rPr>
        <w:t xml:space="preserve"> the WBCs focus was on the provision of </w:t>
      </w:r>
      <w:r w:rsidR="005F504E">
        <w:rPr>
          <w:lang w:eastAsia="x-none"/>
        </w:rPr>
        <w:t xml:space="preserve">these </w:t>
      </w:r>
      <w:r w:rsidR="00204D69">
        <w:rPr>
          <w:lang w:eastAsia="x-none"/>
        </w:rPr>
        <w:t>services</w:t>
      </w:r>
      <w:r w:rsidR="005F504E">
        <w:rPr>
          <w:lang w:eastAsia="x-none"/>
        </w:rPr>
        <w:t xml:space="preserve"> and as previously discussed included iterative development of the service model to best respond to community need</w:t>
      </w:r>
      <w:r w:rsidR="00634694">
        <w:rPr>
          <w:lang w:eastAsia="x-none"/>
        </w:rPr>
        <w:t>,</w:t>
      </w:r>
      <w:r w:rsidR="005F504E">
        <w:rPr>
          <w:lang w:eastAsia="x-none"/>
        </w:rPr>
        <w:t xml:space="preserve"> taking account of existing service provision and collaborating with </w:t>
      </w:r>
      <w:r w:rsidR="000B65C2">
        <w:rPr>
          <w:lang w:eastAsia="x-none"/>
        </w:rPr>
        <w:t xml:space="preserve">a range of </w:t>
      </w:r>
      <w:r w:rsidR="005F504E">
        <w:rPr>
          <w:lang w:eastAsia="x-none"/>
        </w:rPr>
        <w:t xml:space="preserve">other service providers. This included working with the predominant primary health care </w:t>
      </w:r>
      <w:r w:rsidR="004D6348">
        <w:rPr>
          <w:lang w:eastAsia="x-none"/>
        </w:rPr>
        <w:t xml:space="preserve">(PHC) </w:t>
      </w:r>
      <w:r w:rsidR="005F504E">
        <w:rPr>
          <w:lang w:eastAsia="x-none"/>
        </w:rPr>
        <w:t>providers</w:t>
      </w:r>
      <w:r w:rsidR="00634694">
        <w:rPr>
          <w:lang w:eastAsia="x-none"/>
        </w:rPr>
        <w:t xml:space="preserve">, that is, </w:t>
      </w:r>
      <w:r w:rsidR="005F504E">
        <w:rPr>
          <w:lang w:eastAsia="x-none"/>
        </w:rPr>
        <w:t>local CYHHS clinics and Apunipima.</w:t>
      </w:r>
    </w:p>
    <w:p w14:paraId="2EBE2F65" w14:textId="77777777" w:rsidR="004D6348" w:rsidRDefault="004D6348" w:rsidP="00204D69">
      <w:pPr>
        <w:rPr>
          <w:lang w:eastAsia="x-none"/>
        </w:rPr>
      </w:pPr>
      <w:r>
        <w:rPr>
          <w:lang w:eastAsia="x-none"/>
        </w:rPr>
        <w:lastRenderedPageBreak/>
        <w:t xml:space="preserve">As the WBCs became further established, </w:t>
      </w:r>
      <w:r w:rsidR="00C50AF3">
        <w:rPr>
          <w:lang w:eastAsia="x-none"/>
        </w:rPr>
        <w:t xml:space="preserve">the existing relationship with local </w:t>
      </w:r>
      <w:r>
        <w:rPr>
          <w:lang w:eastAsia="x-none"/>
        </w:rPr>
        <w:t xml:space="preserve">PHC service providers, </w:t>
      </w:r>
      <w:r w:rsidR="00634694">
        <w:rPr>
          <w:lang w:eastAsia="x-none"/>
        </w:rPr>
        <w:t xml:space="preserve">an obvious client benefit, </w:t>
      </w:r>
      <w:r>
        <w:rPr>
          <w:lang w:eastAsia="x-none"/>
        </w:rPr>
        <w:t>the establishment of the Single Desk Officer Trial (</w:t>
      </w:r>
      <w:r>
        <w:rPr>
          <w:lang w:eastAsia="x-none"/>
        </w:rPr>
        <w:fldChar w:fldCharType="begin"/>
      </w:r>
      <w:r>
        <w:rPr>
          <w:lang w:eastAsia="x-none"/>
        </w:rPr>
        <w:instrText xml:space="preserve"> REF _Ref387059453 \r \h </w:instrText>
      </w:r>
      <w:r>
        <w:rPr>
          <w:lang w:eastAsia="x-none"/>
        </w:rPr>
      </w:r>
      <w:r>
        <w:rPr>
          <w:lang w:eastAsia="x-none"/>
        </w:rPr>
        <w:fldChar w:fldCharType="separate"/>
      </w:r>
      <w:r w:rsidR="009A19EB">
        <w:rPr>
          <w:lang w:eastAsia="x-none"/>
        </w:rPr>
        <w:t>3.16</w:t>
      </w:r>
      <w:r>
        <w:rPr>
          <w:lang w:eastAsia="x-none"/>
        </w:rPr>
        <w:fldChar w:fldCharType="end"/>
      </w:r>
      <w:r>
        <w:rPr>
          <w:lang w:eastAsia="x-none"/>
        </w:rPr>
        <w:t xml:space="preserve">) and feedback from funders highlighted the </w:t>
      </w:r>
      <w:r w:rsidR="00DE16AA">
        <w:rPr>
          <w:lang w:eastAsia="x-none"/>
        </w:rPr>
        <w:t xml:space="preserve">opportunity </w:t>
      </w:r>
      <w:r>
        <w:rPr>
          <w:lang w:eastAsia="x-none"/>
        </w:rPr>
        <w:t xml:space="preserve">to collaborate </w:t>
      </w:r>
      <w:r w:rsidR="00DE16AA">
        <w:rPr>
          <w:lang w:eastAsia="x-none"/>
        </w:rPr>
        <w:t xml:space="preserve">further </w:t>
      </w:r>
      <w:r>
        <w:rPr>
          <w:lang w:eastAsia="x-none"/>
        </w:rPr>
        <w:t xml:space="preserve">and integrate where possible </w:t>
      </w:r>
      <w:r>
        <w:t>non-SEWB primary health care (e.g. physical health) for the client group in line with source program funding and international best practice</w:t>
      </w:r>
      <w:r w:rsidR="00DE16AA">
        <w:t xml:space="preserve"> with the aim of enhancing client outcomes</w:t>
      </w:r>
      <w:r>
        <w:t>.</w:t>
      </w:r>
      <w:r>
        <w:rPr>
          <w:rStyle w:val="FootnoteReference"/>
        </w:rPr>
        <w:footnoteReference w:id="38"/>
      </w:r>
      <w:r w:rsidR="00DE16AA">
        <w:t xml:space="preserve"> </w:t>
      </w:r>
    </w:p>
    <w:p w14:paraId="2EBE2F66" w14:textId="77777777" w:rsidR="00204D69" w:rsidRDefault="00204D69" w:rsidP="00204D69">
      <w:pPr>
        <w:rPr>
          <w:lang w:eastAsia="x-none"/>
        </w:rPr>
      </w:pPr>
      <w:r>
        <w:rPr>
          <w:lang w:eastAsia="x-none"/>
        </w:rPr>
        <w:t xml:space="preserve">The WBCs have responded </w:t>
      </w:r>
      <w:r w:rsidR="004D6348">
        <w:rPr>
          <w:lang w:eastAsia="x-none"/>
        </w:rPr>
        <w:t xml:space="preserve">and enhanced the provision of PHC services </w:t>
      </w:r>
      <w:r>
        <w:rPr>
          <w:lang w:eastAsia="x-none"/>
        </w:rPr>
        <w:t>by:</w:t>
      </w:r>
    </w:p>
    <w:p w14:paraId="2EBE2F67" w14:textId="77777777" w:rsidR="00204D69" w:rsidRDefault="00C56FF7" w:rsidP="0083588E">
      <w:pPr>
        <w:pStyle w:val="ListParagraph"/>
        <w:numPr>
          <w:ilvl w:val="0"/>
          <w:numId w:val="26"/>
        </w:numPr>
        <w:rPr>
          <w:lang w:eastAsia="x-none"/>
        </w:rPr>
      </w:pPr>
      <w:r>
        <w:rPr>
          <w:lang w:eastAsia="x-none"/>
        </w:rPr>
        <w:t>Re</w:t>
      </w:r>
      <w:r w:rsidR="00204D69">
        <w:rPr>
          <w:lang w:eastAsia="x-none"/>
        </w:rPr>
        <w:t>allocating funding to support primary health care registered nurses regularly attending WBCs</w:t>
      </w:r>
    </w:p>
    <w:p w14:paraId="2EBE2F68" w14:textId="77777777" w:rsidR="00204D69" w:rsidRDefault="00C56FF7" w:rsidP="0083588E">
      <w:pPr>
        <w:pStyle w:val="ListParagraph"/>
        <w:numPr>
          <w:ilvl w:val="0"/>
          <w:numId w:val="26"/>
        </w:numPr>
        <w:rPr>
          <w:lang w:eastAsia="x-none"/>
        </w:rPr>
      </w:pPr>
      <w:r>
        <w:rPr>
          <w:lang w:eastAsia="x-none"/>
        </w:rPr>
        <w:t>Building capacity and resilience of younger people (upper primary school and early high school) including disengaged y</w:t>
      </w:r>
      <w:r w:rsidR="00204D69">
        <w:rPr>
          <w:lang w:eastAsia="x-none"/>
        </w:rPr>
        <w:t>outh through a range of group activities and working closely with partners covering areas including life skills, activities of daily living, interpersonal skills, hygiene, sexual health, budgeting</w:t>
      </w:r>
    </w:p>
    <w:p w14:paraId="2EBE2F69" w14:textId="77777777" w:rsidR="00204D69" w:rsidRDefault="00C56FF7" w:rsidP="0083588E">
      <w:pPr>
        <w:pStyle w:val="ListParagraph"/>
        <w:numPr>
          <w:ilvl w:val="0"/>
          <w:numId w:val="26"/>
        </w:numPr>
        <w:rPr>
          <w:lang w:eastAsia="x-none"/>
        </w:rPr>
      </w:pPr>
      <w:r>
        <w:rPr>
          <w:lang w:eastAsia="x-none"/>
        </w:rPr>
        <w:t>As part of this process identify younger people still requi</w:t>
      </w:r>
      <w:r w:rsidR="00204D69">
        <w:rPr>
          <w:lang w:eastAsia="x-none"/>
        </w:rPr>
        <w:t xml:space="preserve">ring vaccinations and for high school children conducting vaccinations </w:t>
      </w:r>
    </w:p>
    <w:p w14:paraId="2EBE2F6A" w14:textId="77777777" w:rsidR="00204D69" w:rsidRDefault="00C56FF7" w:rsidP="0083588E">
      <w:pPr>
        <w:pStyle w:val="ListParagraph"/>
        <w:numPr>
          <w:ilvl w:val="0"/>
          <w:numId w:val="26"/>
        </w:numPr>
        <w:rPr>
          <w:lang w:eastAsia="x-none"/>
        </w:rPr>
      </w:pPr>
      <w:r>
        <w:rPr>
          <w:lang w:eastAsia="x-none"/>
        </w:rPr>
        <w:t>Working with woman’s community groups to provide information around issues such as diabetes, foot care, menopause mental health issues</w:t>
      </w:r>
    </w:p>
    <w:p w14:paraId="2EBE2F6B" w14:textId="77777777" w:rsidR="00204D69" w:rsidRDefault="00C56FF7" w:rsidP="0083588E">
      <w:pPr>
        <w:pStyle w:val="ListParagraph"/>
        <w:numPr>
          <w:ilvl w:val="0"/>
          <w:numId w:val="26"/>
        </w:numPr>
        <w:rPr>
          <w:lang w:eastAsia="x-none"/>
        </w:rPr>
      </w:pPr>
      <w:r>
        <w:rPr>
          <w:lang w:eastAsia="x-none"/>
        </w:rPr>
        <w:t>B</w:t>
      </w:r>
      <w:r w:rsidR="00204D69" w:rsidRPr="00A55E10">
        <w:rPr>
          <w:lang w:eastAsia="x-none"/>
        </w:rPr>
        <w:t>uild</w:t>
      </w:r>
      <w:r w:rsidR="00204D69">
        <w:rPr>
          <w:lang w:eastAsia="x-none"/>
        </w:rPr>
        <w:t>ing</w:t>
      </w:r>
      <w:r w:rsidR="00204D69" w:rsidRPr="00A55E10">
        <w:rPr>
          <w:lang w:eastAsia="x-none"/>
        </w:rPr>
        <w:t xml:space="preserve"> capacity of staff</w:t>
      </w:r>
      <w:r w:rsidR="00204D69">
        <w:rPr>
          <w:lang w:eastAsia="x-none"/>
        </w:rPr>
        <w:t xml:space="preserve"> (particularly community development consultants)</w:t>
      </w:r>
      <w:r w:rsidR="00204D69" w:rsidRPr="00A55E10">
        <w:rPr>
          <w:lang w:eastAsia="x-none"/>
        </w:rPr>
        <w:t xml:space="preserve"> to </w:t>
      </w:r>
      <w:r w:rsidR="00204D69">
        <w:rPr>
          <w:lang w:eastAsia="x-none"/>
        </w:rPr>
        <w:t xml:space="preserve">facilitate and co-facilitate these groups and </w:t>
      </w:r>
      <w:r w:rsidR="00204D69" w:rsidRPr="00A55E10">
        <w:rPr>
          <w:lang w:eastAsia="x-none"/>
        </w:rPr>
        <w:t xml:space="preserve">identify </w:t>
      </w:r>
      <w:r w:rsidR="00204D69">
        <w:rPr>
          <w:lang w:eastAsia="x-none"/>
        </w:rPr>
        <w:t xml:space="preserve">the need for </w:t>
      </w:r>
      <w:r w:rsidR="00204D69" w:rsidRPr="00A55E10">
        <w:rPr>
          <w:lang w:eastAsia="x-none"/>
        </w:rPr>
        <w:t>and refer clients for physical health related issues</w:t>
      </w:r>
    </w:p>
    <w:p w14:paraId="2EBE2F6C" w14:textId="77777777" w:rsidR="00204D69" w:rsidRDefault="00C56FF7" w:rsidP="0083588E">
      <w:pPr>
        <w:pStyle w:val="ListParagraph"/>
        <w:numPr>
          <w:ilvl w:val="0"/>
          <w:numId w:val="26"/>
        </w:numPr>
        <w:rPr>
          <w:lang w:eastAsia="x-none"/>
        </w:rPr>
      </w:pPr>
      <w:r>
        <w:rPr>
          <w:lang w:eastAsia="x-none"/>
        </w:rPr>
        <w:t xml:space="preserve">Trying to conduct or refer clients for annual health checks (noting this can be challenging when clients </w:t>
      </w:r>
      <w:r w:rsidR="00204D69">
        <w:rPr>
          <w:lang w:eastAsia="x-none"/>
        </w:rPr>
        <w:t>present with issues causing a high level of psychological distress)</w:t>
      </w:r>
    </w:p>
    <w:p w14:paraId="2EBE2F6D" w14:textId="77777777" w:rsidR="00204D69" w:rsidRDefault="00C56FF7" w:rsidP="0083588E">
      <w:pPr>
        <w:pStyle w:val="ListParagraph"/>
        <w:numPr>
          <w:ilvl w:val="0"/>
          <w:numId w:val="26"/>
        </w:numPr>
        <w:rPr>
          <w:lang w:eastAsia="x-none"/>
        </w:rPr>
      </w:pPr>
      <w:r>
        <w:rPr>
          <w:lang w:eastAsia="x-none"/>
        </w:rPr>
        <w:t>B</w:t>
      </w:r>
      <w:r w:rsidR="00204D69" w:rsidRPr="00AB13AC">
        <w:rPr>
          <w:lang w:eastAsia="x-none"/>
        </w:rPr>
        <w:t>uild</w:t>
      </w:r>
      <w:r w:rsidR="00204D69">
        <w:rPr>
          <w:lang w:eastAsia="x-none"/>
        </w:rPr>
        <w:t>ing</w:t>
      </w:r>
      <w:r w:rsidR="00204D69" w:rsidRPr="00AB13AC">
        <w:rPr>
          <w:lang w:eastAsia="x-none"/>
        </w:rPr>
        <w:t xml:space="preserve"> primary health care preventative messages into</w:t>
      </w:r>
      <w:r w:rsidR="00204D69">
        <w:rPr>
          <w:lang w:eastAsia="x-none"/>
        </w:rPr>
        <w:t xml:space="preserve"> the range </w:t>
      </w:r>
      <w:r w:rsidR="00204D69" w:rsidRPr="00AB13AC">
        <w:rPr>
          <w:lang w:eastAsia="x-none"/>
        </w:rPr>
        <w:t xml:space="preserve">of </w:t>
      </w:r>
      <w:r w:rsidR="00204D69">
        <w:rPr>
          <w:lang w:eastAsia="x-none"/>
        </w:rPr>
        <w:t xml:space="preserve">regular </w:t>
      </w:r>
      <w:r w:rsidR="00204D69" w:rsidRPr="00AB13AC">
        <w:rPr>
          <w:lang w:eastAsia="x-none"/>
        </w:rPr>
        <w:t>group activities</w:t>
      </w:r>
    </w:p>
    <w:p w14:paraId="2EBE2F6E" w14:textId="77777777" w:rsidR="00204D69" w:rsidRPr="00C50AF3" w:rsidRDefault="00C56FF7" w:rsidP="0083588E">
      <w:pPr>
        <w:pStyle w:val="ListParagraph"/>
        <w:numPr>
          <w:ilvl w:val="0"/>
          <w:numId w:val="26"/>
        </w:numPr>
        <w:rPr>
          <w:lang w:eastAsia="x-none"/>
        </w:rPr>
      </w:pPr>
      <w:r>
        <w:rPr>
          <w:lang w:eastAsia="x-none"/>
        </w:rPr>
        <w:t xml:space="preserve">Working </w:t>
      </w:r>
      <w:r w:rsidR="00204D69">
        <w:rPr>
          <w:lang w:eastAsia="x-none"/>
        </w:rPr>
        <w:t xml:space="preserve">closely with Apunipima </w:t>
      </w:r>
      <w:r w:rsidR="00236D2E">
        <w:rPr>
          <w:lang w:eastAsia="x-none"/>
        </w:rPr>
        <w:t xml:space="preserve">and the health service/hospital </w:t>
      </w:r>
      <w:r w:rsidR="00204D69">
        <w:rPr>
          <w:lang w:eastAsia="x-none"/>
        </w:rPr>
        <w:t xml:space="preserve">at the local </w:t>
      </w:r>
      <w:r w:rsidR="00204D69" w:rsidRPr="00C50AF3">
        <w:rPr>
          <w:lang w:eastAsia="x-none"/>
        </w:rPr>
        <w:t>level</w:t>
      </w:r>
      <w:r w:rsidR="00D00409" w:rsidRPr="00C50AF3">
        <w:rPr>
          <w:lang w:eastAsia="x-none"/>
        </w:rPr>
        <w:t>. For example</w:t>
      </w:r>
      <w:r w:rsidR="003218B1" w:rsidRPr="00C50AF3">
        <w:rPr>
          <w:lang w:eastAsia="x-none"/>
        </w:rPr>
        <w:t xml:space="preserve"> at Mossman Gorge</w:t>
      </w:r>
      <w:r w:rsidR="00D00409" w:rsidRPr="00C50AF3">
        <w:rPr>
          <w:lang w:eastAsia="x-none"/>
        </w:rPr>
        <w:t>:</w:t>
      </w:r>
      <w:r w:rsidR="003218B1" w:rsidRPr="00C50AF3">
        <w:rPr>
          <w:lang w:eastAsia="x-none"/>
        </w:rPr>
        <w:t xml:space="preserve"> regular meetings with the clinic</w:t>
      </w:r>
      <w:r w:rsidR="0036409C" w:rsidRPr="00C50AF3">
        <w:rPr>
          <w:lang w:eastAsia="x-none"/>
        </w:rPr>
        <w:t xml:space="preserve">, </w:t>
      </w:r>
      <w:r w:rsidR="00A80D78" w:rsidRPr="00C50AF3">
        <w:rPr>
          <w:lang w:eastAsia="x-none"/>
        </w:rPr>
        <w:t xml:space="preserve">housing the clinic while it was undertaking renovations, </w:t>
      </w:r>
      <w:r w:rsidR="0036409C" w:rsidRPr="00C50AF3">
        <w:rPr>
          <w:lang w:eastAsia="x-none"/>
        </w:rPr>
        <w:t>healthy eating program (12 times in 2014), men’s group 6 times in 2014, healthy lifestyle prevention program 6 times in 2014)</w:t>
      </w:r>
      <w:r w:rsidR="00D00409" w:rsidRPr="00C50AF3">
        <w:rPr>
          <w:lang w:eastAsia="x-none"/>
        </w:rPr>
        <w:t>. A</w:t>
      </w:r>
      <w:r w:rsidR="0036409C" w:rsidRPr="00C50AF3">
        <w:rPr>
          <w:lang w:eastAsia="x-none"/>
        </w:rPr>
        <w:t>t Coen</w:t>
      </w:r>
      <w:r w:rsidR="00D00409" w:rsidRPr="00C50AF3">
        <w:rPr>
          <w:lang w:eastAsia="x-none"/>
        </w:rPr>
        <w:t>:</w:t>
      </w:r>
      <w:r w:rsidR="0036409C" w:rsidRPr="00C50AF3">
        <w:rPr>
          <w:lang w:eastAsia="x-none"/>
        </w:rPr>
        <w:t xml:space="preserve"> planning for the Quit smoking program (since commenced)</w:t>
      </w:r>
      <w:r w:rsidR="00D00409" w:rsidRPr="00C50AF3">
        <w:rPr>
          <w:lang w:eastAsia="x-none"/>
        </w:rPr>
        <w:t>,</w:t>
      </w:r>
      <w:r w:rsidR="0036409C" w:rsidRPr="00C50AF3">
        <w:rPr>
          <w:lang w:eastAsia="x-none"/>
        </w:rPr>
        <w:t xml:space="preserve"> Apunipima GP uses WBC </w:t>
      </w:r>
      <w:r w:rsidR="00D00409" w:rsidRPr="00C50AF3">
        <w:rPr>
          <w:lang w:eastAsia="x-none"/>
        </w:rPr>
        <w:t>for women’s health clinic</w:t>
      </w:r>
      <w:r w:rsidR="0036409C" w:rsidRPr="00C50AF3">
        <w:rPr>
          <w:lang w:eastAsia="x-none"/>
        </w:rPr>
        <w:t>, regular meetings with lead staff and planning around particular clients</w:t>
      </w:r>
      <w:r w:rsidR="00D00409" w:rsidRPr="00C50AF3">
        <w:rPr>
          <w:lang w:eastAsia="x-none"/>
        </w:rPr>
        <w:t xml:space="preserve"> and</w:t>
      </w:r>
      <w:r w:rsidR="0036409C" w:rsidRPr="00C50AF3">
        <w:rPr>
          <w:lang w:eastAsia="x-none"/>
        </w:rPr>
        <w:t xml:space="preserve"> </w:t>
      </w:r>
      <w:r w:rsidR="00D00409" w:rsidRPr="00C50AF3">
        <w:rPr>
          <w:lang w:eastAsia="x-none"/>
        </w:rPr>
        <w:t xml:space="preserve">the </w:t>
      </w:r>
      <w:r w:rsidR="0036409C" w:rsidRPr="00C50AF3">
        <w:rPr>
          <w:lang w:eastAsia="x-none"/>
        </w:rPr>
        <w:t>long running healthy eating program</w:t>
      </w:r>
      <w:r w:rsidR="00DF3170">
        <w:rPr>
          <w:lang w:eastAsia="x-none"/>
        </w:rPr>
        <w:t xml:space="preserve"> which has been held </w:t>
      </w:r>
      <w:r w:rsidR="004D6348">
        <w:rPr>
          <w:lang w:eastAsia="x-none"/>
        </w:rPr>
        <w:t>with</w:t>
      </w:r>
      <w:r w:rsidR="00DF3170">
        <w:rPr>
          <w:lang w:eastAsia="x-none"/>
        </w:rPr>
        <w:t>in the WBC</w:t>
      </w:r>
      <w:r w:rsidR="004D6348">
        <w:rPr>
          <w:lang w:eastAsia="x-none"/>
        </w:rPr>
        <w:t>; hosting the young mum’s and babies group which has a focus on the physically healthy child</w:t>
      </w:r>
      <w:r w:rsidR="00D00409" w:rsidRPr="00C50AF3">
        <w:rPr>
          <w:lang w:eastAsia="x-none"/>
        </w:rPr>
        <w:t>. A</w:t>
      </w:r>
      <w:r w:rsidR="0036409C" w:rsidRPr="00C50AF3">
        <w:rPr>
          <w:lang w:eastAsia="x-none"/>
        </w:rPr>
        <w:t>t Aurukun involved in men</w:t>
      </w:r>
      <w:r w:rsidR="00D00409" w:rsidRPr="00C50AF3">
        <w:rPr>
          <w:lang w:eastAsia="x-none"/>
        </w:rPr>
        <w:t>’</w:t>
      </w:r>
      <w:r w:rsidR="0036409C" w:rsidRPr="00C50AF3">
        <w:rPr>
          <w:lang w:eastAsia="x-none"/>
        </w:rPr>
        <w:t>s group</w:t>
      </w:r>
      <w:r w:rsidR="00D00409" w:rsidRPr="00C50AF3">
        <w:rPr>
          <w:lang w:eastAsia="x-none"/>
        </w:rPr>
        <w:t xml:space="preserve"> and positive pathways and have</w:t>
      </w:r>
      <w:r w:rsidR="0036409C" w:rsidRPr="00C50AF3">
        <w:rPr>
          <w:lang w:eastAsia="x-none"/>
        </w:rPr>
        <w:t xml:space="preserve"> </w:t>
      </w:r>
      <w:r w:rsidR="0036409C" w:rsidRPr="002F46AE">
        <w:rPr>
          <w:lang w:eastAsia="x-none"/>
        </w:rPr>
        <w:t xml:space="preserve">set up sexual health clinics and smoking cessation programmes </w:t>
      </w:r>
      <w:r w:rsidR="00D00409" w:rsidRPr="002F46AE">
        <w:rPr>
          <w:lang w:eastAsia="x-none"/>
        </w:rPr>
        <w:t>in the WBC.</w:t>
      </w:r>
    </w:p>
    <w:p w14:paraId="2EBE2F6F" w14:textId="77777777" w:rsidR="00DE16AA" w:rsidRDefault="00DF3170" w:rsidP="00204D69">
      <w:pPr>
        <w:rPr>
          <w:lang w:eastAsia="x-none"/>
        </w:rPr>
      </w:pPr>
      <w:r>
        <w:rPr>
          <w:lang w:eastAsia="x-none"/>
        </w:rPr>
        <w:t xml:space="preserve">The outcome of this collaboration between the WBCs and the PHC services </w:t>
      </w:r>
      <w:r w:rsidR="004D6348">
        <w:rPr>
          <w:lang w:eastAsia="x-none"/>
        </w:rPr>
        <w:t>ha</w:t>
      </w:r>
      <w:r>
        <w:rPr>
          <w:lang w:eastAsia="x-none"/>
        </w:rPr>
        <w:t xml:space="preserve">s </w:t>
      </w:r>
      <w:r w:rsidR="004D6348">
        <w:rPr>
          <w:lang w:eastAsia="x-none"/>
        </w:rPr>
        <w:t xml:space="preserve">been </w:t>
      </w:r>
      <w:r>
        <w:rPr>
          <w:lang w:eastAsia="x-none"/>
        </w:rPr>
        <w:t xml:space="preserve">a more holistic and integrated </w:t>
      </w:r>
      <w:r w:rsidR="004D6348">
        <w:rPr>
          <w:lang w:eastAsia="x-none"/>
        </w:rPr>
        <w:t xml:space="preserve">mental, social and physical health </w:t>
      </w:r>
      <w:r>
        <w:rPr>
          <w:lang w:eastAsia="x-none"/>
        </w:rPr>
        <w:t>service for the clients</w:t>
      </w:r>
      <w:r w:rsidR="004D6348">
        <w:rPr>
          <w:lang w:eastAsia="x-none"/>
        </w:rPr>
        <w:t>. Additionally, the fee</w:t>
      </w:r>
      <w:r w:rsidR="00DE16AA">
        <w:rPr>
          <w:lang w:eastAsia="x-none"/>
        </w:rPr>
        <w:t>dback from partner agencies</w:t>
      </w:r>
      <w:r>
        <w:rPr>
          <w:lang w:eastAsia="x-none"/>
        </w:rPr>
        <w:t xml:space="preserve"> </w:t>
      </w:r>
      <w:r w:rsidR="00DE16AA">
        <w:rPr>
          <w:lang w:eastAsia="x-none"/>
        </w:rPr>
        <w:t>has been that this has been instrumental in enhancing their service delivery to community members who may not routinely attend the clinic unless they had an acute issue they wanted addressed.</w:t>
      </w:r>
    </w:p>
    <w:p w14:paraId="2EBE2F70" w14:textId="77777777" w:rsidR="00165391" w:rsidRPr="00B55008" w:rsidRDefault="00204D69" w:rsidP="00204D69">
      <w:pPr>
        <w:shd w:val="clear" w:color="auto" w:fill="DBE5F1" w:themeFill="accent1" w:themeFillTint="33"/>
        <w:rPr>
          <w:lang w:eastAsia="x-none"/>
        </w:rPr>
      </w:pPr>
      <w:r w:rsidRPr="0005223E">
        <w:rPr>
          <w:rStyle w:val="Strong"/>
        </w:rPr>
        <w:t xml:space="preserve">It is </w:t>
      </w:r>
      <w:r w:rsidR="00541E99" w:rsidRPr="0005223E">
        <w:rPr>
          <w:rStyle w:val="Strong"/>
        </w:rPr>
        <w:t>proposed</w:t>
      </w:r>
      <w:r>
        <w:rPr>
          <w:lang w:eastAsia="x-none"/>
        </w:rPr>
        <w:t xml:space="preserve"> </w:t>
      </w:r>
      <w:r w:rsidR="00F325F6" w:rsidRPr="00F325F6">
        <w:rPr>
          <w:lang w:eastAsia="x-none"/>
        </w:rPr>
        <w:t>that the RFDS continue to focus effort on integrating non</w:t>
      </w:r>
      <w:r w:rsidR="00C50AF3">
        <w:rPr>
          <w:lang w:eastAsia="x-none"/>
        </w:rPr>
        <w:t>-</w:t>
      </w:r>
      <w:r w:rsidR="00F325F6" w:rsidRPr="00F325F6">
        <w:rPr>
          <w:lang w:eastAsia="x-none"/>
        </w:rPr>
        <w:t xml:space="preserve">SEWB primary health care into its service. The RFDS </w:t>
      </w:r>
      <w:r w:rsidR="00DE16AA">
        <w:rPr>
          <w:lang w:eastAsia="x-none"/>
        </w:rPr>
        <w:t>should continue</w:t>
      </w:r>
      <w:r w:rsidR="00F325F6" w:rsidRPr="00F325F6">
        <w:rPr>
          <w:lang w:eastAsia="x-none"/>
        </w:rPr>
        <w:t xml:space="preserve"> to work in conjunction with Apunipima and the local clinic in WBC communities </w:t>
      </w:r>
      <w:r w:rsidR="00DE16AA">
        <w:rPr>
          <w:lang w:eastAsia="x-none"/>
        </w:rPr>
        <w:t xml:space="preserve">to further integrate SEWB and Non-SEWB services </w:t>
      </w:r>
      <w:r w:rsidR="00F325F6" w:rsidRPr="00F325F6">
        <w:rPr>
          <w:lang w:eastAsia="x-none"/>
        </w:rPr>
        <w:t>(in the case of Apunipima as part of that organisations strategy to embed a SEWB approach across their family and community centred primary health care model</w:t>
      </w:r>
      <w:r w:rsidR="00DE16AA">
        <w:rPr>
          <w:lang w:eastAsia="x-none"/>
        </w:rPr>
        <w:t>)</w:t>
      </w:r>
      <w:r w:rsidR="00165391">
        <w:rPr>
          <w:lang w:eastAsia="x-none"/>
        </w:rPr>
        <w:t>.</w:t>
      </w:r>
    </w:p>
    <w:p w14:paraId="2EBE2F71" w14:textId="77777777" w:rsidR="00165391" w:rsidRDefault="00DE16AA" w:rsidP="00165391">
      <w:bookmarkStart w:id="156" w:name="_Ref387397782"/>
      <w:bookmarkStart w:id="157" w:name="_Ref387397798"/>
      <w:bookmarkStart w:id="158" w:name="_Ref387397803"/>
      <w:r>
        <w:rPr>
          <w:lang w:eastAsia="x-none"/>
        </w:rPr>
        <w:t xml:space="preserve">Whilst not </w:t>
      </w:r>
      <w:r w:rsidR="00C50AF3">
        <w:rPr>
          <w:lang w:eastAsia="x-none"/>
        </w:rPr>
        <w:t xml:space="preserve">suggesting the current level of integration is </w:t>
      </w:r>
      <w:r>
        <w:rPr>
          <w:lang w:eastAsia="x-none"/>
        </w:rPr>
        <w:t xml:space="preserve">as </w:t>
      </w:r>
      <w:r w:rsidR="00C50AF3">
        <w:rPr>
          <w:lang w:eastAsia="x-none"/>
        </w:rPr>
        <w:t>developed as it could be</w:t>
      </w:r>
      <w:r>
        <w:rPr>
          <w:lang w:eastAsia="x-none"/>
        </w:rPr>
        <w:t xml:space="preserve">, the experience to date in relation to the integration of SEWB and PHC services suggests that more formalised integration </w:t>
      </w:r>
      <w:r>
        <w:rPr>
          <w:lang w:eastAsia="x-none"/>
        </w:rPr>
        <w:lastRenderedPageBreak/>
        <w:t xml:space="preserve">between the two service types is feasible as a future model of service delivery. </w:t>
      </w:r>
      <w:r w:rsidR="00165391">
        <w:t>The issue of integration with primary health care is further discussed in Chapter 5.</w:t>
      </w:r>
    </w:p>
    <w:p w14:paraId="2EBE2F72" w14:textId="77777777" w:rsidR="00204D69" w:rsidRPr="00523475" w:rsidRDefault="00204D69" w:rsidP="00204D69">
      <w:pPr>
        <w:pStyle w:val="Heading2"/>
        <w:rPr>
          <w:lang w:val="en-AU"/>
        </w:rPr>
      </w:pPr>
      <w:bookmarkStart w:id="159" w:name="_Partnerships"/>
      <w:bookmarkStart w:id="160" w:name="_Toc440038445"/>
      <w:bookmarkEnd w:id="159"/>
      <w:r w:rsidRPr="00523475">
        <w:t>Partnerships</w:t>
      </w:r>
      <w:bookmarkEnd w:id="156"/>
      <w:bookmarkEnd w:id="157"/>
      <w:bookmarkEnd w:id="158"/>
      <w:bookmarkEnd w:id="160"/>
    </w:p>
    <w:p w14:paraId="2EBE2F73" w14:textId="77777777" w:rsidR="00204D69" w:rsidRPr="000D2A8A" w:rsidRDefault="00204D69" w:rsidP="00204D69">
      <w:pPr>
        <w:rPr>
          <w:lang w:eastAsia="x-none"/>
        </w:rPr>
      </w:pPr>
      <w:r>
        <w:rPr>
          <w:lang w:eastAsia="x-none"/>
        </w:rPr>
        <w:t>This section examines partnership effectiveness and presents opportunities for strengthening partnerships.</w:t>
      </w:r>
    </w:p>
    <w:p w14:paraId="2EBE2F74" w14:textId="77777777" w:rsidR="00204D69" w:rsidRDefault="00204D69" w:rsidP="00BC0A26">
      <w:pPr>
        <w:pStyle w:val="Heading3"/>
      </w:pPr>
      <w:bookmarkStart w:id="161" w:name="_Partnership_effectiveness"/>
      <w:bookmarkEnd w:id="161"/>
      <w:r>
        <w:t>Partnership effectiveness</w:t>
      </w:r>
    </w:p>
    <w:p w14:paraId="2EBE2F75" w14:textId="77777777" w:rsidR="00204D69" w:rsidRDefault="00204D69" w:rsidP="00204D69">
      <w:pPr>
        <w:rPr>
          <w:lang w:eastAsia="x-none"/>
        </w:rPr>
      </w:pPr>
      <w:r>
        <w:rPr>
          <w:lang w:eastAsia="x-none"/>
        </w:rPr>
        <w:t>The need for the WBCs to develop strong effective partnerships is identified in the service model as being essential for their effective operation. Equally, the need for effective partnerships was highlighted in the evaluation framework due to the complex nature of the range of factors that contribute to improving the SEWB of the community.</w:t>
      </w:r>
    </w:p>
    <w:p w14:paraId="2EBE2F76" w14:textId="77777777" w:rsidR="00204D69" w:rsidRDefault="00204D69" w:rsidP="00204D69">
      <w:pPr>
        <w:rPr>
          <w:lang w:eastAsia="x-none"/>
        </w:rPr>
      </w:pPr>
      <w:r>
        <w:rPr>
          <w:lang w:eastAsia="x-none"/>
        </w:rPr>
        <w:t xml:space="preserve">Most partners at both the local and regional level appear to have a solid understanding of the role of the WBCs with most having a good understanding and a strong collaborative relationship working in partnership to enhance outcomes for clients. </w:t>
      </w:r>
    </w:p>
    <w:p w14:paraId="2EBE2F77" w14:textId="77777777" w:rsidR="00AF09A9" w:rsidRDefault="00AF09A9" w:rsidP="00AF09A9">
      <w:pPr>
        <w:spacing w:before="240"/>
      </w:pPr>
      <w:r w:rsidRPr="00DA5CD4">
        <w:t>In a number of cases partners specifically mentioned that the WBC, by being in community five days per week and having appropriate expertise, was assisting their own agency to be more effective, and/or enabling them to concentrate on their core business.</w:t>
      </w:r>
    </w:p>
    <w:p w14:paraId="2EBE2F78" w14:textId="77777777" w:rsidR="00AF09A9" w:rsidRDefault="00AF09A9" w:rsidP="00AF09A9">
      <w:pPr>
        <w:rPr>
          <w:lang w:eastAsia="x-none"/>
        </w:rPr>
      </w:pPr>
      <w:r>
        <w:rPr>
          <w:lang w:eastAsia="x-none"/>
        </w:rPr>
        <w:t>Having said this there are also significant opportunities for strengthening partnerships which are discussed below.</w:t>
      </w:r>
    </w:p>
    <w:p w14:paraId="2EBE2F79" w14:textId="77777777" w:rsidR="00AF09A9" w:rsidRPr="00DA5CD4" w:rsidRDefault="00AF09A9" w:rsidP="00AF09A9">
      <w:pPr>
        <w:spacing w:before="240"/>
      </w:pPr>
      <w:r w:rsidRPr="00DA5CD4">
        <w:t xml:space="preserve">Queensland Health (CYHHS - Mental Health) feel strongly (and RFDS agree) that there is a need to further strengthen the relationship by developing a service agreement between CYHHS and the RFDS. This will strengthen the service model by clarifying the service interface in relation to roles and responsibilities for joint client management, how information is shared and conducting joint case reviews. Aligned with this is the need for more transparency in relation to how the WBCs manage their clients. This would build on the service flowchart that has been developed. </w:t>
      </w:r>
    </w:p>
    <w:p w14:paraId="2EBE2F7A" w14:textId="77777777" w:rsidR="00AF09A9" w:rsidRPr="00DA5CD4" w:rsidRDefault="00AF09A9" w:rsidP="00AF09A9">
      <w:pPr>
        <w:spacing w:before="240"/>
      </w:pPr>
      <w:r w:rsidRPr="00DA5CD4">
        <w:t xml:space="preserve">The effectiveness of the partnership with the FRC </w:t>
      </w:r>
      <w:r>
        <w:t>has steadily improved over time from a relatively poor starting point due to some lack in clarity of WBC role and differing service expectation.</w:t>
      </w:r>
      <w:r w:rsidRPr="00DA5CD4">
        <w:t xml:space="preserve"> While there have been significant improvements due to service expectations being clarified, the service model being further developed, and RFDS staff and management changes and stability, there is still opportunity to strengthen the partnership by enhancing service transparency and working more closely with the FRC at the local level. The FRC report having received limited details on the programs and their structure. In addition, in some cases they would like more information on how their clients are engaging and progressing, in addition to the agreed summary that is currently provided.</w:t>
      </w:r>
    </w:p>
    <w:p w14:paraId="2EBE2F7B" w14:textId="77777777" w:rsidR="00AF09A9" w:rsidRDefault="00AF09A9" w:rsidP="00165391">
      <w:pPr>
        <w:spacing w:after="120"/>
      </w:pPr>
      <w:r w:rsidRPr="00DA5CD4">
        <w:t>The need to strengthen relationships and provision of information at the local level has been recognised by the RFDS and the FRC. The current strategy being trialled at Aurukun includes: the development of a memorandum of understanding; providing the FRC access</w:t>
      </w:r>
      <w:r w:rsidR="009621D0">
        <w:t xml:space="preserve"> to</w:t>
      </w:r>
      <w:r>
        <w:t xml:space="preserve"> the WBC </w:t>
      </w:r>
      <w:r w:rsidRPr="00DA5CD4">
        <w:t xml:space="preserve">client information system; the </w:t>
      </w:r>
      <w:r>
        <w:t xml:space="preserve">WBC staff </w:t>
      </w:r>
      <w:r w:rsidRPr="00DA5CD4">
        <w:t>attend</w:t>
      </w:r>
      <w:r>
        <w:t>ing</w:t>
      </w:r>
      <w:r w:rsidRPr="00DA5CD4">
        <w:t xml:space="preserve"> FRC case conferences; </w:t>
      </w:r>
      <w:r>
        <w:t xml:space="preserve">provision of a </w:t>
      </w:r>
      <w:r w:rsidRPr="00DA5CD4">
        <w:t xml:space="preserve">regular </w:t>
      </w:r>
      <w:r>
        <w:t xml:space="preserve">client </w:t>
      </w:r>
      <w:r w:rsidRPr="00DA5CD4">
        <w:t>summary report including more feedback in relation to a client’s progress and engagement issues; and using a shared data system to track client progress.</w:t>
      </w:r>
    </w:p>
    <w:p w14:paraId="2EBE2F7C" w14:textId="77777777" w:rsidR="0076138D" w:rsidRDefault="0076138D" w:rsidP="00165391">
      <w:pPr>
        <w:spacing w:after="120"/>
      </w:pPr>
      <w:r>
        <w:t>On a very positive note, the partnership between Child Safety Services and the WBCs has proven to be very successful in contributing to improved outcomes for children and families.</w:t>
      </w:r>
    </w:p>
    <w:p w14:paraId="2EBE2F7D" w14:textId="77777777" w:rsidR="0076138D" w:rsidRDefault="0076138D" w:rsidP="007613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themeFill="text2" w:themeFillTint="33"/>
        <w:rPr>
          <w:lang w:eastAsia="x-none"/>
        </w:rPr>
      </w:pPr>
      <w:r>
        <w:rPr>
          <w:b/>
          <w:lang w:eastAsia="x-none"/>
        </w:rPr>
        <w:lastRenderedPageBreak/>
        <w:t>Key review finding #5</w:t>
      </w:r>
      <w:r w:rsidRPr="00631F4F">
        <w:rPr>
          <w:b/>
          <w:lang w:eastAsia="x-none"/>
        </w:rPr>
        <w:t xml:space="preserve"> </w:t>
      </w:r>
      <w:r w:rsidRPr="001C69DF">
        <w:rPr>
          <w:lang w:eastAsia="x-none"/>
        </w:rPr>
        <w:t>Of significance, regular meeting</w:t>
      </w:r>
      <w:r>
        <w:rPr>
          <w:lang w:eastAsia="x-none"/>
        </w:rPr>
        <w:t>s and collaboration between child safet</w:t>
      </w:r>
      <w:r w:rsidRPr="001C69DF">
        <w:rPr>
          <w:lang w:eastAsia="x-none"/>
        </w:rPr>
        <w:t>y services and WBC</w:t>
      </w:r>
      <w:r>
        <w:rPr>
          <w:lang w:eastAsia="x-none"/>
        </w:rPr>
        <w:t xml:space="preserve"> </w:t>
      </w:r>
      <w:r w:rsidRPr="001C69DF">
        <w:rPr>
          <w:lang w:eastAsia="x-none"/>
        </w:rPr>
        <w:t>s</w:t>
      </w:r>
      <w:r>
        <w:rPr>
          <w:lang w:eastAsia="x-none"/>
        </w:rPr>
        <w:t>taff</w:t>
      </w:r>
      <w:r w:rsidRPr="001C69DF">
        <w:rPr>
          <w:lang w:eastAsia="x-none"/>
        </w:rPr>
        <w:t xml:space="preserve"> to discuss common</w:t>
      </w:r>
      <w:r>
        <w:rPr>
          <w:lang w:eastAsia="x-none"/>
        </w:rPr>
        <w:t xml:space="preserve"> clients</w:t>
      </w:r>
      <w:r w:rsidRPr="001C69DF">
        <w:rPr>
          <w:lang w:eastAsia="x-none"/>
        </w:rPr>
        <w:t xml:space="preserve"> and support case management has contributed to </w:t>
      </w:r>
      <w:r w:rsidRPr="00966D33">
        <w:rPr>
          <w:lang w:eastAsia="x-none"/>
        </w:rPr>
        <w:t>preventing separations and</w:t>
      </w:r>
      <w:r>
        <w:rPr>
          <w:lang w:eastAsia="x-none"/>
        </w:rPr>
        <w:t>/</w:t>
      </w:r>
      <w:r w:rsidRPr="00966D33">
        <w:rPr>
          <w:lang w:eastAsia="x-none"/>
        </w:rPr>
        <w:t xml:space="preserve">or facilitating reunifications </w:t>
      </w:r>
      <w:r>
        <w:rPr>
          <w:lang w:eastAsia="x-none"/>
        </w:rPr>
        <w:t>child safety services advise have not previously been achieved.</w:t>
      </w:r>
      <w:r w:rsidRPr="0076138D">
        <w:rPr>
          <w:lang w:eastAsia="x-none"/>
        </w:rPr>
        <w:t xml:space="preserve"> </w:t>
      </w:r>
      <w:r w:rsidRPr="00C843BD">
        <w:rPr>
          <w:lang w:eastAsia="x-none"/>
        </w:rPr>
        <w:t xml:space="preserve">This is a very significant achievement and therefore </w:t>
      </w:r>
      <w:r w:rsidRPr="0076138D">
        <w:rPr>
          <w:lang w:eastAsia="x-none"/>
        </w:rPr>
        <w:t>it is proposed</w:t>
      </w:r>
      <w:r w:rsidRPr="00C843BD">
        <w:rPr>
          <w:lang w:eastAsia="x-none"/>
        </w:rPr>
        <w:t xml:space="preserve"> that any future SEWB service model should include extensive collaboration with Child Safety.</w:t>
      </w:r>
    </w:p>
    <w:p w14:paraId="2EBE2F7E" w14:textId="77777777" w:rsidR="00204D69" w:rsidRDefault="00204D69" w:rsidP="00165391">
      <w:pPr>
        <w:spacing w:after="120"/>
        <w:rPr>
          <w:lang w:eastAsia="x-none"/>
        </w:rPr>
      </w:pPr>
      <w:r>
        <w:rPr>
          <w:lang w:eastAsia="x-none"/>
        </w:rPr>
        <w:t xml:space="preserve">Examples of </w:t>
      </w:r>
      <w:r w:rsidR="0076138D">
        <w:rPr>
          <w:lang w:eastAsia="x-none"/>
        </w:rPr>
        <w:t xml:space="preserve">other </w:t>
      </w:r>
      <w:r>
        <w:rPr>
          <w:lang w:eastAsia="x-none"/>
        </w:rPr>
        <w:t>positive partnerships are highlighted below:</w:t>
      </w:r>
    </w:p>
    <w:p w14:paraId="2EBE2F7F" w14:textId="77777777" w:rsidR="00204D69" w:rsidRPr="00EA560E" w:rsidRDefault="00204D69" w:rsidP="0083588E">
      <w:pPr>
        <w:pStyle w:val="ListParagraph"/>
        <w:numPr>
          <w:ilvl w:val="0"/>
          <w:numId w:val="19"/>
        </w:numPr>
        <w:rPr>
          <w:lang w:eastAsia="x-none"/>
        </w:rPr>
      </w:pPr>
      <w:r w:rsidRPr="00EA560E">
        <w:rPr>
          <w:lang w:eastAsia="x-none"/>
        </w:rPr>
        <w:t>All clients interviewed where service coordination was relevant to their WBC attendances (i.e. they were involved with other services), believed the services were well coordinated. Where relevant, 90% (33 clients, n=36) thought that the service providers were talking to each other while the remaining three clients were not sure.</w:t>
      </w:r>
    </w:p>
    <w:p w14:paraId="2EBE2F80" w14:textId="77777777" w:rsidR="00204D69" w:rsidRDefault="00204D69" w:rsidP="0083588E">
      <w:pPr>
        <w:pStyle w:val="ListParagraph"/>
        <w:numPr>
          <w:ilvl w:val="0"/>
          <w:numId w:val="19"/>
        </w:numPr>
        <w:rPr>
          <w:lang w:eastAsia="x-none"/>
        </w:rPr>
      </w:pPr>
      <w:r>
        <w:rPr>
          <w:lang w:eastAsia="x-none"/>
        </w:rPr>
        <w:t xml:space="preserve">At Aurukun, Mossman Gorge and Coen, </w:t>
      </w:r>
      <w:r w:rsidRPr="000D2353">
        <w:rPr>
          <w:lang w:eastAsia="x-none"/>
        </w:rPr>
        <w:t>WBCs meet with the local Queensland Health (QH) or Apunipima clinic (daily/weekly/fortnightly) to discuss specific clients</w:t>
      </w:r>
      <w:r>
        <w:rPr>
          <w:lang w:eastAsia="x-none"/>
        </w:rPr>
        <w:t xml:space="preserve"> and relationships. At Hopevale discussion of clients occurs at officer level. There are plans to strengthen the formal relationship with the clinic at Hopevale as a result of recent management changes.</w:t>
      </w:r>
    </w:p>
    <w:p w14:paraId="2EBE2F81" w14:textId="77777777" w:rsidR="00204D69" w:rsidRDefault="00204D69" w:rsidP="0083588E">
      <w:pPr>
        <w:pStyle w:val="ListParagraph"/>
        <w:numPr>
          <w:ilvl w:val="0"/>
          <w:numId w:val="19"/>
        </w:numPr>
        <w:rPr>
          <w:lang w:eastAsia="x-none"/>
        </w:rPr>
      </w:pPr>
      <w:r>
        <w:rPr>
          <w:lang w:eastAsia="x-none"/>
        </w:rPr>
        <w:t>Probation and P</w:t>
      </w:r>
      <w:r w:rsidRPr="00966D33">
        <w:rPr>
          <w:lang w:eastAsia="x-none"/>
        </w:rPr>
        <w:t xml:space="preserve">arole and Justice Group clients are being mandatorily referred to the WBC. Accordingly there is joint planning based on the individuals’ conditions and the partners report that the WBCs are integral to supporting and ensuring clients meet their conditions. The partnership also facilitates discussion of barriers that may be experienced in relation to an individual meeting their conditions. The </w:t>
      </w:r>
      <w:r>
        <w:rPr>
          <w:lang w:eastAsia="x-none"/>
        </w:rPr>
        <w:t>p</w:t>
      </w:r>
      <w:r w:rsidRPr="00966D33">
        <w:rPr>
          <w:lang w:eastAsia="x-none"/>
        </w:rPr>
        <w:t>olice also reported that they are recommending the WBC to community members where they co</w:t>
      </w:r>
      <w:r>
        <w:rPr>
          <w:lang w:eastAsia="x-none"/>
        </w:rPr>
        <w:t>nsider this would be beneficial, and that ‘everyone’ knows of the WBC.</w:t>
      </w:r>
    </w:p>
    <w:p w14:paraId="2EBE2F82" w14:textId="77777777" w:rsidR="00204D69" w:rsidRDefault="00204D69" w:rsidP="0083588E">
      <w:pPr>
        <w:numPr>
          <w:ilvl w:val="0"/>
          <w:numId w:val="19"/>
        </w:numPr>
        <w:rPr>
          <w:lang w:eastAsia="x-none"/>
        </w:rPr>
      </w:pPr>
      <w:r>
        <w:rPr>
          <w:lang w:eastAsia="en-AU"/>
        </w:rPr>
        <w:t>At Mossman Gorge:</w:t>
      </w:r>
      <w:r w:rsidRPr="00BD6A41">
        <w:rPr>
          <w:lang w:eastAsia="en-AU"/>
        </w:rPr>
        <w:t xml:space="preserve"> </w:t>
      </w:r>
      <w:r>
        <w:rPr>
          <w:lang w:eastAsia="en-AU"/>
        </w:rPr>
        <w:t>with</w:t>
      </w:r>
      <w:r w:rsidRPr="00BD6A41">
        <w:rPr>
          <w:lang w:eastAsia="en-AU"/>
        </w:rPr>
        <w:t xml:space="preserve"> Apunipima for</w:t>
      </w:r>
      <w:r>
        <w:rPr>
          <w:lang w:eastAsia="en-AU"/>
        </w:rPr>
        <w:t xml:space="preserve"> a</w:t>
      </w:r>
      <w:r w:rsidRPr="00BD6A41">
        <w:rPr>
          <w:lang w:eastAsia="en-AU"/>
        </w:rPr>
        <w:t xml:space="preserve"> nutrition project; CYP for parenting program; PCYC for children’s activities; </w:t>
      </w:r>
      <w:r>
        <w:rPr>
          <w:lang w:eastAsia="en-AU"/>
        </w:rPr>
        <w:t xml:space="preserve">with </w:t>
      </w:r>
      <w:r w:rsidRPr="00BD6A41">
        <w:rPr>
          <w:lang w:eastAsia="en-AU"/>
        </w:rPr>
        <w:t>schools</w:t>
      </w:r>
      <w:r w:rsidRPr="009624E5">
        <w:rPr>
          <w:lang w:eastAsia="en-AU"/>
        </w:rPr>
        <w:t xml:space="preserve"> re</w:t>
      </w:r>
      <w:r>
        <w:rPr>
          <w:lang w:eastAsia="en-AU"/>
        </w:rPr>
        <w:t>garding</w:t>
      </w:r>
      <w:r w:rsidRPr="009624E5">
        <w:rPr>
          <w:lang w:eastAsia="en-AU"/>
        </w:rPr>
        <w:t xml:space="preserve"> challenging children/families</w:t>
      </w:r>
      <w:r>
        <w:rPr>
          <w:lang w:eastAsia="en-AU"/>
        </w:rPr>
        <w:t xml:space="preserve"> and developing homework clubs and</w:t>
      </w:r>
      <w:r>
        <w:rPr>
          <w:lang w:eastAsia="x-none"/>
        </w:rPr>
        <w:t xml:space="preserve"> holiday activity classes; with a range of stakeholders for fortnightly case coordination meeting for younger people; fortnightly meetings with the ATODS team leader.</w:t>
      </w:r>
    </w:p>
    <w:p w14:paraId="2EBE2F83" w14:textId="77777777" w:rsidR="00204D69" w:rsidRDefault="00204D69" w:rsidP="0083588E">
      <w:pPr>
        <w:numPr>
          <w:ilvl w:val="0"/>
          <w:numId w:val="19"/>
        </w:numPr>
        <w:rPr>
          <w:lang w:eastAsia="x-none"/>
        </w:rPr>
      </w:pPr>
      <w:r w:rsidRPr="00AD7604">
        <w:rPr>
          <w:lang w:eastAsia="x-none"/>
        </w:rPr>
        <w:t>At Aurukun: with Western Cape College and others to strategise how to deal with younger difficult clients; Cape York Academy - a life skills program with year seven students to help prepare them for boarding</w:t>
      </w:r>
      <w:r>
        <w:rPr>
          <w:lang w:eastAsia="x-none"/>
        </w:rPr>
        <w:t xml:space="preserve"> school; Cape York Academy</w:t>
      </w:r>
      <w:r w:rsidR="001F29FD">
        <w:rPr>
          <w:lang w:eastAsia="x-none"/>
        </w:rPr>
        <w:t>/FRC/Police/CYP/Queensland Health</w:t>
      </w:r>
      <w:r>
        <w:rPr>
          <w:lang w:eastAsia="x-none"/>
        </w:rPr>
        <w:t xml:space="preserve"> –</w:t>
      </w:r>
      <w:r w:rsidR="001F29FD">
        <w:rPr>
          <w:lang w:eastAsia="x-none"/>
        </w:rPr>
        <w:t xml:space="preserve">currently implementing a 10 week </w:t>
      </w:r>
      <w:r w:rsidR="001F29FD" w:rsidRPr="00D420ED">
        <w:t xml:space="preserve">Intensive Youth Support Program </w:t>
      </w:r>
      <w:r w:rsidR="00557769">
        <w:rPr>
          <w:lang w:eastAsia="x-none"/>
        </w:rPr>
        <w:t>for 14</w:t>
      </w:r>
      <w:r>
        <w:rPr>
          <w:lang w:eastAsia="x-none"/>
        </w:rPr>
        <w:t xml:space="preserve"> very difficult children (5 to 12 year age range) to increase school attendance; assisting with provision of holiday activities for adolescents returning from boarding school.</w:t>
      </w:r>
    </w:p>
    <w:p w14:paraId="2EBE2F84" w14:textId="77777777" w:rsidR="00204D69" w:rsidRDefault="00204D69" w:rsidP="0083588E">
      <w:pPr>
        <w:pStyle w:val="ListParagraph"/>
        <w:numPr>
          <w:ilvl w:val="0"/>
          <w:numId w:val="19"/>
        </w:numPr>
        <w:rPr>
          <w:lang w:eastAsia="x-none"/>
        </w:rPr>
      </w:pPr>
      <w:r w:rsidRPr="00BA2C85">
        <w:rPr>
          <w:lang w:eastAsia="x-none"/>
        </w:rPr>
        <w:t xml:space="preserve">At </w:t>
      </w:r>
      <w:r>
        <w:rPr>
          <w:lang w:eastAsia="x-none"/>
        </w:rPr>
        <w:t>Hopevale</w:t>
      </w:r>
      <w:r w:rsidRPr="00BA2C85">
        <w:rPr>
          <w:lang w:eastAsia="x-none"/>
        </w:rPr>
        <w:t>: working with a range of agencies to support the men’s group</w:t>
      </w:r>
      <w:r>
        <w:rPr>
          <w:lang w:eastAsia="x-none"/>
        </w:rPr>
        <w:t>, women’s group and the parenting program</w:t>
      </w:r>
      <w:r w:rsidRPr="00BA2C85">
        <w:rPr>
          <w:lang w:eastAsia="x-none"/>
        </w:rPr>
        <w:t>; the vis</w:t>
      </w:r>
      <w:r>
        <w:rPr>
          <w:lang w:eastAsia="x-none"/>
        </w:rPr>
        <w:t>i</w:t>
      </w:r>
      <w:r w:rsidRPr="00BA2C85">
        <w:rPr>
          <w:lang w:eastAsia="x-none"/>
        </w:rPr>
        <w:t>ting mental health service in support of a young women’s group</w:t>
      </w:r>
      <w:r>
        <w:rPr>
          <w:lang w:eastAsia="x-none"/>
        </w:rPr>
        <w:t>; the high school in relation to disengaged youth by providing support and activities in Hopevale; the community centre in relation to domestic and family violence services.</w:t>
      </w:r>
    </w:p>
    <w:p w14:paraId="2EBE2F85" w14:textId="77777777" w:rsidR="00204D69" w:rsidRDefault="00204D69" w:rsidP="0083588E">
      <w:pPr>
        <w:numPr>
          <w:ilvl w:val="0"/>
          <w:numId w:val="19"/>
        </w:numPr>
        <w:spacing w:after="120"/>
        <w:rPr>
          <w:lang w:eastAsia="x-none"/>
        </w:rPr>
      </w:pPr>
      <w:r w:rsidRPr="00BA2C85">
        <w:rPr>
          <w:lang w:eastAsia="x-none"/>
        </w:rPr>
        <w:t xml:space="preserve">At Coen: supporting early childhood services in the delivery of a young mothers group; Apunipima to deliver nutrition programs to both school boys and girls; and </w:t>
      </w:r>
      <w:r>
        <w:rPr>
          <w:lang w:eastAsia="x-none"/>
        </w:rPr>
        <w:t>the Justice Group to support offenders to manage particular issues and on occasion avoid incarceration.</w:t>
      </w:r>
    </w:p>
    <w:p w14:paraId="2EBE2F86" w14:textId="77777777" w:rsidR="00204D69" w:rsidRDefault="00204D69" w:rsidP="00165391">
      <w:pPr>
        <w:spacing w:after="120"/>
        <w:rPr>
          <w:lang w:eastAsia="x-none"/>
        </w:rPr>
      </w:pPr>
      <w:r w:rsidRPr="0062532F">
        <w:rPr>
          <w:lang w:eastAsia="en-AU"/>
        </w:rPr>
        <w:t xml:space="preserve">In </w:t>
      </w:r>
      <w:r>
        <w:rPr>
          <w:lang w:eastAsia="en-AU"/>
        </w:rPr>
        <w:t>a number of</w:t>
      </w:r>
      <w:r w:rsidRPr="0062532F">
        <w:rPr>
          <w:lang w:eastAsia="en-AU"/>
        </w:rPr>
        <w:t xml:space="preserve"> cases partners specifically mentioned that the WBC</w:t>
      </w:r>
      <w:r>
        <w:rPr>
          <w:lang w:eastAsia="en-AU"/>
        </w:rPr>
        <w:t xml:space="preserve">, by being in community five days per week and having appropriate expertise, </w:t>
      </w:r>
      <w:r w:rsidRPr="0062532F">
        <w:rPr>
          <w:lang w:eastAsia="en-AU"/>
        </w:rPr>
        <w:t>was assisting their own ag</w:t>
      </w:r>
      <w:r>
        <w:rPr>
          <w:lang w:eastAsia="en-AU"/>
        </w:rPr>
        <w:t>ency to be more effective, and/</w:t>
      </w:r>
      <w:r w:rsidRPr="0062532F">
        <w:rPr>
          <w:lang w:eastAsia="en-AU"/>
        </w:rPr>
        <w:t>or to enable them to concentrate on their core business.</w:t>
      </w:r>
    </w:p>
    <w:p w14:paraId="2EBE2F87" w14:textId="77777777" w:rsidR="00204D69" w:rsidRDefault="00204D69" w:rsidP="00BC0A26">
      <w:pPr>
        <w:pStyle w:val="Heading3"/>
      </w:pPr>
      <w:r>
        <w:t>Key elements for success</w:t>
      </w:r>
    </w:p>
    <w:p w14:paraId="2EBE2F88" w14:textId="77777777" w:rsidR="00204D69" w:rsidRDefault="00204D69" w:rsidP="00165391">
      <w:pPr>
        <w:spacing w:after="120"/>
        <w:rPr>
          <w:lang w:eastAsia="x-none"/>
        </w:rPr>
      </w:pPr>
      <w:r w:rsidRPr="00C86ADA">
        <w:rPr>
          <w:lang w:eastAsia="x-none"/>
        </w:rPr>
        <w:t>Partnerships in any context are affected by a range of factors inclu</w:t>
      </w:r>
      <w:r>
        <w:rPr>
          <w:lang w:eastAsia="x-none"/>
        </w:rPr>
        <w:t>ding:</w:t>
      </w:r>
      <w:r w:rsidRPr="00C86ADA">
        <w:rPr>
          <w:lang w:eastAsia="x-none"/>
        </w:rPr>
        <w:t xml:space="preserve"> stage of dev</w:t>
      </w:r>
      <w:r>
        <w:rPr>
          <w:lang w:eastAsia="x-none"/>
        </w:rPr>
        <w:t>elopment (developing or mature);</w:t>
      </w:r>
      <w:r w:rsidRPr="00C86ADA">
        <w:rPr>
          <w:lang w:eastAsia="x-none"/>
        </w:rPr>
        <w:t xml:space="preserve"> understanding of the partner</w:t>
      </w:r>
      <w:r>
        <w:rPr>
          <w:lang w:eastAsia="x-none"/>
        </w:rPr>
        <w:t>’</w:t>
      </w:r>
      <w:r w:rsidRPr="00C86ADA">
        <w:rPr>
          <w:lang w:eastAsia="x-none"/>
        </w:rPr>
        <w:t>s role</w:t>
      </w:r>
      <w:r>
        <w:rPr>
          <w:lang w:eastAsia="x-none"/>
        </w:rPr>
        <w:t>; expectations of the partner; the value a partner can add;</w:t>
      </w:r>
      <w:r w:rsidRPr="00C86ADA">
        <w:rPr>
          <w:lang w:eastAsia="x-none"/>
        </w:rPr>
        <w:t xml:space="preserve"> priorities</w:t>
      </w:r>
      <w:r>
        <w:rPr>
          <w:lang w:eastAsia="x-none"/>
        </w:rPr>
        <w:t>;</w:t>
      </w:r>
      <w:r w:rsidRPr="00C86ADA">
        <w:rPr>
          <w:lang w:eastAsia="x-none"/>
        </w:rPr>
        <w:t xml:space="preserve"> and not the least personalities.</w:t>
      </w:r>
      <w:r w:rsidRPr="00AC520A">
        <w:rPr>
          <w:lang w:eastAsia="x-none"/>
        </w:rPr>
        <w:t xml:space="preserve"> </w:t>
      </w:r>
    </w:p>
    <w:p w14:paraId="2EBE2F89" w14:textId="77777777" w:rsidR="00204D69" w:rsidRDefault="00204D69" w:rsidP="00165391">
      <w:pPr>
        <w:spacing w:after="120"/>
        <w:rPr>
          <w:lang w:eastAsia="x-none"/>
        </w:rPr>
      </w:pPr>
      <w:r>
        <w:rPr>
          <w:lang w:eastAsia="x-none"/>
        </w:rPr>
        <w:lastRenderedPageBreak/>
        <w:t>T</w:t>
      </w:r>
      <w:r w:rsidRPr="00B10062">
        <w:rPr>
          <w:lang w:eastAsia="x-none"/>
        </w:rPr>
        <w:t>he best successes were noted where WBC team leaders</w:t>
      </w:r>
      <w:r>
        <w:rPr>
          <w:lang w:eastAsia="x-none"/>
        </w:rPr>
        <w:t xml:space="preserve"> and management</w:t>
      </w:r>
      <w:r w:rsidRPr="00B10062">
        <w:rPr>
          <w:lang w:eastAsia="x-none"/>
        </w:rPr>
        <w:t xml:space="preserve"> demonstrated both a strong commitment to develop a particular relationship, possessed good communication skills and of course had a willing partner. This is usually enhanced where the team leader</w:t>
      </w:r>
      <w:r>
        <w:rPr>
          <w:lang w:eastAsia="x-none"/>
        </w:rPr>
        <w:t>/management</w:t>
      </w:r>
      <w:r w:rsidRPr="00B10062">
        <w:rPr>
          <w:lang w:eastAsia="x-none"/>
        </w:rPr>
        <w:t xml:space="preserve"> of the WBC has been </w:t>
      </w:r>
      <w:r>
        <w:rPr>
          <w:lang w:eastAsia="x-none"/>
        </w:rPr>
        <w:t>in their position</w:t>
      </w:r>
      <w:r w:rsidRPr="00B10062">
        <w:rPr>
          <w:lang w:eastAsia="x-none"/>
        </w:rPr>
        <w:t xml:space="preserve"> </w:t>
      </w:r>
      <w:r>
        <w:rPr>
          <w:lang w:eastAsia="x-none"/>
        </w:rPr>
        <w:t>for a reasonable period of time.</w:t>
      </w:r>
    </w:p>
    <w:p w14:paraId="2EBE2F8A" w14:textId="77777777" w:rsidR="00204D69" w:rsidRDefault="00204D69" w:rsidP="00BC0A26">
      <w:pPr>
        <w:pStyle w:val="Heading3"/>
        <w:rPr>
          <w:lang w:val="en-AU"/>
        </w:rPr>
      </w:pPr>
      <w:bookmarkStart w:id="162" w:name="_Toc379474384"/>
      <w:r>
        <w:t>Referrals between partners</w:t>
      </w:r>
      <w:bookmarkEnd w:id="162"/>
    </w:p>
    <w:p w14:paraId="2EBE2F8B" w14:textId="77777777" w:rsidR="00204D69" w:rsidRDefault="00204D69" w:rsidP="00165391">
      <w:pPr>
        <w:spacing w:after="120"/>
      </w:pPr>
      <w:r w:rsidRPr="00915116">
        <w:t xml:space="preserve">One indicator of a healthy partnership is the level of </w:t>
      </w:r>
      <w:r w:rsidR="004E183A">
        <w:t xml:space="preserve">formal </w:t>
      </w:r>
      <w:r w:rsidRPr="00915116">
        <w:t>referral from relevant org</w:t>
      </w:r>
      <w:r>
        <w:t xml:space="preserve">anisations to the WBC. </w:t>
      </w:r>
      <w:r w:rsidRPr="00915116">
        <w:t xml:space="preserve"> </w:t>
      </w:r>
      <w:r>
        <w:fldChar w:fldCharType="begin"/>
      </w:r>
      <w:r>
        <w:instrText xml:space="preserve"> REF _Ref387393094 \h </w:instrText>
      </w:r>
      <w:r>
        <w:fldChar w:fldCharType="separate"/>
      </w:r>
      <w:r w:rsidR="009A19EB">
        <w:t xml:space="preserve">Table </w:t>
      </w:r>
      <w:r w:rsidR="009A19EB">
        <w:rPr>
          <w:noProof/>
        </w:rPr>
        <w:t>3</w:t>
      </w:r>
      <w:r w:rsidR="009A19EB">
        <w:t>.</w:t>
      </w:r>
      <w:r w:rsidR="009A19EB">
        <w:rPr>
          <w:noProof/>
        </w:rPr>
        <w:t>2</w:t>
      </w:r>
      <w:r>
        <w:fldChar w:fldCharType="end"/>
      </w:r>
      <w:r>
        <w:t xml:space="preserve"> </w:t>
      </w:r>
      <w:r w:rsidRPr="00915116">
        <w:t>sets out where WBC clients</w:t>
      </w:r>
      <w:r>
        <w:t xml:space="preserve"> were referred from. The FRC (3</w:t>
      </w:r>
      <w:r w:rsidR="0037075B">
        <w:t>4</w:t>
      </w:r>
      <w:r>
        <w:t>%) and self-referrals (</w:t>
      </w:r>
      <w:r w:rsidR="0037075B">
        <w:t>31</w:t>
      </w:r>
      <w:r w:rsidRPr="00915116">
        <w:t xml:space="preserve">%) have been the main </w:t>
      </w:r>
      <w:r>
        <w:t>original referral source</w:t>
      </w:r>
      <w:r w:rsidRPr="00915116">
        <w:t xml:space="preserve"> for the WBC</w:t>
      </w:r>
      <w:r>
        <w:t xml:space="preserve"> accounting for over two thirds of all referrals</w:t>
      </w:r>
      <w:r w:rsidRPr="00915116">
        <w:t>.</w:t>
      </w:r>
      <w:r w:rsidR="004E183A">
        <w:t xml:space="preserve"> </w:t>
      </w:r>
      <w:r w:rsidR="00ED403F">
        <w:t>We are also aware that FRC and other agencies have prompted clients to attend the WBCs of their own accord (i.e. self-refer) and hence some of the self-referrals may have originated from a partner agency but is not reflected as such in the referral data.</w:t>
      </w:r>
    </w:p>
    <w:p w14:paraId="2EBE2F8C" w14:textId="77777777" w:rsidR="00272004" w:rsidRDefault="00204D69" w:rsidP="00165391">
      <w:pPr>
        <w:spacing w:after="120"/>
      </w:pPr>
      <w:r>
        <w:t>It should be noted that the referral source for many clients who are re-referred have not been recorded until April 2014. For example the CYHHS clinic at Aurukun advised they refer a significant numbers of clients to the WBCs on an informal basis and regular basis. These referrals will not be included in the data presented in this table as they were already recorded as WBC clients.</w:t>
      </w:r>
    </w:p>
    <w:p w14:paraId="2EBE2F8D" w14:textId="6B67496C" w:rsidR="00204D69" w:rsidRDefault="00AA7DC9" w:rsidP="00AA7DC9">
      <w:pPr>
        <w:pStyle w:val="Caption"/>
      </w:pPr>
      <w:bookmarkStart w:id="163" w:name="_Toc392686439"/>
      <w:bookmarkStart w:id="164" w:name="_Ref387393094"/>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2</w:t>
      </w:r>
      <w:r>
        <w:fldChar w:fldCharType="end"/>
      </w:r>
      <w:bookmarkEnd w:id="164"/>
      <w:r w:rsidR="00204D69">
        <w:t>: Original referral sources</w:t>
      </w:r>
      <w:bookmarkEnd w:id="163"/>
    </w:p>
    <w:tbl>
      <w:tblPr>
        <w:tblW w:w="9220" w:type="dxa"/>
        <w:tblInd w:w="93" w:type="dxa"/>
        <w:tblLook w:val="04A0" w:firstRow="1" w:lastRow="0" w:firstColumn="1" w:lastColumn="0" w:noHBand="0" w:noVBand="1"/>
        <w:tblCaption w:val="Table 3.2: Original referral sources"/>
        <w:tblDescription w:val="Table 3.2 displays the original referral sources to the WBCs.  The first column lists the referral source and the following four columns contain a split row witih the number and proportion of referrals for each referral source at each WBC.  Aurkun is presented first, followed by Coen, Hope Vale and Mossman Gorge.  The six column contains the total number of each referral source for the four WBCs and column seven contains the proportion (%) of each referral source of total referrals to all WBCs.  The referral sources are listed from top to bottom in order of the most common referral source, with the FRC being the most common referral source and Medical practitioners being the least common.  The bottom row contains the Grand total of each value. "/>
      </w:tblPr>
      <w:tblGrid>
        <w:gridCol w:w="3340"/>
        <w:gridCol w:w="960"/>
        <w:gridCol w:w="1000"/>
        <w:gridCol w:w="1000"/>
        <w:gridCol w:w="1028"/>
        <w:gridCol w:w="960"/>
        <w:gridCol w:w="1142"/>
      </w:tblGrid>
      <w:tr w:rsidR="0037075B" w:rsidRPr="0037075B" w14:paraId="2EBE2F95" w14:textId="77777777" w:rsidTr="0037075B">
        <w:trPr>
          <w:trHeight w:val="255"/>
        </w:trPr>
        <w:tc>
          <w:tcPr>
            <w:tcW w:w="3340" w:type="dxa"/>
            <w:tcBorders>
              <w:top w:val="single" w:sz="4" w:space="0" w:color="FFFFFF"/>
              <w:left w:val="single" w:sz="4" w:space="0" w:color="FFFFFF"/>
              <w:bottom w:val="single" w:sz="4" w:space="0" w:color="FFFFFF"/>
              <w:right w:val="single" w:sz="4" w:space="0" w:color="FFFFFF"/>
            </w:tcBorders>
            <w:shd w:val="clear" w:color="DCE6F1" w:fill="B8CCE4"/>
            <w:noWrap/>
            <w:vAlign w:val="bottom"/>
            <w:hideMark/>
          </w:tcPr>
          <w:p w14:paraId="2EBE2F8E" w14:textId="77777777" w:rsidR="0037075B" w:rsidRPr="0037075B" w:rsidRDefault="0037075B" w:rsidP="0037075B">
            <w:pPr>
              <w:spacing w:after="0"/>
              <w:jc w:val="left"/>
              <w:rPr>
                <w:rFonts w:eastAsia="Times New Roman" w:cs="Segoe UI"/>
                <w:b/>
                <w:bCs/>
                <w:sz w:val="18"/>
                <w:szCs w:val="18"/>
                <w:lang w:eastAsia="en-AU"/>
              </w:rPr>
            </w:pPr>
            <w:r w:rsidRPr="0037075B">
              <w:rPr>
                <w:rFonts w:eastAsia="Times New Roman" w:cs="Segoe UI"/>
                <w:b/>
                <w:bCs/>
                <w:sz w:val="18"/>
                <w:szCs w:val="18"/>
                <w:lang w:eastAsia="en-AU"/>
              </w:rPr>
              <w:t>Referral Source</w:t>
            </w:r>
          </w:p>
        </w:tc>
        <w:tc>
          <w:tcPr>
            <w:tcW w:w="960" w:type="dxa"/>
            <w:tcBorders>
              <w:top w:val="single" w:sz="4" w:space="0" w:color="FFFFFF"/>
              <w:left w:val="nil"/>
              <w:bottom w:val="single" w:sz="4" w:space="0" w:color="FFFFFF"/>
              <w:right w:val="single" w:sz="4" w:space="0" w:color="FFFFFF"/>
            </w:tcBorders>
            <w:shd w:val="clear" w:color="DCE6F1" w:fill="B8CCE4"/>
            <w:noWrap/>
            <w:vAlign w:val="center"/>
            <w:hideMark/>
          </w:tcPr>
          <w:p w14:paraId="2EBE2F8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Aurukun</w:t>
            </w:r>
          </w:p>
        </w:tc>
        <w:tc>
          <w:tcPr>
            <w:tcW w:w="1000" w:type="dxa"/>
            <w:tcBorders>
              <w:top w:val="single" w:sz="4" w:space="0" w:color="FFFFFF"/>
              <w:left w:val="nil"/>
              <w:bottom w:val="single" w:sz="4" w:space="0" w:color="FFFFFF"/>
              <w:right w:val="single" w:sz="4" w:space="0" w:color="FFFFFF"/>
            </w:tcBorders>
            <w:shd w:val="clear" w:color="DCE6F1" w:fill="B8CCE4"/>
            <w:noWrap/>
            <w:vAlign w:val="center"/>
            <w:hideMark/>
          </w:tcPr>
          <w:p w14:paraId="2EBE2F9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Coen</w:t>
            </w:r>
          </w:p>
        </w:tc>
        <w:tc>
          <w:tcPr>
            <w:tcW w:w="1000" w:type="dxa"/>
            <w:tcBorders>
              <w:top w:val="single" w:sz="4" w:space="0" w:color="FFFFFF"/>
              <w:left w:val="nil"/>
              <w:bottom w:val="single" w:sz="4" w:space="0" w:color="FFFFFF"/>
              <w:right w:val="single" w:sz="4" w:space="0" w:color="FFFFFF"/>
            </w:tcBorders>
            <w:shd w:val="clear" w:color="DCE6F1" w:fill="B8CCE4"/>
            <w:noWrap/>
            <w:vAlign w:val="center"/>
            <w:hideMark/>
          </w:tcPr>
          <w:p w14:paraId="2EBE2F9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Hope Vale</w:t>
            </w:r>
          </w:p>
        </w:tc>
        <w:tc>
          <w:tcPr>
            <w:tcW w:w="1000" w:type="dxa"/>
            <w:tcBorders>
              <w:top w:val="single" w:sz="4" w:space="0" w:color="FFFFFF"/>
              <w:left w:val="nil"/>
              <w:bottom w:val="single" w:sz="4" w:space="0" w:color="FFFFFF"/>
              <w:right w:val="single" w:sz="4" w:space="0" w:color="FFFFFF"/>
            </w:tcBorders>
            <w:shd w:val="clear" w:color="DCE6F1" w:fill="B8CCE4"/>
            <w:noWrap/>
            <w:vAlign w:val="center"/>
            <w:hideMark/>
          </w:tcPr>
          <w:p w14:paraId="2EBE2F9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Mossman Gorge</w:t>
            </w:r>
          </w:p>
        </w:tc>
        <w:tc>
          <w:tcPr>
            <w:tcW w:w="960" w:type="dxa"/>
            <w:tcBorders>
              <w:top w:val="single" w:sz="4" w:space="0" w:color="FFFFFF"/>
              <w:left w:val="nil"/>
              <w:bottom w:val="single" w:sz="4" w:space="0" w:color="FFFFFF"/>
              <w:right w:val="single" w:sz="4" w:space="0" w:color="FFFFFF"/>
            </w:tcBorders>
            <w:shd w:val="clear" w:color="DCE6F1" w:fill="B8CCE4"/>
            <w:noWrap/>
            <w:vAlign w:val="center"/>
            <w:hideMark/>
          </w:tcPr>
          <w:p w14:paraId="2EBE2F93"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Total</w:t>
            </w:r>
          </w:p>
        </w:tc>
        <w:tc>
          <w:tcPr>
            <w:tcW w:w="960" w:type="dxa"/>
            <w:tcBorders>
              <w:top w:val="single" w:sz="4" w:space="0" w:color="FFFFFF"/>
              <w:left w:val="nil"/>
              <w:bottom w:val="single" w:sz="4" w:space="0" w:color="FFFFFF"/>
              <w:right w:val="single" w:sz="4" w:space="0" w:color="FFFFFF"/>
            </w:tcBorders>
            <w:shd w:val="clear" w:color="DCE6F1" w:fill="B8CCE4"/>
            <w:noWrap/>
            <w:vAlign w:val="center"/>
            <w:hideMark/>
          </w:tcPr>
          <w:p w14:paraId="2EBE2F94"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Proportion %</w:t>
            </w:r>
          </w:p>
        </w:tc>
      </w:tr>
      <w:tr w:rsidR="0037075B" w:rsidRPr="0037075B" w14:paraId="2EBE2F9D" w14:textId="77777777" w:rsidTr="0037075B">
        <w:trPr>
          <w:trHeight w:val="255"/>
        </w:trPr>
        <w:tc>
          <w:tcPr>
            <w:tcW w:w="3340" w:type="dxa"/>
            <w:tcBorders>
              <w:top w:val="nil"/>
              <w:left w:val="single" w:sz="4" w:space="0" w:color="FFFFFF"/>
              <w:bottom w:val="nil"/>
              <w:right w:val="single" w:sz="4" w:space="0" w:color="FFFFFF"/>
            </w:tcBorders>
            <w:shd w:val="clear" w:color="000000" w:fill="F2F2F2"/>
            <w:noWrap/>
            <w:vAlign w:val="center"/>
            <w:hideMark/>
          </w:tcPr>
          <w:p w14:paraId="2EBE2F9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Family Responsibilities Commission (FRC)</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9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238</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9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32</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9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110</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9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51</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9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431</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9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34%</w:t>
            </w:r>
          </w:p>
        </w:tc>
      </w:tr>
      <w:tr w:rsidR="0037075B" w:rsidRPr="0037075B" w14:paraId="2EBE2FA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F2F2F2"/>
            <w:noWrap/>
            <w:vAlign w:val="center"/>
            <w:hideMark/>
          </w:tcPr>
          <w:p w14:paraId="2EBE2F9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9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49%</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A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16%</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A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28%</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A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28%</w:t>
            </w:r>
          </w:p>
        </w:tc>
        <w:tc>
          <w:tcPr>
            <w:tcW w:w="960" w:type="dxa"/>
            <w:vMerge/>
            <w:tcBorders>
              <w:top w:val="nil"/>
              <w:left w:val="single" w:sz="4" w:space="0" w:color="FFFFFF"/>
              <w:bottom w:val="single" w:sz="4" w:space="0" w:color="FFFFFF"/>
              <w:right w:val="single" w:sz="4" w:space="0" w:color="FFFFFF"/>
            </w:tcBorders>
            <w:vAlign w:val="center"/>
            <w:hideMark/>
          </w:tcPr>
          <w:p w14:paraId="2EBE2FA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2FA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2FAD" w14:textId="77777777" w:rsidTr="0037075B">
        <w:trPr>
          <w:trHeight w:val="255"/>
        </w:trPr>
        <w:tc>
          <w:tcPr>
            <w:tcW w:w="3340" w:type="dxa"/>
            <w:tcBorders>
              <w:top w:val="nil"/>
              <w:left w:val="single" w:sz="4" w:space="0" w:color="FFFFFF"/>
              <w:bottom w:val="nil"/>
              <w:right w:val="single" w:sz="4" w:space="0" w:color="FFFFFF"/>
            </w:tcBorders>
            <w:shd w:val="clear" w:color="000000" w:fill="DBE5F1"/>
            <w:noWrap/>
            <w:vAlign w:val="center"/>
            <w:hideMark/>
          </w:tcPr>
          <w:p w14:paraId="2EBE2FA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Self</w:t>
            </w:r>
          </w:p>
        </w:tc>
        <w:tc>
          <w:tcPr>
            <w:tcW w:w="960" w:type="dxa"/>
            <w:tcBorders>
              <w:top w:val="nil"/>
              <w:left w:val="nil"/>
              <w:bottom w:val="single" w:sz="4" w:space="0" w:color="FFFFFF"/>
              <w:right w:val="single" w:sz="4" w:space="0" w:color="FFFFFF"/>
            </w:tcBorders>
            <w:shd w:val="clear" w:color="000000" w:fill="DBE5F1"/>
            <w:noWrap/>
            <w:vAlign w:val="center"/>
            <w:hideMark/>
          </w:tcPr>
          <w:p w14:paraId="2EBE2FA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116</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2FA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80</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2FA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129</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2FA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67</w:t>
            </w:r>
          </w:p>
        </w:tc>
        <w:tc>
          <w:tcPr>
            <w:tcW w:w="960" w:type="dxa"/>
            <w:vMerge w:val="restart"/>
            <w:tcBorders>
              <w:top w:val="nil"/>
              <w:left w:val="single" w:sz="4" w:space="0" w:color="FFFFFF"/>
              <w:bottom w:val="single" w:sz="4" w:space="0" w:color="FFFFFF"/>
              <w:right w:val="single" w:sz="4" w:space="0" w:color="FFFFFF"/>
            </w:tcBorders>
            <w:shd w:val="clear" w:color="000000" w:fill="DBE5F1"/>
            <w:noWrap/>
            <w:vAlign w:val="center"/>
            <w:hideMark/>
          </w:tcPr>
          <w:p w14:paraId="2EBE2FA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392</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2FA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31%</w:t>
            </w:r>
          </w:p>
        </w:tc>
      </w:tr>
      <w:tr w:rsidR="0037075B" w:rsidRPr="0037075B" w14:paraId="2EBE2FB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DBE5F1"/>
            <w:noWrap/>
            <w:vAlign w:val="center"/>
            <w:hideMark/>
          </w:tcPr>
          <w:p w14:paraId="2EBE2FA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DBE5F1"/>
            <w:noWrap/>
            <w:vAlign w:val="center"/>
            <w:hideMark/>
          </w:tcPr>
          <w:p w14:paraId="2EBE2FA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24%</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2FB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39%</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2FB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32%</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2FB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37%</w:t>
            </w:r>
          </w:p>
        </w:tc>
        <w:tc>
          <w:tcPr>
            <w:tcW w:w="960" w:type="dxa"/>
            <w:vMerge/>
            <w:tcBorders>
              <w:top w:val="nil"/>
              <w:left w:val="single" w:sz="4" w:space="0" w:color="FFFFFF"/>
              <w:bottom w:val="single" w:sz="4" w:space="0" w:color="FFFFFF"/>
              <w:right w:val="single" w:sz="4" w:space="0" w:color="FFFFFF"/>
            </w:tcBorders>
            <w:vAlign w:val="center"/>
            <w:hideMark/>
          </w:tcPr>
          <w:p w14:paraId="2EBE2FB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2FB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2FBD" w14:textId="77777777" w:rsidTr="0037075B">
        <w:trPr>
          <w:trHeight w:val="255"/>
        </w:trPr>
        <w:tc>
          <w:tcPr>
            <w:tcW w:w="3340" w:type="dxa"/>
            <w:tcBorders>
              <w:top w:val="nil"/>
              <w:left w:val="single" w:sz="4" w:space="0" w:color="FFFFFF"/>
              <w:bottom w:val="nil"/>
              <w:right w:val="single" w:sz="4" w:space="0" w:color="FFFFFF"/>
            </w:tcBorders>
            <w:shd w:val="clear" w:color="000000" w:fill="F2F2F2"/>
            <w:noWrap/>
            <w:vAlign w:val="center"/>
            <w:hideMark/>
          </w:tcPr>
          <w:p w14:paraId="2EBE2FB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Other</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B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49</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B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17</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B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41</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B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20</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B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127</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B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10%</w:t>
            </w:r>
          </w:p>
        </w:tc>
      </w:tr>
      <w:tr w:rsidR="0037075B" w:rsidRPr="0037075B" w14:paraId="2EBE2FC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F2F2F2"/>
            <w:noWrap/>
            <w:vAlign w:val="center"/>
            <w:hideMark/>
          </w:tcPr>
          <w:p w14:paraId="2EBE2FB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B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10%</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C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8%</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C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10%</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C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11%</w:t>
            </w:r>
          </w:p>
        </w:tc>
        <w:tc>
          <w:tcPr>
            <w:tcW w:w="960" w:type="dxa"/>
            <w:vMerge/>
            <w:tcBorders>
              <w:top w:val="nil"/>
              <w:left w:val="single" w:sz="4" w:space="0" w:color="FFFFFF"/>
              <w:bottom w:val="single" w:sz="4" w:space="0" w:color="FFFFFF"/>
              <w:right w:val="single" w:sz="4" w:space="0" w:color="FFFFFF"/>
            </w:tcBorders>
            <w:vAlign w:val="center"/>
            <w:hideMark/>
          </w:tcPr>
          <w:p w14:paraId="2EBE2FC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2FC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2FCD" w14:textId="77777777" w:rsidTr="0037075B">
        <w:trPr>
          <w:trHeight w:val="255"/>
        </w:trPr>
        <w:tc>
          <w:tcPr>
            <w:tcW w:w="3340" w:type="dxa"/>
            <w:tcBorders>
              <w:top w:val="nil"/>
              <w:left w:val="single" w:sz="4" w:space="0" w:color="FFFFFF"/>
              <w:bottom w:val="nil"/>
              <w:right w:val="single" w:sz="4" w:space="0" w:color="FFFFFF"/>
            </w:tcBorders>
            <w:shd w:val="clear" w:color="000000" w:fill="DCE6F1"/>
            <w:noWrap/>
            <w:vAlign w:val="center"/>
            <w:hideMark/>
          </w:tcPr>
          <w:p w14:paraId="2EBE2FC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xml:space="preserve">Child </w:t>
            </w:r>
            <w:r w:rsidR="00B3366F" w:rsidRPr="0037075B">
              <w:rPr>
                <w:rFonts w:eastAsia="Times New Roman" w:cs="Segoe UI"/>
                <w:sz w:val="18"/>
                <w:szCs w:val="18"/>
                <w:lang w:eastAsia="en-AU"/>
              </w:rPr>
              <w:t>safety</w:t>
            </w:r>
          </w:p>
        </w:tc>
        <w:tc>
          <w:tcPr>
            <w:tcW w:w="960" w:type="dxa"/>
            <w:tcBorders>
              <w:top w:val="nil"/>
              <w:left w:val="nil"/>
              <w:bottom w:val="single" w:sz="4" w:space="0" w:color="FFFFFF"/>
              <w:right w:val="single" w:sz="4" w:space="0" w:color="FFFFFF"/>
            </w:tcBorders>
            <w:shd w:val="clear" w:color="000000" w:fill="DCE6F1"/>
            <w:noWrap/>
            <w:vAlign w:val="center"/>
            <w:hideMark/>
          </w:tcPr>
          <w:p w14:paraId="2EBE2FC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24</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C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C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26</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C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2FC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56</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2FC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w:t>
            </w:r>
          </w:p>
        </w:tc>
      </w:tr>
      <w:tr w:rsidR="0037075B" w:rsidRPr="0037075B" w14:paraId="2EBE2FD5" w14:textId="77777777" w:rsidTr="0037075B">
        <w:trPr>
          <w:trHeight w:val="255"/>
        </w:trPr>
        <w:tc>
          <w:tcPr>
            <w:tcW w:w="3340" w:type="dxa"/>
            <w:tcBorders>
              <w:top w:val="nil"/>
              <w:left w:val="single" w:sz="4" w:space="0" w:color="FFFFFF"/>
              <w:bottom w:val="nil"/>
              <w:right w:val="single" w:sz="4" w:space="0" w:color="FFFFFF"/>
            </w:tcBorders>
            <w:shd w:val="clear" w:color="000000" w:fill="DCE6F1"/>
            <w:noWrap/>
            <w:vAlign w:val="center"/>
            <w:hideMark/>
          </w:tcPr>
          <w:p w14:paraId="2EBE2FC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DCE6F1"/>
            <w:noWrap/>
            <w:vAlign w:val="center"/>
            <w:hideMark/>
          </w:tcPr>
          <w:p w14:paraId="2EBE2FC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5%</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D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D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7%</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D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960" w:type="dxa"/>
            <w:vMerge/>
            <w:tcBorders>
              <w:top w:val="nil"/>
              <w:left w:val="single" w:sz="4" w:space="0" w:color="FFFFFF"/>
              <w:bottom w:val="single" w:sz="4" w:space="0" w:color="FFFFFF"/>
              <w:right w:val="single" w:sz="4" w:space="0" w:color="FFFFFF"/>
            </w:tcBorders>
            <w:vAlign w:val="center"/>
            <w:hideMark/>
          </w:tcPr>
          <w:p w14:paraId="2EBE2FD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2FD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2FDD" w14:textId="77777777" w:rsidTr="0037075B">
        <w:trPr>
          <w:trHeight w:val="255"/>
        </w:trPr>
        <w:tc>
          <w:tcPr>
            <w:tcW w:w="3340" w:type="dxa"/>
            <w:tcBorders>
              <w:top w:val="single" w:sz="4" w:space="0" w:color="FFFFFF"/>
              <w:left w:val="single" w:sz="4" w:space="0" w:color="FFFFFF"/>
              <w:bottom w:val="nil"/>
              <w:right w:val="single" w:sz="4" w:space="0" w:color="FFFFFF"/>
            </w:tcBorders>
            <w:shd w:val="clear" w:color="000000" w:fill="F2F2F2"/>
            <w:noWrap/>
            <w:vAlign w:val="center"/>
            <w:hideMark/>
          </w:tcPr>
          <w:p w14:paraId="2EBE2FD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Correctional Service</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D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11</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D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D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28</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D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7</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D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51</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D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w:t>
            </w:r>
          </w:p>
        </w:tc>
      </w:tr>
      <w:tr w:rsidR="0037075B" w:rsidRPr="0037075B" w14:paraId="2EBE2FE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F2F2F2"/>
            <w:noWrap/>
            <w:vAlign w:val="center"/>
            <w:hideMark/>
          </w:tcPr>
          <w:p w14:paraId="2EBE2FD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D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E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E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7%</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E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4%</w:t>
            </w:r>
          </w:p>
        </w:tc>
        <w:tc>
          <w:tcPr>
            <w:tcW w:w="960" w:type="dxa"/>
            <w:vMerge/>
            <w:tcBorders>
              <w:top w:val="nil"/>
              <w:left w:val="single" w:sz="4" w:space="0" w:color="FFFFFF"/>
              <w:bottom w:val="single" w:sz="4" w:space="0" w:color="FFFFFF"/>
              <w:right w:val="single" w:sz="4" w:space="0" w:color="FFFFFF"/>
            </w:tcBorders>
            <w:vAlign w:val="center"/>
            <w:hideMark/>
          </w:tcPr>
          <w:p w14:paraId="2EBE2FE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2FE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2FED" w14:textId="77777777" w:rsidTr="0037075B">
        <w:trPr>
          <w:trHeight w:val="255"/>
        </w:trPr>
        <w:tc>
          <w:tcPr>
            <w:tcW w:w="3340" w:type="dxa"/>
            <w:tcBorders>
              <w:top w:val="nil"/>
              <w:left w:val="single" w:sz="4" w:space="0" w:color="FFFFFF"/>
              <w:bottom w:val="nil"/>
              <w:right w:val="single" w:sz="4" w:space="0" w:color="FFFFFF"/>
            </w:tcBorders>
            <w:shd w:val="clear" w:color="000000" w:fill="DCE6F1"/>
            <w:noWrap/>
            <w:vAlign w:val="center"/>
            <w:hideMark/>
          </w:tcPr>
          <w:p w14:paraId="2EBE2FE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Family member/friend</w:t>
            </w:r>
          </w:p>
        </w:tc>
        <w:tc>
          <w:tcPr>
            <w:tcW w:w="960" w:type="dxa"/>
            <w:tcBorders>
              <w:top w:val="nil"/>
              <w:left w:val="nil"/>
              <w:bottom w:val="single" w:sz="4" w:space="0" w:color="FFFFFF"/>
              <w:right w:val="single" w:sz="4" w:space="0" w:color="FFFFFF"/>
            </w:tcBorders>
            <w:shd w:val="clear" w:color="000000" w:fill="DCE6F1"/>
            <w:noWrap/>
            <w:vAlign w:val="center"/>
            <w:hideMark/>
          </w:tcPr>
          <w:p w14:paraId="2EBE2FE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8</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E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7</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E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29</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E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11</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2FE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55</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2FE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w:t>
            </w:r>
          </w:p>
        </w:tc>
      </w:tr>
      <w:tr w:rsidR="0037075B" w:rsidRPr="0037075B" w14:paraId="2EBE2FF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DCE6F1"/>
            <w:noWrap/>
            <w:vAlign w:val="center"/>
            <w:hideMark/>
          </w:tcPr>
          <w:p w14:paraId="2EBE2FE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DCE6F1"/>
            <w:noWrap/>
            <w:vAlign w:val="center"/>
            <w:hideMark/>
          </w:tcPr>
          <w:p w14:paraId="2EBE2FE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F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F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7%</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2FF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6%</w:t>
            </w:r>
          </w:p>
        </w:tc>
        <w:tc>
          <w:tcPr>
            <w:tcW w:w="960" w:type="dxa"/>
            <w:vMerge/>
            <w:tcBorders>
              <w:top w:val="nil"/>
              <w:left w:val="single" w:sz="4" w:space="0" w:color="FFFFFF"/>
              <w:bottom w:val="single" w:sz="4" w:space="0" w:color="FFFFFF"/>
              <w:right w:val="single" w:sz="4" w:space="0" w:color="FFFFFF"/>
            </w:tcBorders>
            <w:vAlign w:val="center"/>
            <w:hideMark/>
          </w:tcPr>
          <w:p w14:paraId="2EBE2FF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2FF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2FFD" w14:textId="77777777" w:rsidTr="0037075B">
        <w:trPr>
          <w:trHeight w:val="255"/>
        </w:trPr>
        <w:tc>
          <w:tcPr>
            <w:tcW w:w="3340" w:type="dxa"/>
            <w:tcBorders>
              <w:top w:val="nil"/>
              <w:left w:val="single" w:sz="4" w:space="0" w:color="FFFFFF"/>
              <w:bottom w:val="nil"/>
              <w:right w:val="single" w:sz="4" w:space="0" w:color="FFFFFF"/>
            </w:tcBorders>
            <w:shd w:val="clear" w:color="000000" w:fill="F2F2F2"/>
            <w:noWrap/>
            <w:vAlign w:val="center"/>
            <w:hideMark/>
          </w:tcPr>
          <w:p w14:paraId="2EBE2FF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Hospital</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F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21</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F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14</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F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10</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2FF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F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48</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2FF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w:t>
            </w:r>
          </w:p>
        </w:tc>
      </w:tr>
      <w:tr w:rsidR="0037075B" w:rsidRPr="0037075B" w14:paraId="2EBE300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F2F2F2"/>
            <w:noWrap/>
            <w:vAlign w:val="center"/>
            <w:hideMark/>
          </w:tcPr>
          <w:p w14:paraId="2EBE2FF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2FF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4%</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0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7%</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0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0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960" w:type="dxa"/>
            <w:vMerge/>
            <w:tcBorders>
              <w:top w:val="nil"/>
              <w:left w:val="single" w:sz="4" w:space="0" w:color="FFFFFF"/>
              <w:bottom w:val="single" w:sz="4" w:space="0" w:color="FFFFFF"/>
              <w:right w:val="single" w:sz="4" w:space="0" w:color="FFFFFF"/>
            </w:tcBorders>
            <w:vAlign w:val="center"/>
            <w:hideMark/>
          </w:tcPr>
          <w:p w14:paraId="2EBE300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300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300D" w14:textId="77777777" w:rsidTr="0037075B">
        <w:trPr>
          <w:trHeight w:val="255"/>
        </w:trPr>
        <w:tc>
          <w:tcPr>
            <w:tcW w:w="3340" w:type="dxa"/>
            <w:tcBorders>
              <w:top w:val="nil"/>
              <w:left w:val="single" w:sz="4" w:space="0" w:color="FFFFFF"/>
              <w:bottom w:val="nil"/>
              <w:right w:val="single" w:sz="4" w:space="0" w:color="FFFFFF"/>
            </w:tcBorders>
            <w:shd w:val="clear" w:color="000000" w:fill="DCE6F1"/>
            <w:noWrap/>
            <w:vAlign w:val="center"/>
            <w:hideMark/>
          </w:tcPr>
          <w:p w14:paraId="2EBE300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Mental health care service</w:t>
            </w:r>
          </w:p>
        </w:tc>
        <w:tc>
          <w:tcPr>
            <w:tcW w:w="960" w:type="dxa"/>
            <w:tcBorders>
              <w:top w:val="nil"/>
              <w:left w:val="nil"/>
              <w:bottom w:val="nil"/>
              <w:right w:val="nil"/>
            </w:tcBorders>
            <w:shd w:val="clear" w:color="000000" w:fill="DCE6F1"/>
            <w:noWrap/>
            <w:vAlign w:val="center"/>
            <w:hideMark/>
          </w:tcPr>
          <w:p w14:paraId="2EBE300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11</w:t>
            </w:r>
          </w:p>
        </w:tc>
        <w:tc>
          <w:tcPr>
            <w:tcW w:w="1000" w:type="dxa"/>
            <w:tcBorders>
              <w:top w:val="nil"/>
              <w:left w:val="nil"/>
              <w:bottom w:val="nil"/>
              <w:right w:val="nil"/>
            </w:tcBorders>
            <w:shd w:val="clear" w:color="000000" w:fill="DCE6F1"/>
            <w:noWrap/>
            <w:vAlign w:val="center"/>
            <w:hideMark/>
          </w:tcPr>
          <w:p w14:paraId="2EBE300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14</w:t>
            </w:r>
          </w:p>
        </w:tc>
        <w:tc>
          <w:tcPr>
            <w:tcW w:w="1000" w:type="dxa"/>
            <w:tcBorders>
              <w:top w:val="nil"/>
              <w:left w:val="nil"/>
              <w:bottom w:val="nil"/>
              <w:right w:val="nil"/>
            </w:tcBorders>
            <w:shd w:val="clear" w:color="000000" w:fill="DCE6F1"/>
            <w:noWrap/>
            <w:vAlign w:val="center"/>
            <w:hideMark/>
          </w:tcPr>
          <w:p w14:paraId="2EBE300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10</w:t>
            </w:r>
          </w:p>
        </w:tc>
        <w:tc>
          <w:tcPr>
            <w:tcW w:w="1000" w:type="dxa"/>
            <w:tcBorders>
              <w:top w:val="nil"/>
              <w:left w:val="nil"/>
              <w:bottom w:val="nil"/>
              <w:right w:val="nil"/>
            </w:tcBorders>
            <w:shd w:val="clear" w:color="000000" w:fill="DCE6F1"/>
            <w:noWrap/>
            <w:vAlign w:val="center"/>
            <w:hideMark/>
          </w:tcPr>
          <w:p w14:paraId="2EBE300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300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37</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300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w:t>
            </w:r>
          </w:p>
        </w:tc>
      </w:tr>
      <w:tr w:rsidR="0037075B" w:rsidRPr="0037075B" w14:paraId="2EBE301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DCE6F1"/>
            <w:noWrap/>
            <w:vAlign w:val="center"/>
            <w:hideMark/>
          </w:tcPr>
          <w:p w14:paraId="2EBE300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single" w:sz="4" w:space="0" w:color="FFFFFF"/>
              <w:left w:val="nil"/>
              <w:bottom w:val="single" w:sz="4" w:space="0" w:color="FFFFFF"/>
              <w:right w:val="single" w:sz="4" w:space="0" w:color="FFFFFF"/>
            </w:tcBorders>
            <w:shd w:val="clear" w:color="000000" w:fill="DCE6F1"/>
            <w:noWrap/>
            <w:vAlign w:val="center"/>
            <w:hideMark/>
          </w:tcPr>
          <w:p w14:paraId="2EBE300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1000" w:type="dxa"/>
            <w:tcBorders>
              <w:top w:val="single" w:sz="4" w:space="0" w:color="FFFFFF"/>
              <w:left w:val="nil"/>
              <w:bottom w:val="single" w:sz="4" w:space="0" w:color="FFFFFF"/>
              <w:right w:val="single" w:sz="4" w:space="0" w:color="FFFFFF"/>
            </w:tcBorders>
            <w:shd w:val="clear" w:color="000000" w:fill="DCE6F1"/>
            <w:noWrap/>
            <w:vAlign w:val="center"/>
            <w:hideMark/>
          </w:tcPr>
          <w:p w14:paraId="2EBE301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7%</w:t>
            </w:r>
          </w:p>
        </w:tc>
        <w:tc>
          <w:tcPr>
            <w:tcW w:w="1000" w:type="dxa"/>
            <w:tcBorders>
              <w:top w:val="single" w:sz="4" w:space="0" w:color="FFFFFF"/>
              <w:left w:val="nil"/>
              <w:bottom w:val="single" w:sz="4" w:space="0" w:color="FFFFFF"/>
              <w:right w:val="single" w:sz="4" w:space="0" w:color="FFFFFF"/>
            </w:tcBorders>
            <w:shd w:val="clear" w:color="000000" w:fill="DCE6F1"/>
            <w:noWrap/>
            <w:vAlign w:val="center"/>
            <w:hideMark/>
          </w:tcPr>
          <w:p w14:paraId="2EBE301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w:t>
            </w:r>
          </w:p>
        </w:tc>
        <w:tc>
          <w:tcPr>
            <w:tcW w:w="1000" w:type="dxa"/>
            <w:tcBorders>
              <w:top w:val="single" w:sz="4" w:space="0" w:color="FFFFFF"/>
              <w:left w:val="nil"/>
              <w:bottom w:val="single" w:sz="4" w:space="0" w:color="FFFFFF"/>
              <w:right w:val="single" w:sz="4" w:space="0" w:color="FFFFFF"/>
            </w:tcBorders>
            <w:shd w:val="clear" w:color="000000" w:fill="DCE6F1"/>
            <w:noWrap/>
            <w:vAlign w:val="center"/>
            <w:hideMark/>
          </w:tcPr>
          <w:p w14:paraId="2EBE301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960" w:type="dxa"/>
            <w:vMerge/>
            <w:tcBorders>
              <w:top w:val="nil"/>
              <w:left w:val="single" w:sz="4" w:space="0" w:color="FFFFFF"/>
              <w:bottom w:val="single" w:sz="4" w:space="0" w:color="FFFFFF"/>
              <w:right w:val="single" w:sz="4" w:space="0" w:color="FFFFFF"/>
            </w:tcBorders>
            <w:vAlign w:val="center"/>
            <w:hideMark/>
          </w:tcPr>
          <w:p w14:paraId="2EBE301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301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301D" w14:textId="77777777" w:rsidTr="0037075B">
        <w:trPr>
          <w:trHeight w:val="255"/>
        </w:trPr>
        <w:tc>
          <w:tcPr>
            <w:tcW w:w="3340" w:type="dxa"/>
            <w:tcBorders>
              <w:top w:val="nil"/>
              <w:left w:val="single" w:sz="4" w:space="0" w:color="FFFFFF"/>
              <w:bottom w:val="nil"/>
              <w:right w:val="single" w:sz="4" w:space="0" w:color="FFFFFF"/>
            </w:tcBorders>
            <w:shd w:val="clear" w:color="000000" w:fill="F2F2F2"/>
            <w:noWrap/>
            <w:vAlign w:val="center"/>
            <w:hideMark/>
          </w:tcPr>
          <w:p w14:paraId="2EBE301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Alcohol and other drug treatment service</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301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1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10</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1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5</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1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301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21</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301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w:t>
            </w:r>
          </w:p>
        </w:tc>
      </w:tr>
      <w:tr w:rsidR="0037075B" w:rsidRPr="0037075B" w14:paraId="2EBE302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F2F2F2"/>
            <w:noWrap/>
            <w:vAlign w:val="center"/>
            <w:hideMark/>
          </w:tcPr>
          <w:p w14:paraId="2EBE301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F2F2F2"/>
            <w:noWrap/>
            <w:vAlign w:val="center"/>
            <w:hideMark/>
          </w:tcPr>
          <w:p w14:paraId="2EBE301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2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5%</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2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1000" w:type="dxa"/>
            <w:tcBorders>
              <w:top w:val="nil"/>
              <w:left w:val="nil"/>
              <w:bottom w:val="single" w:sz="4" w:space="0" w:color="FFFFFF"/>
              <w:right w:val="single" w:sz="4" w:space="0" w:color="FFFFFF"/>
            </w:tcBorders>
            <w:shd w:val="clear" w:color="000000" w:fill="F2F2F2"/>
            <w:noWrap/>
            <w:vAlign w:val="center"/>
            <w:hideMark/>
          </w:tcPr>
          <w:p w14:paraId="2EBE302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960" w:type="dxa"/>
            <w:vMerge/>
            <w:tcBorders>
              <w:top w:val="nil"/>
              <w:left w:val="single" w:sz="4" w:space="0" w:color="FFFFFF"/>
              <w:bottom w:val="single" w:sz="4" w:space="0" w:color="FFFFFF"/>
              <w:right w:val="single" w:sz="4" w:space="0" w:color="FFFFFF"/>
            </w:tcBorders>
            <w:vAlign w:val="center"/>
            <w:hideMark/>
          </w:tcPr>
          <w:p w14:paraId="2EBE302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302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302D" w14:textId="77777777" w:rsidTr="0037075B">
        <w:trPr>
          <w:trHeight w:val="255"/>
        </w:trPr>
        <w:tc>
          <w:tcPr>
            <w:tcW w:w="3340" w:type="dxa"/>
            <w:tcBorders>
              <w:top w:val="nil"/>
              <w:left w:val="single" w:sz="4" w:space="0" w:color="FFFFFF"/>
              <w:bottom w:val="nil"/>
              <w:right w:val="single" w:sz="4" w:space="0" w:color="FFFFFF"/>
            </w:tcBorders>
            <w:shd w:val="clear" w:color="000000" w:fill="DCE6F1"/>
            <w:noWrap/>
            <w:vAlign w:val="center"/>
            <w:hideMark/>
          </w:tcPr>
          <w:p w14:paraId="2EBE302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Police, diversion, community justice</w:t>
            </w:r>
          </w:p>
        </w:tc>
        <w:tc>
          <w:tcPr>
            <w:tcW w:w="960" w:type="dxa"/>
            <w:tcBorders>
              <w:top w:val="nil"/>
              <w:left w:val="nil"/>
              <w:bottom w:val="single" w:sz="4" w:space="0" w:color="FFFFFF"/>
              <w:right w:val="single" w:sz="4" w:space="0" w:color="FFFFFF"/>
            </w:tcBorders>
            <w:shd w:val="clear" w:color="000000" w:fill="DCE6F1"/>
            <w:noWrap/>
            <w:vAlign w:val="center"/>
            <w:hideMark/>
          </w:tcPr>
          <w:p w14:paraId="2EBE302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6</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302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12</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302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6</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302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3</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302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27</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302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2%</w:t>
            </w:r>
          </w:p>
        </w:tc>
      </w:tr>
      <w:tr w:rsidR="0037075B" w:rsidRPr="0037075B" w14:paraId="2EBE3035" w14:textId="77777777" w:rsidTr="0037075B">
        <w:trPr>
          <w:trHeight w:val="255"/>
        </w:trPr>
        <w:tc>
          <w:tcPr>
            <w:tcW w:w="3340" w:type="dxa"/>
            <w:tcBorders>
              <w:top w:val="nil"/>
              <w:left w:val="single" w:sz="4" w:space="0" w:color="FFFFFF"/>
              <w:bottom w:val="nil"/>
              <w:right w:val="single" w:sz="4" w:space="0" w:color="FFFFFF"/>
            </w:tcBorders>
            <w:shd w:val="clear" w:color="000000" w:fill="DCE6F1"/>
            <w:noWrap/>
            <w:vAlign w:val="center"/>
            <w:hideMark/>
          </w:tcPr>
          <w:p w14:paraId="2EBE302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DCE6F1"/>
            <w:noWrap/>
            <w:vAlign w:val="center"/>
            <w:hideMark/>
          </w:tcPr>
          <w:p w14:paraId="2EBE302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303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303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1000" w:type="dxa"/>
            <w:tcBorders>
              <w:top w:val="nil"/>
              <w:left w:val="nil"/>
              <w:bottom w:val="single" w:sz="4" w:space="0" w:color="FFFFFF"/>
              <w:right w:val="single" w:sz="4" w:space="0" w:color="FFFFFF"/>
            </w:tcBorders>
            <w:shd w:val="clear" w:color="000000" w:fill="DCE6F1"/>
            <w:noWrap/>
            <w:vAlign w:val="center"/>
            <w:hideMark/>
          </w:tcPr>
          <w:p w14:paraId="2EBE303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960" w:type="dxa"/>
            <w:vMerge/>
            <w:tcBorders>
              <w:top w:val="nil"/>
              <w:left w:val="single" w:sz="4" w:space="0" w:color="FFFFFF"/>
              <w:bottom w:val="single" w:sz="4" w:space="0" w:color="FFFFFF"/>
              <w:right w:val="single" w:sz="4" w:space="0" w:color="FFFFFF"/>
            </w:tcBorders>
            <w:vAlign w:val="center"/>
            <w:hideMark/>
          </w:tcPr>
          <w:p w14:paraId="2EBE3033" w14:textId="77777777" w:rsidR="0037075B" w:rsidRPr="0037075B" w:rsidRDefault="0037075B" w:rsidP="0037075B">
            <w:pPr>
              <w:spacing w:after="0"/>
              <w:jc w:val="left"/>
              <w:rPr>
                <w:rFonts w:eastAsia="Times New Roman" w:cs="Segoe UI"/>
                <w:sz w:val="18"/>
                <w:szCs w:val="18"/>
                <w:lang w:eastAsia="en-AU"/>
              </w:rPr>
            </w:pPr>
          </w:p>
        </w:tc>
        <w:tc>
          <w:tcPr>
            <w:tcW w:w="960" w:type="dxa"/>
            <w:vMerge/>
            <w:tcBorders>
              <w:top w:val="nil"/>
              <w:left w:val="single" w:sz="4" w:space="0" w:color="FFFFFF"/>
              <w:bottom w:val="single" w:sz="4" w:space="0" w:color="FFFFFF"/>
              <w:right w:val="single" w:sz="4" w:space="0" w:color="FFFFFF"/>
            </w:tcBorders>
            <w:vAlign w:val="center"/>
            <w:hideMark/>
          </w:tcPr>
          <w:p w14:paraId="2EBE303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303D" w14:textId="77777777" w:rsidTr="005D642F">
        <w:trPr>
          <w:trHeight w:val="255"/>
        </w:trPr>
        <w:tc>
          <w:tcPr>
            <w:tcW w:w="3340" w:type="dxa"/>
            <w:tcBorders>
              <w:top w:val="single" w:sz="4" w:space="0" w:color="FFFFFF"/>
              <w:left w:val="single" w:sz="4" w:space="0" w:color="FFFFFF"/>
              <w:bottom w:val="nil"/>
              <w:right w:val="single" w:sz="4" w:space="0" w:color="FFFFFF"/>
            </w:tcBorders>
            <w:shd w:val="clear" w:color="000000" w:fill="F2F2F2"/>
            <w:noWrap/>
            <w:vAlign w:val="center"/>
            <w:hideMark/>
          </w:tcPr>
          <w:p w14:paraId="2EBE303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Apunipima</w:t>
            </w:r>
          </w:p>
        </w:tc>
        <w:tc>
          <w:tcPr>
            <w:tcW w:w="960" w:type="dxa"/>
            <w:tcBorders>
              <w:top w:val="nil"/>
              <w:left w:val="nil"/>
              <w:bottom w:val="single" w:sz="4" w:space="0" w:color="FFFFFF"/>
              <w:right w:val="single" w:sz="4" w:space="0" w:color="FFFFFF"/>
            </w:tcBorders>
            <w:shd w:val="clear" w:color="000000" w:fill="F2F2F2"/>
            <w:noWrap/>
            <w:vAlign w:val="bottom"/>
          </w:tcPr>
          <w:p w14:paraId="2EBE3037" w14:textId="77777777" w:rsidR="0037075B" w:rsidRPr="0037075B" w:rsidRDefault="0037075B" w:rsidP="0037075B">
            <w:pPr>
              <w:spacing w:after="0"/>
              <w:jc w:val="center"/>
              <w:rPr>
                <w:rFonts w:eastAsia="Times New Roman" w:cs="Segoe UI"/>
                <w:sz w:val="18"/>
                <w:szCs w:val="18"/>
                <w:lang w:eastAsia="en-AU"/>
              </w:rPr>
            </w:pPr>
          </w:p>
        </w:tc>
        <w:tc>
          <w:tcPr>
            <w:tcW w:w="1000" w:type="dxa"/>
            <w:tcBorders>
              <w:top w:val="nil"/>
              <w:left w:val="nil"/>
              <w:bottom w:val="single" w:sz="4" w:space="0" w:color="FFFFFF"/>
              <w:right w:val="single" w:sz="4" w:space="0" w:color="FFFFFF"/>
            </w:tcBorders>
            <w:shd w:val="clear" w:color="000000" w:fill="F2F2F2"/>
            <w:noWrap/>
            <w:vAlign w:val="bottom"/>
          </w:tcPr>
          <w:p w14:paraId="2EBE3038" w14:textId="77777777" w:rsidR="0037075B" w:rsidRPr="0037075B" w:rsidRDefault="0037075B" w:rsidP="0037075B">
            <w:pPr>
              <w:spacing w:after="0"/>
              <w:jc w:val="center"/>
              <w:rPr>
                <w:rFonts w:eastAsia="Times New Roman" w:cs="Segoe UI"/>
                <w:sz w:val="18"/>
                <w:szCs w:val="18"/>
                <w:lang w:eastAsia="en-AU"/>
              </w:rPr>
            </w:pPr>
          </w:p>
        </w:tc>
        <w:tc>
          <w:tcPr>
            <w:tcW w:w="1000" w:type="dxa"/>
            <w:tcBorders>
              <w:top w:val="nil"/>
              <w:left w:val="nil"/>
              <w:bottom w:val="single" w:sz="4" w:space="0" w:color="FFFFFF"/>
              <w:right w:val="single" w:sz="4" w:space="0" w:color="FFFFFF"/>
            </w:tcBorders>
            <w:shd w:val="clear" w:color="000000" w:fill="F2F2F2"/>
            <w:noWrap/>
            <w:vAlign w:val="bottom"/>
          </w:tcPr>
          <w:p w14:paraId="2EBE3039" w14:textId="77777777" w:rsidR="0037075B" w:rsidRPr="0037075B" w:rsidRDefault="0037075B" w:rsidP="0037075B">
            <w:pPr>
              <w:spacing w:after="0"/>
              <w:jc w:val="center"/>
              <w:rPr>
                <w:rFonts w:eastAsia="Times New Roman" w:cs="Segoe UI"/>
                <w:sz w:val="18"/>
                <w:szCs w:val="18"/>
                <w:lang w:eastAsia="en-AU"/>
              </w:rPr>
            </w:pPr>
          </w:p>
        </w:tc>
        <w:tc>
          <w:tcPr>
            <w:tcW w:w="1000" w:type="dxa"/>
            <w:tcBorders>
              <w:top w:val="nil"/>
              <w:left w:val="nil"/>
              <w:bottom w:val="single" w:sz="4" w:space="0" w:color="FFFFFF"/>
              <w:right w:val="single" w:sz="4" w:space="0" w:color="FFFFFF"/>
            </w:tcBorders>
            <w:shd w:val="clear" w:color="000000" w:fill="F2F2F2"/>
            <w:noWrap/>
            <w:vAlign w:val="center"/>
            <w:hideMark/>
          </w:tcPr>
          <w:p w14:paraId="2EBE303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15</w:t>
            </w:r>
          </w:p>
        </w:tc>
        <w:tc>
          <w:tcPr>
            <w:tcW w:w="960" w:type="dxa"/>
            <w:vMerge w:val="restart"/>
            <w:tcBorders>
              <w:top w:val="nil"/>
              <w:left w:val="single" w:sz="4" w:space="0" w:color="FFFFFF"/>
              <w:bottom w:val="single" w:sz="4" w:space="0" w:color="FFFFFF"/>
              <w:right w:val="single" w:sz="4" w:space="0" w:color="FFFFFF"/>
            </w:tcBorders>
            <w:shd w:val="clear" w:color="000000" w:fill="F2F2F2"/>
            <w:noWrap/>
            <w:vAlign w:val="center"/>
            <w:hideMark/>
          </w:tcPr>
          <w:p w14:paraId="2EBE303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15</w:t>
            </w:r>
          </w:p>
        </w:tc>
        <w:tc>
          <w:tcPr>
            <w:tcW w:w="960" w:type="dxa"/>
            <w:tcBorders>
              <w:top w:val="nil"/>
              <w:left w:val="nil"/>
              <w:bottom w:val="nil"/>
              <w:right w:val="single" w:sz="4" w:space="0" w:color="FFFFFF"/>
            </w:tcBorders>
            <w:shd w:val="clear" w:color="000000" w:fill="F2F2F2"/>
            <w:noWrap/>
            <w:vAlign w:val="center"/>
            <w:hideMark/>
          </w:tcPr>
          <w:p w14:paraId="2EBE303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w:t>
            </w:r>
          </w:p>
        </w:tc>
      </w:tr>
      <w:tr w:rsidR="0037075B" w:rsidRPr="0037075B" w14:paraId="2EBE3045" w14:textId="77777777" w:rsidTr="005D642F">
        <w:trPr>
          <w:trHeight w:val="255"/>
        </w:trPr>
        <w:tc>
          <w:tcPr>
            <w:tcW w:w="3340" w:type="dxa"/>
            <w:tcBorders>
              <w:top w:val="nil"/>
              <w:left w:val="single" w:sz="4" w:space="0" w:color="FFFFFF"/>
              <w:bottom w:val="single" w:sz="4" w:space="0" w:color="FFFFFF"/>
              <w:right w:val="single" w:sz="4" w:space="0" w:color="FFFFFF"/>
            </w:tcBorders>
            <w:shd w:val="clear" w:color="000000" w:fill="F2F2F2"/>
            <w:noWrap/>
            <w:vAlign w:val="center"/>
            <w:hideMark/>
          </w:tcPr>
          <w:p w14:paraId="2EBE303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F2F2F2"/>
            <w:noWrap/>
            <w:vAlign w:val="bottom"/>
          </w:tcPr>
          <w:p w14:paraId="2EBE303F" w14:textId="77777777" w:rsidR="0037075B" w:rsidRPr="0037075B" w:rsidRDefault="0037075B" w:rsidP="0037075B">
            <w:pPr>
              <w:spacing w:after="0"/>
              <w:jc w:val="center"/>
              <w:rPr>
                <w:rFonts w:eastAsia="Times New Roman" w:cs="Segoe UI"/>
                <w:sz w:val="18"/>
                <w:szCs w:val="18"/>
                <w:lang w:eastAsia="en-AU"/>
              </w:rPr>
            </w:pPr>
          </w:p>
        </w:tc>
        <w:tc>
          <w:tcPr>
            <w:tcW w:w="1000" w:type="dxa"/>
            <w:tcBorders>
              <w:top w:val="nil"/>
              <w:left w:val="nil"/>
              <w:bottom w:val="single" w:sz="4" w:space="0" w:color="FFFFFF"/>
              <w:right w:val="single" w:sz="4" w:space="0" w:color="FFFFFF"/>
            </w:tcBorders>
            <w:shd w:val="clear" w:color="000000" w:fill="F2F2F2"/>
            <w:noWrap/>
            <w:vAlign w:val="bottom"/>
          </w:tcPr>
          <w:p w14:paraId="2EBE3040" w14:textId="77777777" w:rsidR="0037075B" w:rsidRPr="0037075B" w:rsidRDefault="0037075B" w:rsidP="0037075B">
            <w:pPr>
              <w:spacing w:after="0"/>
              <w:jc w:val="center"/>
              <w:rPr>
                <w:rFonts w:eastAsia="Times New Roman" w:cs="Segoe UI"/>
                <w:sz w:val="18"/>
                <w:szCs w:val="18"/>
                <w:lang w:eastAsia="en-AU"/>
              </w:rPr>
            </w:pPr>
          </w:p>
        </w:tc>
        <w:tc>
          <w:tcPr>
            <w:tcW w:w="1000" w:type="dxa"/>
            <w:tcBorders>
              <w:top w:val="nil"/>
              <w:left w:val="nil"/>
              <w:bottom w:val="single" w:sz="4" w:space="0" w:color="FFFFFF"/>
              <w:right w:val="single" w:sz="4" w:space="0" w:color="FFFFFF"/>
            </w:tcBorders>
            <w:shd w:val="clear" w:color="000000" w:fill="F2F2F2"/>
            <w:noWrap/>
            <w:vAlign w:val="bottom"/>
          </w:tcPr>
          <w:p w14:paraId="2EBE3041" w14:textId="77777777" w:rsidR="0037075B" w:rsidRPr="0037075B" w:rsidRDefault="0037075B" w:rsidP="0037075B">
            <w:pPr>
              <w:spacing w:after="0"/>
              <w:jc w:val="center"/>
              <w:rPr>
                <w:rFonts w:eastAsia="Times New Roman" w:cs="Segoe UI"/>
                <w:sz w:val="18"/>
                <w:szCs w:val="18"/>
                <w:lang w:eastAsia="en-AU"/>
              </w:rPr>
            </w:pPr>
          </w:p>
        </w:tc>
        <w:tc>
          <w:tcPr>
            <w:tcW w:w="1000" w:type="dxa"/>
            <w:tcBorders>
              <w:top w:val="nil"/>
              <w:left w:val="nil"/>
              <w:bottom w:val="single" w:sz="4" w:space="0" w:color="FFFFFF"/>
              <w:right w:val="single" w:sz="4" w:space="0" w:color="FFFFFF"/>
            </w:tcBorders>
            <w:shd w:val="clear" w:color="000000" w:fill="F2F2F2"/>
            <w:noWrap/>
            <w:vAlign w:val="center"/>
            <w:hideMark/>
          </w:tcPr>
          <w:p w14:paraId="2EBE304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8%</w:t>
            </w:r>
          </w:p>
        </w:tc>
        <w:tc>
          <w:tcPr>
            <w:tcW w:w="960" w:type="dxa"/>
            <w:vMerge/>
            <w:tcBorders>
              <w:top w:val="nil"/>
              <w:left w:val="single" w:sz="4" w:space="0" w:color="FFFFFF"/>
              <w:bottom w:val="single" w:sz="4" w:space="0" w:color="FFFFFF"/>
              <w:right w:val="single" w:sz="4" w:space="0" w:color="FFFFFF"/>
            </w:tcBorders>
            <w:vAlign w:val="center"/>
            <w:hideMark/>
          </w:tcPr>
          <w:p w14:paraId="2EBE3043" w14:textId="77777777" w:rsidR="0037075B" w:rsidRPr="0037075B" w:rsidRDefault="0037075B" w:rsidP="0037075B">
            <w:pPr>
              <w:spacing w:after="0"/>
              <w:jc w:val="left"/>
              <w:rPr>
                <w:rFonts w:eastAsia="Times New Roman" w:cs="Segoe UI"/>
                <w:sz w:val="18"/>
                <w:szCs w:val="18"/>
                <w:lang w:eastAsia="en-AU"/>
              </w:rPr>
            </w:pPr>
          </w:p>
        </w:tc>
        <w:tc>
          <w:tcPr>
            <w:tcW w:w="960" w:type="dxa"/>
            <w:tcBorders>
              <w:top w:val="nil"/>
              <w:left w:val="nil"/>
              <w:bottom w:val="single" w:sz="4" w:space="0" w:color="FFFFFF"/>
              <w:right w:val="single" w:sz="4" w:space="0" w:color="FFFFFF"/>
            </w:tcBorders>
            <w:shd w:val="clear" w:color="000000" w:fill="F2F2F2"/>
            <w:noWrap/>
            <w:vAlign w:val="center"/>
            <w:hideMark/>
          </w:tcPr>
          <w:p w14:paraId="2EBE3044"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 </w:t>
            </w:r>
          </w:p>
        </w:tc>
      </w:tr>
      <w:tr w:rsidR="0037075B" w:rsidRPr="0037075B" w14:paraId="2EBE304D" w14:textId="77777777" w:rsidTr="0037075B">
        <w:trPr>
          <w:trHeight w:val="255"/>
        </w:trPr>
        <w:tc>
          <w:tcPr>
            <w:tcW w:w="3340" w:type="dxa"/>
            <w:tcBorders>
              <w:top w:val="nil"/>
              <w:left w:val="single" w:sz="4" w:space="0" w:color="FFFFFF"/>
              <w:bottom w:val="nil"/>
              <w:right w:val="single" w:sz="4" w:space="0" w:color="FFFFFF"/>
            </w:tcBorders>
            <w:shd w:val="clear" w:color="000000" w:fill="DBE5F1"/>
            <w:noWrap/>
            <w:vAlign w:val="center"/>
            <w:hideMark/>
          </w:tcPr>
          <w:p w14:paraId="2EBE3046"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Medical practitioner</w:t>
            </w:r>
          </w:p>
        </w:tc>
        <w:tc>
          <w:tcPr>
            <w:tcW w:w="960" w:type="dxa"/>
            <w:tcBorders>
              <w:top w:val="nil"/>
              <w:left w:val="nil"/>
              <w:bottom w:val="single" w:sz="4" w:space="0" w:color="FFFFFF"/>
              <w:right w:val="single" w:sz="4" w:space="0" w:color="FFFFFF"/>
            </w:tcBorders>
            <w:shd w:val="clear" w:color="000000" w:fill="DBE5F1"/>
            <w:noWrap/>
            <w:vAlign w:val="center"/>
            <w:hideMark/>
          </w:tcPr>
          <w:p w14:paraId="2EBE3047"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3048"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9</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3049"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4</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304A"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nil"/>
              <w:right w:val="single" w:sz="4" w:space="0" w:color="FFFFFF"/>
            </w:tcBorders>
            <w:shd w:val="clear" w:color="000000" w:fill="DBE5F1"/>
            <w:noWrap/>
            <w:vAlign w:val="center"/>
            <w:hideMark/>
          </w:tcPr>
          <w:p w14:paraId="2EBE304B"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14</w:t>
            </w:r>
          </w:p>
        </w:tc>
        <w:tc>
          <w:tcPr>
            <w:tcW w:w="960" w:type="dxa"/>
            <w:vMerge w:val="restart"/>
            <w:tcBorders>
              <w:top w:val="nil"/>
              <w:left w:val="single" w:sz="4" w:space="0" w:color="FFFFFF"/>
              <w:bottom w:val="single" w:sz="4" w:space="0" w:color="FFFFFF"/>
              <w:right w:val="single" w:sz="4" w:space="0" w:color="FFFFFF"/>
            </w:tcBorders>
            <w:shd w:val="clear" w:color="000000" w:fill="DCE6F1"/>
            <w:noWrap/>
            <w:vAlign w:val="center"/>
            <w:hideMark/>
          </w:tcPr>
          <w:p w14:paraId="2EBE304C"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1%</w:t>
            </w:r>
          </w:p>
        </w:tc>
      </w:tr>
      <w:tr w:rsidR="0037075B" w:rsidRPr="0037075B" w14:paraId="2EBE3055"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000000" w:fill="DBE5F1"/>
            <w:noWrap/>
            <w:vAlign w:val="center"/>
            <w:hideMark/>
          </w:tcPr>
          <w:p w14:paraId="2EBE304E" w14:textId="77777777" w:rsidR="0037075B" w:rsidRPr="0037075B" w:rsidRDefault="0037075B" w:rsidP="0037075B">
            <w:pPr>
              <w:spacing w:after="0"/>
              <w:jc w:val="left"/>
              <w:rPr>
                <w:rFonts w:eastAsia="Times New Roman" w:cs="Segoe UI"/>
                <w:sz w:val="18"/>
                <w:szCs w:val="18"/>
                <w:lang w:eastAsia="en-AU"/>
              </w:rPr>
            </w:pPr>
            <w:r w:rsidRPr="0037075B">
              <w:rPr>
                <w:rFonts w:eastAsia="Times New Roman" w:cs="Segoe UI"/>
                <w:sz w:val="18"/>
                <w:szCs w:val="18"/>
                <w:lang w:eastAsia="en-AU"/>
              </w:rPr>
              <w:t> </w:t>
            </w:r>
          </w:p>
        </w:tc>
        <w:tc>
          <w:tcPr>
            <w:tcW w:w="960" w:type="dxa"/>
            <w:tcBorders>
              <w:top w:val="nil"/>
              <w:left w:val="nil"/>
              <w:bottom w:val="single" w:sz="4" w:space="0" w:color="FFFFFF"/>
              <w:right w:val="single" w:sz="4" w:space="0" w:color="FFFFFF"/>
            </w:tcBorders>
            <w:shd w:val="clear" w:color="000000" w:fill="DBE5F1"/>
            <w:noWrap/>
            <w:vAlign w:val="center"/>
            <w:hideMark/>
          </w:tcPr>
          <w:p w14:paraId="2EBE304F"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0%</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3050"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4%</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3051"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w:t>
            </w:r>
          </w:p>
        </w:tc>
        <w:tc>
          <w:tcPr>
            <w:tcW w:w="1000" w:type="dxa"/>
            <w:tcBorders>
              <w:top w:val="nil"/>
              <w:left w:val="nil"/>
              <w:bottom w:val="single" w:sz="4" w:space="0" w:color="FFFFFF"/>
              <w:right w:val="single" w:sz="4" w:space="0" w:color="FFFFFF"/>
            </w:tcBorders>
            <w:shd w:val="clear" w:color="000000" w:fill="DBE5F1"/>
            <w:noWrap/>
            <w:vAlign w:val="center"/>
            <w:hideMark/>
          </w:tcPr>
          <w:p w14:paraId="2EBE3052"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0%</w:t>
            </w:r>
          </w:p>
        </w:tc>
        <w:tc>
          <w:tcPr>
            <w:tcW w:w="960" w:type="dxa"/>
            <w:tcBorders>
              <w:top w:val="nil"/>
              <w:left w:val="nil"/>
              <w:bottom w:val="single" w:sz="4" w:space="0" w:color="FFFFFF"/>
              <w:right w:val="single" w:sz="4" w:space="0" w:color="FFFFFF"/>
            </w:tcBorders>
            <w:shd w:val="clear" w:color="000000" w:fill="DBE5F1"/>
            <w:noWrap/>
            <w:vAlign w:val="center"/>
            <w:hideMark/>
          </w:tcPr>
          <w:p w14:paraId="2EBE3053" w14:textId="77777777" w:rsidR="0037075B" w:rsidRPr="0037075B" w:rsidRDefault="0037075B" w:rsidP="0037075B">
            <w:pPr>
              <w:spacing w:after="0"/>
              <w:jc w:val="center"/>
              <w:rPr>
                <w:rFonts w:eastAsia="Times New Roman" w:cs="Segoe UI"/>
                <w:sz w:val="18"/>
                <w:szCs w:val="18"/>
                <w:lang w:eastAsia="en-AU"/>
              </w:rPr>
            </w:pPr>
            <w:r w:rsidRPr="0037075B">
              <w:rPr>
                <w:rFonts w:eastAsia="Times New Roman" w:cs="Segoe UI"/>
                <w:sz w:val="18"/>
                <w:szCs w:val="18"/>
                <w:lang w:eastAsia="en-AU"/>
              </w:rPr>
              <w:t> </w:t>
            </w:r>
          </w:p>
        </w:tc>
        <w:tc>
          <w:tcPr>
            <w:tcW w:w="960" w:type="dxa"/>
            <w:vMerge/>
            <w:tcBorders>
              <w:top w:val="nil"/>
              <w:left w:val="single" w:sz="4" w:space="0" w:color="FFFFFF"/>
              <w:bottom w:val="single" w:sz="4" w:space="0" w:color="FFFFFF"/>
              <w:right w:val="single" w:sz="4" w:space="0" w:color="FFFFFF"/>
            </w:tcBorders>
            <w:vAlign w:val="center"/>
            <w:hideMark/>
          </w:tcPr>
          <w:p w14:paraId="2EBE3054" w14:textId="77777777" w:rsidR="0037075B" w:rsidRPr="0037075B" w:rsidRDefault="0037075B" w:rsidP="0037075B">
            <w:pPr>
              <w:spacing w:after="0"/>
              <w:jc w:val="left"/>
              <w:rPr>
                <w:rFonts w:eastAsia="Times New Roman" w:cs="Segoe UI"/>
                <w:sz w:val="18"/>
                <w:szCs w:val="18"/>
                <w:lang w:eastAsia="en-AU"/>
              </w:rPr>
            </w:pPr>
          </w:p>
        </w:tc>
      </w:tr>
      <w:tr w:rsidR="0037075B" w:rsidRPr="0037075B" w14:paraId="2EBE305D" w14:textId="77777777" w:rsidTr="0037075B">
        <w:trPr>
          <w:trHeight w:val="255"/>
        </w:trPr>
        <w:tc>
          <w:tcPr>
            <w:tcW w:w="3340" w:type="dxa"/>
            <w:tcBorders>
              <w:top w:val="nil"/>
              <w:left w:val="single" w:sz="4" w:space="0" w:color="FFFFFF"/>
              <w:bottom w:val="single" w:sz="4" w:space="0" w:color="FFFFFF"/>
              <w:right w:val="single" w:sz="4" w:space="0" w:color="FFFFFF"/>
            </w:tcBorders>
            <w:shd w:val="clear" w:color="DCE6F1" w:fill="B8CCE4"/>
            <w:noWrap/>
            <w:vAlign w:val="bottom"/>
            <w:hideMark/>
          </w:tcPr>
          <w:p w14:paraId="2EBE3056" w14:textId="77777777" w:rsidR="0037075B" w:rsidRPr="0037075B" w:rsidRDefault="0037075B" w:rsidP="0037075B">
            <w:pPr>
              <w:spacing w:after="0"/>
              <w:jc w:val="left"/>
              <w:rPr>
                <w:rFonts w:eastAsia="Times New Roman" w:cs="Segoe UI"/>
                <w:b/>
                <w:bCs/>
                <w:sz w:val="18"/>
                <w:szCs w:val="18"/>
                <w:lang w:eastAsia="en-AU"/>
              </w:rPr>
            </w:pPr>
            <w:r w:rsidRPr="0037075B">
              <w:rPr>
                <w:rFonts w:eastAsia="Times New Roman" w:cs="Segoe UI"/>
                <w:b/>
                <w:bCs/>
                <w:sz w:val="18"/>
                <w:szCs w:val="18"/>
                <w:lang w:eastAsia="en-AU"/>
              </w:rPr>
              <w:t>Grand Total</w:t>
            </w:r>
          </w:p>
        </w:tc>
        <w:tc>
          <w:tcPr>
            <w:tcW w:w="960" w:type="dxa"/>
            <w:tcBorders>
              <w:top w:val="nil"/>
              <w:left w:val="nil"/>
              <w:bottom w:val="single" w:sz="4" w:space="0" w:color="FFFFFF"/>
              <w:right w:val="single" w:sz="4" w:space="0" w:color="FFFFFF"/>
            </w:tcBorders>
            <w:shd w:val="clear" w:color="DCE6F1" w:fill="B8CCE4"/>
            <w:noWrap/>
            <w:vAlign w:val="bottom"/>
            <w:hideMark/>
          </w:tcPr>
          <w:p w14:paraId="2EBE3057"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490</w:t>
            </w:r>
          </w:p>
        </w:tc>
        <w:tc>
          <w:tcPr>
            <w:tcW w:w="1000" w:type="dxa"/>
            <w:tcBorders>
              <w:top w:val="nil"/>
              <w:left w:val="nil"/>
              <w:bottom w:val="single" w:sz="4" w:space="0" w:color="FFFFFF"/>
              <w:right w:val="single" w:sz="4" w:space="0" w:color="FFFFFF"/>
            </w:tcBorders>
            <w:shd w:val="clear" w:color="DCE6F1" w:fill="B8CCE4"/>
            <w:noWrap/>
            <w:vAlign w:val="bottom"/>
            <w:hideMark/>
          </w:tcPr>
          <w:p w14:paraId="2EBE3058"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204</w:t>
            </w:r>
          </w:p>
        </w:tc>
        <w:tc>
          <w:tcPr>
            <w:tcW w:w="1000" w:type="dxa"/>
            <w:tcBorders>
              <w:top w:val="nil"/>
              <w:left w:val="nil"/>
              <w:bottom w:val="single" w:sz="4" w:space="0" w:color="FFFFFF"/>
              <w:right w:val="single" w:sz="4" w:space="0" w:color="FFFFFF"/>
            </w:tcBorders>
            <w:shd w:val="clear" w:color="DCE6F1" w:fill="B8CCE4"/>
            <w:noWrap/>
            <w:vAlign w:val="bottom"/>
            <w:hideMark/>
          </w:tcPr>
          <w:p w14:paraId="2EBE3059"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398</w:t>
            </w:r>
          </w:p>
        </w:tc>
        <w:tc>
          <w:tcPr>
            <w:tcW w:w="1000" w:type="dxa"/>
            <w:tcBorders>
              <w:top w:val="nil"/>
              <w:left w:val="nil"/>
              <w:bottom w:val="single" w:sz="4" w:space="0" w:color="FFFFFF"/>
              <w:right w:val="single" w:sz="4" w:space="0" w:color="FFFFFF"/>
            </w:tcBorders>
            <w:shd w:val="clear" w:color="DCE6F1" w:fill="B8CCE4"/>
            <w:noWrap/>
            <w:vAlign w:val="bottom"/>
            <w:hideMark/>
          </w:tcPr>
          <w:p w14:paraId="2EBE305A"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182</w:t>
            </w:r>
          </w:p>
        </w:tc>
        <w:tc>
          <w:tcPr>
            <w:tcW w:w="960" w:type="dxa"/>
            <w:tcBorders>
              <w:top w:val="nil"/>
              <w:left w:val="nil"/>
              <w:bottom w:val="single" w:sz="4" w:space="0" w:color="FFFFFF"/>
              <w:right w:val="single" w:sz="4" w:space="0" w:color="FFFFFF"/>
            </w:tcBorders>
            <w:shd w:val="clear" w:color="DCE6F1" w:fill="B8CCE4"/>
            <w:noWrap/>
            <w:vAlign w:val="bottom"/>
            <w:hideMark/>
          </w:tcPr>
          <w:p w14:paraId="2EBE305B"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1274</w:t>
            </w:r>
          </w:p>
        </w:tc>
        <w:tc>
          <w:tcPr>
            <w:tcW w:w="960" w:type="dxa"/>
            <w:tcBorders>
              <w:top w:val="nil"/>
              <w:left w:val="nil"/>
              <w:bottom w:val="single" w:sz="4" w:space="0" w:color="FFFFFF"/>
              <w:right w:val="single" w:sz="4" w:space="0" w:color="FFFFFF"/>
            </w:tcBorders>
            <w:shd w:val="clear" w:color="000000" w:fill="B8CCE4"/>
            <w:noWrap/>
            <w:vAlign w:val="bottom"/>
            <w:hideMark/>
          </w:tcPr>
          <w:p w14:paraId="2EBE305C" w14:textId="77777777" w:rsidR="0037075B" w:rsidRPr="0037075B" w:rsidRDefault="0037075B" w:rsidP="0037075B">
            <w:pPr>
              <w:spacing w:after="0"/>
              <w:jc w:val="center"/>
              <w:rPr>
                <w:rFonts w:eastAsia="Times New Roman" w:cs="Segoe UI"/>
                <w:b/>
                <w:bCs/>
                <w:sz w:val="18"/>
                <w:szCs w:val="18"/>
                <w:lang w:eastAsia="en-AU"/>
              </w:rPr>
            </w:pPr>
            <w:r w:rsidRPr="0037075B">
              <w:rPr>
                <w:rFonts w:eastAsia="Times New Roman" w:cs="Segoe UI"/>
                <w:b/>
                <w:bCs/>
                <w:sz w:val="18"/>
                <w:szCs w:val="18"/>
                <w:lang w:eastAsia="en-AU"/>
              </w:rPr>
              <w:t>100%</w:t>
            </w:r>
          </w:p>
        </w:tc>
      </w:tr>
    </w:tbl>
    <w:p w14:paraId="2EBE305E" w14:textId="77777777" w:rsidR="00204D69" w:rsidRDefault="00204D69" w:rsidP="006D0F4A">
      <w:pPr>
        <w:jc w:val="left"/>
        <w:rPr>
          <w:sz w:val="16"/>
          <w:szCs w:val="16"/>
        </w:rPr>
      </w:pPr>
      <w:r w:rsidRPr="00F0445B">
        <w:rPr>
          <w:sz w:val="16"/>
          <w:szCs w:val="16"/>
        </w:rPr>
        <w:t xml:space="preserve">Note (1): Data in table relates to the number of clients since inception to </w:t>
      </w:r>
      <w:r w:rsidR="00257B73">
        <w:rPr>
          <w:sz w:val="16"/>
          <w:szCs w:val="16"/>
        </w:rPr>
        <w:t>31 March 2014</w:t>
      </w:r>
      <w:r>
        <w:rPr>
          <w:sz w:val="16"/>
          <w:szCs w:val="16"/>
        </w:rPr>
        <w:t>.</w:t>
      </w:r>
      <w:r>
        <w:rPr>
          <w:sz w:val="16"/>
          <w:szCs w:val="16"/>
        </w:rPr>
        <w:br/>
        <w:t>Note (2): Includes clients with status never attended and refused services.</w:t>
      </w:r>
      <w:r w:rsidRPr="00F0445B">
        <w:rPr>
          <w:sz w:val="16"/>
          <w:szCs w:val="16"/>
        </w:rPr>
        <w:br/>
        <w:t>Note (</w:t>
      </w:r>
      <w:r>
        <w:rPr>
          <w:sz w:val="16"/>
          <w:szCs w:val="16"/>
        </w:rPr>
        <w:t>3</w:t>
      </w:r>
      <w:r w:rsidRPr="00F0445B">
        <w:rPr>
          <w:sz w:val="16"/>
          <w:szCs w:val="16"/>
        </w:rPr>
        <w:t>) Data reflects original referral source. Clients can shift from being, fo</w:t>
      </w:r>
      <w:r>
        <w:rPr>
          <w:sz w:val="16"/>
          <w:szCs w:val="16"/>
        </w:rPr>
        <w:t>r example, FRC referred to self-</w:t>
      </w:r>
      <w:r w:rsidRPr="00F0445B">
        <w:rPr>
          <w:sz w:val="16"/>
          <w:szCs w:val="16"/>
        </w:rPr>
        <w:t>referred and this is not refl</w:t>
      </w:r>
      <w:r>
        <w:rPr>
          <w:sz w:val="16"/>
          <w:szCs w:val="16"/>
        </w:rPr>
        <w:t>ected in the data above..</w:t>
      </w:r>
    </w:p>
    <w:p w14:paraId="2EBE305F" w14:textId="77777777" w:rsidR="00204D69" w:rsidRDefault="00E63391" w:rsidP="00204D69">
      <w:r>
        <w:lastRenderedPageBreak/>
        <w:t xml:space="preserve">As noted above, formal referrals to the WBC have predominantly come from the FRC. This is to be expected given the WBCs were in part established to support community people facing difficulties who have come to the attention of the FRC. </w:t>
      </w:r>
      <w:r w:rsidR="00204D69" w:rsidRPr="00826E2D">
        <w:fldChar w:fldCharType="begin"/>
      </w:r>
      <w:r w:rsidR="00204D69" w:rsidRPr="00826E2D">
        <w:instrText xml:space="preserve"> REF _Ref369269758 \h </w:instrText>
      </w:r>
      <w:r w:rsidR="00204D69">
        <w:instrText xml:space="preserve"> \* MERGEFORMAT </w:instrText>
      </w:r>
      <w:r w:rsidR="00204D69" w:rsidRPr="00826E2D">
        <w:fldChar w:fldCharType="separate"/>
      </w:r>
      <w:r w:rsidR="009A19EB" w:rsidRPr="00826E2D">
        <w:t xml:space="preserve">Figure </w:t>
      </w:r>
      <w:r w:rsidR="009A19EB">
        <w:rPr>
          <w:noProof/>
        </w:rPr>
        <w:t>3.8</w:t>
      </w:r>
      <w:r w:rsidR="00204D69" w:rsidRPr="00826E2D">
        <w:fldChar w:fldCharType="end"/>
      </w:r>
      <w:r w:rsidR="00204D69" w:rsidRPr="00826E2D">
        <w:t xml:space="preserve"> </w:t>
      </w:r>
      <w:r w:rsidR="00D04B96">
        <w:t>presents</w:t>
      </w:r>
      <w:r w:rsidR="00204D69" w:rsidRPr="00826E2D">
        <w:t xml:space="preserve"> the number of referrals by quarter from the FRC based on FRC reports. Overall the </w:t>
      </w:r>
      <w:r w:rsidR="00D04B96" w:rsidRPr="00826E2D">
        <w:t>number of FR</w:t>
      </w:r>
      <w:r w:rsidR="00D04B96" w:rsidRPr="00887007">
        <w:t>C referrals ha</w:t>
      </w:r>
      <w:r w:rsidR="00D04B96">
        <w:t>s</w:t>
      </w:r>
      <w:r w:rsidR="00204D69" w:rsidRPr="00887007">
        <w:t xml:space="preserve"> decreased</w:t>
      </w:r>
      <w:r w:rsidR="00DC7899">
        <w:t xml:space="preserve"> since the 12 months to March 2010</w:t>
      </w:r>
      <w:r w:rsidR="00204D69" w:rsidRPr="00887007">
        <w:t xml:space="preserve"> </w:t>
      </w:r>
      <w:r w:rsidR="00DC7899">
        <w:t>period</w:t>
      </w:r>
      <w:r w:rsidR="00D04B96">
        <w:t>,</w:t>
      </w:r>
      <w:r w:rsidR="00DC7899">
        <w:t xml:space="preserve"> but increased since the December 12 quarter</w:t>
      </w:r>
      <w:r w:rsidR="00204D69">
        <w:t xml:space="preserve">. </w:t>
      </w:r>
      <w:r w:rsidR="00DC7899">
        <w:t>This increase is attributed</w:t>
      </w:r>
      <w:r w:rsidR="00D04B96">
        <w:t xml:space="preserve"> to </w:t>
      </w:r>
      <w:r w:rsidR="00571F84">
        <w:t xml:space="preserve">the FRC having </w:t>
      </w:r>
      <w:r w:rsidR="00D04B96">
        <w:t>an increased</w:t>
      </w:r>
      <w:r w:rsidR="00DC7899">
        <w:t xml:space="preserve"> </w:t>
      </w:r>
      <w:r w:rsidR="00571F84">
        <w:t>c</w:t>
      </w:r>
      <w:r w:rsidR="00DC7899">
        <w:t xml:space="preserve">onfidence </w:t>
      </w:r>
      <w:r w:rsidR="00D04B96">
        <w:t>in the WBC service during this period rather than increased need.</w:t>
      </w:r>
      <w:r w:rsidR="00DC7899">
        <w:t xml:space="preserve"> </w:t>
      </w:r>
      <w:r w:rsidR="00204D69">
        <w:t xml:space="preserve">It is understood from the FRC that </w:t>
      </w:r>
      <w:r w:rsidR="00D04B96">
        <w:t xml:space="preserve">where possible they aim to encourage clients </w:t>
      </w:r>
      <w:r w:rsidR="00204D69">
        <w:t>to attend the WBC</w:t>
      </w:r>
      <w:r w:rsidR="00D04B96">
        <w:t xml:space="preserve"> voluntarily, </w:t>
      </w:r>
      <w:r w:rsidR="00204D69">
        <w:t>rather than being mandatorily referred.</w:t>
      </w:r>
      <w:r>
        <w:t xml:space="preserve"> This also reflects the views of the FRC that we have noted both from direct consultation and their reporting</w:t>
      </w:r>
      <w:r w:rsidR="00043F21">
        <w:t xml:space="preserve">) that the WBCs have been an important referral source for the FRC </w:t>
      </w:r>
      <w:r w:rsidR="00014BD4">
        <w:t xml:space="preserve">(albeit not without some difficulties at times as discussed in this report) </w:t>
      </w:r>
      <w:r w:rsidR="00043F21">
        <w:t>and in that respect continuation of the FRC would need to take account of the SEWB services that would be available into the future for their clients</w:t>
      </w:r>
      <w:r w:rsidR="00014BD4">
        <w:t xml:space="preserve"> under any revision to the existing model. </w:t>
      </w:r>
    </w:p>
    <w:p w14:paraId="2EBE3060" w14:textId="398B1EF5" w:rsidR="00204D69" w:rsidRDefault="00AA7DC9" w:rsidP="00AA7DC9">
      <w:pPr>
        <w:pStyle w:val="Caption"/>
      </w:pPr>
      <w:bookmarkStart w:id="165" w:name="_Ref369269758"/>
      <w:bookmarkStart w:id="166" w:name="_Toc369532362"/>
      <w:bookmarkStart w:id="167" w:name="_Toc377721066"/>
      <w:bookmarkStart w:id="168" w:name="_Toc392683537"/>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8</w:t>
      </w:r>
      <w:r>
        <w:fldChar w:fldCharType="end"/>
      </w:r>
      <w:bookmarkEnd w:id="165"/>
      <w:r w:rsidR="00204D69" w:rsidRPr="00826E2D">
        <w:t>: FRC referrals to WBC per th</w:t>
      </w:r>
      <w:r w:rsidR="00204D69">
        <w:t>e FRC</w:t>
      </w:r>
      <w:bookmarkEnd w:id="166"/>
      <w:bookmarkEnd w:id="167"/>
      <w:bookmarkEnd w:id="168"/>
    </w:p>
    <w:p w14:paraId="2EBE3061" w14:textId="77777777" w:rsidR="0030184A" w:rsidRDefault="0030184A" w:rsidP="00ED65D7">
      <w:pPr>
        <w:jc w:val="center"/>
      </w:pPr>
      <w:r>
        <w:rPr>
          <w:noProof/>
          <w:lang w:eastAsia="en-AU"/>
        </w:rPr>
        <w:drawing>
          <wp:inline distT="0" distB="0" distL="0" distR="0" wp14:anchorId="2EBE3345" wp14:editId="2EBE3346">
            <wp:extent cx="5284194" cy="2362810"/>
            <wp:effectExtent l="0" t="0" r="0" b="0"/>
            <wp:docPr id="17" name="Picture 17" descr="Figure 3.8 is a line graph that displays the number of referrals to the WBCs from the FRC each quarter based on FRC reports.  The x-axis contains quarterly (every 3 months) plots from September 2008 to March 2014.  The y-axis contains number of referral values from 0-140.  The graph shows a trend of high rates of FRC referrals from March 2009 to March 2010, which then drops of around June 2010 and begins to rise again in September 2013. " title="Figure 3.8: FRC referrals to WBC per the F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8839" cy="2364887"/>
                    </a:xfrm>
                    <a:prstGeom prst="rect">
                      <a:avLst/>
                    </a:prstGeom>
                    <a:noFill/>
                  </pic:spPr>
                </pic:pic>
              </a:graphicData>
            </a:graphic>
          </wp:inline>
        </w:drawing>
      </w:r>
    </w:p>
    <w:p w14:paraId="2EBE3062" w14:textId="77777777" w:rsidR="00204D69" w:rsidRDefault="00204D69" w:rsidP="00ED65D7">
      <w:pPr>
        <w:jc w:val="center"/>
        <w:rPr>
          <w:sz w:val="16"/>
          <w:szCs w:val="16"/>
        </w:rPr>
      </w:pPr>
      <w:r w:rsidRPr="00F0445B">
        <w:rPr>
          <w:sz w:val="16"/>
          <w:szCs w:val="16"/>
        </w:rPr>
        <w:t>Note (1):</w:t>
      </w:r>
      <w:r>
        <w:rPr>
          <w:sz w:val="16"/>
          <w:szCs w:val="16"/>
        </w:rPr>
        <w:t xml:space="preserve"> </w:t>
      </w:r>
      <w:r w:rsidR="00B26126">
        <w:rPr>
          <w:sz w:val="16"/>
          <w:szCs w:val="16"/>
        </w:rPr>
        <w:t>Source</w:t>
      </w:r>
      <w:r w:rsidR="00165391">
        <w:rPr>
          <w:sz w:val="16"/>
          <w:szCs w:val="16"/>
        </w:rPr>
        <w:t>- FRC</w:t>
      </w:r>
      <w:r w:rsidR="009D1E83">
        <w:rPr>
          <w:sz w:val="16"/>
          <w:szCs w:val="16"/>
        </w:rPr>
        <w:t xml:space="preserve"> quarterly reports.</w:t>
      </w:r>
    </w:p>
    <w:p w14:paraId="2EBE3063" w14:textId="77777777" w:rsidR="00204D69" w:rsidRPr="000B1CBE" w:rsidRDefault="00204D69" w:rsidP="00204D69">
      <w:pPr>
        <w:pStyle w:val="Heading2"/>
      </w:pPr>
      <w:bookmarkStart w:id="169" w:name="_Ref387398239"/>
      <w:bookmarkStart w:id="170" w:name="_Toc440038446"/>
      <w:r w:rsidRPr="000B1CBE">
        <w:t>Community engagement</w:t>
      </w:r>
      <w:bookmarkEnd w:id="169"/>
      <w:bookmarkEnd w:id="170"/>
      <w:r w:rsidRPr="000B1CBE">
        <w:t xml:space="preserve"> </w:t>
      </w:r>
    </w:p>
    <w:p w14:paraId="2EBE3064" w14:textId="77777777" w:rsidR="00204D69" w:rsidRPr="00E21F0E" w:rsidRDefault="00204D69" w:rsidP="00204D69">
      <w:pPr>
        <w:rPr>
          <w:lang w:eastAsia="x-none"/>
        </w:rPr>
      </w:pPr>
      <w:r>
        <w:rPr>
          <w:lang w:eastAsia="x-none"/>
        </w:rPr>
        <w:t>This section examines whether the WBCs are effectively engaging the community and opportunities for enhancement. It analyses the key strategies and approaches used to engage the community and assesses the extent of community engagement.</w:t>
      </w:r>
    </w:p>
    <w:p w14:paraId="2EBE3065" w14:textId="77777777" w:rsidR="00204D69" w:rsidRDefault="00204D69" w:rsidP="00BC0A26">
      <w:pPr>
        <w:pStyle w:val="Heading3"/>
      </w:pPr>
      <w:bookmarkStart w:id="171" w:name="_Toc379474375"/>
      <w:r w:rsidRPr="004E7175">
        <w:t>Strategies and approaches used</w:t>
      </w:r>
      <w:r w:rsidRPr="00A85698">
        <w:t xml:space="preserve"> to engage the community</w:t>
      </w:r>
      <w:bookmarkEnd w:id="171"/>
    </w:p>
    <w:p w14:paraId="2EBE3066" w14:textId="77777777" w:rsidR="00204D69" w:rsidRDefault="00204D69" w:rsidP="00204D69">
      <w:pPr>
        <w:rPr>
          <w:color w:val="auto"/>
          <w:lang w:eastAsia="en-AU"/>
        </w:rPr>
      </w:pPr>
      <w:r w:rsidRPr="00406CDE">
        <w:rPr>
          <w:color w:val="auto"/>
          <w:lang w:eastAsia="en-AU"/>
        </w:rPr>
        <w:t xml:space="preserve">This </w:t>
      </w:r>
      <w:r>
        <w:rPr>
          <w:color w:val="auto"/>
          <w:lang w:eastAsia="en-AU"/>
        </w:rPr>
        <w:t>sub-</w:t>
      </w:r>
      <w:r w:rsidRPr="00406CDE">
        <w:rPr>
          <w:color w:val="auto"/>
          <w:lang w:eastAsia="en-AU"/>
        </w:rPr>
        <w:t>section sets out and analyses the effectiveness of the key strategies and approach</w:t>
      </w:r>
      <w:r>
        <w:rPr>
          <w:color w:val="auto"/>
          <w:lang w:eastAsia="en-AU"/>
        </w:rPr>
        <w:t>es used to engage the community which are:</w:t>
      </w:r>
    </w:p>
    <w:p w14:paraId="2EBE3067" w14:textId="77777777" w:rsidR="00204D69" w:rsidRPr="00FA509A" w:rsidRDefault="00C56FF7" w:rsidP="0083588E">
      <w:pPr>
        <w:pStyle w:val="ListParagraph"/>
        <w:numPr>
          <w:ilvl w:val="0"/>
          <w:numId w:val="13"/>
        </w:numPr>
        <w:rPr>
          <w:color w:val="auto"/>
        </w:rPr>
      </w:pPr>
      <w:r>
        <w:rPr>
          <w:color w:val="auto"/>
        </w:rPr>
        <w:t>T</w:t>
      </w:r>
      <w:r w:rsidR="00204D69" w:rsidRPr="00FA509A">
        <w:rPr>
          <w:color w:val="auto"/>
        </w:rPr>
        <w:t>he employment of local staff as community development consultants</w:t>
      </w:r>
    </w:p>
    <w:p w14:paraId="2EBE3068" w14:textId="77777777" w:rsidR="00204D69" w:rsidRPr="00FA509A" w:rsidRDefault="00C56FF7" w:rsidP="0083588E">
      <w:pPr>
        <w:pStyle w:val="ListParagraph"/>
        <w:numPr>
          <w:ilvl w:val="0"/>
          <w:numId w:val="13"/>
        </w:numPr>
        <w:rPr>
          <w:color w:val="auto"/>
        </w:rPr>
      </w:pPr>
      <w:r>
        <w:rPr>
          <w:color w:val="auto"/>
        </w:rPr>
        <w:t>T</w:t>
      </w:r>
      <w:r w:rsidR="00204D69" w:rsidRPr="00FA509A">
        <w:rPr>
          <w:color w:val="auto"/>
        </w:rPr>
        <w:t>he provision of approp</w:t>
      </w:r>
      <w:r w:rsidR="00204D69">
        <w:rPr>
          <w:color w:val="auto"/>
        </w:rPr>
        <w:t>riate programs and services</w:t>
      </w:r>
    </w:p>
    <w:p w14:paraId="2EBE3069" w14:textId="77777777" w:rsidR="00204D69" w:rsidRPr="00FA509A" w:rsidRDefault="00C56FF7" w:rsidP="0083588E">
      <w:pPr>
        <w:pStyle w:val="ListParagraph"/>
        <w:numPr>
          <w:ilvl w:val="0"/>
          <w:numId w:val="13"/>
        </w:numPr>
        <w:rPr>
          <w:color w:val="auto"/>
        </w:rPr>
      </w:pPr>
      <w:r>
        <w:rPr>
          <w:color w:val="auto"/>
        </w:rPr>
        <w:t>E</w:t>
      </w:r>
      <w:r w:rsidR="00204D69" w:rsidRPr="00FA509A">
        <w:rPr>
          <w:color w:val="auto"/>
        </w:rPr>
        <w:t>ffective communication and relationship building with key partners and groups in the community such as mayors, counsellors</w:t>
      </w:r>
      <w:r w:rsidR="00204D69">
        <w:rPr>
          <w:color w:val="auto"/>
        </w:rPr>
        <w:t>,</w:t>
      </w:r>
      <w:r w:rsidR="00204D69" w:rsidRPr="00FA509A">
        <w:rPr>
          <w:color w:val="auto"/>
        </w:rPr>
        <w:t xml:space="preserve"> family representatives and the leaders of community led groups and organisations</w:t>
      </w:r>
    </w:p>
    <w:p w14:paraId="2EBE306A" w14:textId="77777777" w:rsidR="00204D69" w:rsidRPr="00FA509A" w:rsidRDefault="00C56FF7" w:rsidP="0083588E">
      <w:pPr>
        <w:pStyle w:val="ListParagraph"/>
        <w:numPr>
          <w:ilvl w:val="0"/>
          <w:numId w:val="13"/>
        </w:numPr>
        <w:rPr>
          <w:color w:val="auto"/>
        </w:rPr>
      </w:pPr>
      <w:r>
        <w:rPr>
          <w:color w:val="auto"/>
        </w:rPr>
        <w:t>T</w:t>
      </w:r>
      <w:r w:rsidR="00204D69" w:rsidRPr="00FA509A">
        <w:rPr>
          <w:color w:val="auto"/>
        </w:rPr>
        <w:t>he establishment of Local Advisory Groups (LAGs).</w:t>
      </w:r>
    </w:p>
    <w:p w14:paraId="2EBE306B" w14:textId="77777777" w:rsidR="00204D69" w:rsidRDefault="00204D69" w:rsidP="00BC0A26">
      <w:pPr>
        <w:pStyle w:val="Heading3"/>
      </w:pPr>
      <w:r>
        <w:lastRenderedPageBreak/>
        <w:t>Staffing</w:t>
      </w:r>
    </w:p>
    <w:p w14:paraId="2EBE306C" w14:textId="77777777" w:rsidR="00204D69" w:rsidRDefault="00204D69" w:rsidP="00FF37EE">
      <w:pPr>
        <w:pStyle w:val="Heading4"/>
      </w:pPr>
      <w:r>
        <w:t>Local staff</w:t>
      </w:r>
    </w:p>
    <w:p w14:paraId="2EBE306D" w14:textId="77777777" w:rsidR="00204D69" w:rsidRDefault="00204D69" w:rsidP="00204D69">
      <w:pPr>
        <w:rPr>
          <w:lang w:eastAsia="en-AU"/>
        </w:rPr>
      </w:pPr>
      <w:r>
        <w:rPr>
          <w:lang w:eastAsia="en-AU"/>
        </w:rPr>
        <w:t xml:space="preserve">Local </w:t>
      </w:r>
      <w:r w:rsidR="00B3366F">
        <w:rPr>
          <w:lang w:eastAsia="en-AU"/>
        </w:rPr>
        <w:t xml:space="preserve">Indigenous </w:t>
      </w:r>
      <w:r>
        <w:rPr>
          <w:lang w:eastAsia="en-AU"/>
        </w:rPr>
        <w:t xml:space="preserve">staff employed as community development consultant’s (CDCs) </w:t>
      </w:r>
      <w:r w:rsidR="005D3AA8">
        <w:rPr>
          <w:lang w:eastAsia="en-AU"/>
        </w:rPr>
        <w:t>amounted to</w:t>
      </w:r>
      <w:r>
        <w:rPr>
          <w:lang w:eastAsia="en-AU"/>
        </w:rPr>
        <w:t xml:space="preserve"> 7 FTE (23% of </w:t>
      </w:r>
      <w:r w:rsidRPr="009712C3">
        <w:rPr>
          <w:lang w:eastAsia="en-AU"/>
        </w:rPr>
        <w:t>the FTE) as at 31</w:t>
      </w:r>
      <w:r>
        <w:rPr>
          <w:lang w:eastAsia="en-AU"/>
        </w:rPr>
        <w:t xml:space="preserve"> December 2013. Their primary purpose is to facilitate appropriate community engagement through: Being a credible local person; Vouching for the credibility of non-local staff and the service in the community; Assisting in orienting new staff to the cultural expectations of that specific community; Assisting other team members with relevant and appropriate information concerning the community members and clients, and Facilitating or supporting the delivery of the range of WBC programs.</w:t>
      </w:r>
    </w:p>
    <w:p w14:paraId="2EBE306E" w14:textId="77777777" w:rsidR="00204D69" w:rsidRPr="00406CDE" w:rsidRDefault="00204D69" w:rsidP="00204D69">
      <w:pPr>
        <w:rPr>
          <w:color w:val="auto"/>
          <w:lang w:eastAsia="en-AU"/>
        </w:rPr>
      </w:pPr>
      <w:r w:rsidRPr="00406CDE">
        <w:rPr>
          <w:color w:val="auto"/>
          <w:lang w:eastAsia="en-AU"/>
        </w:rPr>
        <w:t>They also have opportunity for ongoing professional advancement, thus in the longer term potentially contributing to service sustainability and increasing the number of professional SEWB workers. Their employment also demonstrates a commitment by funders to the importance of local employment and to some degree self-determination and community control.</w:t>
      </w:r>
    </w:p>
    <w:p w14:paraId="2EBE306F" w14:textId="77777777" w:rsidR="00204D69" w:rsidRPr="00406CDE" w:rsidRDefault="00204D69" w:rsidP="00204D69">
      <w:pPr>
        <w:spacing w:before="120"/>
        <w:rPr>
          <w:color w:val="auto"/>
          <w:lang w:eastAsia="en-AU"/>
        </w:rPr>
      </w:pPr>
      <w:r w:rsidRPr="00406CDE">
        <w:rPr>
          <w:color w:val="auto"/>
          <w:lang w:eastAsia="en-AU"/>
        </w:rPr>
        <w:t>Based on interview</w:t>
      </w:r>
      <w:r>
        <w:rPr>
          <w:color w:val="auto"/>
          <w:lang w:eastAsia="en-AU"/>
        </w:rPr>
        <w:t xml:space="preserve">s with management and staff, </w:t>
      </w:r>
      <w:r w:rsidRPr="00406CDE">
        <w:rPr>
          <w:color w:val="auto"/>
          <w:lang w:eastAsia="en-AU"/>
        </w:rPr>
        <w:t>feedback from partners</w:t>
      </w:r>
      <w:r>
        <w:rPr>
          <w:color w:val="auto"/>
          <w:lang w:eastAsia="en-AU"/>
        </w:rPr>
        <w:t xml:space="preserve"> in the evaluation has found </w:t>
      </w:r>
      <w:r w:rsidRPr="00406CDE">
        <w:rPr>
          <w:color w:val="auto"/>
          <w:lang w:eastAsia="en-AU"/>
        </w:rPr>
        <w:t xml:space="preserve">that </w:t>
      </w:r>
      <w:r>
        <w:rPr>
          <w:color w:val="auto"/>
          <w:lang w:eastAsia="en-AU"/>
        </w:rPr>
        <w:t>CDCs</w:t>
      </w:r>
      <w:r w:rsidRPr="00406CDE">
        <w:rPr>
          <w:color w:val="auto"/>
          <w:lang w:eastAsia="en-AU"/>
        </w:rPr>
        <w:t xml:space="preserve"> have largely fulfilled their role as outlined above. However, as has been recognised it is now time that they take a more active and central role in facilitating</w:t>
      </w:r>
      <w:r>
        <w:rPr>
          <w:color w:val="auto"/>
          <w:lang w:eastAsia="en-AU"/>
        </w:rPr>
        <w:t xml:space="preserve"> </w:t>
      </w:r>
      <w:r w:rsidRPr="00406CDE">
        <w:rPr>
          <w:color w:val="auto"/>
          <w:lang w:eastAsia="en-AU"/>
        </w:rPr>
        <w:t>and delivering relevan</w:t>
      </w:r>
      <w:r>
        <w:rPr>
          <w:color w:val="auto"/>
          <w:lang w:eastAsia="en-AU"/>
        </w:rPr>
        <w:t>t programs or parts of programs which some CDCs now do.</w:t>
      </w:r>
    </w:p>
    <w:p w14:paraId="2EBE3070" w14:textId="77777777" w:rsidR="00204D69" w:rsidRPr="00406CDE" w:rsidRDefault="00204D69" w:rsidP="00204D69">
      <w:pPr>
        <w:spacing w:before="120"/>
        <w:rPr>
          <w:color w:val="auto"/>
          <w:lang w:eastAsia="en-AU"/>
        </w:rPr>
      </w:pPr>
      <w:r w:rsidRPr="00406CDE">
        <w:rPr>
          <w:color w:val="auto"/>
          <w:lang w:eastAsia="en-AU"/>
        </w:rPr>
        <w:t>In summary local staff have fulfilled their role and strengthened community engagement. They are an important component of the WBC model however as has been recognised they now need to take a more active role in appropriate front line service delivery.</w:t>
      </w:r>
      <w:r>
        <w:rPr>
          <w:color w:val="auto"/>
          <w:lang w:eastAsia="en-AU"/>
        </w:rPr>
        <w:t xml:space="preserve"> This is discussed in more detail Section </w:t>
      </w:r>
      <w:r>
        <w:rPr>
          <w:color w:val="auto"/>
          <w:lang w:eastAsia="en-AU"/>
        </w:rPr>
        <w:fldChar w:fldCharType="begin"/>
      </w:r>
      <w:r>
        <w:rPr>
          <w:color w:val="auto"/>
          <w:lang w:eastAsia="en-AU"/>
        </w:rPr>
        <w:instrText xml:space="preserve"> REF _Ref387398054 \r \h </w:instrText>
      </w:r>
      <w:r>
        <w:rPr>
          <w:color w:val="auto"/>
          <w:lang w:eastAsia="en-AU"/>
        </w:rPr>
      </w:r>
      <w:r>
        <w:rPr>
          <w:color w:val="auto"/>
          <w:lang w:eastAsia="en-AU"/>
        </w:rPr>
        <w:fldChar w:fldCharType="separate"/>
      </w:r>
      <w:r w:rsidR="009A19EB">
        <w:rPr>
          <w:color w:val="auto"/>
          <w:lang w:eastAsia="en-AU"/>
        </w:rPr>
        <w:t>3.10</w:t>
      </w:r>
      <w:r>
        <w:rPr>
          <w:color w:val="auto"/>
          <w:lang w:eastAsia="en-AU"/>
        </w:rPr>
        <w:fldChar w:fldCharType="end"/>
      </w:r>
      <w:r>
        <w:rPr>
          <w:color w:val="auto"/>
          <w:lang w:eastAsia="en-AU"/>
        </w:rPr>
        <w:t>.</w:t>
      </w:r>
    </w:p>
    <w:p w14:paraId="2EBE3071" w14:textId="77777777" w:rsidR="00204D69" w:rsidRDefault="00204D69" w:rsidP="00FF37EE">
      <w:pPr>
        <w:pStyle w:val="Heading4"/>
      </w:pPr>
      <w:r>
        <w:t>Non-local staff</w:t>
      </w:r>
    </w:p>
    <w:p w14:paraId="2EBE3072" w14:textId="77777777" w:rsidR="00204D69" w:rsidRDefault="00204D69" w:rsidP="00204D69">
      <w:pPr>
        <w:rPr>
          <w:lang w:eastAsia="en-AU"/>
        </w:rPr>
      </w:pPr>
      <w:r>
        <w:rPr>
          <w:lang w:eastAsia="en-AU"/>
        </w:rPr>
        <w:t xml:space="preserve">It is self-evident to propose that a community will only engage with a service where they have trust in and have developed a relationship with local and non-local staff. For the WBCs this means that non-local staff have to be culturally competent, demonstrate a willingness to participate in community ‘events’, be approachable and flexible (within the parameters of the program) and of course give the client confidence of their technical skills (counselling, advocacy, community programs). </w:t>
      </w:r>
    </w:p>
    <w:p w14:paraId="2EBE3073" w14:textId="77777777" w:rsidR="00204D69" w:rsidRDefault="00204D69" w:rsidP="00204D69">
      <w:pPr>
        <w:rPr>
          <w:lang w:eastAsia="en-AU"/>
        </w:rPr>
      </w:pPr>
      <w:r>
        <w:rPr>
          <w:lang w:eastAsia="en-AU"/>
        </w:rPr>
        <w:t xml:space="preserve">It is our experience from working in and with communities, that community members will make a judgement about a visiting professional’s interest in their job and the benefits arising </w:t>
      </w:r>
      <w:r w:rsidRPr="000400E2">
        <w:rPr>
          <w:lang w:eastAsia="en-AU"/>
        </w:rPr>
        <w:t>and</w:t>
      </w:r>
      <w:r>
        <w:rPr>
          <w:lang w:eastAsia="en-AU"/>
        </w:rPr>
        <w:t xml:space="preserve"> whether this includes a commitment to the community. Understandably this influences the level of engagement with the service.</w:t>
      </w:r>
    </w:p>
    <w:p w14:paraId="2EBE3074" w14:textId="77777777" w:rsidR="00204D69" w:rsidRPr="00406CDE" w:rsidRDefault="00204D69" w:rsidP="00204D69">
      <w:pPr>
        <w:rPr>
          <w:color w:val="auto"/>
          <w:lang w:eastAsia="en-AU"/>
        </w:rPr>
      </w:pPr>
      <w:r>
        <w:rPr>
          <w:color w:val="auto"/>
          <w:lang w:eastAsia="en-AU"/>
        </w:rPr>
        <w:t xml:space="preserve">The evaluation has </w:t>
      </w:r>
      <w:r w:rsidRPr="00406CDE">
        <w:rPr>
          <w:color w:val="auto"/>
          <w:lang w:eastAsia="en-AU"/>
        </w:rPr>
        <w:t xml:space="preserve">concluded that the RFDS is demonstrating a strong commitment in implementing strategies that aim to recruit the right staff for the role on offer and adequately supporting them and developing their skills and </w:t>
      </w:r>
      <w:r>
        <w:rPr>
          <w:color w:val="auto"/>
          <w:lang w:eastAsia="en-AU"/>
        </w:rPr>
        <w:t>that</w:t>
      </w:r>
      <w:r w:rsidRPr="00406CDE">
        <w:rPr>
          <w:color w:val="auto"/>
          <w:lang w:eastAsia="en-AU"/>
        </w:rPr>
        <w:t xml:space="preserve"> the service model and service approach is culturally appropriate and sensitive to Aboriginal needs.</w:t>
      </w:r>
    </w:p>
    <w:p w14:paraId="2EBE3075" w14:textId="77777777" w:rsidR="00204D69" w:rsidRDefault="00204D69" w:rsidP="00204D69">
      <w:pPr>
        <w:rPr>
          <w:lang w:eastAsia="en-AU"/>
        </w:rPr>
      </w:pPr>
      <w:r>
        <w:rPr>
          <w:lang w:eastAsia="en-AU"/>
        </w:rPr>
        <w:t>However, it is worth noting here from feedback provided and our observations while in the WBCs, that staff are highly regarded and hence the community has</w:t>
      </w:r>
      <w:r w:rsidRPr="00A2655E">
        <w:rPr>
          <w:lang w:eastAsia="en-AU"/>
        </w:rPr>
        <w:t xml:space="preserve"> </w:t>
      </w:r>
      <w:r>
        <w:rPr>
          <w:lang w:eastAsia="en-AU"/>
        </w:rPr>
        <w:t>engaged. It is also noted that for new staff it takes time to develop trust and rapport with clients and the community and this is understood by the RFDS. A number of staff extend themselves beyond the ‘expected role’ to participate in the community.</w:t>
      </w:r>
      <w:r w:rsidRPr="001379E4">
        <w:rPr>
          <w:lang w:eastAsia="en-AU"/>
        </w:rPr>
        <w:t xml:space="preserve"> </w:t>
      </w:r>
    </w:p>
    <w:p w14:paraId="2EBE3076" w14:textId="77777777" w:rsidR="005D3AA8" w:rsidRDefault="00204D69" w:rsidP="00204D69">
      <w:pPr>
        <w:rPr>
          <w:lang w:eastAsia="en-AU"/>
        </w:rPr>
      </w:pPr>
      <w:r>
        <w:rPr>
          <w:lang w:eastAsia="en-AU"/>
        </w:rPr>
        <w:t xml:space="preserve">Further to this, the extent to which non-local staff engage with, and are seen as being part of, the community, influences community members and partners definition of a fly in/fly out (FIFO) service. Feedback was that the service wasn’t considered FIFO. This definition tends to be associated with services that visited for 1-2 days, once a month. WBCs are generally considered to be non-FIFO. </w:t>
      </w:r>
    </w:p>
    <w:p w14:paraId="2EBE3077" w14:textId="77777777" w:rsidR="00204D69" w:rsidRDefault="00204D69" w:rsidP="00204D69">
      <w:pPr>
        <w:rPr>
          <w:lang w:eastAsia="en-AU"/>
        </w:rPr>
      </w:pPr>
      <w:r>
        <w:rPr>
          <w:lang w:eastAsia="en-AU"/>
        </w:rPr>
        <w:lastRenderedPageBreak/>
        <w:t>The above commentary is not to say that there wasn’t a view that the preference of some stakeholders was for non-local staff to reside in community or be in attendance 5 days a week, more so it was acknowledgement that it was considered to be a full 5-day a week service.</w:t>
      </w:r>
    </w:p>
    <w:p w14:paraId="2EBE3078" w14:textId="77777777" w:rsidR="00204D69" w:rsidRPr="00406CDE" w:rsidRDefault="00204D69" w:rsidP="00204D69">
      <w:pPr>
        <w:rPr>
          <w:color w:val="auto"/>
          <w:lang w:eastAsia="en-AU"/>
        </w:rPr>
      </w:pPr>
      <w:r w:rsidRPr="00406CDE">
        <w:rPr>
          <w:color w:val="auto"/>
          <w:lang w:eastAsia="en-AU"/>
        </w:rPr>
        <w:t>In summary the WBC is recruiting non local staff that</w:t>
      </w:r>
      <w:r w:rsidR="005D3AA8">
        <w:rPr>
          <w:color w:val="auto"/>
          <w:lang w:eastAsia="en-AU"/>
        </w:rPr>
        <w:t xml:space="preserve"> are</w:t>
      </w:r>
      <w:r w:rsidRPr="00406CDE">
        <w:rPr>
          <w:color w:val="auto"/>
          <w:lang w:eastAsia="en-AU"/>
        </w:rPr>
        <w:t xml:space="preserve"> able to, and have, effectively engaged the community. They are also providing an appropriate framework for this to occur.</w:t>
      </w:r>
    </w:p>
    <w:p w14:paraId="2EBE3079" w14:textId="77777777" w:rsidR="00204D69" w:rsidRDefault="00204D69" w:rsidP="00BC0A26">
      <w:pPr>
        <w:pStyle w:val="Heading3"/>
      </w:pPr>
      <w:r>
        <w:t>Appropriate programs and services</w:t>
      </w:r>
    </w:p>
    <w:p w14:paraId="2EBE307A" w14:textId="77777777" w:rsidR="00204D69" w:rsidRPr="00406CDE" w:rsidRDefault="00204D69" w:rsidP="00204D69">
      <w:pPr>
        <w:rPr>
          <w:color w:val="auto"/>
          <w:lang w:eastAsia="en-AU"/>
        </w:rPr>
      </w:pPr>
      <w:r>
        <w:rPr>
          <w:color w:val="auto"/>
          <w:lang w:eastAsia="en-AU"/>
        </w:rPr>
        <w:t>A</w:t>
      </w:r>
      <w:r w:rsidRPr="00406CDE">
        <w:rPr>
          <w:color w:val="auto"/>
          <w:lang w:eastAsia="en-AU"/>
        </w:rPr>
        <w:t xml:space="preserve"> community will only engage with a service if it provides a range of programs or services that are of relevance to that community. The range of individual services clinical and general counselling services and group activities are highlighted </w:t>
      </w:r>
      <w:r w:rsidRPr="003C3D25">
        <w:rPr>
          <w:color w:val="auto"/>
          <w:lang w:eastAsia="en-AU"/>
        </w:rPr>
        <w:t xml:space="preserve">in Section </w:t>
      </w:r>
      <w:r>
        <w:rPr>
          <w:color w:val="auto"/>
          <w:lang w:eastAsia="en-AU"/>
        </w:rPr>
        <w:t>3.5</w:t>
      </w:r>
      <w:r w:rsidRPr="003C3D25">
        <w:rPr>
          <w:color w:val="auto"/>
          <w:lang w:eastAsia="en-AU"/>
        </w:rPr>
        <w:t>.</w:t>
      </w:r>
      <w:r w:rsidRPr="00406CDE">
        <w:rPr>
          <w:color w:val="auto"/>
          <w:lang w:eastAsia="en-AU"/>
        </w:rPr>
        <w:t xml:space="preserve"> </w:t>
      </w:r>
    </w:p>
    <w:p w14:paraId="2EBE307B" w14:textId="77777777" w:rsidR="00204D69" w:rsidRDefault="00204D69" w:rsidP="00204D69">
      <w:pPr>
        <w:rPr>
          <w:lang w:eastAsia="en-AU"/>
        </w:rPr>
      </w:pPr>
      <w:r>
        <w:rPr>
          <w:lang w:eastAsia="en-AU"/>
        </w:rPr>
        <w:t>The key aspects of the program and services that have caused community members to engage include:</w:t>
      </w:r>
    </w:p>
    <w:p w14:paraId="2EBE307C" w14:textId="77777777" w:rsidR="00204D69" w:rsidRDefault="00204D69" w:rsidP="0083588E">
      <w:pPr>
        <w:numPr>
          <w:ilvl w:val="0"/>
          <w:numId w:val="5"/>
        </w:numPr>
        <w:rPr>
          <w:lang w:eastAsia="en-AU"/>
        </w:rPr>
      </w:pPr>
      <w:r>
        <w:rPr>
          <w:lang w:eastAsia="en-AU"/>
        </w:rPr>
        <w:t>WBCs are established as a welcoming and culturally safe place where people can come and simply have a cup of tea and a chat</w:t>
      </w:r>
    </w:p>
    <w:p w14:paraId="2EBE307D" w14:textId="77777777" w:rsidR="00204D69" w:rsidRDefault="00C56FF7" w:rsidP="0083588E">
      <w:pPr>
        <w:numPr>
          <w:ilvl w:val="0"/>
          <w:numId w:val="5"/>
        </w:numPr>
        <w:rPr>
          <w:lang w:eastAsia="en-AU"/>
        </w:rPr>
      </w:pPr>
      <w:r>
        <w:rPr>
          <w:lang w:eastAsia="en-AU"/>
        </w:rPr>
        <w:t xml:space="preserve">Being </w:t>
      </w:r>
      <w:r w:rsidR="00204D69">
        <w:rPr>
          <w:lang w:eastAsia="en-AU"/>
        </w:rPr>
        <w:t>a safe place where people can obtain refuge from stressful or violent situations</w:t>
      </w:r>
    </w:p>
    <w:p w14:paraId="2EBE307E" w14:textId="77777777" w:rsidR="00204D69" w:rsidRPr="006A4B8C" w:rsidRDefault="00C56FF7" w:rsidP="0083588E">
      <w:pPr>
        <w:numPr>
          <w:ilvl w:val="0"/>
          <w:numId w:val="5"/>
        </w:numPr>
        <w:rPr>
          <w:lang w:eastAsia="en-AU"/>
        </w:rPr>
      </w:pPr>
      <w:r>
        <w:rPr>
          <w:lang w:eastAsia="en-AU"/>
        </w:rPr>
        <w:t>T</w:t>
      </w:r>
      <w:r w:rsidR="00204D69" w:rsidRPr="006A4B8C">
        <w:rPr>
          <w:lang w:eastAsia="en-AU"/>
        </w:rPr>
        <w:t xml:space="preserve">ailoring activities and groups to community </w:t>
      </w:r>
      <w:r w:rsidR="00204D69">
        <w:rPr>
          <w:lang w:eastAsia="en-AU"/>
        </w:rPr>
        <w:t xml:space="preserve">(and cultural) </w:t>
      </w:r>
      <w:r w:rsidR="00204D69" w:rsidRPr="006A4B8C">
        <w:rPr>
          <w:lang w:eastAsia="en-AU"/>
        </w:rPr>
        <w:t>needs</w:t>
      </w:r>
      <w:r w:rsidR="00204D69">
        <w:rPr>
          <w:lang w:eastAsia="en-AU"/>
        </w:rPr>
        <w:t xml:space="preserve"> – consulting with </w:t>
      </w:r>
      <w:r>
        <w:rPr>
          <w:lang w:eastAsia="en-AU"/>
        </w:rPr>
        <w:t>lags</w:t>
      </w:r>
      <w:r w:rsidR="00204D69">
        <w:rPr>
          <w:lang w:eastAsia="en-AU"/>
        </w:rPr>
        <w:t>, Women’s groups and Men’s groups regarding their needs and program preferences</w:t>
      </w:r>
    </w:p>
    <w:p w14:paraId="2EBE307F" w14:textId="77777777" w:rsidR="00204D69" w:rsidRDefault="00C56FF7" w:rsidP="0083588E">
      <w:pPr>
        <w:numPr>
          <w:ilvl w:val="0"/>
          <w:numId w:val="5"/>
        </w:numPr>
      </w:pPr>
      <w:r>
        <w:t xml:space="preserve">Offering </w:t>
      </w:r>
      <w:r w:rsidR="00204D69">
        <w:t xml:space="preserve">a range of programs (e.g. </w:t>
      </w:r>
      <w:r>
        <w:t xml:space="preserve">Alcohol </w:t>
      </w:r>
      <w:r w:rsidR="00204D69">
        <w:t>and other drugs, relationships, family violence, mental health) in a variety of settings (e.g. WBC, in-home, in other agencies, community based groups, on-country)</w:t>
      </w:r>
    </w:p>
    <w:p w14:paraId="2EBE3080" w14:textId="77777777" w:rsidR="00204D69" w:rsidRDefault="00C56FF7" w:rsidP="0083588E">
      <w:pPr>
        <w:numPr>
          <w:ilvl w:val="0"/>
          <w:numId w:val="5"/>
        </w:numPr>
      </w:pPr>
      <w:r>
        <w:t xml:space="preserve">Partnering </w:t>
      </w:r>
      <w:r w:rsidR="00204D69">
        <w:t>with other service providers.</w:t>
      </w:r>
    </w:p>
    <w:p w14:paraId="2EBE3081" w14:textId="77777777" w:rsidR="00204D69" w:rsidRDefault="00204D69" w:rsidP="00204D69">
      <w:r>
        <w:t>The importance of offering culturally appropriate programs and services that will engage the community cannot be overstated.</w:t>
      </w:r>
    </w:p>
    <w:p w14:paraId="2EBE3082" w14:textId="77777777" w:rsidR="00204D69" w:rsidRDefault="00204D69" w:rsidP="00204D69">
      <w:r>
        <w:t>In summary programs and services are offered in a way that are effective in engaging the community.</w:t>
      </w:r>
    </w:p>
    <w:p w14:paraId="2EBE3083" w14:textId="77777777" w:rsidR="00204D69" w:rsidRDefault="00204D69" w:rsidP="00BC0A26">
      <w:pPr>
        <w:pStyle w:val="Heading3"/>
        <w:rPr>
          <w:lang w:val="en-AU"/>
        </w:rPr>
      </w:pPr>
      <w:r>
        <w:t>Community relationships</w:t>
      </w:r>
    </w:p>
    <w:p w14:paraId="2EBE3084" w14:textId="77777777" w:rsidR="00204D69" w:rsidRDefault="00204D69" w:rsidP="00204D69">
      <w:pPr>
        <w:rPr>
          <w:lang w:eastAsia="en-AU"/>
        </w:rPr>
      </w:pPr>
      <w:r>
        <w:rPr>
          <w:lang w:eastAsia="en-AU"/>
        </w:rPr>
        <w:t xml:space="preserve">It was evident from our observations and feedback through the consultation process that WBC staff are generally committed to communicating and building relationships with key community personnel and groups to ensure effective community engagement. This is not only with partners (discussed in </w:t>
      </w:r>
      <w:r w:rsidRPr="003C3D25">
        <w:rPr>
          <w:lang w:eastAsia="en-AU"/>
        </w:rPr>
        <w:t xml:space="preserve">Section </w:t>
      </w:r>
      <w:r w:rsidRPr="003C3D25">
        <w:rPr>
          <w:lang w:eastAsia="en-AU"/>
        </w:rPr>
        <w:fldChar w:fldCharType="begin"/>
      </w:r>
      <w:r w:rsidRPr="003C3D25">
        <w:rPr>
          <w:lang w:eastAsia="en-AU"/>
        </w:rPr>
        <w:instrText xml:space="preserve"> REF _Ref387397803 \r \h </w:instrText>
      </w:r>
      <w:r>
        <w:rPr>
          <w:lang w:eastAsia="en-AU"/>
        </w:rPr>
        <w:instrText xml:space="preserve"> \* MERGEFORMAT </w:instrText>
      </w:r>
      <w:r w:rsidRPr="003C3D25">
        <w:rPr>
          <w:lang w:eastAsia="en-AU"/>
        </w:rPr>
      </w:r>
      <w:r w:rsidRPr="003C3D25">
        <w:rPr>
          <w:lang w:eastAsia="en-AU"/>
        </w:rPr>
        <w:fldChar w:fldCharType="separate"/>
      </w:r>
      <w:r w:rsidR="009A19EB">
        <w:rPr>
          <w:lang w:eastAsia="en-AU"/>
        </w:rPr>
        <w:t>0</w:t>
      </w:r>
      <w:r w:rsidRPr="003C3D25">
        <w:rPr>
          <w:lang w:eastAsia="en-AU"/>
        </w:rPr>
        <w:fldChar w:fldCharType="end"/>
      </w:r>
      <w:r w:rsidRPr="003C3D25">
        <w:rPr>
          <w:lang w:eastAsia="en-AU"/>
        </w:rPr>
        <w:t>)</w:t>
      </w:r>
      <w:r>
        <w:rPr>
          <w:lang w:eastAsia="en-AU"/>
        </w:rPr>
        <w:t xml:space="preserve"> but also with key community people such as mayors, counsellors, family representatives and the leaders of community led groups and organisations.</w:t>
      </w:r>
    </w:p>
    <w:p w14:paraId="2EBE3085" w14:textId="77777777" w:rsidR="00204D69" w:rsidRDefault="00204D69" w:rsidP="00204D69">
      <w:pPr>
        <w:rPr>
          <w:color w:val="auto"/>
          <w:lang w:eastAsia="x-none"/>
        </w:rPr>
      </w:pPr>
      <w:r w:rsidRPr="00406CDE">
        <w:rPr>
          <w:color w:val="auto"/>
          <w:lang w:eastAsia="en-AU"/>
        </w:rPr>
        <w:t xml:space="preserve">It is important that these key community people are engaged effectively when the WBC and other agencies are working together to address particular prioritised community needs.  As reported in </w:t>
      </w:r>
      <w:r w:rsidRPr="003C3D25">
        <w:rPr>
          <w:color w:val="auto"/>
          <w:lang w:eastAsia="en-AU"/>
        </w:rPr>
        <w:t xml:space="preserve">Section </w:t>
      </w:r>
      <w:r>
        <w:rPr>
          <w:color w:val="auto"/>
          <w:lang w:eastAsia="en-AU"/>
        </w:rPr>
        <w:t xml:space="preserve">3.7.5 </w:t>
      </w:r>
      <w:r>
        <w:rPr>
          <w:color w:val="auto"/>
          <w:lang w:eastAsia="x-none"/>
        </w:rPr>
        <w:t>there does not appear to be any cross agency social service/primary health group that formally interacts with community leaders to oversee this process</w:t>
      </w:r>
      <w:r w:rsidRPr="009712C3">
        <w:rPr>
          <w:color w:val="auto"/>
          <w:lang w:eastAsia="x-none"/>
        </w:rPr>
        <w:t>. This is something that needs to be developed within the context of each community. Ultimately the</w:t>
      </w:r>
      <w:r w:rsidRPr="00CC7264">
        <w:rPr>
          <w:color w:val="auto"/>
          <w:lang w:eastAsia="x-none"/>
        </w:rPr>
        <w:t xml:space="preserve"> role played by the WBC</w:t>
      </w:r>
      <w:r>
        <w:rPr>
          <w:color w:val="auto"/>
          <w:lang w:eastAsia="x-none"/>
        </w:rPr>
        <w:t xml:space="preserve"> will </w:t>
      </w:r>
      <w:r w:rsidRPr="00CC7264">
        <w:rPr>
          <w:color w:val="auto"/>
          <w:lang w:eastAsia="x-none"/>
        </w:rPr>
        <w:t xml:space="preserve">vary depending on the </w:t>
      </w:r>
      <w:r>
        <w:rPr>
          <w:color w:val="auto"/>
          <w:lang w:eastAsia="x-none"/>
        </w:rPr>
        <w:t>t</w:t>
      </w:r>
      <w:r w:rsidR="00F23DFC">
        <w:rPr>
          <w:color w:val="auto"/>
          <w:lang w:eastAsia="x-none"/>
        </w:rPr>
        <w:t>ype of issue and the community.</w:t>
      </w:r>
    </w:p>
    <w:p w14:paraId="2EBE3086" w14:textId="77777777" w:rsidR="00204D69" w:rsidRDefault="00204D69" w:rsidP="00BC0A26">
      <w:pPr>
        <w:pStyle w:val="Heading3"/>
        <w:rPr>
          <w:lang w:val="en-AU"/>
        </w:rPr>
      </w:pPr>
      <w:bookmarkStart w:id="172" w:name="_Toc355880514"/>
      <w:bookmarkStart w:id="173" w:name="_Toc379474376"/>
      <w:bookmarkStart w:id="174" w:name="_Ref387398011"/>
      <w:r w:rsidRPr="00E87131">
        <w:t>Local Advisory Groups</w:t>
      </w:r>
      <w:bookmarkEnd w:id="172"/>
      <w:bookmarkEnd w:id="173"/>
      <w:r>
        <w:rPr>
          <w:lang w:val="en-AU"/>
        </w:rPr>
        <w:t xml:space="preserve"> and community </w:t>
      </w:r>
      <w:bookmarkEnd w:id="174"/>
      <w:r w:rsidR="00DA65EE">
        <w:rPr>
          <w:lang w:val="en-AU"/>
        </w:rPr>
        <w:t>input</w:t>
      </w:r>
    </w:p>
    <w:p w14:paraId="2EBE3087" w14:textId="77777777" w:rsidR="00204D69" w:rsidRPr="006A4B8C" w:rsidRDefault="00204D69" w:rsidP="00204D69">
      <w:r w:rsidRPr="006A4B8C">
        <w:t xml:space="preserve">This </w:t>
      </w:r>
      <w:r>
        <w:t>sub-</w:t>
      </w:r>
      <w:r w:rsidRPr="006A4B8C">
        <w:t xml:space="preserve">section examines the Local Advisory Groups (LAGs) which </w:t>
      </w:r>
      <w:r>
        <w:t>we</w:t>
      </w:r>
      <w:r w:rsidRPr="006A4B8C">
        <w:t xml:space="preserve">re </w:t>
      </w:r>
      <w:r>
        <w:t xml:space="preserve">established as </w:t>
      </w:r>
      <w:r w:rsidRPr="006A4B8C">
        <w:t xml:space="preserve">the key </w:t>
      </w:r>
      <w:r>
        <w:t xml:space="preserve">‘formal </w:t>
      </w:r>
      <w:r w:rsidRPr="006A4B8C">
        <w:t>mechanism</w:t>
      </w:r>
      <w:r>
        <w:t>’</w:t>
      </w:r>
      <w:r w:rsidRPr="006A4B8C">
        <w:t xml:space="preserve"> for community engagement. Key evaluation questions in relation to the LAGs include:</w:t>
      </w:r>
    </w:p>
    <w:p w14:paraId="2EBE3088" w14:textId="77777777" w:rsidR="00204D69" w:rsidRPr="006A4B8C" w:rsidRDefault="00204D69" w:rsidP="0083588E">
      <w:pPr>
        <w:numPr>
          <w:ilvl w:val="0"/>
          <w:numId w:val="5"/>
        </w:numPr>
        <w:rPr>
          <w:lang w:eastAsia="en-AU"/>
        </w:rPr>
      </w:pPr>
      <w:r w:rsidRPr="006A4B8C">
        <w:rPr>
          <w:lang w:eastAsia="en-AU"/>
        </w:rPr>
        <w:lastRenderedPageBreak/>
        <w:t>Is the LAG effectively contributing to WBC service delivery?</w:t>
      </w:r>
    </w:p>
    <w:p w14:paraId="2EBE3089" w14:textId="77777777" w:rsidR="00204D69" w:rsidRPr="006A4B8C" w:rsidRDefault="00204D69" w:rsidP="0083588E">
      <w:pPr>
        <w:numPr>
          <w:ilvl w:val="0"/>
          <w:numId w:val="5"/>
        </w:numPr>
        <w:rPr>
          <w:lang w:eastAsia="en-AU"/>
        </w:rPr>
      </w:pPr>
      <w:r w:rsidRPr="006A4B8C">
        <w:rPr>
          <w:lang w:eastAsia="en-AU"/>
        </w:rPr>
        <w:t>Are suitable LAG members appointed?</w:t>
      </w:r>
    </w:p>
    <w:p w14:paraId="2EBE308A" w14:textId="77777777" w:rsidR="00204D69" w:rsidRDefault="00204D69" w:rsidP="0083588E">
      <w:pPr>
        <w:numPr>
          <w:ilvl w:val="0"/>
          <w:numId w:val="5"/>
        </w:numPr>
      </w:pPr>
      <w:r w:rsidRPr="006A4B8C">
        <w:rPr>
          <w:lang w:eastAsia="en-AU"/>
        </w:rPr>
        <w:t>Is the</w:t>
      </w:r>
      <w:r w:rsidRPr="006A4B8C">
        <w:t xml:space="preserve"> LAG strengthening its role and taking on additional duties over time?</w:t>
      </w:r>
    </w:p>
    <w:p w14:paraId="2EBE308B" w14:textId="77777777" w:rsidR="00204D69" w:rsidRDefault="00204D69" w:rsidP="00204D69">
      <w:r>
        <w:t>It also discusses the issue of transition to community control and how best to proceed with obtaining effective community input.</w:t>
      </w:r>
    </w:p>
    <w:p w14:paraId="2EBE308C" w14:textId="77777777" w:rsidR="00204D69" w:rsidRPr="00BD560F" w:rsidRDefault="00204D69" w:rsidP="00FF37EE">
      <w:pPr>
        <w:pStyle w:val="Heading4"/>
        <w:rPr>
          <w:lang w:val="en-AU"/>
        </w:rPr>
      </w:pPr>
      <w:r w:rsidRPr="00BD560F">
        <w:t>Operation of the LAGs</w:t>
      </w:r>
    </w:p>
    <w:p w14:paraId="2EBE308D" w14:textId="77777777" w:rsidR="00204D69" w:rsidRDefault="00204D69" w:rsidP="00204D69">
      <w:pPr>
        <w:rPr>
          <w:lang w:eastAsia="x-none"/>
        </w:rPr>
      </w:pPr>
      <w:r w:rsidRPr="00BD560F">
        <w:rPr>
          <w:lang w:eastAsia="x-none"/>
        </w:rPr>
        <w:t>LAGs were established to be</w:t>
      </w:r>
      <w:r>
        <w:rPr>
          <w:lang w:eastAsia="x-none"/>
        </w:rPr>
        <w:t xml:space="preserve"> a key voice in and for the community, to provide a local perspective into community needs and priorities and potentially assist with transition to community control.</w:t>
      </w:r>
    </w:p>
    <w:p w14:paraId="2EBE308E" w14:textId="77777777" w:rsidR="00204D69" w:rsidRDefault="00204D69" w:rsidP="00204D69">
      <w:pPr>
        <w:rPr>
          <w:lang w:eastAsia="x-none"/>
        </w:rPr>
      </w:pPr>
      <w:r w:rsidRPr="00571F84">
        <w:rPr>
          <w:lang w:eastAsia="x-none"/>
        </w:rPr>
        <w:t>The RFDS has devoted significant resources to supporting the operation of the LAGS, with the project officer(s) based in Cairns.</w:t>
      </w:r>
      <w:r w:rsidR="00153FF9" w:rsidRPr="00262D09">
        <w:rPr>
          <w:lang w:eastAsia="x-none"/>
        </w:rPr>
        <w:t xml:space="preserve"> F</w:t>
      </w:r>
      <w:r w:rsidR="005718F9" w:rsidRPr="00571F84">
        <w:rPr>
          <w:lang w:eastAsia="x-none"/>
        </w:rPr>
        <w:t>or the three years ended June</w:t>
      </w:r>
      <w:r w:rsidR="00153FF9" w:rsidRPr="00571F84">
        <w:rPr>
          <w:lang w:eastAsia="x-none"/>
        </w:rPr>
        <w:t xml:space="preserve"> 2014</w:t>
      </w:r>
      <w:r w:rsidR="005718F9" w:rsidRPr="00571F84">
        <w:rPr>
          <w:lang w:eastAsia="x-none"/>
        </w:rPr>
        <w:t xml:space="preserve"> there </w:t>
      </w:r>
      <w:r w:rsidR="00153FF9" w:rsidRPr="00571F84">
        <w:rPr>
          <w:lang w:eastAsia="x-none"/>
        </w:rPr>
        <w:t xml:space="preserve">was </w:t>
      </w:r>
      <w:r w:rsidR="005718F9" w:rsidRPr="00571F84">
        <w:rPr>
          <w:lang w:eastAsia="x-none"/>
        </w:rPr>
        <w:t xml:space="preserve">one </w:t>
      </w:r>
      <w:r w:rsidR="00153FF9" w:rsidRPr="00571F84">
        <w:rPr>
          <w:lang w:eastAsia="x-none"/>
        </w:rPr>
        <w:t xml:space="preserve">LAG </w:t>
      </w:r>
      <w:r w:rsidR="005718F9" w:rsidRPr="00571F84">
        <w:rPr>
          <w:lang w:eastAsia="x-none"/>
        </w:rPr>
        <w:t>project officer</w:t>
      </w:r>
      <w:r w:rsidR="005718F9">
        <w:rPr>
          <w:lang w:eastAsia="x-none"/>
        </w:rPr>
        <w:t xml:space="preserve"> except for a six month period where there were two project officers</w:t>
      </w:r>
      <w:r w:rsidR="00153FF9">
        <w:rPr>
          <w:lang w:eastAsia="x-none"/>
        </w:rPr>
        <w:t xml:space="preserve">. The cost of these staff </w:t>
      </w:r>
      <w:r w:rsidR="004B2149">
        <w:rPr>
          <w:lang w:eastAsia="x-none"/>
        </w:rPr>
        <w:t xml:space="preserve">over that period </w:t>
      </w:r>
      <w:r w:rsidR="00153FF9">
        <w:rPr>
          <w:lang w:eastAsia="x-none"/>
        </w:rPr>
        <w:t>was approximately $250,000. In addition there are significant travel related costs, for example in the previous 12 months there were 6 trips to Aurukun, 12 trips to Coen, 12 trips to Hopevale and 36 trips to Mossman Gorge.</w:t>
      </w:r>
    </w:p>
    <w:p w14:paraId="2EBE308F" w14:textId="77777777" w:rsidR="00204D69" w:rsidRDefault="00204D69" w:rsidP="00204D69">
      <w:pPr>
        <w:rPr>
          <w:lang w:eastAsia="x-none"/>
        </w:rPr>
      </w:pPr>
      <w:r>
        <w:rPr>
          <w:lang w:eastAsia="x-none"/>
        </w:rPr>
        <w:t>The principal role for LAGs to date have included: having input into the content of annual action plans; developing LAG action plans; providing feedback on services delivered: interviewing preferred candidates for WBC positions; and providing a local perspective into community needs and priorities. The LAG roles are articulated in their terms of reference.</w:t>
      </w:r>
    </w:p>
    <w:p w14:paraId="2EBE3090" w14:textId="77777777" w:rsidR="00204D69" w:rsidRPr="00021477" w:rsidRDefault="00204D69" w:rsidP="00204D69">
      <w:pPr>
        <w:rPr>
          <w:lang w:eastAsia="x-none"/>
        </w:rPr>
      </w:pPr>
      <w:r>
        <w:rPr>
          <w:lang w:eastAsia="x-none"/>
        </w:rPr>
        <w:t xml:space="preserve">There is some cross membership between LAGs, Apunipima Health Action Teams (HATs) and in at least one instance an FRC Commissioner. </w:t>
      </w:r>
      <w:r>
        <w:rPr>
          <w:bCs/>
          <w:iCs/>
        </w:rPr>
        <w:t>This cross membership, where it exists, is reported to have assisted in improving communication and coordination.</w:t>
      </w:r>
    </w:p>
    <w:p w14:paraId="2EBE3091" w14:textId="77777777" w:rsidR="00204D69" w:rsidRPr="006A4B8C" w:rsidRDefault="00204D69" w:rsidP="00204D69">
      <w:r w:rsidRPr="006A4B8C">
        <w:t xml:space="preserve">The </w:t>
      </w:r>
      <w:r>
        <w:t xml:space="preserve">extent to which the LAGs have been effective </w:t>
      </w:r>
      <w:r w:rsidRPr="006A4B8C">
        <w:t xml:space="preserve">has been influenced by a range of factors that include: the capacity of people </w:t>
      </w:r>
      <w:r w:rsidRPr="00EA38B8">
        <w:rPr>
          <w:color w:val="auto"/>
        </w:rPr>
        <w:t xml:space="preserve">recruited; gender imbalance (mostly females); local clan/family issues; the level of attendance of some members; the frequency of meetings; the amount of sorry business; the level of community violence that can occur from time to time; the ability of </w:t>
      </w:r>
      <w:r w:rsidRPr="006A4B8C">
        <w:t xml:space="preserve">the team leader to link in with the LAG; the voluntary nature of the positions; the fact that the key support positions have been based in Cairns; and the fact that the LAG role is advisory. </w:t>
      </w:r>
    </w:p>
    <w:p w14:paraId="2EBE3092" w14:textId="77777777" w:rsidR="00204D69" w:rsidRDefault="00204D69" w:rsidP="00204D69">
      <w:r w:rsidRPr="006A4B8C">
        <w:t xml:space="preserve">The effectiveness of the LAGs has differed between </w:t>
      </w:r>
      <w:r>
        <w:t>communities</w:t>
      </w:r>
      <w:r w:rsidRPr="006A4B8C">
        <w:t xml:space="preserve"> and varied over time within </w:t>
      </w:r>
      <w:r>
        <w:t>communities,</w:t>
      </w:r>
      <w:r w:rsidRPr="006A4B8C">
        <w:t xml:space="preserve"> largely determined by one or more of the above factors.</w:t>
      </w:r>
      <w:r>
        <w:t xml:space="preserve"> We reported previously and it is still the case that based</w:t>
      </w:r>
      <w:r w:rsidRPr="006A4B8C">
        <w:t xml:space="preserve"> on stakeholder feedback and</w:t>
      </w:r>
      <w:r>
        <w:t xml:space="preserve"> our</w:t>
      </w:r>
      <w:r w:rsidRPr="006A4B8C">
        <w:t xml:space="preserve"> observations during community visits</w:t>
      </w:r>
      <w:r>
        <w:t>,</w:t>
      </w:r>
      <w:r w:rsidRPr="006A4B8C">
        <w:t xml:space="preserve"> </w:t>
      </w:r>
      <w:r>
        <w:t xml:space="preserve">HOI considers that LAGs are struggling to fulfil their role. Having said this, we consider that they are currently more functional at </w:t>
      </w:r>
      <w:r w:rsidRPr="00AE0F24">
        <w:t>Mossman Gorge</w:t>
      </w:r>
      <w:r>
        <w:t xml:space="preserve"> </w:t>
      </w:r>
      <w:r w:rsidRPr="001806D6">
        <w:t xml:space="preserve">and </w:t>
      </w:r>
      <w:r>
        <w:t>Hopevale</w:t>
      </w:r>
      <w:r w:rsidRPr="001806D6">
        <w:t>.</w:t>
      </w:r>
    </w:p>
    <w:p w14:paraId="2EBE3093" w14:textId="77777777" w:rsidR="00204D69" w:rsidRDefault="00204D69" w:rsidP="00204D69">
      <w:r>
        <w:t>Team leaders have been questioning the value of the LAGs as a conduit to the community for some time (because meetings can be infrequent and attendance is generally poor). They have found it more beneficial to seek feedback from say men’s and women’s groups and community leaders with whom they have been able to develop a relationship.</w:t>
      </w:r>
    </w:p>
    <w:p w14:paraId="2EBE3094" w14:textId="77777777" w:rsidR="00204D69" w:rsidRDefault="00204D69" w:rsidP="00204D69">
      <w:r>
        <w:t>The RFDS developed and tried to implement a new community engagement strategy which included establishing a Community Reference Network with membership from local LAGs and key regional stakeholders. Whilst there was one meeting, implementation of the strategy proved problematic and it was not continued with.</w:t>
      </w:r>
    </w:p>
    <w:p w14:paraId="2EBE3095" w14:textId="77777777" w:rsidR="00204D69" w:rsidRDefault="00204D69" w:rsidP="00204D69">
      <w:pPr>
        <w:rPr>
          <w:color w:val="auto"/>
        </w:rPr>
      </w:pPr>
      <w:r>
        <w:rPr>
          <w:color w:val="auto"/>
        </w:rPr>
        <w:lastRenderedPageBreak/>
        <w:t xml:space="preserve">In summary the LAGS have only been partially effective and in some cases ineffective in providing a structure for formal community input. </w:t>
      </w:r>
      <w:r w:rsidRPr="00406CDE">
        <w:rPr>
          <w:color w:val="auto"/>
        </w:rPr>
        <w:t xml:space="preserve">The LAGs are not </w:t>
      </w:r>
      <w:r>
        <w:rPr>
          <w:color w:val="auto"/>
        </w:rPr>
        <w:t xml:space="preserve">currently </w:t>
      </w:r>
      <w:r w:rsidRPr="00406CDE">
        <w:rPr>
          <w:color w:val="auto"/>
        </w:rPr>
        <w:t>in a position to be a vehicle for management responsibility and ultimate community control</w:t>
      </w:r>
      <w:r>
        <w:rPr>
          <w:color w:val="auto"/>
        </w:rPr>
        <w:t>.</w:t>
      </w:r>
    </w:p>
    <w:p w14:paraId="2EBE3096" w14:textId="77777777" w:rsidR="00204D69" w:rsidRDefault="00204D69" w:rsidP="00204D69">
      <w:r w:rsidRPr="00636C65">
        <w:t>Notwithstanding considerable effort and resources, capacity building efforts have not been effective to date in underpinning a longer term intention of community control.</w:t>
      </w:r>
      <w:r w:rsidR="00DA65EE">
        <w:t xml:space="preserve"> The issue of community control is discussed further in Section 5.2.2.</w:t>
      </w:r>
    </w:p>
    <w:p w14:paraId="2EBE3097" w14:textId="77777777" w:rsidR="00204D69" w:rsidRDefault="00DA65EE" w:rsidP="00204D69">
      <w:r>
        <w:t xml:space="preserve">Strengthening formal </w:t>
      </w:r>
      <w:r w:rsidR="00204D69">
        <w:t>community input is discussed below.</w:t>
      </w:r>
    </w:p>
    <w:p w14:paraId="2EBE3098" w14:textId="77777777" w:rsidR="00204D69" w:rsidRPr="002139D0" w:rsidRDefault="00DA65EE" w:rsidP="00FF37EE">
      <w:pPr>
        <w:pStyle w:val="Heading4"/>
        <w:rPr>
          <w:lang w:val="en-AU"/>
        </w:rPr>
      </w:pPr>
      <w:r>
        <w:t xml:space="preserve">Formal </w:t>
      </w:r>
      <w:r>
        <w:rPr>
          <w:lang w:val="en-AU"/>
        </w:rPr>
        <w:t>c</w:t>
      </w:r>
      <w:r>
        <w:t>ommunity input</w:t>
      </w:r>
    </w:p>
    <w:p w14:paraId="2EBE3099" w14:textId="77777777" w:rsidR="00204D69" w:rsidRDefault="00204D69" w:rsidP="00DA65EE">
      <w:pPr>
        <w:spacing w:before="240"/>
      </w:pPr>
      <w:r>
        <w:t>Through the evaluation it has been noted that:</w:t>
      </w:r>
    </w:p>
    <w:p w14:paraId="2EBE309A" w14:textId="77777777" w:rsidR="00204D69" w:rsidRDefault="00C56FF7" w:rsidP="0083588E">
      <w:pPr>
        <w:pStyle w:val="ListParagraph"/>
        <w:numPr>
          <w:ilvl w:val="0"/>
          <w:numId w:val="24"/>
        </w:numPr>
      </w:pPr>
      <w:r>
        <w:t xml:space="preserve">There tends to be no structured approach for formal </w:t>
      </w:r>
      <w:r w:rsidR="00204D69">
        <w:t>multiple agency input in addressing community issues in the social services/primary health care area (interagency meetings include a large number of agencies and they are not designed to identify relevant issues, design appropriate responses and monitor the result at the level of detail required)</w:t>
      </w:r>
    </w:p>
    <w:p w14:paraId="2EBE309B" w14:textId="77777777" w:rsidR="00204D69" w:rsidRDefault="00C56FF7" w:rsidP="0083588E">
      <w:pPr>
        <w:pStyle w:val="ListParagraph"/>
        <w:numPr>
          <w:ilvl w:val="0"/>
          <w:numId w:val="24"/>
        </w:numPr>
      </w:pPr>
      <w:r>
        <w:t>Multiple agencies need an effective vehicle for community input</w:t>
      </w:r>
    </w:p>
    <w:p w14:paraId="2EBE309C" w14:textId="77777777" w:rsidR="00204D69" w:rsidRDefault="00C56FF7" w:rsidP="0083588E">
      <w:pPr>
        <w:pStyle w:val="ListParagraph"/>
        <w:numPr>
          <w:ilvl w:val="0"/>
          <w:numId w:val="24"/>
        </w:numPr>
      </w:pPr>
      <w:r>
        <w:t>Informal input through clients and team leader/manager relationships with community members, while invaluable, is not sufficient</w:t>
      </w:r>
    </w:p>
    <w:p w14:paraId="2EBE309D" w14:textId="77777777" w:rsidR="00204D69" w:rsidRDefault="00C56FF7" w:rsidP="0083588E">
      <w:pPr>
        <w:pStyle w:val="ListParagraph"/>
        <w:numPr>
          <w:ilvl w:val="0"/>
          <w:numId w:val="24"/>
        </w:numPr>
      </w:pPr>
      <w:r>
        <w:t>Mecha</w:t>
      </w:r>
      <w:r w:rsidR="00204D69">
        <w:t>nisms set up by other organisations to obtain ‘more formal’ community input where they exist tend be struggling e.g. HATS</w:t>
      </w:r>
    </w:p>
    <w:p w14:paraId="2EBE309E" w14:textId="77777777" w:rsidR="00204D69" w:rsidRDefault="00C56FF7" w:rsidP="0083588E">
      <w:pPr>
        <w:pStyle w:val="ListParagraph"/>
        <w:numPr>
          <w:ilvl w:val="0"/>
          <w:numId w:val="24"/>
        </w:numPr>
      </w:pPr>
      <w:r>
        <w:t>There are a limited number of people in the community with the skills, time and interest to participate</w:t>
      </w:r>
    </w:p>
    <w:p w14:paraId="2EBE309F" w14:textId="77777777" w:rsidR="00204D69" w:rsidRDefault="00C56FF7" w:rsidP="0083588E">
      <w:pPr>
        <w:pStyle w:val="ListParagraph"/>
        <w:numPr>
          <w:ilvl w:val="0"/>
          <w:numId w:val="24"/>
        </w:numPr>
      </w:pPr>
      <w:r>
        <w:t xml:space="preserve">Paid </w:t>
      </w:r>
      <w:r w:rsidR="00204D69">
        <w:t>participation is likely to attract higher quality input and more commitment (e.g. FRC Commissioners)</w:t>
      </w:r>
    </w:p>
    <w:p w14:paraId="2EBE30A0" w14:textId="77777777" w:rsidR="00204D69" w:rsidRDefault="00C56FF7" w:rsidP="0083588E">
      <w:pPr>
        <w:pStyle w:val="ListParagraph"/>
        <w:numPr>
          <w:ilvl w:val="0"/>
          <w:numId w:val="24"/>
        </w:numPr>
      </w:pPr>
      <w:r>
        <w:t xml:space="preserve">The </w:t>
      </w:r>
      <w:r w:rsidR="00204D69">
        <w:t>model for successful structured community input is likely to be different in each community.</w:t>
      </w:r>
    </w:p>
    <w:p w14:paraId="2EBE30A1" w14:textId="77777777" w:rsidR="00204D69" w:rsidRDefault="00204D69" w:rsidP="00204D69">
      <w:pPr>
        <w:shd w:val="clear" w:color="auto" w:fill="DBE5F1" w:themeFill="accent1" w:themeFillTint="33"/>
        <w:spacing w:before="240"/>
      </w:pPr>
      <w:r>
        <w:t xml:space="preserve">In light of the above </w:t>
      </w:r>
      <w:r w:rsidRPr="0005223E">
        <w:rPr>
          <w:rStyle w:val="Strong"/>
        </w:rPr>
        <w:t xml:space="preserve">it is </w:t>
      </w:r>
      <w:r w:rsidR="00541E99" w:rsidRPr="0005223E">
        <w:rPr>
          <w:rStyle w:val="Strong"/>
        </w:rPr>
        <w:t>proposed</w:t>
      </w:r>
      <w:r>
        <w:t xml:space="preserve"> that a joint agency/community approach to obtaining more structured community input into social services/primary health care that is unique to each community be established.</w:t>
      </w:r>
    </w:p>
    <w:p w14:paraId="2EBE30A2" w14:textId="77777777" w:rsidR="00204D69" w:rsidRDefault="00204D69" w:rsidP="00204D69">
      <w:r>
        <w:t>It is proposed that the interagency meetings in each community be the vehicle for ‘kick-starting’ this process. In establishing a joint approach the following principles should apply:</w:t>
      </w:r>
    </w:p>
    <w:p w14:paraId="2EBE30A3" w14:textId="77777777" w:rsidR="00204D69" w:rsidRDefault="00C56FF7" w:rsidP="0083588E">
      <w:pPr>
        <w:pStyle w:val="ListParagraph"/>
        <w:numPr>
          <w:ilvl w:val="0"/>
          <w:numId w:val="25"/>
        </w:numPr>
      </w:pPr>
      <w:r>
        <w:t>Community members should be paid appropriately for their participation</w:t>
      </w:r>
    </w:p>
    <w:p w14:paraId="2EBE30A4" w14:textId="77777777" w:rsidR="00204D69" w:rsidRDefault="00C56FF7" w:rsidP="0083588E">
      <w:pPr>
        <w:pStyle w:val="ListParagraph"/>
        <w:numPr>
          <w:ilvl w:val="0"/>
          <w:numId w:val="25"/>
        </w:numPr>
      </w:pPr>
      <w:r>
        <w:t>Membership should be clear and determined locally</w:t>
      </w:r>
    </w:p>
    <w:p w14:paraId="2EBE30A5" w14:textId="77777777" w:rsidR="00204D69" w:rsidRDefault="00C56FF7" w:rsidP="0083588E">
      <w:pPr>
        <w:pStyle w:val="ListParagraph"/>
        <w:numPr>
          <w:ilvl w:val="0"/>
          <w:numId w:val="25"/>
        </w:numPr>
      </w:pPr>
      <w:r>
        <w:t>The chairman of the group should be determined locally but joint chairs (one agency, one com</w:t>
      </w:r>
      <w:r w:rsidR="00204D69">
        <w:t>munity member) would be ideal.</w:t>
      </w:r>
    </w:p>
    <w:p w14:paraId="2EBE30A6" w14:textId="77777777" w:rsidR="00204D69" w:rsidRDefault="00C56FF7" w:rsidP="0083588E">
      <w:pPr>
        <w:pStyle w:val="ListParagraph"/>
        <w:numPr>
          <w:ilvl w:val="0"/>
          <w:numId w:val="25"/>
        </w:numPr>
      </w:pPr>
      <w:r>
        <w:t>The</w:t>
      </w:r>
      <w:r w:rsidR="00204D69">
        <w:t xml:space="preserve"> role of the group should focus on:</w:t>
      </w:r>
    </w:p>
    <w:p w14:paraId="2EBE30A7" w14:textId="77777777" w:rsidR="00204D69" w:rsidRDefault="00204D69" w:rsidP="0083588E">
      <w:pPr>
        <w:pStyle w:val="ListParagraph"/>
        <w:numPr>
          <w:ilvl w:val="0"/>
          <w:numId w:val="34"/>
        </w:numPr>
      </w:pPr>
      <w:r>
        <w:t xml:space="preserve">needs identification </w:t>
      </w:r>
    </w:p>
    <w:p w14:paraId="2EBE30A8" w14:textId="77777777" w:rsidR="00204D69" w:rsidRDefault="00204D69" w:rsidP="0083588E">
      <w:pPr>
        <w:pStyle w:val="ListParagraph"/>
        <w:numPr>
          <w:ilvl w:val="0"/>
          <w:numId w:val="34"/>
        </w:numPr>
      </w:pPr>
      <w:r>
        <w:t>developing appropriate responses</w:t>
      </w:r>
    </w:p>
    <w:p w14:paraId="2EBE30A9" w14:textId="77777777" w:rsidR="00204D69" w:rsidRDefault="00204D69" w:rsidP="0083588E">
      <w:pPr>
        <w:pStyle w:val="ListParagraph"/>
        <w:numPr>
          <w:ilvl w:val="0"/>
          <w:numId w:val="34"/>
        </w:numPr>
      </w:pPr>
      <w:r>
        <w:t xml:space="preserve">monitoring results </w:t>
      </w:r>
    </w:p>
    <w:p w14:paraId="2EBE30AA" w14:textId="77777777" w:rsidR="00204D69" w:rsidRDefault="00204D69" w:rsidP="0083588E">
      <w:pPr>
        <w:pStyle w:val="ListParagraph"/>
        <w:numPr>
          <w:ilvl w:val="0"/>
          <w:numId w:val="34"/>
        </w:numPr>
      </w:pPr>
      <w:r>
        <w:t>providing feedback on service performance.</w:t>
      </w:r>
    </w:p>
    <w:p w14:paraId="2EBE30AB" w14:textId="77777777" w:rsidR="00204D69" w:rsidRDefault="00C56FF7" w:rsidP="0083588E">
      <w:pPr>
        <w:pStyle w:val="ListParagraph"/>
        <w:numPr>
          <w:ilvl w:val="0"/>
          <w:numId w:val="25"/>
        </w:numPr>
      </w:pPr>
      <w:r>
        <w:t>The group should have a clear (funded) support structure</w:t>
      </w:r>
    </w:p>
    <w:p w14:paraId="2EBE30AC" w14:textId="77777777" w:rsidR="00204D69" w:rsidRDefault="00C56FF7" w:rsidP="0083588E">
      <w:pPr>
        <w:pStyle w:val="ListParagraph"/>
        <w:numPr>
          <w:ilvl w:val="0"/>
          <w:numId w:val="25"/>
        </w:numPr>
      </w:pPr>
      <w:r>
        <w:lastRenderedPageBreak/>
        <w:t>The group s</w:t>
      </w:r>
      <w:r w:rsidR="00204D69">
        <w:t>hould have clear reporting and accountability lines</w:t>
      </w:r>
    </w:p>
    <w:p w14:paraId="2EBE30AD" w14:textId="77777777" w:rsidR="00204D69" w:rsidRDefault="00C56FF7" w:rsidP="0083588E">
      <w:pPr>
        <w:pStyle w:val="ListParagraph"/>
        <w:numPr>
          <w:ilvl w:val="0"/>
          <w:numId w:val="25"/>
        </w:numPr>
      </w:pPr>
      <w:r>
        <w:t>Meetings should not be too frequent, for example bimonthly initially then quarterly</w:t>
      </w:r>
    </w:p>
    <w:p w14:paraId="2EBE30AE" w14:textId="77777777" w:rsidR="00204D69" w:rsidRDefault="00C56FF7" w:rsidP="0083588E">
      <w:pPr>
        <w:pStyle w:val="ListParagraph"/>
        <w:numPr>
          <w:ilvl w:val="0"/>
          <w:numId w:val="25"/>
        </w:numPr>
      </w:pPr>
      <w:r>
        <w:t xml:space="preserve">Funders </w:t>
      </w:r>
      <w:r w:rsidR="00204D69">
        <w:t>will need to accept that this approach is suitable in the context of governance requirements for specific programs.</w:t>
      </w:r>
    </w:p>
    <w:p w14:paraId="2EBE30AF" w14:textId="77777777" w:rsidR="00204D69" w:rsidRDefault="00204D69" w:rsidP="00BC0A26">
      <w:pPr>
        <w:pStyle w:val="Heading3"/>
        <w:rPr>
          <w:lang w:val="en-AU"/>
        </w:rPr>
      </w:pPr>
      <w:bookmarkStart w:id="175" w:name="_Toc379474370"/>
      <w:r>
        <w:t>The extent of community engagement</w:t>
      </w:r>
      <w:bookmarkEnd w:id="175"/>
    </w:p>
    <w:p w14:paraId="2EBE30B0" w14:textId="77777777" w:rsidR="00204D69" w:rsidRDefault="00204D69" w:rsidP="00204D69">
      <w:pPr>
        <w:rPr>
          <w:lang w:eastAsia="en-AU"/>
        </w:rPr>
      </w:pPr>
      <w:r>
        <w:rPr>
          <w:lang w:eastAsia="en-AU"/>
        </w:rPr>
        <w:t>Ultimately, the real test of the effectiveness of the community engagement strategies and approaches is the extent to which community members are aware of and use the service and are satisfied with the service received. This sub-section presents data and analysis on service utilisation and who is using and not using the WBC.</w:t>
      </w:r>
    </w:p>
    <w:p w14:paraId="2EBE30B1" w14:textId="77777777" w:rsidR="00204D69" w:rsidRDefault="00B334FC" w:rsidP="00204D69">
      <w:pPr>
        <w:rPr>
          <w:lang w:eastAsia="x-none"/>
        </w:rPr>
      </w:pPr>
      <w:r>
        <w:rPr>
          <w:lang w:eastAsia="x-none"/>
        </w:rPr>
        <w:t>Forty eight</w:t>
      </w:r>
      <w:r w:rsidR="00204D69">
        <w:rPr>
          <w:lang w:eastAsia="x-none"/>
        </w:rPr>
        <w:t xml:space="preserve"> per</w:t>
      </w:r>
      <w:r w:rsidR="005D3AA8">
        <w:rPr>
          <w:lang w:eastAsia="x-none"/>
        </w:rPr>
        <w:t xml:space="preserve"> </w:t>
      </w:r>
      <w:r w:rsidR="00204D69">
        <w:rPr>
          <w:lang w:eastAsia="x-none"/>
        </w:rPr>
        <w:t>cent (average) of all community members have been a client of the WBC and 5</w:t>
      </w:r>
      <w:r>
        <w:rPr>
          <w:lang w:eastAsia="x-none"/>
        </w:rPr>
        <w:t>7</w:t>
      </w:r>
      <w:r w:rsidR="00204D69">
        <w:rPr>
          <w:lang w:eastAsia="x-none"/>
        </w:rPr>
        <w:t>% of the adult community. In the year ended 30 June 2013, 24% of the entire comm</w:t>
      </w:r>
      <w:r>
        <w:rPr>
          <w:lang w:eastAsia="x-none"/>
        </w:rPr>
        <w:t xml:space="preserve">unity were clients of the WBCs and this will increase in the 2013/14 year based on data to March 2014. </w:t>
      </w:r>
      <w:r w:rsidR="00204D69">
        <w:rPr>
          <w:lang w:eastAsia="x-none"/>
        </w:rPr>
        <w:t xml:space="preserve">There have been substantial increases in the number of clients on a per annum basis in all communities </w:t>
      </w:r>
      <w:r>
        <w:rPr>
          <w:lang w:eastAsia="x-none"/>
        </w:rPr>
        <w:t>since inception and a</w:t>
      </w:r>
      <w:r w:rsidRPr="00B334FC">
        <w:rPr>
          <w:lang w:eastAsia="x-none"/>
        </w:rPr>
        <w:t>t Mossman Gorge and Aurukun the number of clients in the current year (2013/14) has already exceeded all prior years with the introduction of new management in both WBCs</w:t>
      </w:r>
      <w:r w:rsidR="00204D69">
        <w:rPr>
          <w:lang w:eastAsia="x-none"/>
        </w:rPr>
        <w:t>. This indicates a good level of community engagement. Appendix 1</w:t>
      </w:r>
      <w:r>
        <w:rPr>
          <w:lang w:eastAsia="x-none"/>
        </w:rPr>
        <w:t>7</w:t>
      </w:r>
      <w:r w:rsidR="00204D69">
        <w:rPr>
          <w:lang w:eastAsia="x-none"/>
        </w:rPr>
        <w:t xml:space="preserve"> presents more detailed information.</w:t>
      </w:r>
    </w:p>
    <w:p w14:paraId="2EBE30B2" w14:textId="77777777" w:rsidR="00204D69" w:rsidRDefault="00204D69" w:rsidP="00204D69">
      <w:pPr>
        <w:rPr>
          <w:lang w:eastAsia="x-none"/>
        </w:rPr>
      </w:pPr>
      <w:r>
        <w:rPr>
          <w:lang w:eastAsia="x-none"/>
        </w:rPr>
        <w:t>In terms of ongoing client engagement, there were eight contacts per client in 2012/13 for all clients and 7.2 for FRC clients. Since inception 48% of all clients have had a total of 1 to 10 contacts to date (29% for FRC clients) and 44% of all clients had between 11 and 50 contacts (57% for FRC). This indicates a significant number of clients are engaged to at least a reasonable extent.</w:t>
      </w:r>
    </w:p>
    <w:p w14:paraId="2EBE30B3" w14:textId="77777777" w:rsidR="00204D69" w:rsidRDefault="00204D69" w:rsidP="00FF37EE">
      <w:pPr>
        <w:pStyle w:val="Heading4"/>
      </w:pPr>
      <w:r>
        <w:t xml:space="preserve">Who is using the WBC </w:t>
      </w:r>
    </w:p>
    <w:p w14:paraId="2EBE30B4" w14:textId="77777777" w:rsidR="00204D69" w:rsidRDefault="00204D69" w:rsidP="00204D69">
      <w:pPr>
        <w:rPr>
          <w:lang w:eastAsia="x-none"/>
        </w:rPr>
      </w:pPr>
      <w:r>
        <w:rPr>
          <w:lang w:eastAsia="x-none"/>
        </w:rPr>
        <w:t>The number of female and male clients is broadly reflective of the broader population and while the number of clients aged between 19 and 25 years is consistent with the community age profile, clients aged 0 to 18 years are underrepresented (refer to Appendix 17 for additional information). The need to engage younger people has been raised previously in multiple forums and the WBCs have made significant effort in this regard with the particular focus being group related activity. While this increase in activity will not be directly reflected in individual client numbers as group participants are not necessarily recorded as clients, there will be some impact on the historical underrepresentation of younger people as WBC clients.</w:t>
      </w:r>
    </w:p>
    <w:p w14:paraId="2EBE30B5" w14:textId="77777777" w:rsidR="00204D69" w:rsidRDefault="00204D69" w:rsidP="00204D69">
      <w:pPr>
        <w:rPr>
          <w:lang w:eastAsia="x-none"/>
        </w:rPr>
      </w:pPr>
      <w:r>
        <w:rPr>
          <w:lang w:eastAsia="x-none"/>
        </w:rPr>
        <w:t>One key measure of how the community view the WBC is whether it is being used, by who</w:t>
      </w:r>
      <w:r w:rsidR="005148C4">
        <w:rPr>
          <w:lang w:eastAsia="x-none"/>
        </w:rPr>
        <w:t>m</w:t>
      </w:r>
      <w:r>
        <w:rPr>
          <w:lang w:eastAsia="x-none"/>
        </w:rPr>
        <w:t xml:space="preserve"> and how that changes over time and in particular the level of self-referrals. Since inception 29% of initial referrals have been-self referred and 4% referred by family or friends. While there has been a steady increase in the number of self-referrals by quarter, this has been driven by Aurukun. At Hopevale, Coen and Mossman Gorge the new referral trend is relatively static with significant quarterly fluctuations. Note that this trend is likely to be understated as the system does not take account of where a referral changes from say a mandatory referral to self-referral. This has been addressed by the recent information system upgrade. Detailed self-referral data is presented at Appendix 17.</w:t>
      </w:r>
    </w:p>
    <w:p w14:paraId="2EBE30B6" w14:textId="77777777" w:rsidR="00204D69" w:rsidRPr="00406CDE" w:rsidRDefault="00204D69" w:rsidP="00204D69">
      <w:pPr>
        <w:rPr>
          <w:color w:val="auto"/>
        </w:rPr>
      </w:pPr>
      <w:r w:rsidRPr="00406CDE">
        <w:rPr>
          <w:color w:val="auto"/>
        </w:rPr>
        <w:t xml:space="preserve">In summary the WBC is engaging a reasonable representation of </w:t>
      </w:r>
      <w:r>
        <w:rPr>
          <w:color w:val="auto"/>
        </w:rPr>
        <w:t xml:space="preserve">the </w:t>
      </w:r>
      <w:r w:rsidRPr="00406CDE">
        <w:rPr>
          <w:color w:val="auto"/>
        </w:rPr>
        <w:t>community based on age and sex, particularly when taking account of their recent focus on</w:t>
      </w:r>
      <w:r>
        <w:rPr>
          <w:color w:val="auto"/>
        </w:rPr>
        <w:t>,</w:t>
      </w:r>
      <w:r w:rsidRPr="00406CDE">
        <w:rPr>
          <w:color w:val="auto"/>
        </w:rPr>
        <w:t xml:space="preserve"> and initiatives for younger people.</w:t>
      </w:r>
    </w:p>
    <w:p w14:paraId="2EBE30B7" w14:textId="77777777" w:rsidR="00204D69" w:rsidRPr="00921ADB" w:rsidRDefault="00204D69" w:rsidP="00BC0A26">
      <w:pPr>
        <w:pStyle w:val="Heading3"/>
      </w:pPr>
      <w:bookmarkStart w:id="176" w:name="_Toc379474371"/>
      <w:r w:rsidRPr="00921ADB">
        <w:t>Community perception and understanding of WBCs</w:t>
      </w:r>
      <w:bookmarkEnd w:id="176"/>
    </w:p>
    <w:p w14:paraId="2EBE30B8" w14:textId="77777777" w:rsidR="00204D69" w:rsidRDefault="00204D69" w:rsidP="00204D69">
      <w:pPr>
        <w:rPr>
          <w:lang w:eastAsia="x-none"/>
        </w:rPr>
      </w:pPr>
      <w:r>
        <w:rPr>
          <w:lang w:eastAsia="en-AU"/>
        </w:rPr>
        <w:t>Community perception of the WBC is a key indicator for the effectiveness of community engagement by the WBC.</w:t>
      </w:r>
    </w:p>
    <w:p w14:paraId="2EBE30B9" w14:textId="77777777" w:rsidR="00204D69" w:rsidRDefault="00204D69" w:rsidP="00204D69">
      <w:pPr>
        <w:rPr>
          <w:lang w:eastAsia="x-none"/>
        </w:rPr>
      </w:pPr>
      <w:r w:rsidRPr="00B556D4">
        <w:rPr>
          <w:lang w:eastAsia="x-none"/>
        </w:rPr>
        <w:lastRenderedPageBreak/>
        <w:t xml:space="preserve">Overall, 91% of community members (319 people, n=351) considered the WBC to be for ‘all people’ not just those that were ‘mental’ or ‘bad’. Eighty five percent (including the small number who had never attended) believe or understand the WBC to be ‘welcoming’ and ‘helpful’. </w:t>
      </w:r>
    </w:p>
    <w:p w14:paraId="2EBE30BA" w14:textId="77777777" w:rsidR="00204D69" w:rsidRDefault="00204D69" w:rsidP="00204D69">
      <w:pPr>
        <w:rPr>
          <w:lang w:eastAsia="en-AU"/>
        </w:rPr>
      </w:pPr>
      <w:r>
        <w:rPr>
          <w:lang w:eastAsia="en-AU"/>
        </w:rPr>
        <w:t xml:space="preserve">The level of community </w:t>
      </w:r>
      <w:r w:rsidRPr="008B475E">
        <w:rPr>
          <w:lang w:eastAsia="en-AU"/>
        </w:rPr>
        <w:t xml:space="preserve">understanding of the WBC role and function </w:t>
      </w:r>
      <w:r>
        <w:rPr>
          <w:lang w:eastAsia="en-AU"/>
        </w:rPr>
        <w:t xml:space="preserve">is another key indicator of successful community engagement. </w:t>
      </w:r>
    </w:p>
    <w:p w14:paraId="2EBE30BB" w14:textId="77777777" w:rsidR="00204D69" w:rsidRDefault="00204D69" w:rsidP="00204D69">
      <w:pPr>
        <w:spacing w:before="120" w:after="120"/>
        <w:rPr>
          <w:lang w:eastAsia="en-AU"/>
        </w:rPr>
      </w:pPr>
      <w:r>
        <w:rPr>
          <w:lang w:eastAsia="en-AU"/>
        </w:rPr>
        <w:fldChar w:fldCharType="begin"/>
      </w:r>
      <w:r>
        <w:rPr>
          <w:lang w:eastAsia="en-AU"/>
        </w:rPr>
        <w:instrText xml:space="preserve"> REF _Ref385340147 \h </w:instrText>
      </w:r>
      <w:r>
        <w:rPr>
          <w:lang w:eastAsia="en-AU"/>
        </w:rPr>
      </w:r>
      <w:r>
        <w:rPr>
          <w:lang w:eastAsia="en-AU"/>
        </w:rPr>
        <w:fldChar w:fldCharType="separate"/>
      </w:r>
      <w:r w:rsidR="009A19EB">
        <w:t xml:space="preserve">Figure </w:t>
      </w:r>
      <w:r w:rsidR="009A19EB">
        <w:rPr>
          <w:noProof/>
        </w:rPr>
        <w:t>3</w:t>
      </w:r>
      <w:r w:rsidR="009A19EB">
        <w:t>.</w:t>
      </w:r>
      <w:r w:rsidR="009A19EB">
        <w:rPr>
          <w:noProof/>
        </w:rPr>
        <w:t>9</w:t>
      </w:r>
      <w:r>
        <w:rPr>
          <w:lang w:eastAsia="en-AU"/>
        </w:rPr>
        <w:fldChar w:fldCharType="end"/>
      </w:r>
      <w:r>
        <w:rPr>
          <w:lang w:eastAsia="en-AU"/>
        </w:rPr>
        <w:t xml:space="preserve"> presents the extent to which the community understands the role and function of the WBC. This is based on how community members responded when asked what they understood the WBC does</w:t>
      </w:r>
      <w:r>
        <w:t>. Fifty nine per</w:t>
      </w:r>
      <w:r w:rsidR="005D3AA8">
        <w:t xml:space="preserve"> </w:t>
      </w:r>
      <w:r>
        <w:t xml:space="preserve">cent </w:t>
      </w:r>
      <w:r w:rsidRPr="00531ABF">
        <w:rPr>
          <w:lang w:eastAsia="en-AU"/>
        </w:rPr>
        <w:t>provided a clear and correct interpretation of the WBC role</w:t>
      </w:r>
      <w:r>
        <w:rPr>
          <w:lang w:eastAsia="en-AU"/>
        </w:rPr>
        <w:t xml:space="preserve"> with some variation between WBCs (63% at Hopevale, 66% at Mossman Gorge, 49% at Aurukun and 74% at Coen) </w:t>
      </w:r>
      <w:r>
        <w:rPr>
          <w:lang w:eastAsia="x-none"/>
        </w:rPr>
        <w:t>and 30% provided a description that was ‘roughly okay. O</w:t>
      </w:r>
      <w:r w:rsidRPr="00B556D4">
        <w:rPr>
          <w:lang w:eastAsia="x-none"/>
        </w:rPr>
        <w:t xml:space="preserve">nly </w:t>
      </w:r>
      <w:r>
        <w:rPr>
          <w:lang w:eastAsia="x-none"/>
        </w:rPr>
        <w:t>11</w:t>
      </w:r>
      <w:r w:rsidRPr="00B556D4">
        <w:rPr>
          <w:lang w:eastAsia="x-none"/>
        </w:rPr>
        <w:t xml:space="preserve">% of community members (38 people, n=351) could not at least broadly describe the role of the WBC. </w:t>
      </w:r>
      <w:r w:rsidRPr="00B556D4">
        <w:rPr>
          <w:lang w:eastAsia="en-AU"/>
        </w:rPr>
        <w:t>This was consistent across WBCs except at Coen whe</w:t>
      </w:r>
      <w:r>
        <w:rPr>
          <w:lang w:eastAsia="en-AU"/>
        </w:rPr>
        <w:t>re 100% of respondents could</w:t>
      </w:r>
      <w:r w:rsidRPr="00B556D4">
        <w:rPr>
          <w:lang w:eastAsia="en-AU"/>
        </w:rPr>
        <w:t xml:space="preserve"> describe the role of the WBC</w:t>
      </w:r>
      <w:r>
        <w:rPr>
          <w:lang w:eastAsia="en-AU"/>
        </w:rPr>
        <w:t>.</w:t>
      </w:r>
    </w:p>
    <w:p w14:paraId="2EBE30BC" w14:textId="3A37266E" w:rsidR="00204D69" w:rsidRDefault="00AA7DC9" w:rsidP="00AA7DC9">
      <w:pPr>
        <w:pStyle w:val="Caption"/>
      </w:pPr>
      <w:bookmarkStart w:id="177" w:name="_Ref385340147"/>
      <w:bookmarkStart w:id="178" w:name="_Toc377721063"/>
      <w:bookmarkStart w:id="179" w:name="_Toc392683538"/>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9</w:t>
      </w:r>
      <w:r>
        <w:fldChar w:fldCharType="end"/>
      </w:r>
      <w:bookmarkEnd w:id="177"/>
      <w:r w:rsidR="00204D69">
        <w:t>: Community understanding of the WBC (n=351)</w:t>
      </w:r>
      <w:bookmarkEnd w:id="178"/>
      <w:bookmarkEnd w:id="179"/>
    </w:p>
    <w:p w14:paraId="2EBE30BD" w14:textId="77777777" w:rsidR="00204D69" w:rsidRDefault="00204D69" w:rsidP="00204D69">
      <w:pPr>
        <w:jc w:val="center"/>
      </w:pPr>
      <w:r>
        <w:rPr>
          <w:noProof/>
          <w:lang w:eastAsia="en-AU"/>
        </w:rPr>
        <w:drawing>
          <wp:inline distT="0" distB="0" distL="0" distR="0" wp14:anchorId="2EBE3347" wp14:editId="2EBE3348">
            <wp:extent cx="3811220" cy="2290955"/>
            <wp:effectExtent l="0" t="0" r="0" b="0"/>
            <wp:docPr id="50" name="Picture 50" descr="Figure 3.9 is a pie graph that shows the community understanding of the roles of the WBCs.  There were 209 (59%) people  that had a 'Clear/Correct' understanding, 104 (30%) people that had a 'Roughly OK' understanding and 38 (11%) people that had 'Nil' understanding of the role and function of the WBCs. " title="Figure 3.9: Community understanding of the WBC (n=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5430" cy="2299497"/>
                    </a:xfrm>
                    <a:prstGeom prst="rect">
                      <a:avLst/>
                    </a:prstGeom>
                    <a:noFill/>
                  </pic:spPr>
                </pic:pic>
              </a:graphicData>
            </a:graphic>
          </wp:inline>
        </w:drawing>
      </w:r>
    </w:p>
    <w:p w14:paraId="2EBE30BE" w14:textId="77777777" w:rsidR="00204D69" w:rsidRDefault="00204D69" w:rsidP="00204D69">
      <w:pPr>
        <w:rPr>
          <w:color w:val="auto"/>
        </w:rPr>
      </w:pPr>
      <w:r w:rsidRPr="00406CDE">
        <w:rPr>
          <w:color w:val="auto"/>
          <w:lang w:eastAsia="en-AU"/>
        </w:rPr>
        <w:t xml:space="preserve">Most but not all partners felt that the WBC was effectively engaging the community. </w:t>
      </w:r>
      <w:r w:rsidRPr="00406CDE">
        <w:rPr>
          <w:color w:val="auto"/>
        </w:rPr>
        <w:t>The FRC has reported that in their view some difficult to engage clients are not being sufficiently pursued by the WBC to encourage their engagement. They believe that the WBC should make persistent effort and be more proactive over time to help engage the client, using whatever approach works for that particular client.</w:t>
      </w:r>
    </w:p>
    <w:p w14:paraId="2EBE30BF" w14:textId="77777777" w:rsidR="00204D69" w:rsidRDefault="00204D69" w:rsidP="00204D69">
      <w:r w:rsidRPr="004C48D7">
        <w:t>In summary community members appear to have a reasonable or good understanding of what the WBC does</w:t>
      </w:r>
      <w:r w:rsidRPr="00051A49">
        <w:t xml:space="preserve"> </w:t>
      </w:r>
      <w:r>
        <w:t>and they</w:t>
      </w:r>
      <w:r w:rsidRPr="00051A49">
        <w:t xml:space="preserve"> believe the WBC is ‘welcoming’ and ‘helpful</w:t>
      </w:r>
      <w:r>
        <w:t>.</w:t>
      </w:r>
    </w:p>
    <w:p w14:paraId="2EBE30C0" w14:textId="77777777" w:rsidR="00204D69" w:rsidRPr="00BF64DF" w:rsidRDefault="00204D69" w:rsidP="00204D69">
      <w:pPr>
        <w:pStyle w:val="Heading2"/>
        <w:rPr>
          <w:lang w:val="en-AU"/>
        </w:rPr>
      </w:pPr>
      <w:bookmarkStart w:id="180" w:name="_Toc440038447"/>
      <w:r>
        <w:t>Cultural appropriateness and sensitivity</w:t>
      </w:r>
      <w:bookmarkEnd w:id="180"/>
    </w:p>
    <w:p w14:paraId="2EBE30C1" w14:textId="77777777" w:rsidR="00204D69" w:rsidRPr="00005F3E" w:rsidRDefault="00204D69" w:rsidP="00204D69">
      <w:pPr>
        <w:rPr>
          <w:color w:val="auto"/>
          <w:lang w:eastAsia="x-none"/>
        </w:rPr>
      </w:pPr>
      <w:r w:rsidRPr="00005F3E">
        <w:rPr>
          <w:color w:val="auto"/>
          <w:lang w:eastAsia="x-none"/>
        </w:rPr>
        <w:t>Common themes for effective cultural adaptation of services have been identified as:</w:t>
      </w:r>
    </w:p>
    <w:p w14:paraId="2EBE30C2" w14:textId="77777777" w:rsidR="00204D69" w:rsidRPr="00005F3E" w:rsidRDefault="00204D69" w:rsidP="0083588E">
      <w:pPr>
        <w:numPr>
          <w:ilvl w:val="0"/>
          <w:numId w:val="10"/>
        </w:numPr>
        <w:spacing w:before="120" w:after="120"/>
        <w:rPr>
          <w:color w:val="auto"/>
          <w:lang w:eastAsia="en-AU"/>
        </w:rPr>
      </w:pPr>
      <w:r w:rsidRPr="00005F3E">
        <w:rPr>
          <w:color w:val="auto"/>
          <w:lang w:eastAsia="en-AU"/>
        </w:rPr>
        <w:t>“Th</w:t>
      </w:r>
      <w:r w:rsidR="006D0F4A">
        <w:rPr>
          <w:color w:val="auto"/>
          <w:lang w:eastAsia="en-AU"/>
        </w:rPr>
        <w:t>erapists must practice flexibly</w:t>
      </w:r>
    </w:p>
    <w:p w14:paraId="2EBE30C3" w14:textId="77777777" w:rsidR="00204D69" w:rsidRPr="00005F3E" w:rsidRDefault="00204D69" w:rsidP="0083588E">
      <w:pPr>
        <w:numPr>
          <w:ilvl w:val="0"/>
          <w:numId w:val="10"/>
        </w:numPr>
        <w:spacing w:before="120" w:after="120"/>
        <w:rPr>
          <w:color w:val="auto"/>
          <w:lang w:eastAsia="en-AU"/>
        </w:rPr>
      </w:pPr>
      <w:r w:rsidRPr="00005F3E">
        <w:rPr>
          <w:color w:val="auto"/>
          <w:lang w:eastAsia="en-AU"/>
        </w:rPr>
        <w:t>Services must be meaningful within the cultural context that they are delivered</w:t>
      </w:r>
    </w:p>
    <w:p w14:paraId="2EBE30C4" w14:textId="77777777" w:rsidR="00204D69" w:rsidRPr="00005F3E" w:rsidRDefault="00204D69" w:rsidP="0083588E">
      <w:pPr>
        <w:numPr>
          <w:ilvl w:val="0"/>
          <w:numId w:val="10"/>
        </w:numPr>
        <w:spacing w:before="120" w:after="120"/>
        <w:rPr>
          <w:color w:val="auto"/>
          <w:lang w:eastAsia="en-AU"/>
        </w:rPr>
      </w:pPr>
      <w:r w:rsidRPr="00005F3E">
        <w:rPr>
          <w:color w:val="auto"/>
          <w:lang w:eastAsia="en-AU"/>
        </w:rPr>
        <w:t>Assessments should be conducted prior to implementing treatment</w:t>
      </w:r>
    </w:p>
    <w:p w14:paraId="2EBE30C5" w14:textId="77777777" w:rsidR="00204D69" w:rsidRPr="00005F3E" w:rsidRDefault="00204D69" w:rsidP="0083588E">
      <w:pPr>
        <w:numPr>
          <w:ilvl w:val="0"/>
          <w:numId w:val="10"/>
        </w:numPr>
        <w:spacing w:before="120" w:after="120"/>
        <w:rPr>
          <w:color w:val="auto"/>
          <w:lang w:eastAsia="en-AU"/>
        </w:rPr>
      </w:pPr>
      <w:r w:rsidRPr="00005F3E">
        <w:rPr>
          <w:color w:val="auto"/>
          <w:lang w:eastAsia="en-AU"/>
        </w:rPr>
        <w:t>Therapists must remain open to what clients bring to therapy</w:t>
      </w:r>
    </w:p>
    <w:p w14:paraId="2EBE30C6" w14:textId="77777777" w:rsidR="00204D69" w:rsidRPr="00005F3E" w:rsidRDefault="00204D69" w:rsidP="0083588E">
      <w:pPr>
        <w:numPr>
          <w:ilvl w:val="0"/>
          <w:numId w:val="10"/>
        </w:numPr>
        <w:spacing w:before="120" w:after="120"/>
        <w:rPr>
          <w:color w:val="auto"/>
          <w:lang w:eastAsia="en-AU"/>
        </w:rPr>
      </w:pPr>
      <w:r w:rsidRPr="00005F3E">
        <w:rPr>
          <w:color w:val="auto"/>
          <w:lang w:eastAsia="en-AU"/>
        </w:rPr>
        <w:t>Traditional treatments should not be dismissed rather used as existing resources</w:t>
      </w:r>
    </w:p>
    <w:p w14:paraId="2EBE30C7" w14:textId="77777777" w:rsidR="00204D69" w:rsidRPr="00005F3E" w:rsidRDefault="00204D69" w:rsidP="0083588E">
      <w:pPr>
        <w:numPr>
          <w:ilvl w:val="0"/>
          <w:numId w:val="10"/>
        </w:numPr>
        <w:spacing w:before="120" w:after="120"/>
        <w:rPr>
          <w:color w:val="auto"/>
          <w:lang w:eastAsia="en-AU"/>
        </w:rPr>
      </w:pPr>
      <w:r w:rsidRPr="00005F3E">
        <w:rPr>
          <w:color w:val="auto"/>
          <w:lang w:eastAsia="en-AU"/>
        </w:rPr>
        <w:t>Therapists must communicate empathy with clients in a culturally appropriate manner</w:t>
      </w:r>
    </w:p>
    <w:p w14:paraId="2EBE30C8" w14:textId="77777777" w:rsidR="00204D69" w:rsidRPr="00005F3E" w:rsidRDefault="00204D69" w:rsidP="0083588E">
      <w:pPr>
        <w:numPr>
          <w:ilvl w:val="0"/>
          <w:numId w:val="10"/>
        </w:numPr>
        <w:spacing w:before="120" w:after="120"/>
        <w:rPr>
          <w:color w:val="auto"/>
          <w:lang w:eastAsia="x-none"/>
        </w:rPr>
      </w:pPr>
      <w:r w:rsidRPr="00005F3E">
        <w:rPr>
          <w:color w:val="auto"/>
          <w:lang w:eastAsia="en-AU"/>
        </w:rPr>
        <w:lastRenderedPageBreak/>
        <w:t>Therapists</w:t>
      </w:r>
      <w:r w:rsidRPr="00005F3E">
        <w:rPr>
          <w:color w:val="auto"/>
          <w:lang w:eastAsia="x-none"/>
        </w:rPr>
        <w:t xml:space="preserve"> should not interpret cultural differences as defici</w:t>
      </w:r>
      <w:r>
        <w:rPr>
          <w:color w:val="auto"/>
          <w:lang w:eastAsia="x-none"/>
        </w:rPr>
        <w:t>ts”.</w:t>
      </w:r>
      <w:r w:rsidRPr="00005F3E">
        <w:rPr>
          <w:rStyle w:val="FootnoteReference"/>
          <w:color w:val="auto"/>
          <w:lang w:eastAsia="x-none"/>
        </w:rPr>
        <w:footnoteReference w:id="39"/>
      </w:r>
    </w:p>
    <w:p w14:paraId="2EBE30C9" w14:textId="77777777" w:rsidR="00204D69" w:rsidRPr="00005F3E" w:rsidRDefault="00204D69" w:rsidP="00204D69">
      <w:pPr>
        <w:rPr>
          <w:color w:val="auto"/>
          <w:lang w:eastAsia="x-none"/>
        </w:rPr>
      </w:pPr>
      <w:r w:rsidRPr="00005F3E">
        <w:rPr>
          <w:color w:val="auto"/>
          <w:lang w:eastAsia="x-none"/>
        </w:rPr>
        <w:t xml:space="preserve">The service model and the approach adopted by WBC staff is very reflective of providing a culturally appropriate and sensitive service in line with the above principles. It fully recognises the challenges facing Aboriginal people and the importance of community input and control and self-determination. The RFDS places a high priority on cultural capability demonstrated by the RFDS Queensland Cultural Capability Framework and the Aboriginal and Torres Strait Islander Employment Strategy which were launched in June/July 2013. </w:t>
      </w:r>
    </w:p>
    <w:p w14:paraId="2EBE30CA" w14:textId="77777777" w:rsidR="00204D69" w:rsidRPr="00005F3E" w:rsidRDefault="00204D69" w:rsidP="00204D69">
      <w:pPr>
        <w:rPr>
          <w:color w:val="auto"/>
          <w:lang w:eastAsia="x-none"/>
        </w:rPr>
      </w:pPr>
      <w:r w:rsidRPr="00005F3E">
        <w:rPr>
          <w:color w:val="auto"/>
          <w:lang w:eastAsia="x-none"/>
        </w:rPr>
        <w:t>Cultural capability training for staff has three layers, namely online introductory training, face-to-face training (tailored for more depth and practical application), and in community orientation and support. When the internal project officer position is vacant external support is obtained.</w:t>
      </w:r>
    </w:p>
    <w:p w14:paraId="2EBE30CB" w14:textId="77777777" w:rsidR="00204D69" w:rsidRPr="00005F3E" w:rsidRDefault="00204D69" w:rsidP="00204D69">
      <w:pPr>
        <w:rPr>
          <w:color w:val="auto"/>
          <w:lang w:eastAsia="x-none"/>
        </w:rPr>
      </w:pPr>
      <w:r w:rsidRPr="00005F3E">
        <w:rPr>
          <w:color w:val="auto"/>
          <w:lang w:eastAsia="x-none"/>
        </w:rPr>
        <w:t xml:space="preserve">Local staff are employed and well supported (refer </w:t>
      </w:r>
      <w:r w:rsidRPr="003C3D25">
        <w:rPr>
          <w:color w:val="auto"/>
          <w:lang w:eastAsia="x-none"/>
        </w:rPr>
        <w:t xml:space="preserve">to Section </w:t>
      </w:r>
      <w:r w:rsidRPr="003C3D25">
        <w:rPr>
          <w:color w:val="auto"/>
          <w:lang w:eastAsia="x-none"/>
        </w:rPr>
        <w:fldChar w:fldCharType="begin"/>
      </w:r>
      <w:r w:rsidRPr="003C3D25">
        <w:rPr>
          <w:color w:val="auto"/>
          <w:lang w:eastAsia="x-none"/>
        </w:rPr>
        <w:instrText xml:space="preserve"> REF _Ref387398054 \r \h </w:instrText>
      </w:r>
      <w:r>
        <w:rPr>
          <w:color w:val="auto"/>
          <w:lang w:eastAsia="x-none"/>
        </w:rPr>
        <w:instrText xml:space="preserve"> \* MERGEFORMAT </w:instrText>
      </w:r>
      <w:r w:rsidRPr="003C3D25">
        <w:rPr>
          <w:color w:val="auto"/>
          <w:lang w:eastAsia="x-none"/>
        </w:rPr>
      </w:r>
      <w:r w:rsidRPr="003C3D25">
        <w:rPr>
          <w:color w:val="auto"/>
          <w:lang w:eastAsia="x-none"/>
        </w:rPr>
        <w:fldChar w:fldCharType="separate"/>
      </w:r>
      <w:r w:rsidR="009A19EB">
        <w:rPr>
          <w:color w:val="auto"/>
          <w:lang w:eastAsia="x-none"/>
        </w:rPr>
        <w:t>3.10</w:t>
      </w:r>
      <w:r w:rsidRPr="003C3D25">
        <w:rPr>
          <w:color w:val="auto"/>
          <w:lang w:eastAsia="x-none"/>
        </w:rPr>
        <w:fldChar w:fldCharType="end"/>
      </w:r>
      <w:r w:rsidRPr="003C3D25">
        <w:rPr>
          <w:color w:val="auto"/>
          <w:lang w:eastAsia="x-none"/>
        </w:rPr>
        <w:t>).</w:t>
      </w:r>
    </w:p>
    <w:p w14:paraId="2EBE30CC" w14:textId="77777777" w:rsidR="00204D69" w:rsidRDefault="00204D69" w:rsidP="00204D69">
      <w:pPr>
        <w:rPr>
          <w:color w:val="auto"/>
          <w:lang w:eastAsia="x-none"/>
        </w:rPr>
      </w:pPr>
      <w:r w:rsidRPr="00005F3E">
        <w:rPr>
          <w:color w:val="auto"/>
          <w:lang w:eastAsia="x-none"/>
        </w:rPr>
        <w:t>In response to the client question, ‘Have staff working with you understood and been able to respond</w:t>
      </w:r>
      <w:r>
        <w:rPr>
          <w:color w:val="auto"/>
          <w:lang w:eastAsia="x-none"/>
        </w:rPr>
        <w:t xml:space="preserve"> to your Aboriginal culture?’ 81</w:t>
      </w:r>
      <w:r w:rsidRPr="00005F3E">
        <w:rPr>
          <w:color w:val="auto"/>
          <w:lang w:eastAsia="x-none"/>
        </w:rPr>
        <w:t xml:space="preserve">% of clients we interviewed agreed that the WBC staff did understand and respond to their Aboriginal culture a lot. Only five clients thought the WBC only responded a little and no one thought it did not respond at all. This is illustrated in </w:t>
      </w:r>
      <w:r>
        <w:rPr>
          <w:color w:val="auto"/>
          <w:lang w:eastAsia="x-none"/>
        </w:rPr>
        <w:fldChar w:fldCharType="begin"/>
      </w:r>
      <w:r>
        <w:rPr>
          <w:color w:val="auto"/>
          <w:lang w:eastAsia="x-none"/>
        </w:rPr>
        <w:instrText xml:space="preserve"> REF _Ref379034048 \h </w:instrText>
      </w:r>
      <w:r>
        <w:rPr>
          <w:color w:val="auto"/>
          <w:lang w:eastAsia="x-none"/>
        </w:rPr>
      </w:r>
      <w:r>
        <w:rPr>
          <w:color w:val="auto"/>
          <w:lang w:eastAsia="x-none"/>
        </w:rPr>
        <w:fldChar w:fldCharType="separate"/>
      </w:r>
      <w:r w:rsidR="009A19EB">
        <w:t xml:space="preserve">Figure </w:t>
      </w:r>
      <w:r w:rsidR="009A19EB">
        <w:rPr>
          <w:noProof/>
        </w:rPr>
        <w:t>3</w:t>
      </w:r>
      <w:r w:rsidR="009A19EB">
        <w:t>.</w:t>
      </w:r>
      <w:r w:rsidR="009A19EB">
        <w:rPr>
          <w:noProof/>
        </w:rPr>
        <w:t>10</w:t>
      </w:r>
      <w:r>
        <w:rPr>
          <w:color w:val="auto"/>
          <w:lang w:eastAsia="x-none"/>
        </w:rPr>
        <w:fldChar w:fldCharType="end"/>
      </w:r>
      <w:r w:rsidRPr="00005F3E">
        <w:rPr>
          <w:color w:val="auto"/>
          <w:lang w:eastAsia="x-none"/>
        </w:rPr>
        <w:t xml:space="preserve"> below.</w:t>
      </w:r>
    </w:p>
    <w:p w14:paraId="2EBE30CD" w14:textId="6F5C8344" w:rsidR="00204D69" w:rsidRDefault="00AA7DC9" w:rsidP="00AA7DC9">
      <w:pPr>
        <w:pStyle w:val="Caption"/>
        <w:rPr>
          <w:lang w:eastAsia="x-none"/>
        </w:rPr>
      </w:pPr>
      <w:bookmarkStart w:id="181" w:name="_Ref379034048"/>
      <w:bookmarkStart w:id="182" w:name="_Toc392683539"/>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10</w:t>
      </w:r>
      <w:r>
        <w:fldChar w:fldCharType="end"/>
      </w:r>
      <w:bookmarkEnd w:id="181"/>
      <w:r w:rsidR="00204D69">
        <w:t>:</w:t>
      </w:r>
      <w:bookmarkStart w:id="183" w:name="_Toc377721048"/>
      <w:r w:rsidR="00204D69" w:rsidRPr="00D97629">
        <w:rPr>
          <w:lang w:eastAsia="x-none"/>
        </w:rPr>
        <w:t xml:space="preserve"> Client perspective on cultural safet</w:t>
      </w:r>
      <w:r w:rsidR="00204D69">
        <w:rPr>
          <w:lang w:eastAsia="x-none"/>
        </w:rPr>
        <w:t>y (n=47</w:t>
      </w:r>
      <w:r w:rsidR="00204D69" w:rsidRPr="00D97629">
        <w:rPr>
          <w:lang w:eastAsia="x-none"/>
        </w:rPr>
        <w:t>)</w:t>
      </w:r>
      <w:bookmarkEnd w:id="182"/>
      <w:bookmarkEnd w:id="183"/>
    </w:p>
    <w:p w14:paraId="2EBE30CE" w14:textId="77777777" w:rsidR="00204D69" w:rsidRDefault="000C717F" w:rsidP="00204D69">
      <w:pPr>
        <w:jc w:val="center"/>
        <w:rPr>
          <w:lang w:eastAsia="x-none"/>
        </w:rPr>
      </w:pPr>
      <w:r>
        <w:rPr>
          <w:noProof/>
          <w:lang w:eastAsia="en-AU"/>
        </w:rPr>
        <w:drawing>
          <wp:inline distT="0" distB="0" distL="0" distR="0" wp14:anchorId="2EBE3349" wp14:editId="2EBE334A">
            <wp:extent cx="4396435" cy="2150669"/>
            <wp:effectExtent l="0" t="0" r="23495" b="21590"/>
            <wp:docPr id="4" name="Chart 4" descr="Figure 3.10 is a pie graph which shows client perspectives on 'cultural safety' or how well the the staff understood and were able to respond to thier Aboriginal culture.  38 respondents (81%) answered 'A lot', 5 (11%) answered 'A little', 3 (6%) answered 'Somewhat', 1 (2%) answered 'Don't know/not answered' and no respondent answered 'Not at all'. " title="Figure 3.10: Client perspective on cultural safety (n=47)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BE30CF" w14:textId="77777777" w:rsidR="00204D69" w:rsidRDefault="00204D69" w:rsidP="00204D69">
      <w:pPr>
        <w:rPr>
          <w:lang w:eastAsia="x-none"/>
        </w:rPr>
      </w:pPr>
      <w:r>
        <w:rPr>
          <w:lang w:eastAsia="x-none"/>
        </w:rPr>
        <w:t>While some community members interviewed identified the need for more on country and cultural activities to be conducted, very few people indicated that services were not been provided in a culturally respectful manner.</w:t>
      </w:r>
      <w:r w:rsidR="000C717F" w:rsidRPr="000C717F">
        <w:rPr>
          <w:noProof/>
          <w:lang w:eastAsia="en-AU"/>
        </w:rPr>
        <w:t xml:space="preserve"> </w:t>
      </w:r>
    </w:p>
    <w:p w14:paraId="2EBE30D0" w14:textId="77777777" w:rsidR="00204D69" w:rsidRDefault="00204D69" w:rsidP="00204D69">
      <w:pPr>
        <w:rPr>
          <w:lang w:eastAsia="x-none"/>
        </w:rPr>
      </w:pPr>
      <w:r>
        <w:rPr>
          <w:lang w:eastAsia="x-none"/>
        </w:rPr>
        <w:t>While not the best group to make this judgement, most staff (13 staff or 93</w:t>
      </w:r>
      <w:r w:rsidRPr="00652261">
        <w:rPr>
          <w:lang w:eastAsia="x-none"/>
        </w:rPr>
        <w:t>% of survey respondents</w:t>
      </w:r>
      <w:r>
        <w:rPr>
          <w:lang w:eastAsia="x-none"/>
        </w:rPr>
        <w:t>, n=14</w:t>
      </w:r>
      <w:r w:rsidRPr="00652261">
        <w:rPr>
          <w:lang w:eastAsia="x-none"/>
        </w:rPr>
        <w:t>) believe the service model is culturally appropriate and sensitive</w:t>
      </w:r>
      <w:r>
        <w:rPr>
          <w:lang w:eastAsia="x-none"/>
        </w:rPr>
        <w:t xml:space="preserve"> and most (12 staff, or 86</w:t>
      </w:r>
      <w:r w:rsidRPr="00652261">
        <w:rPr>
          <w:lang w:eastAsia="x-none"/>
        </w:rPr>
        <w:t>% of survey respondents</w:t>
      </w:r>
      <w:r>
        <w:rPr>
          <w:lang w:eastAsia="x-none"/>
        </w:rPr>
        <w:t>, n=14</w:t>
      </w:r>
      <w:r w:rsidRPr="00652261">
        <w:rPr>
          <w:lang w:eastAsia="x-none"/>
        </w:rPr>
        <w:t xml:space="preserve">) also </w:t>
      </w:r>
      <w:r w:rsidRPr="00AC249C">
        <w:rPr>
          <w:lang w:eastAsia="x-none"/>
        </w:rPr>
        <w:t>believe that services are being provided in way that is culturally appropriate.</w:t>
      </w:r>
    </w:p>
    <w:p w14:paraId="2EBE30D1" w14:textId="77777777" w:rsidR="00204D69" w:rsidRDefault="00204D69" w:rsidP="00204D69">
      <w:pPr>
        <w:rPr>
          <w:lang w:eastAsia="x-none"/>
        </w:rPr>
      </w:pPr>
      <w:r>
        <w:rPr>
          <w:lang w:eastAsia="x-none"/>
        </w:rPr>
        <w:t>Based on our observations of the practices and approaches we noted during community visits HOI considers</w:t>
      </w:r>
      <w:r w:rsidRPr="00EE4659">
        <w:rPr>
          <w:lang w:eastAsia="x-none"/>
        </w:rPr>
        <w:t xml:space="preserve"> </w:t>
      </w:r>
      <w:r w:rsidRPr="00652261">
        <w:rPr>
          <w:lang w:eastAsia="x-none"/>
        </w:rPr>
        <w:t>the service model is culturally appropriate and sensitive</w:t>
      </w:r>
      <w:r>
        <w:rPr>
          <w:lang w:eastAsia="x-none"/>
        </w:rPr>
        <w:t xml:space="preserve"> and </w:t>
      </w:r>
      <w:r w:rsidRPr="00652261">
        <w:rPr>
          <w:lang w:eastAsia="x-none"/>
        </w:rPr>
        <w:t>that services are offered and provided in way that is culturally appropriate</w:t>
      </w:r>
      <w:r w:rsidRPr="000B2836">
        <w:rPr>
          <w:lang w:eastAsia="x-none"/>
        </w:rPr>
        <w:t xml:space="preserve">. </w:t>
      </w:r>
    </w:p>
    <w:p w14:paraId="2EBE30D2" w14:textId="77777777" w:rsidR="00204D69" w:rsidRPr="00005F3E" w:rsidRDefault="00204D69" w:rsidP="00204D69">
      <w:pPr>
        <w:rPr>
          <w:color w:val="auto"/>
          <w:lang w:eastAsia="x-none"/>
        </w:rPr>
      </w:pPr>
      <w:r w:rsidRPr="00005F3E">
        <w:rPr>
          <w:color w:val="auto"/>
          <w:lang w:eastAsia="x-none"/>
        </w:rPr>
        <w:t>In conclusion the service model and service approach is culturally appropriate an</w:t>
      </w:r>
      <w:r>
        <w:rPr>
          <w:color w:val="auto"/>
          <w:lang w:eastAsia="x-none"/>
        </w:rPr>
        <w:t>d sensitive to Aboriginal needs but there is a need to continue to develop on country and cultural activities.</w:t>
      </w:r>
    </w:p>
    <w:p w14:paraId="2EBE30D3" w14:textId="77777777" w:rsidR="00204D69" w:rsidRPr="00D04901" w:rsidRDefault="00204D69" w:rsidP="00204D69">
      <w:pPr>
        <w:pStyle w:val="Heading2"/>
      </w:pPr>
      <w:bookmarkStart w:id="184" w:name="_Toc440038448"/>
      <w:r w:rsidRPr="00D04901">
        <w:lastRenderedPageBreak/>
        <w:t>Flexibility and responsiveness</w:t>
      </w:r>
      <w:bookmarkEnd w:id="184"/>
    </w:p>
    <w:p w14:paraId="2EBE30D4" w14:textId="77777777" w:rsidR="00204D69" w:rsidRDefault="00204D69" w:rsidP="00165391">
      <w:pPr>
        <w:spacing w:after="120"/>
      </w:pPr>
      <w:r>
        <w:t xml:space="preserve">Key elements for ensuring flexibility and responsiveness include obtaining input from the LAG and other groups, and working closely with partners to respond to particular issues at client or the community level. </w:t>
      </w:r>
    </w:p>
    <w:p w14:paraId="2EBE30D5" w14:textId="77777777" w:rsidR="00204D69" w:rsidRDefault="00204D69" w:rsidP="00165391">
      <w:pPr>
        <w:spacing w:after="120"/>
      </w:pPr>
      <w:r>
        <w:t xml:space="preserve">Partners reported the WBC model and approach as being flexible and responsive as required with the exception being the FRC. The strategy to strengthen the partnership with the FRC is presented in </w:t>
      </w:r>
      <w:r w:rsidRPr="003C3D25">
        <w:t xml:space="preserve">Section </w:t>
      </w:r>
      <w:r w:rsidRPr="003C3D25">
        <w:fldChar w:fldCharType="begin"/>
      </w:r>
      <w:r w:rsidRPr="003C3D25">
        <w:instrText xml:space="preserve"> REF _Ref387398090 \r \h </w:instrText>
      </w:r>
      <w:r>
        <w:instrText xml:space="preserve"> \* MERGEFORMAT </w:instrText>
      </w:r>
      <w:r w:rsidRPr="003C3D25">
        <w:fldChar w:fldCharType="separate"/>
      </w:r>
      <w:r w:rsidR="009A19EB">
        <w:t>0</w:t>
      </w:r>
      <w:r w:rsidRPr="003C3D25">
        <w:fldChar w:fldCharType="end"/>
      </w:r>
      <w:r w:rsidRPr="003C3D25">
        <w:t>.</w:t>
      </w:r>
    </w:p>
    <w:p w14:paraId="2EBE30D6" w14:textId="77777777" w:rsidR="00204D69" w:rsidRDefault="00204D69" w:rsidP="00165391">
      <w:pPr>
        <w:spacing w:after="120"/>
      </w:pPr>
      <w:r>
        <w:t>M</w:t>
      </w:r>
      <w:r w:rsidRPr="00E40930">
        <w:t>ost</w:t>
      </w:r>
      <w:r w:rsidRPr="002B70A8">
        <w:t xml:space="preserve"> staff (</w:t>
      </w:r>
      <w:r>
        <w:t>13 staff or 93</w:t>
      </w:r>
      <w:r w:rsidRPr="002B70A8">
        <w:t>% of survey respondents</w:t>
      </w:r>
      <w:r>
        <w:t>, n=22</w:t>
      </w:r>
      <w:r w:rsidRPr="002B70A8">
        <w:t xml:space="preserve">) believe the service model is flexible and responsive to community </w:t>
      </w:r>
      <w:r>
        <w:t xml:space="preserve">needs and partners agreed. </w:t>
      </w:r>
    </w:p>
    <w:p w14:paraId="2EBE30D7" w14:textId="77777777" w:rsidR="00204D69" w:rsidRPr="008247A2" w:rsidRDefault="00204D69" w:rsidP="00165391">
      <w:pPr>
        <w:spacing w:after="120"/>
        <w:rPr>
          <w:color w:val="auto"/>
        </w:rPr>
      </w:pPr>
      <w:r w:rsidRPr="008247A2">
        <w:rPr>
          <w:color w:val="auto"/>
        </w:rPr>
        <w:t>At Mossman Gorge concerns</w:t>
      </w:r>
      <w:r>
        <w:rPr>
          <w:color w:val="auto"/>
        </w:rPr>
        <w:t xml:space="preserve"> were expressed</w:t>
      </w:r>
      <w:r w:rsidRPr="008247A2">
        <w:rPr>
          <w:color w:val="auto"/>
        </w:rPr>
        <w:t xml:space="preserve"> by partners </w:t>
      </w:r>
      <w:r>
        <w:rPr>
          <w:color w:val="auto"/>
        </w:rPr>
        <w:t xml:space="preserve">early in the evaluation </w:t>
      </w:r>
      <w:r w:rsidRPr="008247A2">
        <w:rPr>
          <w:color w:val="auto"/>
        </w:rPr>
        <w:t xml:space="preserve">that the WBC was not as flexible and responsive to community need as it should be. </w:t>
      </w:r>
      <w:r>
        <w:rPr>
          <w:color w:val="auto"/>
        </w:rPr>
        <w:t xml:space="preserve">In response the RFDS </w:t>
      </w:r>
      <w:r w:rsidRPr="008247A2">
        <w:rPr>
          <w:color w:val="auto"/>
        </w:rPr>
        <w:t xml:space="preserve">restructured </w:t>
      </w:r>
      <w:r>
        <w:rPr>
          <w:color w:val="auto"/>
        </w:rPr>
        <w:t xml:space="preserve">the </w:t>
      </w:r>
      <w:r w:rsidRPr="008247A2">
        <w:rPr>
          <w:color w:val="auto"/>
        </w:rPr>
        <w:t>management arrangements and partners</w:t>
      </w:r>
      <w:r>
        <w:rPr>
          <w:color w:val="auto"/>
        </w:rPr>
        <w:t xml:space="preserve"> now</w:t>
      </w:r>
      <w:r w:rsidRPr="008247A2">
        <w:rPr>
          <w:color w:val="auto"/>
        </w:rPr>
        <w:t xml:space="preserve"> report </w:t>
      </w:r>
      <w:r>
        <w:rPr>
          <w:color w:val="auto"/>
        </w:rPr>
        <w:t xml:space="preserve">(and </w:t>
      </w:r>
      <w:r w:rsidRPr="008247A2">
        <w:rPr>
          <w:color w:val="auto"/>
        </w:rPr>
        <w:t>HOI observed</w:t>
      </w:r>
      <w:r>
        <w:rPr>
          <w:color w:val="auto"/>
        </w:rPr>
        <w:t>)</w:t>
      </w:r>
      <w:r w:rsidRPr="008247A2">
        <w:rPr>
          <w:color w:val="auto"/>
        </w:rPr>
        <w:t xml:space="preserve"> that </w:t>
      </w:r>
      <w:r>
        <w:rPr>
          <w:color w:val="auto"/>
        </w:rPr>
        <w:t>the WBC is</w:t>
      </w:r>
      <w:r w:rsidRPr="008247A2">
        <w:rPr>
          <w:color w:val="auto"/>
        </w:rPr>
        <w:t xml:space="preserve"> flexible and responsive to community need. </w:t>
      </w:r>
    </w:p>
    <w:p w14:paraId="2EBE30D8" w14:textId="77777777" w:rsidR="00204D69" w:rsidRDefault="00204D69" w:rsidP="00165391">
      <w:pPr>
        <w:spacing w:after="120"/>
        <w:rPr>
          <w:color w:val="auto"/>
        </w:rPr>
      </w:pPr>
      <w:r w:rsidRPr="008247A2">
        <w:rPr>
          <w:color w:val="auto"/>
        </w:rPr>
        <w:t>I</w:t>
      </w:r>
      <w:r>
        <w:rPr>
          <w:color w:val="auto"/>
        </w:rPr>
        <w:t xml:space="preserve">t is our </w:t>
      </w:r>
      <w:r w:rsidRPr="008247A2">
        <w:rPr>
          <w:color w:val="auto"/>
        </w:rPr>
        <w:t xml:space="preserve">conclusion </w:t>
      </w:r>
      <w:r>
        <w:rPr>
          <w:color w:val="auto"/>
        </w:rPr>
        <w:t xml:space="preserve">that </w:t>
      </w:r>
      <w:r w:rsidRPr="008247A2">
        <w:rPr>
          <w:color w:val="auto"/>
        </w:rPr>
        <w:t>the service model and appr</w:t>
      </w:r>
      <w:r>
        <w:rPr>
          <w:color w:val="auto"/>
        </w:rPr>
        <w:t>oach is flexible and responsive to the in the context of a documented service model.</w:t>
      </w:r>
    </w:p>
    <w:p w14:paraId="2EBE30D9" w14:textId="77777777" w:rsidR="00204D69" w:rsidRPr="00A854D6" w:rsidRDefault="00204D69" w:rsidP="00204D69">
      <w:pPr>
        <w:pStyle w:val="Heading2"/>
        <w:rPr>
          <w:lang w:val="en-AU"/>
        </w:rPr>
      </w:pPr>
      <w:bookmarkStart w:id="185" w:name="_Ref387398054"/>
      <w:bookmarkStart w:id="186" w:name="_Toc440038449"/>
      <w:r w:rsidRPr="00A854D6">
        <w:t>Staffing (including capacity building)</w:t>
      </w:r>
      <w:bookmarkEnd w:id="185"/>
      <w:bookmarkEnd w:id="186"/>
    </w:p>
    <w:p w14:paraId="2EBE30DA" w14:textId="77777777" w:rsidR="00204D69" w:rsidRPr="00291A60" w:rsidRDefault="00204D69" w:rsidP="00204D69">
      <w:pPr>
        <w:rPr>
          <w:lang w:eastAsia="x-none"/>
        </w:rPr>
      </w:pPr>
      <w:r>
        <w:rPr>
          <w:lang w:eastAsia="x-none"/>
        </w:rPr>
        <w:t>This section analyses the staff structure and success of capacity building with local staff.</w:t>
      </w:r>
    </w:p>
    <w:p w14:paraId="2EBE30DB" w14:textId="77777777" w:rsidR="00204D69" w:rsidRPr="00291A60" w:rsidRDefault="00204D69" w:rsidP="00BC0A26">
      <w:pPr>
        <w:pStyle w:val="Heading3"/>
      </w:pPr>
      <w:r>
        <w:rPr>
          <w:lang w:val="en-AU"/>
        </w:rPr>
        <w:t xml:space="preserve">Staff </w:t>
      </w:r>
      <w:r w:rsidRPr="00291A60">
        <w:t>Structure</w:t>
      </w:r>
    </w:p>
    <w:p w14:paraId="2EBE30DC" w14:textId="77777777" w:rsidR="00204D69" w:rsidRDefault="00204D69" w:rsidP="00204D69">
      <w:pPr>
        <w:rPr>
          <w:lang w:eastAsia="x-none"/>
        </w:rPr>
      </w:pPr>
      <w:r>
        <w:rPr>
          <w:lang w:eastAsia="x-none"/>
        </w:rPr>
        <w:t xml:space="preserve">Staffing by category for the WBCs is set out in </w:t>
      </w:r>
      <w:r>
        <w:rPr>
          <w:lang w:eastAsia="x-none"/>
        </w:rPr>
        <w:fldChar w:fldCharType="begin"/>
      </w:r>
      <w:r>
        <w:rPr>
          <w:lang w:eastAsia="x-none"/>
        </w:rPr>
        <w:instrText xml:space="preserve"> REF _Ref387393628 \h </w:instrText>
      </w:r>
      <w:r>
        <w:rPr>
          <w:lang w:eastAsia="x-none"/>
        </w:rPr>
      </w:r>
      <w:r>
        <w:rPr>
          <w:lang w:eastAsia="x-none"/>
        </w:rPr>
        <w:fldChar w:fldCharType="separate"/>
      </w:r>
      <w:r w:rsidR="009A19EB">
        <w:t xml:space="preserve">Table </w:t>
      </w:r>
      <w:r w:rsidR="009A19EB">
        <w:rPr>
          <w:noProof/>
        </w:rPr>
        <w:t>3</w:t>
      </w:r>
      <w:r w:rsidR="009A19EB">
        <w:t>.</w:t>
      </w:r>
      <w:r w:rsidR="009A19EB">
        <w:rPr>
          <w:noProof/>
        </w:rPr>
        <w:t>3</w:t>
      </w:r>
      <w:r>
        <w:rPr>
          <w:lang w:eastAsia="x-none"/>
        </w:rPr>
        <w:fldChar w:fldCharType="end"/>
      </w:r>
      <w:r>
        <w:rPr>
          <w:lang w:eastAsia="x-none"/>
        </w:rPr>
        <w:t xml:space="preserve">. </w:t>
      </w:r>
      <w:r w:rsidRPr="00F14753">
        <w:rPr>
          <w:lang w:eastAsia="x-none"/>
        </w:rPr>
        <w:t>Eighty three per</w:t>
      </w:r>
      <w:r>
        <w:rPr>
          <w:lang w:eastAsia="x-none"/>
        </w:rPr>
        <w:t xml:space="preserve"> </w:t>
      </w:r>
      <w:r w:rsidRPr="00F14753">
        <w:rPr>
          <w:lang w:eastAsia="x-none"/>
        </w:rPr>
        <w:t>cent of staff are based in community, approximately 39% of staff are Indigenous (12.8 FTE) with the majority of these</w:t>
      </w:r>
      <w:r>
        <w:rPr>
          <w:lang w:eastAsia="x-none"/>
        </w:rPr>
        <w:t xml:space="preserve"> (7)</w:t>
      </w:r>
      <w:r w:rsidRPr="00F14753">
        <w:rPr>
          <w:lang w:eastAsia="x-none"/>
        </w:rPr>
        <w:t xml:space="preserve"> being </w:t>
      </w:r>
      <w:r>
        <w:rPr>
          <w:lang w:eastAsia="x-none"/>
        </w:rPr>
        <w:t>CDCs</w:t>
      </w:r>
      <w:r w:rsidRPr="00F14753">
        <w:rPr>
          <w:lang w:eastAsia="x-none"/>
        </w:rPr>
        <w:t xml:space="preserve">. The majority of the </w:t>
      </w:r>
      <w:r>
        <w:rPr>
          <w:lang w:eastAsia="x-none"/>
        </w:rPr>
        <w:t>CDCs</w:t>
      </w:r>
      <w:r w:rsidRPr="00F14753">
        <w:rPr>
          <w:lang w:eastAsia="x-none"/>
        </w:rPr>
        <w:t xml:space="preserve"> are female (71%). There was one indigenous clinical counsellor and two Indigenous community counsellor</w:t>
      </w:r>
      <w:r w:rsidR="000E229E">
        <w:rPr>
          <w:lang w:eastAsia="x-none"/>
        </w:rPr>
        <w:t>s</w:t>
      </w:r>
      <w:r w:rsidRPr="00F14753">
        <w:rPr>
          <w:lang w:eastAsia="x-none"/>
        </w:rPr>
        <w:t xml:space="preserve"> and development officers.</w:t>
      </w:r>
      <w:r w:rsidRPr="00F14753">
        <w:rPr>
          <w:highlight w:val="yellow"/>
          <w:lang w:eastAsia="x-none"/>
        </w:rPr>
        <w:t xml:space="preserve"> </w:t>
      </w:r>
    </w:p>
    <w:p w14:paraId="2EBE30DD" w14:textId="407BFA4A" w:rsidR="00204D69" w:rsidRPr="00D255BF" w:rsidRDefault="00AA7DC9" w:rsidP="00AA7DC9">
      <w:pPr>
        <w:pStyle w:val="Caption"/>
        <w:rPr>
          <w:vertAlign w:val="superscript"/>
        </w:rPr>
      </w:pPr>
      <w:bookmarkStart w:id="187" w:name="_Toc392686440"/>
      <w:bookmarkStart w:id="188" w:name="_Ref387393628"/>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3</w:t>
      </w:r>
      <w:r>
        <w:fldChar w:fldCharType="end"/>
      </w:r>
      <w:bookmarkEnd w:id="188"/>
      <w:r w:rsidR="00204D69">
        <w:t xml:space="preserve">: </w:t>
      </w:r>
      <w:r w:rsidR="00204D69" w:rsidRPr="00775BD2">
        <w:t>WBC’s staff by category</w:t>
      </w:r>
      <w:r w:rsidR="00204D69">
        <w:t xml:space="preserve"> </w:t>
      </w:r>
      <w:r w:rsidR="00204D69" w:rsidRPr="006E0E62">
        <w:rPr>
          <w:vertAlign w:val="superscript"/>
        </w:rPr>
        <w:t>1</w:t>
      </w:r>
      <w:bookmarkEnd w:id="187"/>
    </w:p>
    <w:tbl>
      <w:tblPr>
        <w:tblStyle w:val="Hoi2"/>
        <w:tblW w:w="8700" w:type="dxa"/>
        <w:tblLook w:val="04A0" w:firstRow="1" w:lastRow="0" w:firstColumn="1" w:lastColumn="0" w:noHBand="0" w:noVBand="1"/>
        <w:tblCaption w:val="Table 3.3: WBC's staff by category"/>
        <w:tblDescription w:val="Table 3.3 presents data on the staff employed at the WBCs by category of employment and staffing quotas represented by Full-time Equivalent (FTE) values.  The first column lists the Staff categories and the following columns contain the Total FTE, Filled FTE, Vacant FTE (excluding casual staff) and % of Total FTE respectively.  The bottom row contains total values for each FTE value.  "/>
      </w:tblPr>
      <w:tblGrid>
        <w:gridCol w:w="4000"/>
        <w:gridCol w:w="1340"/>
        <w:gridCol w:w="1460"/>
        <w:gridCol w:w="960"/>
        <w:gridCol w:w="940"/>
      </w:tblGrid>
      <w:tr w:rsidR="00204D69" w:rsidRPr="005D3AA8" w14:paraId="2EBE30E3" w14:textId="77777777" w:rsidTr="00377FC2">
        <w:trPr>
          <w:cnfStyle w:val="100000000000" w:firstRow="1" w:lastRow="0" w:firstColumn="0" w:lastColumn="0" w:oddVBand="0" w:evenVBand="0" w:oddHBand="0" w:evenHBand="0" w:firstRowFirstColumn="0" w:firstRowLastColumn="0" w:lastRowFirstColumn="0" w:lastRowLastColumn="0"/>
          <w:trHeight w:val="1275"/>
          <w:tblHeader/>
        </w:trPr>
        <w:tc>
          <w:tcPr>
            <w:tcW w:w="4000" w:type="dxa"/>
            <w:noWrap/>
            <w:vAlign w:val="center"/>
            <w:hideMark/>
          </w:tcPr>
          <w:p w14:paraId="2EBE30DE" w14:textId="77777777" w:rsidR="00204D69" w:rsidRPr="005D3AA8" w:rsidRDefault="00204D69" w:rsidP="00782511">
            <w:pPr>
              <w:spacing w:after="0"/>
              <w:jc w:val="center"/>
              <w:rPr>
                <w:rFonts w:ascii="Segoe UI" w:eastAsia="Times New Roman" w:hAnsi="Segoe UI" w:cs="Segoe UI"/>
                <w:b/>
                <w:bCs/>
                <w:color w:val="auto"/>
                <w:sz w:val="18"/>
                <w:szCs w:val="18"/>
                <w:lang w:eastAsia="en-AU"/>
              </w:rPr>
            </w:pPr>
            <w:r w:rsidRPr="005D3AA8">
              <w:rPr>
                <w:rFonts w:ascii="Segoe UI" w:eastAsia="Times New Roman" w:hAnsi="Segoe UI" w:cs="Segoe UI"/>
                <w:b/>
                <w:bCs/>
                <w:color w:val="auto"/>
                <w:sz w:val="18"/>
                <w:szCs w:val="18"/>
                <w:lang w:eastAsia="en-AU"/>
              </w:rPr>
              <w:t>Staff category</w:t>
            </w:r>
          </w:p>
        </w:tc>
        <w:tc>
          <w:tcPr>
            <w:tcW w:w="1340" w:type="dxa"/>
            <w:vAlign w:val="center"/>
            <w:hideMark/>
          </w:tcPr>
          <w:p w14:paraId="2EBE30DF" w14:textId="77777777" w:rsidR="00204D69" w:rsidRPr="005D3AA8" w:rsidRDefault="00204D69" w:rsidP="00782511">
            <w:pPr>
              <w:spacing w:after="0"/>
              <w:jc w:val="center"/>
              <w:rPr>
                <w:rFonts w:ascii="Segoe UI" w:eastAsia="Times New Roman" w:hAnsi="Segoe UI" w:cs="Segoe UI"/>
                <w:b/>
                <w:bCs/>
                <w:color w:val="auto"/>
                <w:sz w:val="18"/>
                <w:szCs w:val="18"/>
                <w:lang w:eastAsia="en-AU"/>
              </w:rPr>
            </w:pPr>
            <w:r w:rsidRPr="005D3AA8">
              <w:rPr>
                <w:rFonts w:ascii="Segoe UI" w:eastAsia="Times New Roman" w:hAnsi="Segoe UI" w:cs="Segoe UI"/>
                <w:b/>
                <w:bCs/>
                <w:color w:val="auto"/>
                <w:sz w:val="18"/>
                <w:szCs w:val="18"/>
                <w:lang w:eastAsia="en-AU"/>
              </w:rPr>
              <w:t>Total FTE</w:t>
            </w:r>
          </w:p>
        </w:tc>
        <w:tc>
          <w:tcPr>
            <w:tcW w:w="1460" w:type="dxa"/>
            <w:vAlign w:val="center"/>
            <w:hideMark/>
          </w:tcPr>
          <w:p w14:paraId="2EBE30E0" w14:textId="77777777" w:rsidR="00204D69" w:rsidRPr="005D3AA8" w:rsidRDefault="00204D69" w:rsidP="00782511">
            <w:pPr>
              <w:spacing w:after="0"/>
              <w:jc w:val="center"/>
              <w:rPr>
                <w:rFonts w:ascii="Segoe UI" w:eastAsia="Times New Roman" w:hAnsi="Segoe UI" w:cs="Segoe UI"/>
                <w:b/>
                <w:bCs/>
                <w:color w:val="auto"/>
                <w:sz w:val="18"/>
                <w:szCs w:val="18"/>
                <w:lang w:eastAsia="en-AU"/>
              </w:rPr>
            </w:pPr>
            <w:r w:rsidRPr="005D3AA8">
              <w:rPr>
                <w:rFonts w:ascii="Segoe UI" w:eastAsia="Times New Roman" w:hAnsi="Segoe UI" w:cs="Segoe UI"/>
                <w:b/>
                <w:bCs/>
                <w:color w:val="auto"/>
                <w:sz w:val="18"/>
                <w:szCs w:val="18"/>
                <w:lang w:eastAsia="en-AU"/>
              </w:rPr>
              <w:t>Filled FTE</w:t>
            </w:r>
          </w:p>
        </w:tc>
        <w:tc>
          <w:tcPr>
            <w:tcW w:w="960" w:type="dxa"/>
            <w:vAlign w:val="center"/>
            <w:hideMark/>
          </w:tcPr>
          <w:p w14:paraId="2EBE30E1" w14:textId="77777777" w:rsidR="00204D69" w:rsidRPr="005D3AA8" w:rsidRDefault="00204D69" w:rsidP="00782511">
            <w:pPr>
              <w:spacing w:after="0"/>
              <w:jc w:val="center"/>
              <w:rPr>
                <w:rFonts w:ascii="Segoe UI" w:eastAsia="Times New Roman" w:hAnsi="Segoe UI" w:cs="Segoe UI"/>
                <w:b/>
                <w:bCs/>
                <w:color w:val="auto"/>
                <w:sz w:val="18"/>
                <w:szCs w:val="18"/>
                <w:lang w:eastAsia="en-AU"/>
              </w:rPr>
            </w:pPr>
            <w:r w:rsidRPr="005D3AA8">
              <w:rPr>
                <w:rFonts w:ascii="Segoe UI" w:eastAsia="Times New Roman" w:hAnsi="Segoe UI" w:cs="Segoe UI"/>
                <w:b/>
                <w:bCs/>
                <w:color w:val="auto"/>
                <w:sz w:val="18"/>
                <w:szCs w:val="18"/>
                <w:lang w:eastAsia="en-AU"/>
              </w:rPr>
              <w:t>Vacant FTE (excl. casual)</w:t>
            </w:r>
          </w:p>
        </w:tc>
        <w:tc>
          <w:tcPr>
            <w:tcW w:w="940" w:type="dxa"/>
            <w:vAlign w:val="center"/>
            <w:hideMark/>
          </w:tcPr>
          <w:p w14:paraId="2EBE30E2" w14:textId="77777777" w:rsidR="00204D69" w:rsidRPr="005D3AA8" w:rsidRDefault="00204D69" w:rsidP="00782511">
            <w:pPr>
              <w:spacing w:after="0"/>
              <w:jc w:val="center"/>
              <w:rPr>
                <w:rFonts w:ascii="Segoe UI" w:eastAsia="Times New Roman" w:hAnsi="Segoe UI" w:cs="Segoe UI"/>
                <w:b/>
                <w:bCs/>
                <w:color w:val="auto"/>
                <w:sz w:val="18"/>
                <w:szCs w:val="18"/>
                <w:lang w:eastAsia="en-AU"/>
              </w:rPr>
            </w:pPr>
            <w:r w:rsidRPr="005D3AA8">
              <w:rPr>
                <w:rFonts w:ascii="Segoe UI" w:eastAsia="Times New Roman" w:hAnsi="Segoe UI" w:cs="Segoe UI"/>
                <w:b/>
                <w:bCs/>
                <w:color w:val="auto"/>
                <w:sz w:val="18"/>
                <w:szCs w:val="18"/>
                <w:lang w:eastAsia="en-AU"/>
              </w:rPr>
              <w:t>% of Total FTE</w:t>
            </w:r>
          </w:p>
        </w:tc>
      </w:tr>
      <w:tr w:rsidR="00204D69" w:rsidRPr="005D3AA8" w14:paraId="2EBE30E9" w14:textId="77777777" w:rsidTr="00782511">
        <w:trPr>
          <w:trHeight w:val="315"/>
        </w:trPr>
        <w:tc>
          <w:tcPr>
            <w:tcW w:w="4000" w:type="dxa"/>
            <w:shd w:val="clear" w:color="auto" w:fill="F2F2F2" w:themeFill="background1" w:themeFillShade="F2"/>
            <w:noWrap/>
            <w:hideMark/>
          </w:tcPr>
          <w:p w14:paraId="2EBE30E4"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Cairns-based Manager/Clinician</w:t>
            </w:r>
          </w:p>
        </w:tc>
        <w:tc>
          <w:tcPr>
            <w:tcW w:w="1340" w:type="dxa"/>
            <w:shd w:val="clear" w:color="auto" w:fill="F2F2F2" w:themeFill="background1" w:themeFillShade="F2"/>
            <w:noWrap/>
            <w:hideMark/>
          </w:tcPr>
          <w:p w14:paraId="2EBE30E5"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w:t>
            </w:r>
          </w:p>
        </w:tc>
        <w:tc>
          <w:tcPr>
            <w:tcW w:w="1460" w:type="dxa"/>
            <w:shd w:val="clear" w:color="auto" w:fill="F2F2F2" w:themeFill="background1" w:themeFillShade="F2"/>
            <w:noWrap/>
            <w:hideMark/>
          </w:tcPr>
          <w:p w14:paraId="2EBE30E6"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w:t>
            </w:r>
          </w:p>
        </w:tc>
        <w:tc>
          <w:tcPr>
            <w:tcW w:w="960" w:type="dxa"/>
            <w:shd w:val="clear" w:color="auto" w:fill="F2F2F2" w:themeFill="background1" w:themeFillShade="F2"/>
            <w:noWrap/>
            <w:hideMark/>
          </w:tcPr>
          <w:p w14:paraId="2EBE30E7"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940" w:type="dxa"/>
            <w:shd w:val="clear" w:color="auto" w:fill="F2F2F2" w:themeFill="background1" w:themeFillShade="F2"/>
            <w:noWrap/>
            <w:hideMark/>
          </w:tcPr>
          <w:p w14:paraId="2EBE30E8"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3%</w:t>
            </w:r>
          </w:p>
        </w:tc>
      </w:tr>
      <w:tr w:rsidR="00204D69" w:rsidRPr="005D3AA8" w14:paraId="2EBE30EF" w14:textId="77777777" w:rsidTr="00782511">
        <w:trPr>
          <w:trHeight w:val="315"/>
        </w:trPr>
        <w:tc>
          <w:tcPr>
            <w:tcW w:w="4000" w:type="dxa"/>
            <w:shd w:val="clear" w:color="auto" w:fill="F2F2F2" w:themeFill="background1" w:themeFillShade="F2"/>
            <w:noWrap/>
            <w:hideMark/>
          </w:tcPr>
          <w:p w14:paraId="2EBE30EA"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Cairns-based Staff Support</w:t>
            </w:r>
          </w:p>
        </w:tc>
        <w:tc>
          <w:tcPr>
            <w:tcW w:w="1340" w:type="dxa"/>
            <w:shd w:val="clear" w:color="auto" w:fill="F2F2F2" w:themeFill="background1" w:themeFillShade="F2"/>
            <w:noWrap/>
            <w:hideMark/>
          </w:tcPr>
          <w:p w14:paraId="2EBE30EB"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5</w:t>
            </w:r>
          </w:p>
        </w:tc>
        <w:tc>
          <w:tcPr>
            <w:tcW w:w="1460" w:type="dxa"/>
            <w:shd w:val="clear" w:color="auto" w:fill="F2F2F2" w:themeFill="background1" w:themeFillShade="F2"/>
            <w:noWrap/>
            <w:hideMark/>
          </w:tcPr>
          <w:p w14:paraId="2EBE30EC"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5</w:t>
            </w:r>
          </w:p>
        </w:tc>
        <w:tc>
          <w:tcPr>
            <w:tcW w:w="960" w:type="dxa"/>
            <w:shd w:val="clear" w:color="auto" w:fill="F2F2F2" w:themeFill="background1" w:themeFillShade="F2"/>
            <w:noWrap/>
            <w:hideMark/>
          </w:tcPr>
          <w:p w14:paraId="2EBE30ED"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940" w:type="dxa"/>
            <w:shd w:val="clear" w:color="auto" w:fill="F2F2F2" w:themeFill="background1" w:themeFillShade="F2"/>
            <w:noWrap/>
            <w:hideMark/>
          </w:tcPr>
          <w:p w14:paraId="2EBE30EE"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17%</w:t>
            </w:r>
          </w:p>
        </w:tc>
      </w:tr>
      <w:tr w:rsidR="00204D69" w:rsidRPr="005D3AA8" w14:paraId="2EBE30F5" w14:textId="77777777" w:rsidTr="00782511">
        <w:trPr>
          <w:trHeight w:val="315"/>
        </w:trPr>
        <w:tc>
          <w:tcPr>
            <w:tcW w:w="4000" w:type="dxa"/>
            <w:shd w:val="clear" w:color="auto" w:fill="F2F2F2" w:themeFill="background1" w:themeFillShade="F2"/>
            <w:noWrap/>
            <w:hideMark/>
          </w:tcPr>
          <w:p w14:paraId="2EBE30F0"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Team Leader</w:t>
            </w:r>
          </w:p>
        </w:tc>
        <w:tc>
          <w:tcPr>
            <w:tcW w:w="1340" w:type="dxa"/>
            <w:shd w:val="clear" w:color="auto" w:fill="F2F2F2" w:themeFill="background1" w:themeFillShade="F2"/>
            <w:noWrap/>
            <w:hideMark/>
          </w:tcPr>
          <w:p w14:paraId="2EBE30F1"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4</w:t>
            </w:r>
          </w:p>
        </w:tc>
        <w:tc>
          <w:tcPr>
            <w:tcW w:w="1460" w:type="dxa"/>
            <w:shd w:val="clear" w:color="auto" w:fill="F2F2F2" w:themeFill="background1" w:themeFillShade="F2"/>
            <w:noWrap/>
            <w:hideMark/>
          </w:tcPr>
          <w:p w14:paraId="2EBE30F2"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4</w:t>
            </w:r>
          </w:p>
        </w:tc>
        <w:tc>
          <w:tcPr>
            <w:tcW w:w="960" w:type="dxa"/>
            <w:shd w:val="clear" w:color="auto" w:fill="F2F2F2" w:themeFill="background1" w:themeFillShade="F2"/>
            <w:noWrap/>
            <w:hideMark/>
          </w:tcPr>
          <w:p w14:paraId="2EBE30F3"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940" w:type="dxa"/>
            <w:shd w:val="clear" w:color="auto" w:fill="F2F2F2" w:themeFill="background1" w:themeFillShade="F2"/>
            <w:noWrap/>
            <w:hideMark/>
          </w:tcPr>
          <w:p w14:paraId="2EBE30F4"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14%</w:t>
            </w:r>
          </w:p>
        </w:tc>
      </w:tr>
      <w:tr w:rsidR="00204D69" w:rsidRPr="005D3AA8" w14:paraId="2EBE30FB" w14:textId="77777777" w:rsidTr="00782511">
        <w:trPr>
          <w:trHeight w:val="315"/>
        </w:trPr>
        <w:tc>
          <w:tcPr>
            <w:tcW w:w="4000" w:type="dxa"/>
            <w:shd w:val="clear" w:color="auto" w:fill="F2F2F2" w:themeFill="background1" w:themeFillShade="F2"/>
            <w:noWrap/>
            <w:hideMark/>
          </w:tcPr>
          <w:p w14:paraId="2EBE30F6"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Clinical Counsellor</w:t>
            </w:r>
          </w:p>
        </w:tc>
        <w:tc>
          <w:tcPr>
            <w:tcW w:w="1340" w:type="dxa"/>
            <w:shd w:val="clear" w:color="auto" w:fill="F2F2F2" w:themeFill="background1" w:themeFillShade="F2"/>
            <w:noWrap/>
            <w:hideMark/>
          </w:tcPr>
          <w:p w14:paraId="2EBE30F7"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12</w:t>
            </w:r>
          </w:p>
        </w:tc>
        <w:tc>
          <w:tcPr>
            <w:tcW w:w="1460" w:type="dxa"/>
            <w:shd w:val="clear" w:color="auto" w:fill="F2F2F2" w:themeFill="background1" w:themeFillShade="F2"/>
            <w:noWrap/>
            <w:hideMark/>
          </w:tcPr>
          <w:p w14:paraId="2EBE30F8"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9</w:t>
            </w:r>
          </w:p>
        </w:tc>
        <w:tc>
          <w:tcPr>
            <w:tcW w:w="960" w:type="dxa"/>
            <w:shd w:val="clear" w:color="auto" w:fill="F2F2F2" w:themeFill="background1" w:themeFillShade="F2"/>
            <w:noWrap/>
            <w:hideMark/>
          </w:tcPr>
          <w:p w14:paraId="2EBE30F9"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3</w:t>
            </w:r>
          </w:p>
        </w:tc>
        <w:tc>
          <w:tcPr>
            <w:tcW w:w="940" w:type="dxa"/>
            <w:shd w:val="clear" w:color="auto" w:fill="F2F2F2" w:themeFill="background1" w:themeFillShade="F2"/>
            <w:noWrap/>
            <w:hideMark/>
          </w:tcPr>
          <w:p w14:paraId="2EBE30FA"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31%</w:t>
            </w:r>
          </w:p>
        </w:tc>
      </w:tr>
      <w:tr w:rsidR="00204D69" w:rsidRPr="005D3AA8" w14:paraId="2EBE3101" w14:textId="77777777" w:rsidTr="00782511">
        <w:trPr>
          <w:trHeight w:val="315"/>
        </w:trPr>
        <w:tc>
          <w:tcPr>
            <w:tcW w:w="4000" w:type="dxa"/>
            <w:shd w:val="clear" w:color="auto" w:fill="F2F2F2" w:themeFill="background1" w:themeFillShade="F2"/>
            <w:noWrap/>
            <w:hideMark/>
          </w:tcPr>
          <w:p w14:paraId="2EBE30FC"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Community Counsellor and Development Officer</w:t>
            </w:r>
          </w:p>
        </w:tc>
        <w:tc>
          <w:tcPr>
            <w:tcW w:w="1340" w:type="dxa"/>
            <w:shd w:val="clear" w:color="auto" w:fill="F2F2F2" w:themeFill="background1" w:themeFillShade="F2"/>
            <w:noWrap/>
            <w:hideMark/>
          </w:tcPr>
          <w:p w14:paraId="2EBE30FD"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3</w:t>
            </w:r>
          </w:p>
        </w:tc>
        <w:tc>
          <w:tcPr>
            <w:tcW w:w="1460" w:type="dxa"/>
            <w:shd w:val="clear" w:color="auto" w:fill="F2F2F2" w:themeFill="background1" w:themeFillShade="F2"/>
            <w:noWrap/>
            <w:hideMark/>
          </w:tcPr>
          <w:p w14:paraId="2EBE30FE"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3</w:t>
            </w:r>
          </w:p>
        </w:tc>
        <w:tc>
          <w:tcPr>
            <w:tcW w:w="960" w:type="dxa"/>
            <w:shd w:val="clear" w:color="auto" w:fill="F2F2F2" w:themeFill="background1" w:themeFillShade="F2"/>
            <w:noWrap/>
            <w:hideMark/>
          </w:tcPr>
          <w:p w14:paraId="2EBE30FF"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940" w:type="dxa"/>
            <w:shd w:val="clear" w:color="auto" w:fill="F2F2F2" w:themeFill="background1" w:themeFillShade="F2"/>
            <w:noWrap/>
            <w:hideMark/>
          </w:tcPr>
          <w:p w14:paraId="2EBE3100"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10%</w:t>
            </w:r>
          </w:p>
        </w:tc>
      </w:tr>
      <w:tr w:rsidR="00204D69" w:rsidRPr="005D3AA8" w14:paraId="2EBE3107" w14:textId="77777777" w:rsidTr="00782511">
        <w:trPr>
          <w:trHeight w:val="315"/>
        </w:trPr>
        <w:tc>
          <w:tcPr>
            <w:tcW w:w="4000" w:type="dxa"/>
            <w:shd w:val="clear" w:color="auto" w:fill="F2F2F2" w:themeFill="background1" w:themeFillShade="F2"/>
            <w:noWrap/>
            <w:hideMark/>
          </w:tcPr>
          <w:p w14:paraId="2EBE3102"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Community Development Consultant</w:t>
            </w:r>
          </w:p>
        </w:tc>
        <w:tc>
          <w:tcPr>
            <w:tcW w:w="1340" w:type="dxa"/>
            <w:shd w:val="clear" w:color="auto" w:fill="F2F2F2" w:themeFill="background1" w:themeFillShade="F2"/>
            <w:noWrap/>
            <w:hideMark/>
          </w:tcPr>
          <w:p w14:paraId="2EBE3103"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7</w:t>
            </w:r>
          </w:p>
        </w:tc>
        <w:tc>
          <w:tcPr>
            <w:tcW w:w="1460" w:type="dxa"/>
            <w:shd w:val="clear" w:color="auto" w:fill="F2F2F2" w:themeFill="background1" w:themeFillShade="F2"/>
            <w:noWrap/>
            <w:hideMark/>
          </w:tcPr>
          <w:p w14:paraId="2EBE3104"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6.6</w:t>
            </w:r>
            <w:r w:rsidR="00B3366F" w:rsidRPr="005D3AA8">
              <w:rPr>
                <w:rFonts w:eastAsia="Times New Roman" w:cs="Segoe UI"/>
                <w:sz w:val="18"/>
                <w:szCs w:val="18"/>
                <w:lang w:eastAsia="en-AU"/>
              </w:rPr>
              <w:t xml:space="preserve"> </w:t>
            </w:r>
          </w:p>
        </w:tc>
        <w:tc>
          <w:tcPr>
            <w:tcW w:w="960" w:type="dxa"/>
            <w:shd w:val="clear" w:color="auto" w:fill="F2F2F2" w:themeFill="background1" w:themeFillShade="F2"/>
            <w:noWrap/>
            <w:hideMark/>
          </w:tcPr>
          <w:p w14:paraId="2EBE3105"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0.4</w:t>
            </w:r>
          </w:p>
        </w:tc>
        <w:tc>
          <w:tcPr>
            <w:tcW w:w="940" w:type="dxa"/>
            <w:shd w:val="clear" w:color="auto" w:fill="F2F2F2" w:themeFill="background1" w:themeFillShade="F2"/>
            <w:noWrap/>
            <w:hideMark/>
          </w:tcPr>
          <w:p w14:paraId="2EBE3106"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23%</w:t>
            </w:r>
          </w:p>
        </w:tc>
      </w:tr>
      <w:tr w:rsidR="00204D69" w:rsidRPr="005D3AA8" w14:paraId="2EBE310D" w14:textId="77777777" w:rsidTr="00782511">
        <w:trPr>
          <w:trHeight w:val="315"/>
        </w:trPr>
        <w:tc>
          <w:tcPr>
            <w:tcW w:w="4000" w:type="dxa"/>
            <w:shd w:val="clear" w:color="auto" w:fill="F2F2F2" w:themeFill="background1" w:themeFillShade="F2"/>
            <w:noWrap/>
            <w:hideMark/>
          </w:tcPr>
          <w:p w14:paraId="2EBE3108" w14:textId="77777777" w:rsidR="00204D69" w:rsidRPr="005D3AA8" w:rsidRDefault="00204D69" w:rsidP="00782511">
            <w:pPr>
              <w:spacing w:after="0"/>
              <w:jc w:val="left"/>
              <w:rPr>
                <w:rFonts w:eastAsia="Times New Roman" w:cs="Segoe UI"/>
                <w:sz w:val="18"/>
                <w:szCs w:val="18"/>
                <w:lang w:eastAsia="en-AU"/>
              </w:rPr>
            </w:pPr>
            <w:r w:rsidRPr="005D3AA8">
              <w:rPr>
                <w:rFonts w:eastAsia="Times New Roman" w:cs="Segoe UI"/>
                <w:sz w:val="18"/>
                <w:szCs w:val="18"/>
                <w:lang w:eastAsia="en-AU"/>
              </w:rPr>
              <w:t>Community-based Administration Officer</w:t>
            </w:r>
          </w:p>
        </w:tc>
        <w:tc>
          <w:tcPr>
            <w:tcW w:w="1340" w:type="dxa"/>
            <w:shd w:val="clear" w:color="auto" w:fill="F2F2F2" w:themeFill="background1" w:themeFillShade="F2"/>
            <w:noWrap/>
            <w:hideMark/>
          </w:tcPr>
          <w:p w14:paraId="2EBE3109"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1460" w:type="dxa"/>
            <w:shd w:val="clear" w:color="auto" w:fill="F2F2F2" w:themeFill="background1" w:themeFillShade="F2"/>
            <w:noWrap/>
            <w:hideMark/>
          </w:tcPr>
          <w:p w14:paraId="2EBE310A"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960" w:type="dxa"/>
            <w:shd w:val="clear" w:color="auto" w:fill="F2F2F2" w:themeFill="background1" w:themeFillShade="F2"/>
            <w:noWrap/>
            <w:hideMark/>
          </w:tcPr>
          <w:p w14:paraId="2EBE310B"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c>
          <w:tcPr>
            <w:tcW w:w="940" w:type="dxa"/>
            <w:shd w:val="clear" w:color="auto" w:fill="F2F2F2" w:themeFill="background1" w:themeFillShade="F2"/>
            <w:noWrap/>
            <w:hideMark/>
          </w:tcPr>
          <w:p w14:paraId="2EBE310C"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0%</w:t>
            </w:r>
          </w:p>
        </w:tc>
      </w:tr>
      <w:tr w:rsidR="00204D69" w:rsidRPr="005D3AA8" w14:paraId="2EBE3113" w14:textId="77777777" w:rsidTr="00782511">
        <w:trPr>
          <w:trHeight w:val="315"/>
        </w:trPr>
        <w:tc>
          <w:tcPr>
            <w:tcW w:w="4000" w:type="dxa"/>
            <w:shd w:val="clear" w:color="auto" w:fill="F2F2F2" w:themeFill="background1" w:themeFillShade="F2"/>
            <w:noWrap/>
            <w:hideMark/>
          </w:tcPr>
          <w:p w14:paraId="2EBE310E" w14:textId="77777777" w:rsidR="00204D69" w:rsidRPr="005D3AA8" w:rsidRDefault="00204D69" w:rsidP="00782511">
            <w:pPr>
              <w:spacing w:after="0"/>
              <w:jc w:val="left"/>
              <w:rPr>
                <w:rFonts w:eastAsia="Times New Roman" w:cs="Segoe UI"/>
                <w:b/>
                <w:sz w:val="18"/>
                <w:szCs w:val="18"/>
                <w:lang w:eastAsia="en-AU"/>
              </w:rPr>
            </w:pPr>
            <w:r w:rsidRPr="005D3AA8">
              <w:rPr>
                <w:rFonts w:eastAsia="Times New Roman" w:cs="Segoe UI"/>
                <w:b/>
                <w:sz w:val="18"/>
                <w:szCs w:val="18"/>
                <w:lang w:eastAsia="en-AU"/>
              </w:rPr>
              <w:t>Total</w:t>
            </w:r>
          </w:p>
        </w:tc>
        <w:tc>
          <w:tcPr>
            <w:tcW w:w="1340" w:type="dxa"/>
            <w:shd w:val="clear" w:color="auto" w:fill="F2F2F2" w:themeFill="background1" w:themeFillShade="F2"/>
            <w:noWrap/>
            <w:hideMark/>
          </w:tcPr>
          <w:p w14:paraId="2EBE310F" w14:textId="77777777" w:rsidR="00204D69" w:rsidRPr="005D3AA8" w:rsidRDefault="00204D69" w:rsidP="00782511">
            <w:pPr>
              <w:spacing w:after="0"/>
              <w:jc w:val="center"/>
              <w:rPr>
                <w:rFonts w:eastAsia="Times New Roman" w:cs="Segoe UI"/>
                <w:b/>
                <w:bCs/>
                <w:sz w:val="18"/>
                <w:szCs w:val="18"/>
                <w:lang w:eastAsia="en-AU"/>
              </w:rPr>
            </w:pPr>
            <w:r w:rsidRPr="005D3AA8">
              <w:rPr>
                <w:rFonts w:eastAsia="Times New Roman" w:cs="Segoe UI"/>
                <w:b/>
                <w:bCs/>
                <w:sz w:val="18"/>
                <w:szCs w:val="18"/>
                <w:lang w:eastAsia="en-AU"/>
              </w:rPr>
              <w:t>32</w:t>
            </w:r>
          </w:p>
        </w:tc>
        <w:tc>
          <w:tcPr>
            <w:tcW w:w="1460" w:type="dxa"/>
            <w:shd w:val="clear" w:color="auto" w:fill="F2F2F2" w:themeFill="background1" w:themeFillShade="F2"/>
            <w:noWrap/>
            <w:hideMark/>
          </w:tcPr>
          <w:p w14:paraId="2EBE3110" w14:textId="77777777" w:rsidR="00204D69" w:rsidRPr="005D3AA8" w:rsidRDefault="00204D69" w:rsidP="00782511">
            <w:pPr>
              <w:spacing w:after="0"/>
              <w:jc w:val="center"/>
              <w:rPr>
                <w:rFonts w:eastAsia="Times New Roman" w:cs="Segoe UI"/>
                <w:b/>
                <w:bCs/>
                <w:sz w:val="18"/>
                <w:szCs w:val="18"/>
                <w:lang w:eastAsia="en-AU"/>
              </w:rPr>
            </w:pPr>
            <w:r w:rsidRPr="005D3AA8">
              <w:rPr>
                <w:rFonts w:eastAsia="Times New Roman" w:cs="Segoe UI"/>
                <w:b/>
                <w:bCs/>
                <w:sz w:val="18"/>
                <w:szCs w:val="18"/>
                <w:lang w:eastAsia="en-AU"/>
              </w:rPr>
              <w:t>28.6</w:t>
            </w:r>
          </w:p>
        </w:tc>
        <w:tc>
          <w:tcPr>
            <w:tcW w:w="960" w:type="dxa"/>
            <w:shd w:val="clear" w:color="auto" w:fill="F2F2F2" w:themeFill="background1" w:themeFillShade="F2"/>
            <w:noWrap/>
            <w:hideMark/>
          </w:tcPr>
          <w:p w14:paraId="2EBE3111" w14:textId="77777777" w:rsidR="00204D69" w:rsidRPr="005D3AA8" w:rsidRDefault="00204D69" w:rsidP="00782511">
            <w:pPr>
              <w:spacing w:after="0"/>
              <w:jc w:val="center"/>
              <w:rPr>
                <w:rFonts w:eastAsia="Times New Roman" w:cs="Segoe UI"/>
                <w:b/>
                <w:bCs/>
                <w:sz w:val="18"/>
                <w:szCs w:val="18"/>
                <w:lang w:eastAsia="en-AU"/>
              </w:rPr>
            </w:pPr>
            <w:r w:rsidRPr="005D3AA8">
              <w:rPr>
                <w:rFonts w:eastAsia="Times New Roman" w:cs="Segoe UI"/>
                <w:b/>
                <w:bCs/>
                <w:sz w:val="18"/>
                <w:szCs w:val="18"/>
                <w:lang w:eastAsia="en-AU"/>
              </w:rPr>
              <w:t>3.4</w:t>
            </w:r>
          </w:p>
        </w:tc>
        <w:tc>
          <w:tcPr>
            <w:tcW w:w="940" w:type="dxa"/>
            <w:shd w:val="clear" w:color="auto" w:fill="F2F2F2" w:themeFill="background1" w:themeFillShade="F2"/>
            <w:noWrap/>
            <w:hideMark/>
          </w:tcPr>
          <w:p w14:paraId="2EBE3112" w14:textId="77777777" w:rsidR="00204D69" w:rsidRPr="005D3AA8" w:rsidRDefault="00204D69" w:rsidP="00782511">
            <w:pPr>
              <w:spacing w:after="0"/>
              <w:jc w:val="center"/>
              <w:rPr>
                <w:rFonts w:eastAsia="Times New Roman" w:cs="Segoe UI"/>
                <w:sz w:val="18"/>
                <w:szCs w:val="18"/>
                <w:lang w:eastAsia="en-AU"/>
              </w:rPr>
            </w:pPr>
            <w:r w:rsidRPr="005D3AA8">
              <w:rPr>
                <w:rFonts w:eastAsia="Times New Roman" w:cs="Segoe UI"/>
                <w:sz w:val="18"/>
                <w:szCs w:val="18"/>
                <w:lang w:eastAsia="en-AU"/>
              </w:rPr>
              <w:t>100%</w:t>
            </w:r>
          </w:p>
        </w:tc>
      </w:tr>
    </w:tbl>
    <w:p w14:paraId="2EBE3114" w14:textId="77777777" w:rsidR="00204D69" w:rsidRPr="00D255BF" w:rsidRDefault="00204D69" w:rsidP="00204D69">
      <w:pPr>
        <w:spacing w:after="120"/>
        <w:rPr>
          <w:sz w:val="16"/>
          <w:szCs w:val="16"/>
        </w:rPr>
      </w:pPr>
      <w:r w:rsidRPr="00D255BF">
        <w:rPr>
          <w:sz w:val="16"/>
          <w:szCs w:val="16"/>
        </w:rPr>
        <w:t>Note (1): As at 31 December 2013 per WBC Activity Report July to December 2013. Excludes casual cleaners.</w:t>
      </w:r>
    </w:p>
    <w:p w14:paraId="2EBE3115" w14:textId="77777777" w:rsidR="00204D69" w:rsidRDefault="00204D69" w:rsidP="00204D69">
      <w:pPr>
        <w:spacing w:before="240"/>
        <w:rPr>
          <w:lang w:eastAsia="x-none"/>
        </w:rPr>
      </w:pPr>
      <w:r>
        <w:rPr>
          <w:lang w:eastAsia="x-none"/>
        </w:rPr>
        <w:t xml:space="preserve">Based on the requirements of the service agreement and in the context of the provision of a SEWB service the </w:t>
      </w:r>
      <w:r w:rsidRPr="00F53670">
        <w:rPr>
          <w:lang w:eastAsia="x-none"/>
        </w:rPr>
        <w:t xml:space="preserve">WBC staff structure is sound and suited to the delivery of WBC services. </w:t>
      </w:r>
      <w:r w:rsidR="008A7EDF">
        <w:rPr>
          <w:lang w:eastAsia="x-none"/>
        </w:rPr>
        <w:t xml:space="preserve">No concerns were raised by the RFDS, partners, clients or community members with respect to the structural aspects of </w:t>
      </w:r>
      <w:r w:rsidR="008A7EDF">
        <w:rPr>
          <w:lang w:eastAsia="x-none"/>
        </w:rPr>
        <w:lastRenderedPageBreak/>
        <w:t xml:space="preserve">staffing. </w:t>
      </w:r>
      <w:r w:rsidRPr="00F53670">
        <w:rPr>
          <w:lang w:eastAsia="x-none"/>
        </w:rPr>
        <w:t>The mix of males and females is reasonable and there has been focus on the need for, and recruiting of, Indigenous staff wherever possible. The small number of Indigenous clinical staff members is a factor of availability and remote location and not the structure or culture of the WBC itself.</w:t>
      </w:r>
    </w:p>
    <w:p w14:paraId="2EBE3116" w14:textId="77777777" w:rsidR="00204D69" w:rsidRDefault="00204D69" w:rsidP="00204D69">
      <w:pPr>
        <w:rPr>
          <w:szCs w:val="20"/>
        </w:rPr>
      </w:pPr>
      <w:r>
        <w:rPr>
          <w:szCs w:val="20"/>
        </w:rPr>
        <w:t xml:space="preserve">Local </w:t>
      </w:r>
      <w:r w:rsidR="00B3366F">
        <w:rPr>
          <w:szCs w:val="20"/>
        </w:rPr>
        <w:t xml:space="preserve">Indigenous </w:t>
      </w:r>
      <w:r>
        <w:rPr>
          <w:szCs w:val="20"/>
        </w:rPr>
        <w:t>staff were reported as providing an invaluable role in ensuring close links with and knowledge of community in respect of both day-to-day issues and cultural aspects and sensitivities in the community. They enhance the ability of clinical staff to be effective.</w:t>
      </w:r>
    </w:p>
    <w:p w14:paraId="2EBE3117" w14:textId="77777777" w:rsidR="00204D69" w:rsidRDefault="00204D69" w:rsidP="00204D69">
      <w:pPr>
        <w:rPr>
          <w:lang w:eastAsia="en-AU"/>
        </w:rPr>
      </w:pPr>
      <w:r>
        <w:rPr>
          <w:lang w:eastAsia="en-AU"/>
        </w:rPr>
        <w:t xml:space="preserve">Approximately </w:t>
      </w:r>
      <w:r w:rsidRPr="00136CD5">
        <w:rPr>
          <w:lang w:eastAsia="en-AU"/>
        </w:rPr>
        <w:t>52% of time</w:t>
      </w:r>
      <w:r>
        <w:rPr>
          <w:lang w:eastAsia="en-AU"/>
        </w:rPr>
        <w:t xml:space="preserve"> of staff based in community</w:t>
      </w:r>
      <w:r w:rsidRPr="00136CD5">
        <w:rPr>
          <w:lang w:eastAsia="en-AU"/>
        </w:rPr>
        <w:t xml:space="preserve"> is spent on one-to-one therapy and support</w:t>
      </w:r>
      <w:r>
        <w:rPr>
          <w:lang w:eastAsia="en-AU"/>
        </w:rPr>
        <w:t xml:space="preserve">, </w:t>
      </w:r>
      <w:r w:rsidRPr="00136CD5">
        <w:rPr>
          <w:lang w:eastAsia="en-AU"/>
        </w:rPr>
        <w:t>20% on associated clinical support activities</w:t>
      </w:r>
      <w:r>
        <w:rPr>
          <w:lang w:eastAsia="en-AU"/>
        </w:rPr>
        <w:t xml:space="preserve"> and 28% on group activities</w:t>
      </w:r>
      <w:r w:rsidRPr="00136CD5">
        <w:rPr>
          <w:lang w:eastAsia="en-AU"/>
        </w:rPr>
        <w:t>. While there is no specific benchmark</w:t>
      </w:r>
      <w:r>
        <w:rPr>
          <w:lang w:eastAsia="en-AU"/>
        </w:rPr>
        <w:t xml:space="preserve"> this </w:t>
      </w:r>
      <w:r w:rsidRPr="00136CD5">
        <w:rPr>
          <w:lang w:eastAsia="en-AU"/>
        </w:rPr>
        <w:t>would appear reasonable in the context of the WBC service model</w:t>
      </w:r>
      <w:r>
        <w:rPr>
          <w:lang w:eastAsia="en-AU"/>
        </w:rPr>
        <w:t>.</w:t>
      </w:r>
    </w:p>
    <w:p w14:paraId="2EBE3118" w14:textId="77777777" w:rsidR="00204D69" w:rsidRDefault="00204D69" w:rsidP="00204D69">
      <w:pPr>
        <w:rPr>
          <w:lang w:eastAsia="en-AU"/>
        </w:rPr>
      </w:pPr>
      <w:r>
        <w:rPr>
          <w:lang w:eastAsia="en-AU"/>
        </w:rPr>
        <w:t>S</w:t>
      </w:r>
      <w:r w:rsidRPr="00136CD5">
        <w:rPr>
          <w:lang w:eastAsia="en-AU"/>
        </w:rPr>
        <w:t>taff are clear about their broad role, function and scope of practice</w:t>
      </w:r>
      <w:r>
        <w:rPr>
          <w:lang w:eastAsia="en-AU"/>
        </w:rPr>
        <w:t xml:space="preserve"> </w:t>
      </w:r>
      <w:r w:rsidRPr="00136CD5">
        <w:rPr>
          <w:lang w:eastAsia="en-AU"/>
        </w:rPr>
        <w:t>but this needs to be reinforced in th</w:t>
      </w:r>
      <w:r>
        <w:rPr>
          <w:lang w:eastAsia="en-AU"/>
        </w:rPr>
        <w:t xml:space="preserve">e context of the service model. </w:t>
      </w:r>
      <w:r w:rsidRPr="00136CD5">
        <w:rPr>
          <w:lang w:eastAsia="en-AU"/>
        </w:rPr>
        <w:t>Consistent with previous findings staff were confident in providing the relevant WBC services and felt they had the skills and experience and appropriate qualifications to provide those services</w:t>
      </w:r>
      <w:r>
        <w:rPr>
          <w:lang w:eastAsia="en-AU"/>
        </w:rPr>
        <w:t>.</w:t>
      </w:r>
    </w:p>
    <w:p w14:paraId="2EBE3119" w14:textId="77777777" w:rsidR="00204D69" w:rsidRDefault="00204D69" w:rsidP="00204D69">
      <w:pPr>
        <w:rPr>
          <w:lang w:eastAsia="en-AU"/>
        </w:rPr>
      </w:pPr>
      <w:r>
        <w:rPr>
          <w:lang w:eastAsia="en-AU"/>
        </w:rPr>
        <w:t>RFDS have made a substantial commitment and investment in the training and development of all staff. This is highly valued by staff. Overall staff are</w:t>
      </w:r>
      <w:r w:rsidRPr="00136CD5">
        <w:rPr>
          <w:lang w:eastAsia="en-AU"/>
        </w:rPr>
        <w:t xml:space="preserve"> supported, skilled and developed to address the ongoing requirements of the WBC service model.</w:t>
      </w:r>
    </w:p>
    <w:p w14:paraId="2EBE311A" w14:textId="77777777" w:rsidR="00204D69" w:rsidRDefault="00204D69" w:rsidP="00204D69">
      <w:pPr>
        <w:rPr>
          <w:lang w:eastAsia="en-AU"/>
        </w:rPr>
      </w:pPr>
      <w:r>
        <w:rPr>
          <w:lang w:eastAsia="en-AU"/>
        </w:rPr>
        <w:t xml:space="preserve">The </w:t>
      </w:r>
      <w:r w:rsidRPr="00291A60">
        <w:rPr>
          <w:lang w:eastAsia="en-AU"/>
        </w:rPr>
        <w:t xml:space="preserve">Queensland Aboriginal and Islander Health Council </w:t>
      </w:r>
      <w:r>
        <w:rPr>
          <w:lang w:eastAsia="en-AU"/>
        </w:rPr>
        <w:t>(QAIHC) has responsibility for rolling out the national SEWB workforce strategy in far North Queensland</w:t>
      </w:r>
      <w:r w:rsidR="005148C4">
        <w:rPr>
          <w:lang w:eastAsia="en-AU"/>
        </w:rPr>
        <w:t xml:space="preserve"> including identification of training needs and facilitation of appropriate training strategies</w:t>
      </w:r>
      <w:r>
        <w:rPr>
          <w:lang w:eastAsia="en-AU"/>
        </w:rPr>
        <w:t>. Engagement with the RFDS has been problematic to date as the infrastructure and activity of the RFDS has allowed the RFDS to develop the workforce without the assistance of QAIHC.</w:t>
      </w:r>
      <w:r w:rsidR="00643274">
        <w:rPr>
          <w:lang w:eastAsia="en-AU"/>
        </w:rPr>
        <w:t xml:space="preserve"> Indeed, the workforce development carried out by the RFDS has been substantial. </w:t>
      </w:r>
      <w:r>
        <w:rPr>
          <w:lang w:eastAsia="en-AU"/>
        </w:rPr>
        <w:t xml:space="preserve"> H</w:t>
      </w:r>
      <w:r w:rsidR="00643274">
        <w:rPr>
          <w:lang w:eastAsia="en-AU"/>
        </w:rPr>
        <w:t xml:space="preserve">owever, </w:t>
      </w:r>
      <w:r>
        <w:rPr>
          <w:lang w:eastAsia="en-AU"/>
        </w:rPr>
        <w:t>ongoing dialogue is now occurring</w:t>
      </w:r>
      <w:r w:rsidR="00643274">
        <w:rPr>
          <w:lang w:eastAsia="en-AU"/>
        </w:rPr>
        <w:t xml:space="preserve"> between the RFDS and QAIHC and it is anticipated that this will result in more collaborative approaches to workforce development</w:t>
      </w:r>
      <w:r>
        <w:rPr>
          <w:lang w:eastAsia="en-AU"/>
        </w:rPr>
        <w:t>.</w:t>
      </w:r>
    </w:p>
    <w:p w14:paraId="2EBE311B" w14:textId="77777777" w:rsidR="00204D69" w:rsidRPr="00291A60" w:rsidRDefault="00204D69" w:rsidP="00BC0A26">
      <w:pPr>
        <w:pStyle w:val="Heading3"/>
        <w:rPr>
          <w:lang w:val="en-AU"/>
        </w:rPr>
      </w:pPr>
      <w:r w:rsidRPr="00291A60">
        <w:t>Capacity building of local staff</w:t>
      </w:r>
    </w:p>
    <w:p w14:paraId="2EBE311C" w14:textId="77777777" w:rsidR="00204D69" w:rsidRDefault="00204D69" w:rsidP="00204D69">
      <w:pPr>
        <w:rPr>
          <w:lang w:eastAsia="en-AU"/>
        </w:rPr>
      </w:pPr>
      <w:r w:rsidRPr="00522B6B">
        <w:rPr>
          <w:lang w:eastAsia="en-AU"/>
        </w:rPr>
        <w:t xml:space="preserve">Local </w:t>
      </w:r>
      <w:r w:rsidR="00B3366F">
        <w:rPr>
          <w:lang w:eastAsia="en-AU"/>
        </w:rPr>
        <w:t xml:space="preserve">Indigenous </w:t>
      </w:r>
      <w:r w:rsidRPr="00522B6B">
        <w:rPr>
          <w:lang w:eastAsia="en-AU"/>
        </w:rPr>
        <w:t xml:space="preserve">staff who are employed as </w:t>
      </w:r>
      <w:r>
        <w:rPr>
          <w:lang w:eastAsia="en-AU"/>
        </w:rPr>
        <w:t>CDCs</w:t>
      </w:r>
      <w:r w:rsidRPr="00522B6B">
        <w:rPr>
          <w:lang w:eastAsia="en-AU"/>
        </w:rPr>
        <w:t xml:space="preserve"> comprised 7 FTE (2</w:t>
      </w:r>
      <w:r>
        <w:rPr>
          <w:lang w:eastAsia="en-AU"/>
        </w:rPr>
        <w:t>3</w:t>
      </w:r>
      <w:r w:rsidRPr="00522B6B">
        <w:rPr>
          <w:lang w:eastAsia="en-AU"/>
        </w:rPr>
        <w:t>% of the FTE) as at 31 December 201</w:t>
      </w:r>
      <w:r>
        <w:rPr>
          <w:lang w:eastAsia="en-AU"/>
        </w:rPr>
        <w:t>3</w:t>
      </w:r>
      <w:r w:rsidRPr="00522B6B">
        <w:rPr>
          <w:lang w:eastAsia="en-AU"/>
        </w:rPr>
        <w:t>.</w:t>
      </w:r>
      <w:r>
        <w:rPr>
          <w:lang w:eastAsia="en-AU"/>
        </w:rPr>
        <w:t xml:space="preserve"> Their primary purpose is to facilitate appropriate community engagement through:</w:t>
      </w:r>
    </w:p>
    <w:p w14:paraId="2EBE311D" w14:textId="77777777" w:rsidR="00204D69" w:rsidRDefault="00C56FF7" w:rsidP="0083588E">
      <w:pPr>
        <w:numPr>
          <w:ilvl w:val="0"/>
          <w:numId w:val="5"/>
        </w:numPr>
        <w:rPr>
          <w:lang w:eastAsia="en-AU"/>
        </w:rPr>
      </w:pPr>
      <w:r>
        <w:rPr>
          <w:lang w:eastAsia="en-AU"/>
        </w:rPr>
        <w:t>Being a credible local person</w:t>
      </w:r>
    </w:p>
    <w:p w14:paraId="2EBE311E" w14:textId="77777777" w:rsidR="00204D69" w:rsidRDefault="00C56FF7" w:rsidP="0083588E">
      <w:pPr>
        <w:numPr>
          <w:ilvl w:val="0"/>
          <w:numId w:val="5"/>
        </w:numPr>
        <w:rPr>
          <w:lang w:eastAsia="en-AU"/>
        </w:rPr>
      </w:pPr>
      <w:r>
        <w:rPr>
          <w:lang w:eastAsia="en-AU"/>
        </w:rPr>
        <w:t>Vouching for the credibility of non-local staff and the service in the community</w:t>
      </w:r>
    </w:p>
    <w:p w14:paraId="2EBE311F" w14:textId="77777777" w:rsidR="00204D69" w:rsidRDefault="00C56FF7" w:rsidP="0083588E">
      <w:pPr>
        <w:numPr>
          <w:ilvl w:val="0"/>
          <w:numId w:val="5"/>
        </w:numPr>
        <w:rPr>
          <w:lang w:eastAsia="en-AU"/>
        </w:rPr>
      </w:pPr>
      <w:r>
        <w:rPr>
          <w:lang w:eastAsia="en-AU"/>
        </w:rPr>
        <w:t>Assisting in orienting new staff to the cultural expectations of that specific community</w:t>
      </w:r>
    </w:p>
    <w:p w14:paraId="2EBE3120" w14:textId="77777777" w:rsidR="00204D69" w:rsidRDefault="00C56FF7" w:rsidP="0083588E">
      <w:pPr>
        <w:numPr>
          <w:ilvl w:val="0"/>
          <w:numId w:val="5"/>
        </w:numPr>
        <w:rPr>
          <w:lang w:eastAsia="en-AU"/>
        </w:rPr>
      </w:pPr>
      <w:r>
        <w:rPr>
          <w:lang w:eastAsia="en-AU"/>
        </w:rPr>
        <w:t>Assisting other team members with relevant and appropriate information concerning the community members and clients</w:t>
      </w:r>
    </w:p>
    <w:p w14:paraId="2EBE3121" w14:textId="77777777" w:rsidR="00204D69" w:rsidRDefault="00C56FF7" w:rsidP="0083588E">
      <w:pPr>
        <w:numPr>
          <w:ilvl w:val="0"/>
          <w:numId w:val="5"/>
        </w:numPr>
        <w:rPr>
          <w:lang w:eastAsia="en-AU"/>
        </w:rPr>
      </w:pPr>
      <w:r>
        <w:rPr>
          <w:lang w:eastAsia="en-AU"/>
        </w:rPr>
        <w:t>Facili</w:t>
      </w:r>
      <w:r w:rsidR="00204D69">
        <w:rPr>
          <w:lang w:eastAsia="en-AU"/>
        </w:rPr>
        <w:t>tating or supporting the delivery of the range of WBC programs.</w:t>
      </w:r>
    </w:p>
    <w:p w14:paraId="2EBE3122" w14:textId="77777777" w:rsidR="00204D69" w:rsidRDefault="00204D69" w:rsidP="00204D69">
      <w:pPr>
        <w:rPr>
          <w:lang w:eastAsia="x-none"/>
        </w:rPr>
      </w:pPr>
      <w:r>
        <w:rPr>
          <w:lang w:eastAsia="x-none"/>
        </w:rPr>
        <w:t>The need to enhance local staff to become more proactive and lead community development and some group activities, undertake some more formal counselling and participate in planned health checks has been recognised by the RFDS and there is evidence that this is being achieved particularly in Coen, Hopevale, and Mossman Gorge</w:t>
      </w:r>
      <w:r w:rsidR="00643274">
        <w:rPr>
          <w:lang w:eastAsia="x-none"/>
        </w:rPr>
        <w:t xml:space="preserve"> where there is more long standing local staff and greater readiness for further responsibility</w:t>
      </w:r>
      <w:r>
        <w:rPr>
          <w:lang w:eastAsia="x-none"/>
        </w:rPr>
        <w:t>.</w:t>
      </w:r>
    </w:p>
    <w:p w14:paraId="2EBE3123" w14:textId="77777777" w:rsidR="00204D69" w:rsidRDefault="00204D69" w:rsidP="00204D69">
      <w:pPr>
        <w:rPr>
          <w:color w:val="auto"/>
          <w:lang w:eastAsia="en-AU"/>
        </w:rPr>
      </w:pPr>
      <w:r>
        <w:rPr>
          <w:lang w:eastAsia="en-AU"/>
        </w:rPr>
        <w:lastRenderedPageBreak/>
        <w:t>Partly in recognition of this, CDCs have been trained to facilitate Aboriginal Mental Health First Aid (AMHFA) and are expected to facilitate up to three community based courses per annum depending on demand, capacity and time.</w:t>
      </w:r>
      <w:r w:rsidRPr="00560212">
        <w:rPr>
          <w:vertAlign w:val="superscript"/>
          <w:lang w:eastAsia="x-none"/>
        </w:rPr>
        <w:footnoteReference w:id="40"/>
      </w:r>
      <w:r>
        <w:rPr>
          <w:lang w:eastAsia="en-AU"/>
        </w:rPr>
        <w:t xml:space="preserve"> </w:t>
      </w:r>
      <w:r w:rsidRPr="00F04F12">
        <w:rPr>
          <w:color w:val="auto"/>
          <w:lang w:eastAsia="en-AU"/>
        </w:rPr>
        <w:t xml:space="preserve">To date 10 </w:t>
      </w:r>
      <w:r>
        <w:rPr>
          <w:color w:val="auto"/>
          <w:lang w:eastAsia="en-AU"/>
        </w:rPr>
        <w:t>CDCs</w:t>
      </w:r>
      <w:r w:rsidRPr="00F04F12">
        <w:rPr>
          <w:color w:val="auto"/>
          <w:lang w:eastAsia="en-AU"/>
        </w:rPr>
        <w:t xml:space="preserve"> have undertaken this training and </w:t>
      </w:r>
      <w:r w:rsidRPr="00F04F12">
        <w:rPr>
          <w:color w:val="auto"/>
          <w:szCs w:val="22"/>
        </w:rPr>
        <w:t xml:space="preserve">of these, </w:t>
      </w:r>
      <w:r w:rsidRPr="00F04F12">
        <w:rPr>
          <w:color w:val="auto"/>
          <w:lang w:eastAsia="en-AU"/>
        </w:rPr>
        <w:t>three have commenced facilitating courses as the lead trainer and three have participated in running courses</w:t>
      </w:r>
      <w:r>
        <w:rPr>
          <w:color w:val="auto"/>
          <w:lang w:eastAsia="en-AU"/>
        </w:rPr>
        <w:t xml:space="preserve">. </w:t>
      </w:r>
      <w:r>
        <w:rPr>
          <w:color w:val="auto"/>
          <w:lang w:eastAsia="en-AU"/>
        </w:rPr>
        <w:fldChar w:fldCharType="begin"/>
      </w:r>
      <w:r>
        <w:rPr>
          <w:color w:val="auto"/>
          <w:lang w:eastAsia="en-AU"/>
        </w:rPr>
        <w:instrText xml:space="preserve"> REF _Ref387393729 \h </w:instrText>
      </w:r>
      <w:r>
        <w:rPr>
          <w:color w:val="auto"/>
          <w:lang w:eastAsia="en-AU"/>
        </w:rPr>
      </w:r>
      <w:r>
        <w:rPr>
          <w:color w:val="auto"/>
          <w:lang w:eastAsia="en-AU"/>
        </w:rPr>
        <w:fldChar w:fldCharType="separate"/>
      </w:r>
      <w:r w:rsidR="009A19EB">
        <w:t xml:space="preserve">Table </w:t>
      </w:r>
      <w:r w:rsidR="009A19EB">
        <w:rPr>
          <w:noProof/>
        </w:rPr>
        <w:t>3</w:t>
      </w:r>
      <w:r w:rsidR="009A19EB">
        <w:t>.</w:t>
      </w:r>
      <w:r w:rsidR="009A19EB">
        <w:rPr>
          <w:noProof/>
        </w:rPr>
        <w:t>4</w:t>
      </w:r>
      <w:r>
        <w:rPr>
          <w:color w:val="auto"/>
          <w:lang w:eastAsia="en-AU"/>
        </w:rPr>
        <w:fldChar w:fldCharType="end"/>
      </w:r>
      <w:r>
        <w:rPr>
          <w:color w:val="auto"/>
          <w:lang w:eastAsia="en-AU"/>
        </w:rPr>
        <w:t xml:space="preserve"> highlights additional information regarding indigenous staff activity in the July to December 2013 period.</w:t>
      </w:r>
    </w:p>
    <w:p w14:paraId="2EBE3124" w14:textId="3765FCA4" w:rsidR="00204D69" w:rsidRPr="006F28F3" w:rsidRDefault="00AA7DC9" w:rsidP="00AA7DC9">
      <w:pPr>
        <w:pStyle w:val="Caption"/>
      </w:pPr>
      <w:bookmarkStart w:id="189" w:name="_Toc392686441"/>
      <w:bookmarkStart w:id="190" w:name="_Ref387393729"/>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4</w:t>
      </w:r>
      <w:r>
        <w:fldChar w:fldCharType="end"/>
      </w:r>
      <w:bookmarkEnd w:id="190"/>
      <w:r w:rsidR="00204D69">
        <w:t>: Indigenous staff activity</w:t>
      </w:r>
      <w:bookmarkEnd w:id="189"/>
    </w:p>
    <w:tbl>
      <w:tblPr>
        <w:tblStyle w:val="Hoi2"/>
        <w:tblW w:w="0" w:type="auto"/>
        <w:tblLook w:val="04A0" w:firstRow="1" w:lastRow="0" w:firstColumn="1" w:lastColumn="0" w:noHBand="0" w:noVBand="1"/>
        <w:tblCaption w:val="Table 3.4: Indigenous staff activity"/>
        <w:tblDescription w:val="Table 3.4 is a table that presents the activities provided by Indigenous staff at the WBCs.  The first column lists the activity performed and the second column contains the number of times the activity was performed, with some cells containing information on where the activity was performed or the FTE value of people performing the activity. "/>
      </w:tblPr>
      <w:tblGrid>
        <w:gridCol w:w="4219"/>
        <w:gridCol w:w="4644"/>
      </w:tblGrid>
      <w:tr w:rsidR="00204D69" w:rsidRPr="00B12889" w14:paraId="2EBE3127" w14:textId="77777777" w:rsidTr="00377FC2">
        <w:trPr>
          <w:cnfStyle w:val="100000000000" w:firstRow="1" w:lastRow="0" w:firstColumn="0" w:lastColumn="0" w:oddVBand="0" w:evenVBand="0" w:oddHBand="0" w:evenHBand="0" w:firstRowFirstColumn="0" w:firstRowLastColumn="0" w:lastRowFirstColumn="0" w:lastRowLastColumn="0"/>
          <w:tblHeader/>
        </w:trPr>
        <w:tc>
          <w:tcPr>
            <w:tcW w:w="4219" w:type="dxa"/>
          </w:tcPr>
          <w:p w14:paraId="2EBE3125" w14:textId="77777777" w:rsidR="00204D69" w:rsidRPr="00183BF2" w:rsidRDefault="00204D69" w:rsidP="00782511">
            <w:pPr>
              <w:rPr>
                <w:rFonts w:ascii="Segoe UI" w:hAnsi="Segoe UI" w:cs="Segoe UI"/>
                <w:b/>
                <w:sz w:val="18"/>
                <w:szCs w:val="18"/>
                <w:lang w:eastAsia="x-none"/>
              </w:rPr>
            </w:pPr>
            <w:r w:rsidRPr="00183BF2">
              <w:rPr>
                <w:rFonts w:ascii="Segoe UI" w:hAnsi="Segoe UI" w:cs="Segoe UI"/>
                <w:b/>
                <w:sz w:val="18"/>
                <w:szCs w:val="18"/>
                <w:lang w:eastAsia="x-none"/>
              </w:rPr>
              <w:t>Item</w:t>
            </w:r>
          </w:p>
        </w:tc>
        <w:tc>
          <w:tcPr>
            <w:tcW w:w="4644" w:type="dxa"/>
          </w:tcPr>
          <w:p w14:paraId="2EBE3126" w14:textId="77777777" w:rsidR="00204D69" w:rsidRPr="00183BF2" w:rsidRDefault="00204D69" w:rsidP="00782511">
            <w:pPr>
              <w:rPr>
                <w:rFonts w:ascii="Segoe UI" w:hAnsi="Segoe UI" w:cs="Segoe UI"/>
                <w:b/>
                <w:sz w:val="18"/>
                <w:szCs w:val="18"/>
                <w:lang w:eastAsia="x-none"/>
              </w:rPr>
            </w:pPr>
            <w:r w:rsidRPr="00183BF2">
              <w:rPr>
                <w:rFonts w:ascii="Segoe UI" w:hAnsi="Segoe UI" w:cs="Segoe UI"/>
                <w:b/>
                <w:sz w:val="18"/>
                <w:szCs w:val="18"/>
                <w:lang w:eastAsia="x-none"/>
              </w:rPr>
              <w:t>Number</w:t>
            </w:r>
          </w:p>
        </w:tc>
      </w:tr>
      <w:tr w:rsidR="00204D69" w:rsidRPr="00B12889" w14:paraId="2EBE312A" w14:textId="77777777" w:rsidTr="00782511">
        <w:tc>
          <w:tcPr>
            <w:tcW w:w="4219" w:type="dxa"/>
            <w:shd w:val="clear" w:color="auto" w:fill="F2F2F2" w:themeFill="background1" w:themeFillShade="F2"/>
          </w:tcPr>
          <w:p w14:paraId="2EBE3128" w14:textId="77777777" w:rsidR="00204D69" w:rsidRPr="00183BF2" w:rsidRDefault="00204D69" w:rsidP="00782511">
            <w:pPr>
              <w:rPr>
                <w:rFonts w:cs="Segoe UI"/>
                <w:sz w:val="18"/>
                <w:szCs w:val="18"/>
                <w:lang w:eastAsia="x-none"/>
              </w:rPr>
            </w:pPr>
            <w:r w:rsidRPr="00183BF2">
              <w:rPr>
                <w:rFonts w:cs="Segoe UI"/>
                <w:sz w:val="18"/>
                <w:szCs w:val="18"/>
                <w:lang w:eastAsia="x-none"/>
              </w:rPr>
              <w:t>Number of workshops/prog</w:t>
            </w:r>
            <w:r w:rsidR="000C717F">
              <w:rPr>
                <w:rFonts w:cs="Segoe UI"/>
                <w:sz w:val="18"/>
                <w:szCs w:val="18"/>
                <w:lang w:eastAsia="x-none"/>
              </w:rPr>
              <w:t>rammes lead by indigenous staff</w:t>
            </w:r>
          </w:p>
        </w:tc>
        <w:tc>
          <w:tcPr>
            <w:tcW w:w="4644" w:type="dxa"/>
            <w:shd w:val="clear" w:color="auto" w:fill="F2F2F2" w:themeFill="background1" w:themeFillShade="F2"/>
          </w:tcPr>
          <w:p w14:paraId="2EBE3129" w14:textId="77777777" w:rsidR="00204D69" w:rsidRPr="00183BF2" w:rsidRDefault="00204D69" w:rsidP="00782511">
            <w:pPr>
              <w:rPr>
                <w:rFonts w:cs="Segoe UI"/>
                <w:sz w:val="18"/>
                <w:szCs w:val="18"/>
                <w:lang w:eastAsia="x-none"/>
              </w:rPr>
            </w:pPr>
            <w:r w:rsidRPr="00183BF2">
              <w:rPr>
                <w:rFonts w:cs="Segoe UI"/>
                <w:sz w:val="18"/>
                <w:szCs w:val="18"/>
                <w:lang w:eastAsia="x-none"/>
              </w:rPr>
              <w:t>161 (3 Aurukun, 95 Coen, 25 hope Vale, 38 Mossman Gorge)</w:t>
            </w:r>
          </w:p>
        </w:tc>
      </w:tr>
      <w:tr w:rsidR="00204D69" w:rsidRPr="00B12889" w14:paraId="2EBE312D" w14:textId="77777777" w:rsidTr="00782511">
        <w:tc>
          <w:tcPr>
            <w:tcW w:w="4219" w:type="dxa"/>
            <w:shd w:val="clear" w:color="auto" w:fill="F2F2F2" w:themeFill="background1" w:themeFillShade="F2"/>
          </w:tcPr>
          <w:p w14:paraId="2EBE312B" w14:textId="77777777" w:rsidR="00204D69" w:rsidRPr="00183BF2" w:rsidRDefault="00204D69" w:rsidP="00782511">
            <w:pPr>
              <w:rPr>
                <w:rFonts w:cs="Segoe UI"/>
                <w:sz w:val="18"/>
                <w:szCs w:val="18"/>
                <w:lang w:eastAsia="x-none"/>
              </w:rPr>
            </w:pPr>
            <w:r w:rsidRPr="00183BF2">
              <w:rPr>
                <w:rFonts w:cs="Segoe UI"/>
                <w:sz w:val="18"/>
                <w:szCs w:val="18"/>
                <w:lang w:eastAsia="x-none"/>
              </w:rPr>
              <w:t>Number of workshops programs co-facilitated by indigenous staff</w:t>
            </w:r>
          </w:p>
        </w:tc>
        <w:tc>
          <w:tcPr>
            <w:tcW w:w="4644" w:type="dxa"/>
            <w:shd w:val="clear" w:color="auto" w:fill="F2F2F2" w:themeFill="background1" w:themeFillShade="F2"/>
          </w:tcPr>
          <w:p w14:paraId="2EBE312C" w14:textId="77777777" w:rsidR="00204D69" w:rsidRPr="00183BF2" w:rsidRDefault="00204D69" w:rsidP="00782511">
            <w:pPr>
              <w:rPr>
                <w:rFonts w:cs="Segoe UI"/>
                <w:sz w:val="18"/>
                <w:szCs w:val="18"/>
                <w:lang w:eastAsia="x-none"/>
              </w:rPr>
            </w:pPr>
            <w:r w:rsidRPr="00183BF2">
              <w:rPr>
                <w:rFonts w:cs="Segoe UI"/>
                <w:sz w:val="18"/>
                <w:szCs w:val="18"/>
                <w:lang w:eastAsia="x-none"/>
              </w:rPr>
              <w:t>102  (4 Aurukun, 48 Coen, 33 Hopevale, 17 Mossman Gorge)</w:t>
            </w:r>
          </w:p>
        </w:tc>
      </w:tr>
      <w:tr w:rsidR="00204D69" w:rsidRPr="00B12889" w14:paraId="2EBE3130" w14:textId="77777777" w:rsidTr="00782511">
        <w:tc>
          <w:tcPr>
            <w:tcW w:w="4219" w:type="dxa"/>
            <w:shd w:val="clear" w:color="auto" w:fill="F2F2F2" w:themeFill="background1" w:themeFillShade="F2"/>
          </w:tcPr>
          <w:p w14:paraId="2EBE312E" w14:textId="77777777" w:rsidR="00204D69" w:rsidRPr="00183BF2" w:rsidRDefault="00204D69" w:rsidP="00782511">
            <w:pPr>
              <w:rPr>
                <w:rFonts w:cs="Segoe UI"/>
                <w:sz w:val="18"/>
                <w:szCs w:val="18"/>
                <w:lang w:eastAsia="x-none"/>
              </w:rPr>
            </w:pPr>
            <w:r w:rsidRPr="00183BF2">
              <w:rPr>
                <w:rFonts w:cs="Segoe UI"/>
                <w:sz w:val="18"/>
                <w:szCs w:val="18"/>
                <w:lang w:eastAsia="x-none"/>
              </w:rPr>
              <w:t>Community worker diploma attained or enrolled</w:t>
            </w:r>
          </w:p>
        </w:tc>
        <w:tc>
          <w:tcPr>
            <w:tcW w:w="4644" w:type="dxa"/>
            <w:shd w:val="clear" w:color="auto" w:fill="F2F2F2" w:themeFill="background1" w:themeFillShade="F2"/>
          </w:tcPr>
          <w:p w14:paraId="2EBE312F" w14:textId="77777777" w:rsidR="00204D69" w:rsidRPr="00183BF2" w:rsidRDefault="00204D69" w:rsidP="00782511">
            <w:pPr>
              <w:rPr>
                <w:rFonts w:cs="Segoe UI"/>
                <w:sz w:val="18"/>
                <w:szCs w:val="18"/>
                <w:lang w:eastAsia="x-none"/>
              </w:rPr>
            </w:pPr>
            <w:r w:rsidRPr="00183BF2">
              <w:rPr>
                <w:rFonts w:cs="Segoe UI"/>
                <w:sz w:val="18"/>
                <w:szCs w:val="18"/>
                <w:lang w:eastAsia="x-none"/>
              </w:rPr>
              <w:t>5 FTEs CDCs out of 7 FTE</w:t>
            </w:r>
          </w:p>
        </w:tc>
      </w:tr>
      <w:tr w:rsidR="00204D69" w:rsidRPr="00B12889" w14:paraId="2EBE3135" w14:textId="77777777" w:rsidTr="00782511">
        <w:tc>
          <w:tcPr>
            <w:tcW w:w="4219" w:type="dxa"/>
            <w:shd w:val="clear" w:color="auto" w:fill="F2F2F2" w:themeFill="background1" w:themeFillShade="F2"/>
          </w:tcPr>
          <w:p w14:paraId="2EBE3131" w14:textId="77777777" w:rsidR="00204D69" w:rsidRPr="00183BF2" w:rsidRDefault="00204D69" w:rsidP="00782511">
            <w:pPr>
              <w:rPr>
                <w:rFonts w:cs="Segoe UI"/>
                <w:sz w:val="18"/>
                <w:szCs w:val="18"/>
                <w:lang w:eastAsia="x-none"/>
              </w:rPr>
            </w:pPr>
            <w:r w:rsidRPr="00183BF2">
              <w:rPr>
                <w:rFonts w:cs="Segoe UI"/>
                <w:sz w:val="18"/>
                <w:szCs w:val="18"/>
                <w:lang w:eastAsia="x-none"/>
              </w:rPr>
              <w:t>Number of CDCs who have undertaken AMHFA training and facilitated the program</w:t>
            </w:r>
          </w:p>
        </w:tc>
        <w:tc>
          <w:tcPr>
            <w:tcW w:w="4644" w:type="dxa"/>
            <w:shd w:val="clear" w:color="auto" w:fill="F2F2F2" w:themeFill="background1" w:themeFillShade="F2"/>
          </w:tcPr>
          <w:p w14:paraId="2EBE3132" w14:textId="77777777" w:rsidR="00204D69" w:rsidRPr="00183BF2" w:rsidRDefault="00204D69" w:rsidP="00782511">
            <w:pPr>
              <w:rPr>
                <w:rFonts w:cs="Segoe UI"/>
                <w:sz w:val="18"/>
                <w:szCs w:val="18"/>
                <w:lang w:eastAsia="x-none"/>
              </w:rPr>
            </w:pPr>
            <w:r w:rsidRPr="00183BF2">
              <w:rPr>
                <w:rFonts w:cs="Segoe UI"/>
                <w:sz w:val="18"/>
                <w:szCs w:val="18"/>
                <w:lang w:eastAsia="x-none"/>
              </w:rPr>
              <w:t>10 undertaken training</w:t>
            </w:r>
          </w:p>
          <w:p w14:paraId="2EBE3133" w14:textId="77777777" w:rsidR="00204D69" w:rsidRPr="00183BF2" w:rsidRDefault="00204D69" w:rsidP="00782511">
            <w:pPr>
              <w:rPr>
                <w:rFonts w:cs="Segoe UI"/>
                <w:sz w:val="18"/>
                <w:szCs w:val="18"/>
                <w:lang w:eastAsia="x-none"/>
              </w:rPr>
            </w:pPr>
            <w:r w:rsidRPr="00183BF2">
              <w:rPr>
                <w:rFonts w:cs="Segoe UI"/>
                <w:sz w:val="18"/>
                <w:szCs w:val="18"/>
                <w:lang w:eastAsia="x-none"/>
              </w:rPr>
              <w:t>3 commenced facilitating</w:t>
            </w:r>
          </w:p>
          <w:p w14:paraId="2EBE3134" w14:textId="77777777" w:rsidR="00204D69" w:rsidRPr="00183BF2" w:rsidRDefault="00204D69" w:rsidP="00782511">
            <w:pPr>
              <w:rPr>
                <w:rFonts w:cs="Segoe UI"/>
                <w:sz w:val="18"/>
                <w:szCs w:val="18"/>
                <w:lang w:eastAsia="x-none"/>
              </w:rPr>
            </w:pPr>
            <w:r w:rsidRPr="00183BF2">
              <w:rPr>
                <w:rFonts w:cs="Segoe UI"/>
                <w:sz w:val="18"/>
                <w:szCs w:val="18"/>
                <w:lang w:eastAsia="x-none"/>
              </w:rPr>
              <w:t>3 assistant facilitators</w:t>
            </w:r>
          </w:p>
        </w:tc>
      </w:tr>
    </w:tbl>
    <w:p w14:paraId="2EBE3136" w14:textId="77777777" w:rsidR="00204D69" w:rsidRPr="00B12889" w:rsidRDefault="00204D69" w:rsidP="00204D69">
      <w:pPr>
        <w:rPr>
          <w:sz w:val="16"/>
          <w:szCs w:val="16"/>
          <w:lang w:eastAsia="x-none"/>
        </w:rPr>
      </w:pPr>
      <w:r w:rsidRPr="00B12889">
        <w:rPr>
          <w:sz w:val="16"/>
          <w:szCs w:val="16"/>
          <w:lang w:eastAsia="x-none"/>
        </w:rPr>
        <w:t>Note (1): Source Cape York WBC’s Six Monthly Report July – December 2013)</w:t>
      </w:r>
      <w:r>
        <w:rPr>
          <w:sz w:val="16"/>
          <w:szCs w:val="16"/>
          <w:lang w:eastAsia="x-none"/>
        </w:rPr>
        <w:t>.</w:t>
      </w:r>
    </w:p>
    <w:p w14:paraId="2EBE3137" w14:textId="77777777" w:rsidR="00204D69" w:rsidRDefault="00204D69" w:rsidP="00204D69">
      <w:pPr>
        <w:spacing w:before="120"/>
        <w:rPr>
          <w:color w:val="auto"/>
          <w:lang w:eastAsia="en-AU"/>
        </w:rPr>
      </w:pPr>
      <w:r w:rsidRPr="00F04F12">
        <w:rPr>
          <w:color w:val="auto"/>
          <w:lang w:eastAsia="en-AU"/>
        </w:rPr>
        <w:t xml:space="preserve">Based on interviews with management and staff and feedback from partners, HOI consider that </w:t>
      </w:r>
      <w:r>
        <w:rPr>
          <w:color w:val="auto"/>
          <w:lang w:eastAsia="en-AU"/>
        </w:rPr>
        <w:t>CDCs</w:t>
      </w:r>
      <w:r w:rsidRPr="00F04F12">
        <w:rPr>
          <w:color w:val="auto"/>
          <w:lang w:eastAsia="en-AU"/>
        </w:rPr>
        <w:t xml:space="preserve"> have largely fulfilled their role as outlined above. However, as has been recognised it is </w:t>
      </w:r>
      <w:r>
        <w:rPr>
          <w:color w:val="auto"/>
          <w:lang w:eastAsia="en-AU"/>
        </w:rPr>
        <w:t xml:space="preserve">important </w:t>
      </w:r>
      <w:r w:rsidRPr="00F04F12">
        <w:rPr>
          <w:color w:val="auto"/>
          <w:lang w:eastAsia="en-AU"/>
        </w:rPr>
        <w:t>they take a more active and central role in facilitating and delivering relevan</w:t>
      </w:r>
      <w:r>
        <w:rPr>
          <w:color w:val="auto"/>
          <w:lang w:eastAsia="en-AU"/>
        </w:rPr>
        <w:t>t programs or parts of programs. In addition in some cases there is capacity for staff to assume leadership roles.</w:t>
      </w:r>
    </w:p>
    <w:p w14:paraId="2EBE3138" w14:textId="77777777" w:rsidR="00204D69" w:rsidRPr="00F04F12" w:rsidRDefault="00204D69" w:rsidP="00204D69">
      <w:pPr>
        <w:spacing w:before="120"/>
        <w:rPr>
          <w:color w:val="auto"/>
          <w:lang w:eastAsia="en-AU"/>
        </w:rPr>
      </w:pPr>
      <w:r>
        <w:rPr>
          <w:color w:val="auto"/>
          <w:lang w:eastAsia="en-AU"/>
        </w:rPr>
        <w:t>RFDS management have reported the employment and capacity development of local indigenous staff, who in some cases are now excellent role models for other community members, has been a key success for the WBCs. This will be further enhanced as they move to adopt a leadership role as per discussion in Chapter 5.</w:t>
      </w:r>
    </w:p>
    <w:p w14:paraId="2EBE3139" w14:textId="77777777" w:rsidR="00204D69" w:rsidRPr="00560212" w:rsidRDefault="00204D69" w:rsidP="00204D69">
      <w:pPr>
        <w:rPr>
          <w:lang w:eastAsia="x-none"/>
        </w:rPr>
      </w:pPr>
      <w:r w:rsidRPr="00560212">
        <w:rPr>
          <w:lang w:eastAsia="x-none"/>
        </w:rPr>
        <w:t>Key support strategies for local staff include:</w:t>
      </w:r>
    </w:p>
    <w:p w14:paraId="2EBE313A" w14:textId="77777777" w:rsidR="00204D69" w:rsidRPr="00560212" w:rsidRDefault="00C56FF7" w:rsidP="0083588E">
      <w:pPr>
        <w:numPr>
          <w:ilvl w:val="0"/>
          <w:numId w:val="11"/>
        </w:numPr>
        <w:rPr>
          <w:lang w:eastAsia="x-none"/>
        </w:rPr>
      </w:pPr>
      <w:r>
        <w:rPr>
          <w:lang w:eastAsia="x-none"/>
        </w:rPr>
        <w:t>Team l</w:t>
      </w:r>
      <w:r w:rsidR="00204D69" w:rsidRPr="00560212">
        <w:rPr>
          <w:lang w:eastAsia="x-none"/>
        </w:rPr>
        <w:t>eader identifies and arranges support for local staff</w:t>
      </w:r>
    </w:p>
    <w:p w14:paraId="2EBE313B" w14:textId="77777777" w:rsidR="00204D69" w:rsidRPr="00560212" w:rsidRDefault="00C56FF7" w:rsidP="0083588E">
      <w:pPr>
        <w:numPr>
          <w:ilvl w:val="0"/>
          <w:numId w:val="11"/>
        </w:numPr>
        <w:rPr>
          <w:lang w:eastAsia="x-none"/>
        </w:rPr>
      </w:pPr>
      <w:r>
        <w:rPr>
          <w:lang w:eastAsia="x-none"/>
        </w:rPr>
        <w:t>F</w:t>
      </w:r>
      <w:r w:rsidR="00204D69" w:rsidRPr="00560212">
        <w:rPr>
          <w:lang w:eastAsia="x-none"/>
        </w:rPr>
        <w:t>lexibility (for cultural purposes) in interpreting HR policies and procedures in relation to local staff although this can create potential and/or real tensions with more formal HR policies</w:t>
      </w:r>
    </w:p>
    <w:p w14:paraId="2EBE313C" w14:textId="77777777" w:rsidR="00204D69" w:rsidRPr="00560212" w:rsidRDefault="00204D69" w:rsidP="0083588E">
      <w:pPr>
        <w:numPr>
          <w:ilvl w:val="0"/>
          <w:numId w:val="11"/>
        </w:numPr>
        <w:rPr>
          <w:lang w:eastAsia="x-none"/>
        </w:rPr>
      </w:pPr>
      <w:r w:rsidRPr="00560212">
        <w:rPr>
          <w:lang w:eastAsia="x-none"/>
        </w:rPr>
        <w:t>RFDS employ senior Indigenous staff who are available to provide support, as local workers are not likely to use the employee assistance scheme</w:t>
      </w:r>
    </w:p>
    <w:p w14:paraId="2EBE313D" w14:textId="77777777" w:rsidR="00204D69" w:rsidRPr="00560212" w:rsidRDefault="00C56FF7" w:rsidP="0083588E">
      <w:pPr>
        <w:numPr>
          <w:ilvl w:val="0"/>
          <w:numId w:val="11"/>
        </w:numPr>
        <w:rPr>
          <w:lang w:eastAsia="x-none"/>
        </w:rPr>
      </w:pPr>
      <w:r>
        <w:rPr>
          <w:lang w:eastAsia="x-none"/>
        </w:rPr>
        <w:t>C</w:t>
      </w:r>
      <w:r w:rsidR="00204D69" w:rsidRPr="00560212">
        <w:rPr>
          <w:lang w:eastAsia="x-none"/>
        </w:rPr>
        <w:t>ommitment to staff development</w:t>
      </w:r>
    </w:p>
    <w:p w14:paraId="2EBE313E" w14:textId="77777777" w:rsidR="00204D69" w:rsidRPr="00560212" w:rsidRDefault="00C56FF7" w:rsidP="0083588E">
      <w:pPr>
        <w:numPr>
          <w:ilvl w:val="0"/>
          <w:numId w:val="11"/>
        </w:numPr>
        <w:rPr>
          <w:lang w:eastAsia="x-none"/>
        </w:rPr>
      </w:pPr>
      <w:r>
        <w:rPr>
          <w:lang w:eastAsia="x-none"/>
        </w:rPr>
        <w:t>D</w:t>
      </w:r>
      <w:r w:rsidR="00204D69" w:rsidRPr="00560212">
        <w:rPr>
          <w:lang w:eastAsia="x-none"/>
        </w:rPr>
        <w:t xml:space="preserve">evelopment of the Strength Within Program (run in its various forms since 2006), a SEWB workforce development program which both provides a formal qualification (currently a Certificate IV in Mental Health and in Community Services Work) and excellent support and mentoring </w:t>
      </w:r>
    </w:p>
    <w:p w14:paraId="2EBE313F" w14:textId="77777777" w:rsidR="00204D69" w:rsidRDefault="00C56FF7" w:rsidP="0083588E">
      <w:pPr>
        <w:numPr>
          <w:ilvl w:val="0"/>
          <w:numId w:val="11"/>
        </w:numPr>
        <w:rPr>
          <w:lang w:eastAsia="x-none"/>
        </w:rPr>
      </w:pPr>
      <w:r>
        <w:rPr>
          <w:lang w:eastAsia="x-none"/>
        </w:rPr>
        <w:lastRenderedPageBreak/>
        <w:t>D</w:t>
      </w:r>
      <w:r w:rsidR="00204D69" w:rsidRPr="00560212">
        <w:rPr>
          <w:lang w:eastAsia="x-none"/>
        </w:rPr>
        <w:t>evelopment of a capacity building and workforce development activity plan to provide ongoing assistance and opportunities to further st</w:t>
      </w:r>
      <w:r w:rsidR="00204D69">
        <w:rPr>
          <w:lang w:eastAsia="x-none"/>
        </w:rPr>
        <w:t>udy and develop career options</w:t>
      </w:r>
    </w:p>
    <w:p w14:paraId="2EBE3140" w14:textId="77777777" w:rsidR="00204D69" w:rsidRPr="00560212" w:rsidRDefault="00204D69" w:rsidP="0083588E">
      <w:pPr>
        <w:numPr>
          <w:ilvl w:val="0"/>
          <w:numId w:val="11"/>
        </w:numPr>
        <w:rPr>
          <w:lang w:eastAsia="x-none"/>
        </w:rPr>
      </w:pPr>
      <w:r>
        <w:rPr>
          <w:lang w:eastAsia="x-none"/>
        </w:rPr>
        <w:t>CDCs</w:t>
      </w:r>
      <w:r w:rsidRPr="00560212">
        <w:rPr>
          <w:lang w:eastAsia="x-none"/>
        </w:rPr>
        <w:t xml:space="preserve"> have also completed three training blocks focused on community groups and forums, client case management and the applied suicide intervention</w:t>
      </w:r>
      <w:r>
        <w:rPr>
          <w:lang w:eastAsia="x-none"/>
        </w:rPr>
        <w:t xml:space="preserve"> skills training program </w:t>
      </w:r>
      <w:r w:rsidRPr="00560212">
        <w:rPr>
          <w:lang w:eastAsia="x-none"/>
        </w:rPr>
        <w:t>(Assist)</w:t>
      </w:r>
      <w:r>
        <w:rPr>
          <w:lang w:eastAsia="x-none"/>
        </w:rPr>
        <w:t>,</w:t>
      </w:r>
      <w:r w:rsidRPr="00663050">
        <w:rPr>
          <w:lang w:eastAsia="x-none"/>
        </w:rPr>
        <w:t xml:space="preserve"> </w:t>
      </w:r>
      <w:r>
        <w:rPr>
          <w:lang w:eastAsia="x-none"/>
        </w:rPr>
        <w:t>i</w:t>
      </w:r>
      <w:r w:rsidRPr="00560212">
        <w:rPr>
          <w:lang w:eastAsia="x-none"/>
        </w:rPr>
        <w:t>n addition to Mental Health First Aid Training</w:t>
      </w:r>
    </w:p>
    <w:p w14:paraId="2EBE3141" w14:textId="77777777" w:rsidR="00204D69" w:rsidRPr="00560212" w:rsidRDefault="00C56FF7" w:rsidP="0083588E">
      <w:pPr>
        <w:numPr>
          <w:ilvl w:val="0"/>
          <w:numId w:val="11"/>
        </w:numPr>
        <w:rPr>
          <w:lang w:eastAsia="x-none"/>
        </w:rPr>
      </w:pPr>
      <w:r>
        <w:rPr>
          <w:lang w:eastAsia="x-none"/>
        </w:rPr>
        <w:t>D</w:t>
      </w:r>
      <w:r w:rsidR="00204D69" w:rsidRPr="00560212">
        <w:rPr>
          <w:lang w:eastAsia="x-none"/>
        </w:rPr>
        <w:t>evelopment and support to assist and support other health professionals in the delivery of a holistic primary health care</w:t>
      </w:r>
    </w:p>
    <w:p w14:paraId="2EBE3142" w14:textId="77777777" w:rsidR="00204D69" w:rsidRPr="00560212" w:rsidRDefault="00C56FF7" w:rsidP="0083588E">
      <w:pPr>
        <w:numPr>
          <w:ilvl w:val="0"/>
          <w:numId w:val="11"/>
        </w:numPr>
        <w:rPr>
          <w:lang w:eastAsia="x-none"/>
        </w:rPr>
      </w:pPr>
      <w:r>
        <w:rPr>
          <w:lang w:eastAsia="x-none"/>
        </w:rPr>
        <w:t>S</w:t>
      </w:r>
      <w:r w:rsidR="00204D69" w:rsidRPr="00560212">
        <w:rPr>
          <w:lang w:eastAsia="x-none"/>
        </w:rPr>
        <w:t xml:space="preserve">ome team leaders have allocated one of the clinical staff to informally support/mentor </w:t>
      </w:r>
      <w:r w:rsidR="00204D69">
        <w:rPr>
          <w:lang w:eastAsia="x-none"/>
        </w:rPr>
        <w:t>a</w:t>
      </w:r>
      <w:r w:rsidR="00204D69" w:rsidRPr="00560212">
        <w:rPr>
          <w:lang w:eastAsia="x-none"/>
        </w:rPr>
        <w:t xml:space="preserve"> local staff member on an ongoing basis</w:t>
      </w:r>
    </w:p>
    <w:p w14:paraId="2EBE3143" w14:textId="77777777" w:rsidR="00204D69" w:rsidRPr="00560212" w:rsidRDefault="00C56FF7" w:rsidP="0083588E">
      <w:pPr>
        <w:numPr>
          <w:ilvl w:val="0"/>
          <w:numId w:val="11"/>
        </w:numPr>
        <w:rPr>
          <w:lang w:eastAsia="x-none"/>
        </w:rPr>
      </w:pPr>
      <w:r>
        <w:rPr>
          <w:lang w:eastAsia="x-none"/>
        </w:rPr>
        <w:t>S</w:t>
      </w:r>
      <w:r w:rsidR="00204D69" w:rsidRPr="00560212">
        <w:rPr>
          <w:lang w:eastAsia="x-none"/>
        </w:rPr>
        <w:t>upport from other local staff across the WBC network (e.g. at annual RFDS indigenous staff workshop). The next workshop is due to be held in 2014.</w:t>
      </w:r>
    </w:p>
    <w:p w14:paraId="2EBE3144" w14:textId="77777777" w:rsidR="00204D69" w:rsidRDefault="00204D69" w:rsidP="00204D69">
      <w:pPr>
        <w:rPr>
          <w:lang w:eastAsia="x-none"/>
        </w:rPr>
      </w:pPr>
      <w:r>
        <w:rPr>
          <w:lang w:eastAsia="x-none"/>
        </w:rPr>
        <w:t>From a structural perspective there is a pathway and support available for local staff to develop their career provided they have the capacity to enhance their qualifications. To date no one has taken this option which is consistent with the general experience elsewhere.</w:t>
      </w:r>
    </w:p>
    <w:p w14:paraId="2EBE3145" w14:textId="77777777" w:rsidR="00204D69" w:rsidRPr="00BA4CBA" w:rsidRDefault="00204D69" w:rsidP="00204D69">
      <w:pPr>
        <w:pStyle w:val="Heading2"/>
        <w:rPr>
          <w:lang w:val="en-AU"/>
        </w:rPr>
      </w:pPr>
      <w:bookmarkStart w:id="191" w:name="_Toc440038450"/>
      <w:r w:rsidRPr="00BA4CBA">
        <w:t>Systems and processes</w:t>
      </w:r>
      <w:bookmarkEnd w:id="191"/>
      <w:r w:rsidRPr="00BA4CBA">
        <w:t xml:space="preserve"> </w:t>
      </w:r>
    </w:p>
    <w:p w14:paraId="2EBE3146" w14:textId="77777777" w:rsidR="000C717F" w:rsidRDefault="00204D69" w:rsidP="00204D69">
      <w:pPr>
        <w:rPr>
          <w:lang w:eastAsia="x-none"/>
        </w:rPr>
      </w:pPr>
      <w:r w:rsidRPr="003330A0">
        <w:rPr>
          <w:lang w:eastAsia="x-none"/>
        </w:rPr>
        <w:t xml:space="preserve">This section </w:t>
      </w:r>
      <w:r>
        <w:rPr>
          <w:lang w:eastAsia="x-none"/>
        </w:rPr>
        <w:t xml:space="preserve">briefly </w:t>
      </w:r>
      <w:r w:rsidRPr="003330A0">
        <w:rPr>
          <w:lang w:eastAsia="x-none"/>
        </w:rPr>
        <w:t xml:space="preserve">examines whether the key systems and processes of </w:t>
      </w:r>
      <w:r>
        <w:rPr>
          <w:lang w:eastAsia="x-none"/>
        </w:rPr>
        <w:t>financial management</w:t>
      </w:r>
      <w:r w:rsidRPr="003330A0">
        <w:rPr>
          <w:lang w:eastAsia="x-none"/>
        </w:rPr>
        <w:t>, quality and promotional materials are supporting the delivery of effective WBC services</w:t>
      </w:r>
      <w:r>
        <w:rPr>
          <w:lang w:eastAsia="x-none"/>
        </w:rPr>
        <w:t>.</w:t>
      </w:r>
    </w:p>
    <w:p w14:paraId="2EBE3147" w14:textId="77777777" w:rsidR="00204D69" w:rsidRPr="00246AF7" w:rsidRDefault="00204D69" w:rsidP="00BC0A26">
      <w:pPr>
        <w:pStyle w:val="Heading3"/>
        <w:rPr>
          <w:lang w:val="en-AU"/>
        </w:rPr>
      </w:pPr>
      <w:r w:rsidRPr="00246AF7">
        <w:t>Financial management</w:t>
      </w:r>
      <w:r>
        <w:t xml:space="preserve"> </w:t>
      </w:r>
    </w:p>
    <w:p w14:paraId="2EBE3148" w14:textId="77777777" w:rsidR="00204D69" w:rsidRDefault="00204D69" w:rsidP="00204D69">
      <w:pPr>
        <w:rPr>
          <w:lang w:eastAsia="x-none"/>
        </w:rPr>
      </w:pPr>
      <w:r w:rsidRPr="008B0B4B">
        <w:rPr>
          <w:lang w:eastAsia="x-none"/>
        </w:rPr>
        <w:t xml:space="preserve">The WBC budget is managed globally from </w:t>
      </w:r>
      <w:r>
        <w:rPr>
          <w:lang w:eastAsia="x-none"/>
        </w:rPr>
        <w:t xml:space="preserve">RFDS </w:t>
      </w:r>
      <w:r w:rsidRPr="008B0B4B">
        <w:rPr>
          <w:lang w:eastAsia="x-none"/>
        </w:rPr>
        <w:t>Cairns</w:t>
      </w:r>
      <w:r>
        <w:rPr>
          <w:lang w:eastAsia="x-none"/>
        </w:rPr>
        <w:t xml:space="preserve"> Base</w:t>
      </w:r>
      <w:r w:rsidRPr="008B0B4B">
        <w:rPr>
          <w:lang w:eastAsia="x-none"/>
        </w:rPr>
        <w:t xml:space="preserve"> which allows strategic reallocations to occur as required in line with prioritised need and in the context of the overall budget.</w:t>
      </w:r>
      <w:r>
        <w:rPr>
          <w:lang w:eastAsia="x-none"/>
        </w:rPr>
        <w:t xml:space="preserve"> Within that global budget management there are local delegations at WBC team leader level. The RFDS maintains a structured approach to expenditure approvals within the context of their risk management system. The RFDS strengthened its overall budgeting during 2012/13.</w:t>
      </w:r>
    </w:p>
    <w:p w14:paraId="2EBE3149" w14:textId="77777777" w:rsidR="00204D69" w:rsidRDefault="00204D69" w:rsidP="00204D69">
      <w:pPr>
        <w:rPr>
          <w:lang w:eastAsia="x-none"/>
        </w:rPr>
      </w:pPr>
      <w:r>
        <w:rPr>
          <w:lang w:eastAsia="x-none"/>
        </w:rPr>
        <w:t xml:space="preserve">There was a surplus of 3% of available funds in 2012/13 which is a significant improvement on </w:t>
      </w:r>
      <w:r w:rsidRPr="00483F2B">
        <w:rPr>
          <w:lang w:eastAsia="x-none"/>
        </w:rPr>
        <w:t xml:space="preserve">earlier years </w:t>
      </w:r>
      <w:r>
        <w:rPr>
          <w:lang w:eastAsia="x-none"/>
        </w:rPr>
        <w:t>(i.e. previous years had significantly larger surpluses) except for 2011/12.</w:t>
      </w:r>
    </w:p>
    <w:p w14:paraId="2EBE314A" w14:textId="77777777" w:rsidR="00204D69" w:rsidRDefault="00204D69" w:rsidP="00204D69">
      <w:pPr>
        <w:rPr>
          <w:lang w:eastAsia="x-none"/>
        </w:rPr>
      </w:pPr>
      <w:r>
        <w:rPr>
          <w:lang w:eastAsia="x-none"/>
        </w:rPr>
        <w:t>Overall the system of financial management supports effective operation of the WBCs within the context of the RFDS risk management approach.</w:t>
      </w:r>
    </w:p>
    <w:p w14:paraId="2EBE314B" w14:textId="77777777" w:rsidR="00204D69" w:rsidRPr="00246AF7" w:rsidRDefault="00204D69" w:rsidP="00BC0A26">
      <w:pPr>
        <w:pStyle w:val="Heading3"/>
        <w:rPr>
          <w:lang w:val="en-AU"/>
        </w:rPr>
      </w:pPr>
      <w:r>
        <w:t>Quality</w:t>
      </w:r>
    </w:p>
    <w:p w14:paraId="2EBE314C" w14:textId="77777777" w:rsidR="00204D69" w:rsidRDefault="00204D69" w:rsidP="00204D69">
      <w:pPr>
        <w:rPr>
          <w:lang w:eastAsia="x-none"/>
        </w:rPr>
      </w:pPr>
      <w:r>
        <w:rPr>
          <w:lang w:eastAsia="x-none"/>
        </w:rPr>
        <w:t>The majority of staff (8 staff, or 71% of survey respondents, n=14) believe the WBCs have an effective approach to quality improvement (only one staff member disagreed) and this was an improvement from earlier in the evaluation.</w:t>
      </w:r>
    </w:p>
    <w:p w14:paraId="2EBE314D" w14:textId="77777777" w:rsidR="00204D69" w:rsidRDefault="00204D69" w:rsidP="00204D69">
      <w:pPr>
        <w:rPr>
          <w:lang w:eastAsia="x-none"/>
        </w:rPr>
      </w:pPr>
      <w:r>
        <w:rPr>
          <w:lang w:eastAsia="x-none"/>
        </w:rPr>
        <w:t>The WBC model of care highlights the importance of culturally appropriate quality improvement activities to inform effective future service delivery. Previously a key structural component of quality improvement were the actual or proposed six monthly WBC team quality improvements workshops that ‘provided the teams with the opportunity to reflect on achievements to date and identify areas for improvements’. These workshops were not continued and the focus for quality improvement is around clinical governance and the ongoing development and implementation of activity plans.</w:t>
      </w:r>
    </w:p>
    <w:p w14:paraId="2EBE314E" w14:textId="77777777" w:rsidR="00204D69" w:rsidRPr="00246AF7" w:rsidRDefault="00204D69" w:rsidP="00204D69">
      <w:pPr>
        <w:rPr>
          <w:lang w:eastAsia="x-none"/>
        </w:rPr>
      </w:pPr>
      <w:r>
        <w:rPr>
          <w:lang w:eastAsia="x-none"/>
        </w:rPr>
        <w:lastRenderedPageBreak/>
        <w:t>At a more strategic level the RFDS has been committed to improving quality. Examples include strengthening of the model of care, upgrading the client information system, and developing a more rigorous approach to client assessment. The RFDS is</w:t>
      </w:r>
      <w:r w:rsidRPr="00246AF7">
        <w:rPr>
          <w:lang w:eastAsia="x-none"/>
        </w:rPr>
        <w:t xml:space="preserve"> International Organisation for Standardisation (ISO) 9001 Quality Management Systems accredited, which is used by DoH for contractual requirements.</w:t>
      </w:r>
    </w:p>
    <w:p w14:paraId="2EBE314F" w14:textId="77777777" w:rsidR="00204D69" w:rsidRDefault="00204D69" w:rsidP="00204D69">
      <w:pPr>
        <w:rPr>
          <w:lang w:eastAsia="x-none"/>
        </w:rPr>
      </w:pPr>
      <w:r w:rsidRPr="0097790C">
        <w:rPr>
          <w:lang w:eastAsia="x-none"/>
        </w:rPr>
        <w:t>From the perspective of the WBC there is evidence that the RFDS has a commitment to effective quality improvement.</w:t>
      </w:r>
      <w:r>
        <w:rPr>
          <w:lang w:eastAsia="x-none"/>
        </w:rPr>
        <w:t xml:space="preserve"> However we believe there is opportunity to strengthen quality particularly building on information to be generated from the recently upgraded client information system. For example there would be significant merit in analysing which clinician is using particular therapeutic approaches and establishing discussion groups to analyse experiences and results achieved with particular therapies and approaches.</w:t>
      </w:r>
    </w:p>
    <w:p w14:paraId="2EBE3150" w14:textId="77777777" w:rsidR="00204D69" w:rsidRDefault="00204D69" w:rsidP="00204D69">
      <w:pPr>
        <w:shd w:val="clear" w:color="auto" w:fill="DBE5F1" w:themeFill="accent1" w:themeFillTint="33"/>
        <w:rPr>
          <w:lang w:eastAsia="x-none"/>
        </w:rPr>
      </w:pPr>
      <w:r w:rsidRPr="0005223E">
        <w:rPr>
          <w:rStyle w:val="Strong"/>
        </w:rPr>
        <w:t xml:space="preserve">It is </w:t>
      </w:r>
      <w:r w:rsidR="00541E99" w:rsidRPr="0005223E">
        <w:rPr>
          <w:rStyle w:val="Strong"/>
        </w:rPr>
        <w:t>proposed</w:t>
      </w:r>
      <w:r>
        <w:rPr>
          <w:lang w:eastAsia="x-none"/>
        </w:rPr>
        <w:t xml:space="preserve"> that the WBC establish therapeutic discussion groups to analyse and discuss experiences and results achieved with particular therapies and approaches.</w:t>
      </w:r>
    </w:p>
    <w:p w14:paraId="2EBE3151" w14:textId="77777777" w:rsidR="00204D69" w:rsidRPr="00F73896" w:rsidRDefault="00204D69" w:rsidP="00BC0A26">
      <w:pPr>
        <w:pStyle w:val="Heading3"/>
      </w:pPr>
      <w:r w:rsidRPr="00F73896">
        <w:t>Promotional materials</w:t>
      </w:r>
    </w:p>
    <w:p w14:paraId="2EBE3152" w14:textId="77777777" w:rsidR="00204D69" w:rsidRDefault="00204D69" w:rsidP="00204D69">
      <w:r>
        <w:t>T</w:t>
      </w:r>
      <w:r w:rsidRPr="00023F78">
        <w:t xml:space="preserve">here are a wide range of promotional materials that are used by the WBCs. Some of these materials are generic health focused material developed and distributed by relevant organisations, for example, </w:t>
      </w:r>
      <w:r>
        <w:rPr>
          <w:i/>
        </w:rPr>
        <w:t>beyondblue.</w:t>
      </w:r>
      <w:r w:rsidRPr="00023F78">
        <w:rPr>
          <w:i/>
        </w:rPr>
        <w:t xml:space="preserve"> </w:t>
      </w:r>
      <w:r w:rsidRPr="00023F78">
        <w:t xml:space="preserve">Some have been specifically developed for use in Indigenous </w:t>
      </w:r>
      <w:r>
        <w:t>communities</w:t>
      </w:r>
      <w:r w:rsidRPr="00023F78">
        <w:t xml:space="preserve"> and others developed by the WBCs themselves.</w:t>
      </w:r>
    </w:p>
    <w:p w14:paraId="2EBE3153" w14:textId="77777777" w:rsidR="00204D69" w:rsidRDefault="00204D69" w:rsidP="00204D69">
      <w:r>
        <w:t xml:space="preserve">In addition the RFDS </w:t>
      </w:r>
      <w:r w:rsidRPr="005932F8">
        <w:t xml:space="preserve">commenced </w:t>
      </w:r>
      <w:r>
        <w:t xml:space="preserve">circulating </w:t>
      </w:r>
      <w:r w:rsidRPr="005932F8">
        <w:t>newsletters</w:t>
      </w:r>
      <w:r>
        <w:t xml:space="preserve"> late in 2012 and currently they are being issued bimonthly. A number of key partners reported not being aware of the newsletter and the WBC should circulate the newsletter more widely.</w:t>
      </w:r>
    </w:p>
    <w:p w14:paraId="2EBE3154" w14:textId="77777777" w:rsidR="00204D69" w:rsidRDefault="00204D69" w:rsidP="00204D69">
      <w:pPr>
        <w:rPr>
          <w:lang w:eastAsia="x-none"/>
        </w:rPr>
      </w:pPr>
      <w:r>
        <w:rPr>
          <w:lang w:eastAsia="x-none"/>
        </w:rPr>
        <w:t>While almost all staff survey respondents believe partners and clients were provided with appropriate educational and advertising materials, feedback received during site visits suggested that specific materials promoting the WBC service would be highly regarded by partners.</w:t>
      </w:r>
    </w:p>
    <w:p w14:paraId="2EBE3155" w14:textId="77777777" w:rsidR="00405141" w:rsidRDefault="00405141" w:rsidP="00204D69">
      <w:pPr>
        <w:rPr>
          <w:lang w:eastAsia="x-none"/>
        </w:rPr>
      </w:pPr>
      <w:r>
        <w:rPr>
          <w:lang w:eastAsia="x-none"/>
        </w:rPr>
        <w:t xml:space="preserve">For the duration of this program </w:t>
      </w:r>
      <w:r w:rsidRPr="00405141">
        <w:rPr>
          <w:lang w:eastAsia="x-none"/>
        </w:rPr>
        <w:t>the</w:t>
      </w:r>
      <w:r>
        <w:rPr>
          <w:lang w:eastAsia="x-none"/>
        </w:rPr>
        <w:t>re has been a</w:t>
      </w:r>
      <w:r w:rsidRPr="00405141">
        <w:rPr>
          <w:lang w:eastAsia="x-none"/>
        </w:rPr>
        <w:t xml:space="preserve"> lack of regular communication with stakeholders and community through newsletters, the </w:t>
      </w:r>
      <w:r>
        <w:rPr>
          <w:lang w:eastAsia="x-none"/>
        </w:rPr>
        <w:t>internet</w:t>
      </w:r>
      <w:r w:rsidRPr="00405141">
        <w:rPr>
          <w:lang w:eastAsia="x-none"/>
        </w:rPr>
        <w:t xml:space="preserve"> and other means. Considerable resources were provided for the LAGs to produce community plans but these were never really</w:t>
      </w:r>
      <w:r>
        <w:rPr>
          <w:lang w:eastAsia="x-none"/>
        </w:rPr>
        <w:t xml:space="preserve"> utilised in the context of communication with the community.</w:t>
      </w:r>
    </w:p>
    <w:p w14:paraId="2EBE3156" w14:textId="77777777" w:rsidR="005046B1" w:rsidRPr="00F73896" w:rsidRDefault="00204D69" w:rsidP="00204D69">
      <w:pPr>
        <w:shd w:val="clear" w:color="auto" w:fill="DBE5F1" w:themeFill="accent1" w:themeFillTint="33"/>
        <w:rPr>
          <w:lang w:eastAsia="x-none"/>
        </w:rPr>
      </w:pPr>
      <w:r w:rsidRPr="0005223E">
        <w:rPr>
          <w:rStyle w:val="Strong"/>
        </w:rPr>
        <w:t xml:space="preserve">It is </w:t>
      </w:r>
      <w:r w:rsidR="00541E99" w:rsidRPr="0005223E">
        <w:rPr>
          <w:rStyle w:val="Strong"/>
        </w:rPr>
        <w:t>proposed</w:t>
      </w:r>
      <w:r>
        <w:rPr>
          <w:lang w:eastAsia="x-none"/>
        </w:rPr>
        <w:t xml:space="preserve"> that the WBC develop </w:t>
      </w:r>
      <w:r w:rsidRPr="00FC2428">
        <w:rPr>
          <w:lang w:eastAsia="x-none"/>
        </w:rPr>
        <w:t>specific materials promoting the WBC service</w:t>
      </w:r>
      <w:r>
        <w:rPr>
          <w:lang w:eastAsia="x-none"/>
        </w:rPr>
        <w:t>. This could be done after the service model is updated.</w:t>
      </w:r>
    </w:p>
    <w:p w14:paraId="2EBE3157" w14:textId="77777777" w:rsidR="005046B1" w:rsidRPr="00D00F6C" w:rsidRDefault="005046B1" w:rsidP="00BC0A26">
      <w:pPr>
        <w:pStyle w:val="Heading3"/>
        <w:rPr>
          <w:lang w:val="en-AU"/>
        </w:rPr>
      </w:pPr>
      <w:r w:rsidRPr="00D00F6C">
        <w:t>Data systems</w:t>
      </w:r>
    </w:p>
    <w:p w14:paraId="2EBE3158" w14:textId="77777777" w:rsidR="00D00F6C" w:rsidRDefault="005046B1" w:rsidP="00D837F1">
      <w:pPr>
        <w:rPr>
          <w:lang w:eastAsia="x-none"/>
        </w:rPr>
      </w:pPr>
      <w:r>
        <w:rPr>
          <w:lang w:eastAsia="x-none"/>
        </w:rPr>
        <w:t>The WBCs</w:t>
      </w:r>
      <w:r w:rsidR="00A3478C">
        <w:rPr>
          <w:lang w:eastAsia="x-none"/>
        </w:rPr>
        <w:t xml:space="preserve"> utilise an information</w:t>
      </w:r>
      <w:r w:rsidR="00BC4324">
        <w:rPr>
          <w:lang w:eastAsia="x-none"/>
        </w:rPr>
        <w:t xml:space="preserve"> </w:t>
      </w:r>
      <w:r w:rsidR="00A3478C">
        <w:rPr>
          <w:lang w:eastAsia="x-none"/>
        </w:rPr>
        <w:t xml:space="preserve">system developed in-house (YOTEM). The data set </w:t>
      </w:r>
      <w:r w:rsidR="00A3478C" w:rsidRPr="00023F78">
        <w:t>incorporate</w:t>
      </w:r>
      <w:r w:rsidR="00A3478C">
        <w:t>d</w:t>
      </w:r>
      <w:r w:rsidR="00A3478C" w:rsidRPr="00023F78">
        <w:t xml:space="preserve"> the National Drug and Alcohol Minimum Data Set requirements</w:t>
      </w:r>
      <w:r w:rsidR="00A3478C">
        <w:t>. The system was established and fully</w:t>
      </w:r>
      <w:r w:rsidR="00BC4324">
        <w:t xml:space="preserve"> implemented </w:t>
      </w:r>
      <w:r w:rsidR="00A3478C">
        <w:t>prior to the commencement of the evaluation</w:t>
      </w:r>
      <w:r w:rsidR="00D00F6C">
        <w:t xml:space="preserve"> but was not in place from the inception of the program and correspondingly a full and comprehensive data set is not available</w:t>
      </w:r>
      <w:r w:rsidR="00A3478C">
        <w:t>.</w:t>
      </w:r>
      <w:r w:rsidR="00D00F6C">
        <w:t xml:space="preserve"> </w:t>
      </w:r>
      <w:r w:rsidR="00D00F6C">
        <w:rPr>
          <w:lang w:eastAsia="x-none"/>
        </w:rPr>
        <w:t>Determining what the outcome measures would be for the program w</w:t>
      </w:r>
      <w:r w:rsidR="005D3AA8">
        <w:rPr>
          <w:lang w:eastAsia="x-none"/>
        </w:rPr>
        <w:t>as</w:t>
      </w:r>
      <w:r w:rsidR="00D00F6C">
        <w:rPr>
          <w:lang w:eastAsia="x-none"/>
        </w:rPr>
        <w:t xml:space="preserve"> also not established from the outset and hence a comprehensive set of outcomes data is not available. However, the data that is available has been used to inform progress reporting to the Department and the evaluation.</w:t>
      </w:r>
    </w:p>
    <w:p w14:paraId="2EBE3159" w14:textId="77777777" w:rsidR="004059FE" w:rsidRPr="00643274" w:rsidRDefault="00A3478C" w:rsidP="00D837F1">
      <w:pPr>
        <w:rPr>
          <w:szCs w:val="20"/>
        </w:rPr>
      </w:pPr>
      <w:r>
        <w:rPr>
          <w:lang w:eastAsia="x-none"/>
        </w:rPr>
        <w:t>The RFDS progressively recognised deficiencies in the system, both in capturing information required for service and outcome analysis, but also in supporting clinicians implementing effective work practices.</w:t>
      </w:r>
      <w:r w:rsidR="00D00F6C">
        <w:rPr>
          <w:lang w:eastAsia="x-none"/>
        </w:rPr>
        <w:t xml:space="preserve"> </w:t>
      </w:r>
      <w:r w:rsidR="004059FE" w:rsidRPr="00643274">
        <w:rPr>
          <w:szCs w:val="20"/>
        </w:rPr>
        <w:t>Funding was approved</w:t>
      </w:r>
      <w:r w:rsidR="00BC4324">
        <w:rPr>
          <w:szCs w:val="20"/>
        </w:rPr>
        <w:t xml:space="preserve"> in the 2013 financial year</w:t>
      </w:r>
      <w:r w:rsidR="00A850F5" w:rsidRPr="00643274">
        <w:rPr>
          <w:szCs w:val="20"/>
        </w:rPr>
        <w:t xml:space="preserve"> (</w:t>
      </w:r>
      <w:r w:rsidR="00A850F5" w:rsidRPr="00643274">
        <w:rPr>
          <w:rFonts w:ascii="Courier New" w:hAnsi="Courier New" w:cs="Courier New"/>
          <w:szCs w:val="20"/>
        </w:rPr>
        <w:t>~</w:t>
      </w:r>
      <w:r w:rsidR="00A850F5" w:rsidRPr="00643274">
        <w:rPr>
          <w:szCs w:val="20"/>
        </w:rPr>
        <w:t xml:space="preserve">$75,000) </w:t>
      </w:r>
      <w:r w:rsidR="004059FE" w:rsidRPr="00643274">
        <w:rPr>
          <w:szCs w:val="20"/>
        </w:rPr>
        <w:t xml:space="preserve">to upgrade YOTEM as part of </w:t>
      </w:r>
      <w:r w:rsidR="004059FE" w:rsidRPr="00643274">
        <w:rPr>
          <w:szCs w:val="20"/>
        </w:rPr>
        <w:lastRenderedPageBreak/>
        <w:t>the Single Desk Officer Trial utilising savings across a number of programs.</w:t>
      </w:r>
      <w:r w:rsidR="00BC4324">
        <w:rPr>
          <w:szCs w:val="20"/>
        </w:rPr>
        <w:t xml:space="preserve"> </w:t>
      </w:r>
      <w:r w:rsidR="004059FE" w:rsidRPr="00643274">
        <w:rPr>
          <w:szCs w:val="20"/>
        </w:rPr>
        <w:t>Funding was also approved</w:t>
      </w:r>
      <w:r w:rsidR="00A850F5" w:rsidRPr="00643274">
        <w:rPr>
          <w:szCs w:val="20"/>
        </w:rPr>
        <w:t xml:space="preserve"> (</w:t>
      </w:r>
      <w:r w:rsidR="00643274">
        <w:rPr>
          <w:szCs w:val="20"/>
        </w:rPr>
        <w:t xml:space="preserve">approximately </w:t>
      </w:r>
      <w:r w:rsidR="00A850F5" w:rsidRPr="00643274">
        <w:rPr>
          <w:rFonts w:ascii="Courier New" w:hAnsi="Courier New" w:cs="Courier New"/>
          <w:szCs w:val="20"/>
        </w:rPr>
        <w:t>$</w:t>
      </w:r>
      <w:r w:rsidR="00A850F5" w:rsidRPr="00643274">
        <w:rPr>
          <w:szCs w:val="20"/>
        </w:rPr>
        <w:t>170,000)</w:t>
      </w:r>
      <w:r w:rsidR="004059FE" w:rsidRPr="00643274">
        <w:rPr>
          <w:szCs w:val="20"/>
        </w:rPr>
        <w:t xml:space="preserve"> to purchase </w:t>
      </w:r>
      <w:r w:rsidR="00A850F5" w:rsidRPr="00643274">
        <w:rPr>
          <w:szCs w:val="20"/>
        </w:rPr>
        <w:t xml:space="preserve">and upgrade </w:t>
      </w:r>
      <w:r w:rsidR="004059FE" w:rsidRPr="00643274">
        <w:rPr>
          <w:szCs w:val="20"/>
        </w:rPr>
        <w:t xml:space="preserve">MMeX to capture </w:t>
      </w:r>
      <w:r w:rsidR="00643274">
        <w:rPr>
          <w:szCs w:val="20"/>
        </w:rPr>
        <w:t xml:space="preserve">client level </w:t>
      </w:r>
      <w:r w:rsidR="004059FE" w:rsidRPr="00643274">
        <w:rPr>
          <w:szCs w:val="20"/>
        </w:rPr>
        <w:t>outcome data.</w:t>
      </w:r>
    </w:p>
    <w:p w14:paraId="2EBE315A" w14:textId="77777777" w:rsidR="00A3478C" w:rsidRPr="00D837F1" w:rsidRDefault="004059FE" w:rsidP="00D837F1">
      <w:pPr>
        <w:rPr>
          <w:szCs w:val="20"/>
        </w:rPr>
      </w:pPr>
      <w:r w:rsidRPr="00D837F1">
        <w:rPr>
          <w:szCs w:val="20"/>
        </w:rPr>
        <w:t xml:space="preserve">Enhancements </w:t>
      </w:r>
      <w:r w:rsidR="006518E4" w:rsidRPr="00D837F1">
        <w:rPr>
          <w:szCs w:val="20"/>
        </w:rPr>
        <w:t xml:space="preserve">to YOTEM </w:t>
      </w:r>
      <w:r w:rsidRPr="00D837F1">
        <w:rPr>
          <w:szCs w:val="20"/>
        </w:rPr>
        <w:t>include</w:t>
      </w:r>
      <w:r w:rsidR="006518E4" w:rsidRPr="00D837F1">
        <w:rPr>
          <w:szCs w:val="20"/>
        </w:rPr>
        <w:t>d</w:t>
      </w:r>
      <w:r w:rsidRPr="00D837F1">
        <w:rPr>
          <w:szCs w:val="20"/>
        </w:rPr>
        <w:t xml:space="preserve"> adaptability of the system to a wide range of ‘Smart’ devi</w:t>
      </w:r>
      <w:r w:rsidR="006518E4" w:rsidRPr="00D837F1">
        <w:rPr>
          <w:szCs w:val="20"/>
        </w:rPr>
        <w:t>ces</w:t>
      </w:r>
      <w:r w:rsidRPr="00D837F1">
        <w:rPr>
          <w:szCs w:val="20"/>
        </w:rPr>
        <w:t>, expansion of the data that is collected, a range of tools designed specifically for the workflow of clinicians in remote settings and a further range of tools to enhance clinical governance.</w:t>
      </w:r>
      <w:r w:rsidR="006518E4" w:rsidRPr="00D837F1">
        <w:rPr>
          <w:szCs w:val="20"/>
        </w:rPr>
        <w:t xml:space="preserve"> These enhancements took effect from April 2014. Any additional data was not available to the evaluation. However</w:t>
      </w:r>
      <w:r w:rsidR="00BC4324">
        <w:rPr>
          <w:szCs w:val="20"/>
        </w:rPr>
        <w:t xml:space="preserve"> the changes </w:t>
      </w:r>
      <w:r w:rsidR="006518E4" w:rsidRPr="00D837F1">
        <w:rPr>
          <w:szCs w:val="20"/>
        </w:rPr>
        <w:t xml:space="preserve">will allow </w:t>
      </w:r>
      <w:r w:rsidR="00BC4324">
        <w:rPr>
          <w:szCs w:val="20"/>
        </w:rPr>
        <w:t xml:space="preserve">the </w:t>
      </w:r>
      <w:r w:rsidR="006518E4" w:rsidRPr="00D837F1">
        <w:rPr>
          <w:szCs w:val="20"/>
        </w:rPr>
        <w:t xml:space="preserve">RFDS to undertake more detailed analysis and present </w:t>
      </w:r>
      <w:r w:rsidR="00643274">
        <w:rPr>
          <w:szCs w:val="20"/>
        </w:rPr>
        <w:t xml:space="preserve">a </w:t>
      </w:r>
      <w:r w:rsidR="006518E4" w:rsidRPr="00D837F1">
        <w:rPr>
          <w:szCs w:val="20"/>
        </w:rPr>
        <w:t>complete picture of activity in future periods.</w:t>
      </w:r>
    </w:p>
    <w:p w14:paraId="2EBE315B" w14:textId="77777777" w:rsidR="000328B2" w:rsidRPr="00D837F1" w:rsidRDefault="000328B2" w:rsidP="00D837F1">
      <w:pPr>
        <w:rPr>
          <w:szCs w:val="20"/>
        </w:rPr>
      </w:pPr>
      <w:r w:rsidRPr="00D837F1">
        <w:rPr>
          <w:szCs w:val="20"/>
          <w:lang w:eastAsia="x-none"/>
        </w:rPr>
        <w:t>Whilst early signs are that the YOTEM enhancements are adding value, the MMeX system has been costly for limited benefit. It is understood the RFDS is planning to move outcome data capture to YOTEM.</w:t>
      </w:r>
    </w:p>
    <w:p w14:paraId="2EBE315C" w14:textId="77777777" w:rsidR="005046B1" w:rsidRDefault="000328B2" w:rsidP="000B5348">
      <w:r w:rsidRPr="00D837F1">
        <w:rPr>
          <w:szCs w:val="20"/>
          <w:lang w:eastAsia="x-none"/>
        </w:rPr>
        <w:t>General data collection has improved over time</w:t>
      </w:r>
      <w:r w:rsidR="006518E4" w:rsidRPr="00D837F1">
        <w:rPr>
          <w:szCs w:val="20"/>
          <w:lang w:eastAsia="x-none"/>
        </w:rPr>
        <w:t>.</w:t>
      </w:r>
      <w:r w:rsidRPr="00D837F1">
        <w:rPr>
          <w:szCs w:val="20"/>
          <w:lang w:eastAsia="x-none"/>
        </w:rPr>
        <w:t xml:space="preserve"> As is common in many s</w:t>
      </w:r>
      <w:r w:rsidR="00D74EF9" w:rsidRPr="00D837F1">
        <w:rPr>
          <w:szCs w:val="20"/>
          <w:lang w:eastAsia="x-none"/>
        </w:rPr>
        <w:t>ervices</w:t>
      </w:r>
      <w:r w:rsidR="00D74EF9">
        <w:rPr>
          <w:szCs w:val="20"/>
          <w:lang w:eastAsia="x-none"/>
        </w:rPr>
        <w:t>,</w:t>
      </w:r>
      <w:r w:rsidR="00D74EF9" w:rsidRPr="00D837F1">
        <w:rPr>
          <w:szCs w:val="20"/>
          <w:lang w:eastAsia="x-none"/>
        </w:rPr>
        <w:t xml:space="preserve"> data quality improves</w:t>
      </w:r>
      <w:r w:rsidRPr="00D837F1">
        <w:rPr>
          <w:szCs w:val="20"/>
          <w:lang w:eastAsia="x-none"/>
        </w:rPr>
        <w:t xml:space="preserve"> the more it is seen to be utilised for both management and clinical purposes and this has been the case for the WBCs</w:t>
      </w:r>
      <w:r w:rsidRPr="002F46AE">
        <w:rPr>
          <w:szCs w:val="20"/>
          <w:lang w:eastAsia="x-none"/>
        </w:rPr>
        <w:t>.</w:t>
      </w:r>
      <w:r w:rsidR="00BC4324" w:rsidRPr="002F46AE">
        <w:rPr>
          <w:szCs w:val="20"/>
          <w:lang w:eastAsia="x-none"/>
        </w:rPr>
        <w:t xml:space="preserve"> </w:t>
      </w:r>
      <w:r w:rsidR="00D74EF9" w:rsidRPr="00643274">
        <w:rPr>
          <w:szCs w:val="20"/>
          <w:lang w:eastAsia="x-none"/>
        </w:rPr>
        <w:t>As reported elsewhere, drop-in activity has not been effectively captured</w:t>
      </w:r>
      <w:r w:rsidR="00BC4324" w:rsidRPr="00643274">
        <w:rPr>
          <w:szCs w:val="20"/>
          <w:lang w:eastAsia="x-none"/>
        </w:rPr>
        <w:t xml:space="preserve"> and this should change with the</w:t>
      </w:r>
      <w:r w:rsidR="00BC4324" w:rsidRPr="002F46AE">
        <w:rPr>
          <w:szCs w:val="20"/>
          <w:lang w:eastAsia="x-none"/>
        </w:rPr>
        <w:t xml:space="preserve"> YOTEM enhancements</w:t>
      </w:r>
      <w:r w:rsidR="00E806AE">
        <w:rPr>
          <w:szCs w:val="20"/>
          <w:lang w:eastAsia="x-none"/>
        </w:rPr>
        <w:t xml:space="preserve"> and indeed is critical to ongoing monitoring and evaluation of the service</w:t>
      </w:r>
      <w:r w:rsidR="00BC4324">
        <w:rPr>
          <w:szCs w:val="20"/>
          <w:lang w:eastAsia="x-none"/>
        </w:rPr>
        <w:t>.</w:t>
      </w:r>
    </w:p>
    <w:p w14:paraId="2EBE315D" w14:textId="77777777" w:rsidR="00204D69" w:rsidRDefault="00204D69">
      <w:pPr>
        <w:pStyle w:val="Heading2"/>
        <w:rPr>
          <w:lang w:val="en-AU"/>
        </w:rPr>
      </w:pPr>
      <w:bookmarkStart w:id="192" w:name="_Toc440038451"/>
      <w:r>
        <w:t>Infrastructure</w:t>
      </w:r>
      <w:bookmarkEnd w:id="192"/>
    </w:p>
    <w:p w14:paraId="2EBE315E" w14:textId="77777777" w:rsidR="00DC2CB9" w:rsidRDefault="005D3AA8" w:rsidP="00204D69">
      <w:pPr>
        <w:rPr>
          <w:lang w:eastAsia="x-none"/>
        </w:rPr>
      </w:pPr>
      <w:r>
        <w:rPr>
          <w:lang w:eastAsia="x-none"/>
        </w:rPr>
        <w:t>Over the course of the project, a</w:t>
      </w:r>
      <w:r w:rsidR="00DC2CB9">
        <w:rPr>
          <w:lang w:eastAsia="x-none"/>
        </w:rPr>
        <w:t xml:space="preserve"> total of $7.3 million was allocated for building</w:t>
      </w:r>
      <w:r w:rsidR="00FD5485">
        <w:rPr>
          <w:lang w:eastAsia="x-none"/>
        </w:rPr>
        <w:t>, staff housing</w:t>
      </w:r>
      <w:r w:rsidR="00DC2CB9">
        <w:rPr>
          <w:lang w:eastAsia="x-none"/>
        </w:rPr>
        <w:t xml:space="preserve"> and associated establishment costs.</w:t>
      </w:r>
    </w:p>
    <w:p w14:paraId="2EBE315F" w14:textId="77777777" w:rsidR="00FD5485" w:rsidRDefault="00DC2CB9" w:rsidP="00204D69">
      <w:pPr>
        <w:rPr>
          <w:lang w:eastAsia="x-none"/>
        </w:rPr>
      </w:pPr>
      <w:r>
        <w:rPr>
          <w:lang w:eastAsia="x-none"/>
        </w:rPr>
        <w:t>A purpose built WBC was constructed in each of the four communities</w:t>
      </w:r>
      <w:r w:rsidR="00FD5485">
        <w:rPr>
          <w:lang w:eastAsia="x-none"/>
        </w:rPr>
        <w:t>.</w:t>
      </w:r>
      <w:r w:rsidR="00FD5485" w:rsidRPr="00FD5485">
        <w:rPr>
          <w:lang w:eastAsia="x-none"/>
        </w:rPr>
        <w:t xml:space="preserve"> </w:t>
      </w:r>
      <w:r w:rsidR="00FD5485" w:rsidRPr="00F73896">
        <w:rPr>
          <w:lang w:eastAsia="x-none"/>
        </w:rPr>
        <w:t xml:space="preserve">They comprise of a reception area (which can get very crowded), an open area for staff offices (which can be very busy and noisy), counselling rooms, a larger meeting room, a small kitchen, a </w:t>
      </w:r>
      <w:r w:rsidR="00FD5485">
        <w:rPr>
          <w:lang w:eastAsia="x-none"/>
        </w:rPr>
        <w:t xml:space="preserve">covered outside </w:t>
      </w:r>
      <w:r w:rsidR="00FD5485" w:rsidRPr="00F73896">
        <w:rPr>
          <w:lang w:eastAsia="x-none"/>
        </w:rPr>
        <w:t>‘meeting area’</w:t>
      </w:r>
      <w:r w:rsidR="00FD5485">
        <w:rPr>
          <w:lang w:eastAsia="x-none"/>
        </w:rPr>
        <w:t xml:space="preserve"> which is used frequently by community members,</w:t>
      </w:r>
      <w:r w:rsidR="00FD5485" w:rsidRPr="00F73896">
        <w:rPr>
          <w:lang w:eastAsia="x-none"/>
        </w:rPr>
        <w:t xml:space="preserve"> and a relatively large amenities area.</w:t>
      </w:r>
    </w:p>
    <w:p w14:paraId="2EBE3160" w14:textId="77777777" w:rsidR="00DC2CB9" w:rsidRDefault="00FD5485" w:rsidP="00204D69">
      <w:pPr>
        <w:rPr>
          <w:lang w:eastAsia="x-none"/>
        </w:rPr>
      </w:pPr>
      <w:r>
        <w:rPr>
          <w:lang w:eastAsia="x-none"/>
        </w:rPr>
        <w:t>In addition, staff housing was constructed (</w:t>
      </w:r>
      <w:r w:rsidR="00BC4324">
        <w:rPr>
          <w:lang w:eastAsia="x-none"/>
        </w:rPr>
        <w:t>four</w:t>
      </w:r>
      <w:r w:rsidR="00DC2CB9">
        <w:rPr>
          <w:lang w:eastAsia="x-none"/>
        </w:rPr>
        <w:t xml:space="preserve"> staff houses in Aurukun</w:t>
      </w:r>
      <w:r>
        <w:rPr>
          <w:lang w:eastAsia="x-none"/>
        </w:rPr>
        <w:t xml:space="preserve">, with a total of </w:t>
      </w:r>
      <w:r w:rsidR="00BC4324">
        <w:rPr>
          <w:lang w:eastAsia="x-none"/>
        </w:rPr>
        <w:t>nine</w:t>
      </w:r>
      <w:r>
        <w:rPr>
          <w:lang w:eastAsia="x-none"/>
        </w:rPr>
        <w:t xml:space="preserve"> bedrooms, </w:t>
      </w:r>
      <w:r w:rsidR="00BC4324">
        <w:rPr>
          <w:lang w:eastAsia="x-none"/>
        </w:rPr>
        <w:t>three</w:t>
      </w:r>
      <w:r>
        <w:rPr>
          <w:lang w:eastAsia="x-none"/>
        </w:rPr>
        <w:t xml:space="preserve"> staff houses in </w:t>
      </w:r>
      <w:r w:rsidR="00BC4324">
        <w:rPr>
          <w:lang w:eastAsia="x-none"/>
        </w:rPr>
        <w:t>Coen</w:t>
      </w:r>
      <w:r>
        <w:rPr>
          <w:lang w:eastAsia="x-none"/>
        </w:rPr>
        <w:t xml:space="preserve"> with a total of </w:t>
      </w:r>
      <w:r w:rsidR="00BC4324">
        <w:rPr>
          <w:lang w:eastAsia="x-none"/>
        </w:rPr>
        <w:t>seven</w:t>
      </w:r>
      <w:r>
        <w:rPr>
          <w:lang w:eastAsia="x-none"/>
        </w:rPr>
        <w:t xml:space="preserve"> bedrooms and </w:t>
      </w:r>
      <w:r w:rsidR="00BC4324">
        <w:rPr>
          <w:lang w:eastAsia="x-none"/>
        </w:rPr>
        <w:t>three staff</w:t>
      </w:r>
      <w:r>
        <w:rPr>
          <w:lang w:eastAsia="x-none"/>
        </w:rPr>
        <w:t xml:space="preserve"> houses in Hope Vale, with </w:t>
      </w:r>
      <w:r w:rsidR="00BC4324">
        <w:rPr>
          <w:lang w:eastAsia="x-none"/>
        </w:rPr>
        <w:t>seven</w:t>
      </w:r>
      <w:r>
        <w:rPr>
          <w:lang w:eastAsia="x-none"/>
        </w:rPr>
        <w:t xml:space="preserve"> bedrooms</w:t>
      </w:r>
      <w:r w:rsidR="00BC4324">
        <w:rPr>
          <w:lang w:eastAsia="x-none"/>
        </w:rPr>
        <w:t>.</w:t>
      </w:r>
    </w:p>
    <w:p w14:paraId="2EBE3161" w14:textId="77777777" w:rsidR="00204D69" w:rsidRDefault="00204D69" w:rsidP="00204D69">
      <w:pPr>
        <w:rPr>
          <w:lang w:eastAsia="x-none"/>
        </w:rPr>
      </w:pPr>
      <w:r>
        <w:rPr>
          <w:lang w:eastAsia="x-none"/>
        </w:rPr>
        <w:t>T</w:t>
      </w:r>
      <w:r w:rsidRPr="00F73896">
        <w:rPr>
          <w:lang w:eastAsia="x-none"/>
        </w:rPr>
        <w:t>he WBCs are located adjacent to the health clinics/hospitals and in the general vicinity of other government services</w:t>
      </w:r>
      <w:r>
        <w:rPr>
          <w:lang w:eastAsia="x-none"/>
        </w:rPr>
        <w:t xml:space="preserve"> except at Hopevale</w:t>
      </w:r>
      <w:r w:rsidRPr="00F73896">
        <w:rPr>
          <w:lang w:eastAsia="x-none"/>
        </w:rPr>
        <w:t xml:space="preserve">. They are embedded into the community infrastructure. </w:t>
      </w:r>
    </w:p>
    <w:p w14:paraId="2EBE3162" w14:textId="77777777" w:rsidR="00204D69" w:rsidRDefault="00204D69" w:rsidP="00204D69">
      <w:pPr>
        <w:rPr>
          <w:lang w:eastAsia="x-none"/>
        </w:rPr>
      </w:pPr>
      <w:r>
        <w:rPr>
          <w:lang w:eastAsia="x-none"/>
        </w:rPr>
        <w:t>The</w:t>
      </w:r>
      <w:r w:rsidR="00FD5485">
        <w:rPr>
          <w:lang w:eastAsia="x-none"/>
        </w:rPr>
        <w:t xml:space="preserve"> WBC </w:t>
      </w:r>
      <w:r>
        <w:rPr>
          <w:lang w:eastAsia="x-none"/>
        </w:rPr>
        <w:t>buildings</w:t>
      </w:r>
      <w:r w:rsidRPr="00F73896">
        <w:rPr>
          <w:lang w:eastAsia="x-none"/>
        </w:rPr>
        <w:t xml:space="preserve"> have a </w:t>
      </w:r>
      <w:r>
        <w:rPr>
          <w:lang w:eastAsia="x-none"/>
        </w:rPr>
        <w:t>‘</w:t>
      </w:r>
      <w:r w:rsidRPr="00F73896">
        <w:rPr>
          <w:lang w:eastAsia="x-none"/>
        </w:rPr>
        <w:t>clinical layout and feel about them</w:t>
      </w:r>
      <w:r>
        <w:rPr>
          <w:lang w:eastAsia="x-none"/>
        </w:rPr>
        <w:t>’</w:t>
      </w:r>
      <w:r w:rsidRPr="00F73896">
        <w:rPr>
          <w:lang w:eastAsia="x-none"/>
        </w:rPr>
        <w:t>, WBCs have tried to ensure the buildings are functionally utilised and have tried to make the centres welcoming</w:t>
      </w:r>
      <w:r>
        <w:rPr>
          <w:lang w:eastAsia="x-none"/>
        </w:rPr>
        <w:t xml:space="preserve"> and </w:t>
      </w:r>
      <w:r w:rsidRPr="00F73896">
        <w:rPr>
          <w:lang w:eastAsia="x-none"/>
        </w:rPr>
        <w:t>practical (e.g. local names, musicians playing on the veranda) within the constraints of the actual buildings. This was confirmed in community consultations</w:t>
      </w:r>
      <w:r>
        <w:rPr>
          <w:lang w:eastAsia="x-none"/>
        </w:rPr>
        <w:t>.</w:t>
      </w:r>
    </w:p>
    <w:p w14:paraId="2EBE3163" w14:textId="77777777" w:rsidR="00204D69" w:rsidRDefault="00204D69" w:rsidP="00204D69">
      <w:pPr>
        <w:rPr>
          <w:lang w:eastAsia="x-none"/>
        </w:rPr>
      </w:pPr>
      <w:r>
        <w:rPr>
          <w:lang w:eastAsia="x-none"/>
        </w:rPr>
        <w:t>The building does not incorporate an effective purpose built space for client and community drop-in which is a key part of the service model.</w:t>
      </w:r>
    </w:p>
    <w:p w14:paraId="2EBE3164" w14:textId="77777777" w:rsidR="00204D69" w:rsidRDefault="00204D69" w:rsidP="00204D69">
      <w:pPr>
        <w:shd w:val="clear" w:color="auto" w:fill="DBE5F1" w:themeFill="accent1" w:themeFillTint="33"/>
        <w:rPr>
          <w:lang w:eastAsia="x-none"/>
        </w:rPr>
      </w:pPr>
      <w:r w:rsidRPr="0005223E">
        <w:rPr>
          <w:rStyle w:val="Strong"/>
        </w:rPr>
        <w:t xml:space="preserve">It is </w:t>
      </w:r>
      <w:r w:rsidR="00541E99" w:rsidRPr="0005223E">
        <w:rPr>
          <w:rStyle w:val="Strong"/>
        </w:rPr>
        <w:t>proposed</w:t>
      </w:r>
      <w:r w:rsidRPr="0005223E">
        <w:rPr>
          <w:rStyle w:val="Strong"/>
        </w:rPr>
        <w:t xml:space="preserve"> </w:t>
      </w:r>
      <w:r>
        <w:rPr>
          <w:lang w:eastAsia="x-none"/>
        </w:rPr>
        <w:t>that any new SEWB including a drop-in component, incorporate an effective design that enhances client flow and the service experience.</w:t>
      </w:r>
    </w:p>
    <w:p w14:paraId="2EBE3165" w14:textId="77777777" w:rsidR="00204D69" w:rsidRDefault="00204D69" w:rsidP="00204D69">
      <w:pPr>
        <w:pStyle w:val="Heading2"/>
        <w:rPr>
          <w:lang w:val="en-AU"/>
        </w:rPr>
      </w:pPr>
      <w:bookmarkStart w:id="193" w:name="_Toc440038452"/>
      <w:r>
        <w:lastRenderedPageBreak/>
        <w:t>Service availability</w:t>
      </w:r>
      <w:bookmarkEnd w:id="193"/>
    </w:p>
    <w:p w14:paraId="2EBE3166" w14:textId="77777777" w:rsidR="000B5348" w:rsidRDefault="000B5348" w:rsidP="00204D69">
      <w:pPr>
        <w:rPr>
          <w:lang w:eastAsia="en-AU"/>
        </w:rPr>
      </w:pPr>
      <w:r>
        <w:rPr>
          <w:lang w:eastAsia="en-AU"/>
        </w:rPr>
        <w:t>In discussing the issue of service availability the context for the WBCs needs to be considered. In ‘hand out to hand up’</w:t>
      </w:r>
      <w:r w:rsidR="007D334C">
        <w:rPr>
          <w:lang w:eastAsia="en-AU"/>
        </w:rPr>
        <w:t xml:space="preserve">, WBCs were envisaged as being community run village hubs </w:t>
      </w:r>
      <w:r w:rsidR="007D334C" w:rsidRPr="00BD5004">
        <w:t xml:space="preserve">designed to </w:t>
      </w:r>
      <w:r w:rsidR="007D334C">
        <w:t>address</w:t>
      </w:r>
      <w:r w:rsidR="007D334C" w:rsidRPr="00BD5004">
        <w:t xml:space="preserve"> the key support needs (e.g. </w:t>
      </w:r>
      <w:r w:rsidR="007D334C">
        <w:t xml:space="preserve">mental health, alcohol and other drugs </w:t>
      </w:r>
      <w:r w:rsidR="007D334C" w:rsidRPr="00BD5004">
        <w:t>counselling) seen as essential for rebuilding social norms.</w:t>
      </w:r>
      <w:r w:rsidR="007D334C">
        <w:t xml:space="preserve"> They were not seen as comprehensive 24/7 </w:t>
      </w:r>
      <w:r w:rsidR="007D334C">
        <w:rPr>
          <w:lang w:eastAsia="en-AU"/>
        </w:rPr>
        <w:t>services. Indeed the CYWR Trial was trying to avoid further dependence on additional services or establishing passive service delivery.</w:t>
      </w:r>
    </w:p>
    <w:p w14:paraId="2EBE3167" w14:textId="77777777" w:rsidR="00204D69" w:rsidRPr="00020E8D" w:rsidRDefault="007D334C" w:rsidP="00204D69">
      <w:pPr>
        <w:rPr>
          <w:lang w:eastAsia="en-AU"/>
        </w:rPr>
      </w:pPr>
      <w:r>
        <w:rPr>
          <w:lang w:eastAsia="en-AU"/>
        </w:rPr>
        <w:t>In reviewing service availability, k</w:t>
      </w:r>
      <w:r w:rsidR="00204D69" w:rsidRPr="00020E8D">
        <w:rPr>
          <w:lang w:eastAsia="en-AU"/>
        </w:rPr>
        <w:t xml:space="preserve">ey elements </w:t>
      </w:r>
      <w:r>
        <w:rPr>
          <w:lang w:eastAsia="en-AU"/>
        </w:rPr>
        <w:t>are seen to include</w:t>
      </w:r>
      <w:r w:rsidR="00204D69" w:rsidRPr="00020E8D">
        <w:rPr>
          <w:lang w:eastAsia="en-AU"/>
        </w:rPr>
        <w:t xml:space="preserve"> opening times, a capacity for some appropriate level of after-hours response</w:t>
      </w:r>
      <w:r w:rsidR="00204D69">
        <w:rPr>
          <w:lang w:eastAsia="en-AU"/>
        </w:rPr>
        <w:t>/service</w:t>
      </w:r>
      <w:r w:rsidR="00204D69" w:rsidRPr="00020E8D">
        <w:rPr>
          <w:lang w:eastAsia="en-AU"/>
        </w:rPr>
        <w:t xml:space="preserve"> and staff availability.</w:t>
      </w:r>
    </w:p>
    <w:p w14:paraId="2EBE3168" w14:textId="77777777" w:rsidR="00204D69" w:rsidRDefault="00204D69" w:rsidP="00204D69">
      <w:pPr>
        <w:rPr>
          <w:bCs/>
          <w:color w:val="auto"/>
        </w:rPr>
      </w:pPr>
      <w:r w:rsidRPr="00020E8D">
        <w:rPr>
          <w:lang w:eastAsia="en-AU"/>
        </w:rPr>
        <w:t>The WBCs ar</w:t>
      </w:r>
      <w:r>
        <w:rPr>
          <w:lang w:eastAsia="en-AU"/>
        </w:rPr>
        <w:t>e primarily a weekday service 9</w:t>
      </w:r>
      <w:r w:rsidRPr="00020E8D">
        <w:rPr>
          <w:lang w:eastAsia="en-AU"/>
        </w:rPr>
        <w:t>am to 5pm</w:t>
      </w:r>
      <w:r>
        <w:rPr>
          <w:lang w:eastAsia="en-AU"/>
        </w:rPr>
        <w:t xml:space="preserve"> (4.30 at Mossman Gorge)</w:t>
      </w:r>
      <w:r w:rsidRPr="00020E8D">
        <w:rPr>
          <w:lang w:eastAsia="en-AU"/>
        </w:rPr>
        <w:t xml:space="preserve"> with no structured after hours emergency response. The intention</w:t>
      </w:r>
      <w:r>
        <w:rPr>
          <w:lang w:eastAsia="en-AU"/>
        </w:rPr>
        <w:t xml:space="preserve"> of the service model</w:t>
      </w:r>
      <w:r w:rsidRPr="00020E8D">
        <w:rPr>
          <w:lang w:eastAsia="en-AU"/>
        </w:rPr>
        <w:t xml:space="preserve"> is that emergency responses will be addressed by local health clinics.</w:t>
      </w:r>
      <w:r>
        <w:rPr>
          <w:lang w:eastAsia="en-AU"/>
        </w:rPr>
        <w:t xml:space="preserve"> </w:t>
      </w:r>
      <w:r w:rsidR="007D334C">
        <w:rPr>
          <w:lang w:eastAsia="en-AU"/>
        </w:rPr>
        <w:t>As above, t</w:t>
      </w:r>
      <w:r>
        <w:rPr>
          <w:bCs/>
          <w:color w:val="auto"/>
        </w:rPr>
        <w:t>here is also the concern that the more services are offered, the more the risk of dependency on the staff and service.</w:t>
      </w:r>
      <w:r w:rsidR="007D334C">
        <w:rPr>
          <w:bCs/>
          <w:color w:val="auto"/>
        </w:rPr>
        <w:t xml:space="preserve"> That is, WBC programs should be building capacity and not have clients </w:t>
      </w:r>
      <w:r w:rsidR="001453CA">
        <w:rPr>
          <w:bCs/>
          <w:color w:val="auto"/>
        </w:rPr>
        <w:t>seeking assistance on every occasion an issue arises.</w:t>
      </w:r>
    </w:p>
    <w:p w14:paraId="2EBE3169" w14:textId="77777777" w:rsidR="00204D69" w:rsidRDefault="00204D69" w:rsidP="00204D69">
      <w:pPr>
        <w:spacing w:before="240"/>
        <w:rPr>
          <w:lang w:eastAsia="en-AU"/>
        </w:rPr>
      </w:pPr>
      <w:r>
        <w:rPr>
          <w:lang w:eastAsia="en-AU"/>
        </w:rPr>
        <w:t xml:space="preserve">Non-local staff in the communities (excluding Mossman Gorge) are generally working flexible working hours (3 days x 9.5 hours in community, one day in base, and one day off) which </w:t>
      </w:r>
      <w:r w:rsidRPr="009A44FD">
        <w:rPr>
          <w:lang w:eastAsia="en-AU"/>
        </w:rPr>
        <w:t>provides essential flexibility while in community</w:t>
      </w:r>
      <w:r>
        <w:rPr>
          <w:lang w:eastAsia="en-AU"/>
        </w:rPr>
        <w:t>. This allows for example, after-hours activities to be undertaken (e.g. groups) and ‘quiet time’ for clinical notes.  RFDS staff and key Queensland Health staff also strongly believe this is contributing to longevity of staff in their roles and reducing potential ‘burnout’. Some staff members who have been in their roles for two or more years are clear that this flexibility will enhance the likelihood of them remaining in this role for a more extended period of time.</w:t>
      </w:r>
    </w:p>
    <w:p w14:paraId="2EBE316A" w14:textId="77777777" w:rsidR="00204D69" w:rsidRPr="00FA509A" w:rsidRDefault="005D3AA8" w:rsidP="00204D69">
      <w:pPr>
        <w:rPr>
          <w:color w:val="auto"/>
          <w:lang w:eastAsia="en-AU"/>
        </w:rPr>
      </w:pPr>
      <w:r>
        <w:rPr>
          <w:color w:val="auto"/>
          <w:lang w:eastAsia="en-AU"/>
        </w:rPr>
        <w:t xml:space="preserve">Throughout the consultation process with </w:t>
      </w:r>
      <w:r w:rsidR="00204D69" w:rsidRPr="00FA509A">
        <w:rPr>
          <w:color w:val="auto"/>
          <w:lang w:eastAsia="en-AU"/>
        </w:rPr>
        <w:t xml:space="preserve">clients </w:t>
      </w:r>
      <w:r>
        <w:rPr>
          <w:color w:val="auto"/>
          <w:lang w:eastAsia="en-AU"/>
        </w:rPr>
        <w:t xml:space="preserve">and </w:t>
      </w:r>
      <w:r w:rsidR="00204D69" w:rsidRPr="00FA509A">
        <w:rPr>
          <w:color w:val="auto"/>
          <w:lang w:eastAsia="en-AU"/>
        </w:rPr>
        <w:t>community members</w:t>
      </w:r>
      <w:r>
        <w:rPr>
          <w:color w:val="auto"/>
          <w:lang w:eastAsia="en-AU"/>
        </w:rPr>
        <w:t xml:space="preserve">, none </w:t>
      </w:r>
      <w:r w:rsidR="00204D69" w:rsidRPr="00FA509A">
        <w:rPr>
          <w:color w:val="auto"/>
          <w:lang w:eastAsia="en-AU"/>
        </w:rPr>
        <w:t>interviewed identified lack of service availability as being an issue.</w:t>
      </w:r>
    </w:p>
    <w:p w14:paraId="2EBE316B" w14:textId="77777777" w:rsidR="00204D69" w:rsidRDefault="00204D69" w:rsidP="00204D69">
      <w:pPr>
        <w:rPr>
          <w:lang w:eastAsia="en-AU"/>
        </w:rPr>
      </w:pPr>
      <w:r>
        <w:rPr>
          <w:lang w:eastAsia="en-AU"/>
        </w:rPr>
        <w:t xml:space="preserve">Partners generally reported no issues with service availability except that one or two partners thought there should be an emergency response after hours and that on occasions the centres had been closed at critical times when needed by the community, for example during a funeral or when there were significant periods of unrest. Further investigation revealed that these were isolated </w:t>
      </w:r>
      <w:r w:rsidR="005D3AA8">
        <w:rPr>
          <w:lang w:eastAsia="en-AU"/>
        </w:rPr>
        <w:t xml:space="preserve">and/or </w:t>
      </w:r>
      <w:r>
        <w:rPr>
          <w:lang w:eastAsia="en-AU"/>
        </w:rPr>
        <w:t xml:space="preserve">explainable incidents or associated with </w:t>
      </w:r>
      <w:r w:rsidR="000E229E">
        <w:rPr>
          <w:lang w:eastAsia="en-AU"/>
        </w:rPr>
        <w:t xml:space="preserve">safety and </w:t>
      </w:r>
      <w:r>
        <w:rPr>
          <w:lang w:eastAsia="en-AU"/>
        </w:rPr>
        <w:t>risk management.</w:t>
      </w:r>
    </w:p>
    <w:p w14:paraId="2EBE316C" w14:textId="77777777" w:rsidR="000E229E" w:rsidRDefault="00204D69" w:rsidP="00204D69">
      <w:pPr>
        <w:rPr>
          <w:lang w:eastAsia="en-AU"/>
        </w:rPr>
      </w:pPr>
      <w:r>
        <w:rPr>
          <w:lang w:eastAsia="en-AU"/>
        </w:rPr>
        <w:t xml:space="preserve">In conclusion, service availability is appropriate to the </w:t>
      </w:r>
      <w:r w:rsidR="005D3AA8">
        <w:rPr>
          <w:lang w:eastAsia="en-AU"/>
        </w:rPr>
        <w:t xml:space="preserve">intended </w:t>
      </w:r>
      <w:r>
        <w:rPr>
          <w:lang w:eastAsia="en-AU"/>
        </w:rPr>
        <w:t>role and function of the WBCs</w:t>
      </w:r>
      <w:r w:rsidR="005D3AA8">
        <w:rPr>
          <w:lang w:eastAsia="en-AU"/>
        </w:rPr>
        <w:t xml:space="preserve"> and is not any different to the majority of ambulatory mental health and drug and alcohol services found across Australia</w:t>
      </w:r>
      <w:r>
        <w:rPr>
          <w:lang w:eastAsia="en-AU"/>
        </w:rPr>
        <w:t>.</w:t>
      </w:r>
    </w:p>
    <w:p w14:paraId="2EBE316D" w14:textId="77777777" w:rsidR="00204D69" w:rsidRDefault="00204D69" w:rsidP="00204D69">
      <w:pPr>
        <w:pStyle w:val="Heading2"/>
      </w:pPr>
      <w:bookmarkStart w:id="194" w:name="_Toc440038453"/>
      <w:r w:rsidRPr="005A34F8">
        <w:t>Funding</w:t>
      </w:r>
      <w:r w:rsidR="008C7E0A">
        <w:rPr>
          <w:lang w:val="en-AU"/>
        </w:rPr>
        <w:t xml:space="preserve"> </w:t>
      </w:r>
      <w:r>
        <w:rPr>
          <w:lang w:val="en-AU"/>
        </w:rPr>
        <w:t>and costs</w:t>
      </w:r>
      <w:bookmarkEnd w:id="194"/>
    </w:p>
    <w:p w14:paraId="2EBE316E" w14:textId="77777777" w:rsidR="00204D69" w:rsidRDefault="00543070" w:rsidP="00204D69">
      <w:pPr>
        <w:rPr>
          <w:lang w:eastAsia="x-none"/>
        </w:rPr>
      </w:pPr>
      <w:r>
        <w:rPr>
          <w:lang w:eastAsia="x-none"/>
        </w:rPr>
        <w:t>Since inception</w:t>
      </w:r>
      <w:r w:rsidR="009E55F2">
        <w:rPr>
          <w:lang w:eastAsia="x-none"/>
        </w:rPr>
        <w:t xml:space="preserve"> in July 2008</w:t>
      </w:r>
      <w:r>
        <w:rPr>
          <w:lang w:eastAsia="x-none"/>
        </w:rPr>
        <w:t xml:space="preserve"> to June 2014 </w:t>
      </w:r>
      <w:r w:rsidR="00204D69" w:rsidRPr="00CC4169">
        <w:rPr>
          <w:lang w:eastAsia="x-none"/>
        </w:rPr>
        <w:t>a total of $</w:t>
      </w:r>
      <w:r>
        <w:rPr>
          <w:lang w:eastAsia="x-none"/>
        </w:rPr>
        <w:t>24.6 million</w:t>
      </w:r>
      <w:r w:rsidR="00204D69" w:rsidRPr="00CC4169">
        <w:rPr>
          <w:lang w:eastAsia="x-none"/>
        </w:rPr>
        <w:t xml:space="preserve"> has been mad</w:t>
      </w:r>
      <w:r>
        <w:rPr>
          <w:lang w:eastAsia="x-none"/>
        </w:rPr>
        <w:t>e available to operate the WBCs with $7.3 mil</w:t>
      </w:r>
      <w:r w:rsidR="006D0F4A">
        <w:rPr>
          <w:lang w:eastAsia="x-none"/>
        </w:rPr>
        <w:t>lion provided for capital works.</w:t>
      </w:r>
    </w:p>
    <w:p w14:paraId="2EBE316F" w14:textId="77777777" w:rsidR="008C7E0A" w:rsidRDefault="008C7E0A" w:rsidP="00204D69">
      <w:pPr>
        <w:rPr>
          <w:lang w:eastAsia="x-none"/>
        </w:rPr>
      </w:pPr>
      <w:r>
        <w:rPr>
          <w:lang w:eastAsia="x-none"/>
        </w:rPr>
        <w:fldChar w:fldCharType="begin"/>
      </w:r>
      <w:r>
        <w:rPr>
          <w:lang w:eastAsia="x-none"/>
        </w:rPr>
        <w:instrText xml:space="preserve"> REF _Ref396919640 \h </w:instrText>
      </w:r>
      <w:r>
        <w:rPr>
          <w:lang w:eastAsia="x-none"/>
        </w:rPr>
      </w:r>
      <w:r>
        <w:rPr>
          <w:lang w:eastAsia="x-none"/>
        </w:rPr>
        <w:fldChar w:fldCharType="separate"/>
      </w:r>
      <w:r w:rsidR="009A19EB">
        <w:t xml:space="preserve">Table </w:t>
      </w:r>
      <w:r w:rsidR="009A19EB">
        <w:rPr>
          <w:noProof/>
        </w:rPr>
        <w:t>3</w:t>
      </w:r>
      <w:r w:rsidR="009A19EB">
        <w:t>.</w:t>
      </w:r>
      <w:r w:rsidR="009A19EB">
        <w:rPr>
          <w:noProof/>
        </w:rPr>
        <w:t>5</w:t>
      </w:r>
      <w:r>
        <w:rPr>
          <w:lang w:eastAsia="x-none"/>
        </w:rPr>
        <w:fldChar w:fldCharType="end"/>
      </w:r>
      <w:r>
        <w:rPr>
          <w:lang w:eastAsia="x-none"/>
        </w:rPr>
        <w:t xml:space="preserve"> </w:t>
      </w:r>
      <w:r w:rsidR="00B60723">
        <w:rPr>
          <w:lang w:eastAsia="x-none"/>
        </w:rPr>
        <w:t>presents funding sources for the operation of the WBCs for the period we were able to source data. F</w:t>
      </w:r>
      <w:r>
        <w:rPr>
          <w:lang w:eastAsia="x-none"/>
        </w:rPr>
        <w:t xml:space="preserve">unds have come from multiple </w:t>
      </w:r>
      <w:r w:rsidR="00B60723">
        <w:rPr>
          <w:lang w:eastAsia="x-none"/>
        </w:rPr>
        <w:t>programs and organisations with the Australian Government funding 78% and Queensland Government 22%.  Since July 2012 funding has been managed under the single desk officer trial (refer Section 3.16).</w:t>
      </w:r>
      <w:r w:rsidR="005D3AA8">
        <w:rPr>
          <w:lang w:eastAsia="x-none"/>
        </w:rPr>
        <w:t xml:space="preserve"> As illustrated a significant proportion of funds were mental health and drug and alcohol program funding.</w:t>
      </w:r>
    </w:p>
    <w:p w14:paraId="2EBE3171" w14:textId="50F1F852" w:rsidR="00C7417C" w:rsidRDefault="00AA7DC9" w:rsidP="00AA7DC9">
      <w:pPr>
        <w:pStyle w:val="Caption"/>
        <w:pageBreakBefore/>
        <w:rPr>
          <w:lang w:eastAsia="x-none"/>
        </w:rPr>
      </w:pPr>
      <w:bookmarkStart w:id="195" w:name="_Ref396919640"/>
      <w:r>
        <w:lastRenderedPageBreak/>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5</w:t>
      </w:r>
      <w:r>
        <w:fldChar w:fldCharType="end"/>
      </w:r>
      <w:bookmarkEnd w:id="195"/>
      <w:r w:rsidR="008C7E0A">
        <w:t>: Funding sources 2012/13 to 2013/14</w:t>
      </w:r>
    </w:p>
    <w:tbl>
      <w:tblPr>
        <w:tblStyle w:val="Hoi2"/>
        <w:tblW w:w="9285" w:type="dxa"/>
        <w:tblLook w:val="04A0" w:firstRow="1" w:lastRow="0" w:firstColumn="1" w:lastColumn="0" w:noHBand="0" w:noVBand="1"/>
        <w:tblCaption w:val="Table 3.5: Funding sources 2012/13 to 2013/14"/>
        <w:tblDescription w:val="Table 3.5 presents funding sources for the WBCs from 2012/13 to 2013/14.  The first column lists the funding sources, while the second column lists the program that the funds came from.  Columns two, three and four contain the funding amounts for 2012/13, 2013/14 and Total funding respectively and column six provides the percentage of total funding that each funding source provided.  The bottom row provides total values for each column.  "/>
      </w:tblPr>
      <w:tblGrid>
        <w:gridCol w:w="2093"/>
        <w:gridCol w:w="3118"/>
        <w:gridCol w:w="1134"/>
        <w:gridCol w:w="1077"/>
        <w:gridCol w:w="1142"/>
        <w:gridCol w:w="721"/>
      </w:tblGrid>
      <w:tr w:rsidR="001A6CA4" w:rsidRPr="004F7F29" w14:paraId="2EBE3178" w14:textId="77777777" w:rsidTr="00377FC2">
        <w:trPr>
          <w:cnfStyle w:val="100000000000" w:firstRow="1" w:lastRow="0" w:firstColumn="0" w:lastColumn="0" w:oddVBand="0" w:evenVBand="0" w:oddHBand="0" w:evenHBand="0" w:firstRowFirstColumn="0" w:firstRowLastColumn="0" w:lastRowFirstColumn="0" w:lastRowLastColumn="0"/>
          <w:trHeight w:val="300"/>
          <w:tblHeader/>
        </w:trPr>
        <w:tc>
          <w:tcPr>
            <w:tcW w:w="2093" w:type="dxa"/>
            <w:vMerge w:val="restart"/>
            <w:noWrap/>
            <w:hideMark/>
          </w:tcPr>
          <w:p w14:paraId="2EBE3172"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Source</w:t>
            </w:r>
          </w:p>
        </w:tc>
        <w:tc>
          <w:tcPr>
            <w:tcW w:w="3118" w:type="dxa"/>
            <w:vMerge w:val="restart"/>
            <w:noWrap/>
            <w:hideMark/>
          </w:tcPr>
          <w:p w14:paraId="2EBE3173"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Program</w:t>
            </w:r>
          </w:p>
        </w:tc>
        <w:tc>
          <w:tcPr>
            <w:tcW w:w="1134" w:type="dxa"/>
            <w:tcBorders>
              <w:bottom w:val="single" w:sz="4" w:space="0" w:color="FFFFFF"/>
            </w:tcBorders>
            <w:noWrap/>
            <w:hideMark/>
          </w:tcPr>
          <w:p w14:paraId="2EBE3174"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2012/13</w:t>
            </w:r>
          </w:p>
        </w:tc>
        <w:tc>
          <w:tcPr>
            <w:tcW w:w="1077" w:type="dxa"/>
            <w:tcBorders>
              <w:bottom w:val="single" w:sz="4" w:space="0" w:color="FFFFFF"/>
            </w:tcBorders>
            <w:noWrap/>
            <w:hideMark/>
          </w:tcPr>
          <w:p w14:paraId="2EBE3175"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2013/14</w:t>
            </w:r>
          </w:p>
        </w:tc>
        <w:tc>
          <w:tcPr>
            <w:tcW w:w="1077" w:type="dxa"/>
            <w:tcBorders>
              <w:bottom w:val="single" w:sz="4" w:space="0" w:color="FFFFFF"/>
            </w:tcBorders>
            <w:noWrap/>
            <w:hideMark/>
          </w:tcPr>
          <w:p w14:paraId="2EBE3176"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Total</w:t>
            </w:r>
          </w:p>
        </w:tc>
        <w:tc>
          <w:tcPr>
            <w:tcW w:w="786" w:type="dxa"/>
            <w:vMerge w:val="restart"/>
          </w:tcPr>
          <w:p w14:paraId="2EBE3177" w14:textId="77777777" w:rsidR="008C7E0A" w:rsidRPr="00B60723" w:rsidDel="008C7E0A" w:rsidRDefault="001A6CA4" w:rsidP="004F7F29">
            <w:pPr>
              <w:spacing w:after="0"/>
              <w:jc w:val="center"/>
              <w:rPr>
                <w:rFonts w:eastAsia="Times New Roman" w:cs="Segoe UI"/>
                <w:b/>
                <w:sz w:val="18"/>
                <w:szCs w:val="18"/>
                <w:lang w:eastAsia="en-AU"/>
              </w:rPr>
            </w:pPr>
            <w:r>
              <w:rPr>
                <w:rFonts w:eastAsia="Times New Roman" w:cs="Segoe UI"/>
                <w:b/>
                <w:sz w:val="18"/>
                <w:szCs w:val="18"/>
                <w:lang w:eastAsia="en-AU"/>
              </w:rPr>
              <w:t>%</w:t>
            </w:r>
          </w:p>
        </w:tc>
      </w:tr>
      <w:tr w:rsidR="001A6CA4" w:rsidRPr="004F7F29" w14:paraId="2EBE317F" w14:textId="77777777" w:rsidTr="00377FC2">
        <w:trPr>
          <w:cnfStyle w:val="100000000000" w:firstRow="1" w:lastRow="0" w:firstColumn="0" w:lastColumn="0" w:oddVBand="0" w:evenVBand="0" w:oddHBand="0" w:evenHBand="0" w:firstRowFirstColumn="0" w:firstRowLastColumn="0" w:lastRowFirstColumn="0" w:lastRowLastColumn="0"/>
          <w:trHeight w:val="300"/>
          <w:tblHeader/>
        </w:trPr>
        <w:tc>
          <w:tcPr>
            <w:tcW w:w="2093" w:type="dxa"/>
            <w:vMerge/>
            <w:hideMark/>
          </w:tcPr>
          <w:p w14:paraId="2EBE3179" w14:textId="77777777" w:rsidR="008C7E0A" w:rsidRPr="00B60723" w:rsidRDefault="008C7E0A" w:rsidP="004F7F29">
            <w:pPr>
              <w:spacing w:after="0"/>
              <w:jc w:val="left"/>
              <w:rPr>
                <w:rFonts w:eastAsia="Times New Roman" w:cs="Segoe UI"/>
                <w:b/>
                <w:sz w:val="18"/>
                <w:szCs w:val="18"/>
                <w:lang w:eastAsia="en-AU"/>
              </w:rPr>
            </w:pPr>
          </w:p>
        </w:tc>
        <w:tc>
          <w:tcPr>
            <w:tcW w:w="3118" w:type="dxa"/>
            <w:vMerge/>
            <w:hideMark/>
          </w:tcPr>
          <w:p w14:paraId="2EBE317A" w14:textId="77777777" w:rsidR="008C7E0A" w:rsidRPr="00B60723" w:rsidRDefault="008C7E0A" w:rsidP="004F7F29">
            <w:pPr>
              <w:spacing w:after="0"/>
              <w:jc w:val="left"/>
              <w:rPr>
                <w:rFonts w:eastAsia="Times New Roman" w:cs="Segoe UI"/>
                <w:b/>
                <w:sz w:val="18"/>
                <w:szCs w:val="18"/>
                <w:lang w:eastAsia="en-AU"/>
              </w:rPr>
            </w:pPr>
          </w:p>
        </w:tc>
        <w:tc>
          <w:tcPr>
            <w:tcW w:w="1134" w:type="dxa"/>
            <w:shd w:val="clear" w:color="auto" w:fill="B8CCE4" w:themeFill="accent1" w:themeFillTint="66"/>
            <w:noWrap/>
            <w:hideMark/>
          </w:tcPr>
          <w:p w14:paraId="2EBE317B"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w:t>
            </w:r>
          </w:p>
        </w:tc>
        <w:tc>
          <w:tcPr>
            <w:tcW w:w="1077" w:type="dxa"/>
            <w:shd w:val="clear" w:color="auto" w:fill="B8CCE4" w:themeFill="accent1" w:themeFillTint="66"/>
            <w:noWrap/>
            <w:hideMark/>
          </w:tcPr>
          <w:p w14:paraId="2EBE317C"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w:t>
            </w:r>
          </w:p>
        </w:tc>
        <w:tc>
          <w:tcPr>
            <w:tcW w:w="1077" w:type="dxa"/>
            <w:shd w:val="clear" w:color="auto" w:fill="B8CCE4" w:themeFill="accent1" w:themeFillTint="66"/>
            <w:noWrap/>
            <w:hideMark/>
          </w:tcPr>
          <w:p w14:paraId="2EBE317D" w14:textId="77777777" w:rsidR="008C7E0A" w:rsidRPr="00B60723" w:rsidRDefault="008C7E0A" w:rsidP="004F7F29">
            <w:pPr>
              <w:spacing w:after="0"/>
              <w:jc w:val="center"/>
              <w:rPr>
                <w:rFonts w:eastAsia="Times New Roman" w:cs="Segoe UI"/>
                <w:b/>
                <w:sz w:val="18"/>
                <w:szCs w:val="18"/>
                <w:lang w:eastAsia="en-AU"/>
              </w:rPr>
            </w:pPr>
            <w:r w:rsidRPr="00B60723">
              <w:rPr>
                <w:rFonts w:eastAsia="Times New Roman" w:cs="Segoe UI"/>
                <w:b/>
                <w:sz w:val="18"/>
                <w:szCs w:val="18"/>
                <w:lang w:eastAsia="en-AU"/>
              </w:rPr>
              <w:t>$</w:t>
            </w:r>
          </w:p>
        </w:tc>
        <w:tc>
          <w:tcPr>
            <w:tcW w:w="786" w:type="dxa"/>
            <w:vMerge/>
          </w:tcPr>
          <w:p w14:paraId="2EBE317E" w14:textId="77777777" w:rsidR="008C7E0A" w:rsidRPr="00B60723" w:rsidRDefault="008C7E0A" w:rsidP="004F7F29">
            <w:pPr>
              <w:spacing w:after="0"/>
              <w:jc w:val="left"/>
              <w:rPr>
                <w:rFonts w:eastAsia="Times New Roman" w:cs="Segoe UI"/>
                <w:b/>
                <w:sz w:val="18"/>
                <w:szCs w:val="18"/>
                <w:lang w:eastAsia="en-AU"/>
              </w:rPr>
            </w:pPr>
          </w:p>
        </w:tc>
      </w:tr>
      <w:tr w:rsidR="001A6CA4" w:rsidRPr="004F7F29" w14:paraId="2EBE3186" w14:textId="77777777" w:rsidTr="00576DBB">
        <w:trPr>
          <w:trHeight w:val="600"/>
        </w:trPr>
        <w:tc>
          <w:tcPr>
            <w:tcW w:w="2093" w:type="dxa"/>
            <w:shd w:val="clear" w:color="auto" w:fill="F2F2F2" w:themeFill="background1" w:themeFillShade="F2"/>
            <w:hideMark/>
          </w:tcPr>
          <w:p w14:paraId="2EBE3180"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 xml:space="preserve">Department of Health </w:t>
            </w:r>
          </w:p>
        </w:tc>
        <w:tc>
          <w:tcPr>
            <w:tcW w:w="3118" w:type="dxa"/>
            <w:shd w:val="clear" w:color="auto" w:fill="F2F2F2" w:themeFill="background1" w:themeFillShade="F2"/>
            <w:hideMark/>
          </w:tcPr>
          <w:p w14:paraId="2EBE3181"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Aboriginal Torres Strait Islander Health - Substance Abuse</w:t>
            </w:r>
          </w:p>
        </w:tc>
        <w:tc>
          <w:tcPr>
            <w:tcW w:w="1134" w:type="dxa"/>
            <w:shd w:val="clear" w:color="auto" w:fill="F2F2F2" w:themeFill="background1" w:themeFillShade="F2"/>
            <w:vAlign w:val="center"/>
            <w:hideMark/>
          </w:tcPr>
          <w:p w14:paraId="2EBE3182"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1,253,453</w:t>
            </w:r>
          </w:p>
        </w:tc>
        <w:tc>
          <w:tcPr>
            <w:tcW w:w="1077" w:type="dxa"/>
            <w:shd w:val="clear" w:color="auto" w:fill="F2F2F2" w:themeFill="background1" w:themeFillShade="F2"/>
            <w:noWrap/>
            <w:vAlign w:val="center"/>
            <w:hideMark/>
          </w:tcPr>
          <w:p w14:paraId="2EBE3183"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1,274,761</w:t>
            </w:r>
          </w:p>
        </w:tc>
        <w:tc>
          <w:tcPr>
            <w:tcW w:w="1077" w:type="dxa"/>
            <w:shd w:val="clear" w:color="auto" w:fill="F2F2F2" w:themeFill="background1" w:themeFillShade="F2"/>
            <w:noWrap/>
            <w:vAlign w:val="center"/>
            <w:hideMark/>
          </w:tcPr>
          <w:p w14:paraId="2EBE3184"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2,528,214</w:t>
            </w:r>
          </w:p>
        </w:tc>
        <w:tc>
          <w:tcPr>
            <w:tcW w:w="786" w:type="dxa"/>
            <w:shd w:val="clear" w:color="auto" w:fill="F2F2F2" w:themeFill="background1" w:themeFillShade="F2"/>
            <w:vAlign w:val="center"/>
          </w:tcPr>
          <w:p w14:paraId="2EBE3185" w14:textId="77777777" w:rsidR="008C7E0A" w:rsidRPr="004F7F29" w:rsidRDefault="008C7E0A" w:rsidP="00B60723">
            <w:pPr>
              <w:spacing w:after="0"/>
              <w:jc w:val="center"/>
              <w:rPr>
                <w:rFonts w:eastAsia="Times New Roman" w:cs="Segoe UI"/>
                <w:sz w:val="18"/>
                <w:szCs w:val="18"/>
                <w:lang w:eastAsia="en-AU"/>
              </w:rPr>
            </w:pPr>
            <w:r>
              <w:rPr>
                <w:rFonts w:eastAsia="Times New Roman" w:cs="Segoe UI"/>
                <w:sz w:val="18"/>
                <w:szCs w:val="18"/>
                <w:lang w:eastAsia="en-AU"/>
              </w:rPr>
              <w:t>25%</w:t>
            </w:r>
          </w:p>
        </w:tc>
      </w:tr>
      <w:tr w:rsidR="001A6CA4" w:rsidRPr="004F7F29" w14:paraId="2EBE318D" w14:textId="77777777" w:rsidTr="00576DBB">
        <w:trPr>
          <w:trHeight w:val="300"/>
        </w:trPr>
        <w:tc>
          <w:tcPr>
            <w:tcW w:w="2093" w:type="dxa"/>
            <w:shd w:val="clear" w:color="auto" w:fill="F2F2F2" w:themeFill="background1" w:themeFillShade="F2"/>
            <w:hideMark/>
          </w:tcPr>
          <w:p w14:paraId="2EBE3187"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 xml:space="preserve">Department of Health </w:t>
            </w:r>
          </w:p>
        </w:tc>
        <w:tc>
          <w:tcPr>
            <w:tcW w:w="3118" w:type="dxa"/>
            <w:shd w:val="clear" w:color="auto" w:fill="F2F2F2" w:themeFill="background1" w:themeFillShade="F2"/>
            <w:hideMark/>
          </w:tcPr>
          <w:p w14:paraId="2EBE3188"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NGOTGP</w:t>
            </w:r>
          </w:p>
        </w:tc>
        <w:tc>
          <w:tcPr>
            <w:tcW w:w="1134" w:type="dxa"/>
            <w:shd w:val="clear" w:color="auto" w:fill="F2F2F2" w:themeFill="background1" w:themeFillShade="F2"/>
            <w:vAlign w:val="center"/>
            <w:hideMark/>
          </w:tcPr>
          <w:p w14:paraId="2EBE3189"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1,674,750</w:t>
            </w:r>
          </w:p>
        </w:tc>
        <w:tc>
          <w:tcPr>
            <w:tcW w:w="1077" w:type="dxa"/>
            <w:shd w:val="clear" w:color="auto" w:fill="F2F2F2" w:themeFill="background1" w:themeFillShade="F2"/>
            <w:noWrap/>
            <w:vAlign w:val="center"/>
            <w:hideMark/>
          </w:tcPr>
          <w:p w14:paraId="2EBE318A"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1,674,750</w:t>
            </w:r>
          </w:p>
        </w:tc>
        <w:tc>
          <w:tcPr>
            <w:tcW w:w="1077" w:type="dxa"/>
            <w:shd w:val="clear" w:color="auto" w:fill="F2F2F2" w:themeFill="background1" w:themeFillShade="F2"/>
            <w:noWrap/>
            <w:vAlign w:val="center"/>
            <w:hideMark/>
          </w:tcPr>
          <w:p w14:paraId="2EBE318B"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3,349,500</w:t>
            </w:r>
          </w:p>
        </w:tc>
        <w:tc>
          <w:tcPr>
            <w:tcW w:w="786" w:type="dxa"/>
            <w:shd w:val="clear" w:color="auto" w:fill="F2F2F2" w:themeFill="background1" w:themeFillShade="F2"/>
            <w:vAlign w:val="center"/>
          </w:tcPr>
          <w:p w14:paraId="2EBE318C" w14:textId="77777777" w:rsidR="008C7E0A" w:rsidRPr="004F7F29" w:rsidRDefault="008C7E0A" w:rsidP="00B60723">
            <w:pPr>
              <w:spacing w:after="0"/>
              <w:jc w:val="center"/>
              <w:rPr>
                <w:rFonts w:eastAsia="Times New Roman" w:cs="Segoe UI"/>
                <w:sz w:val="18"/>
                <w:szCs w:val="18"/>
                <w:lang w:eastAsia="en-AU"/>
              </w:rPr>
            </w:pPr>
            <w:r>
              <w:rPr>
                <w:rFonts w:eastAsia="Times New Roman" w:cs="Segoe UI"/>
                <w:sz w:val="18"/>
                <w:szCs w:val="18"/>
                <w:lang w:eastAsia="en-AU"/>
              </w:rPr>
              <w:t>33%</w:t>
            </w:r>
          </w:p>
        </w:tc>
      </w:tr>
      <w:tr w:rsidR="001A6CA4" w:rsidRPr="004F7F29" w14:paraId="2EBE3194" w14:textId="77777777" w:rsidTr="00576DBB">
        <w:trPr>
          <w:trHeight w:val="600"/>
        </w:trPr>
        <w:tc>
          <w:tcPr>
            <w:tcW w:w="2093" w:type="dxa"/>
            <w:shd w:val="clear" w:color="auto" w:fill="F2F2F2" w:themeFill="background1" w:themeFillShade="F2"/>
            <w:hideMark/>
          </w:tcPr>
          <w:p w14:paraId="2EBE318E"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 xml:space="preserve">Department of Health </w:t>
            </w:r>
          </w:p>
        </w:tc>
        <w:tc>
          <w:tcPr>
            <w:tcW w:w="3118" w:type="dxa"/>
            <w:shd w:val="clear" w:color="auto" w:fill="F2F2F2" w:themeFill="background1" w:themeFillShade="F2"/>
            <w:hideMark/>
          </w:tcPr>
          <w:p w14:paraId="2EBE318F"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Mental Health Services in Rural and Remote Areas - Stage Two</w:t>
            </w:r>
          </w:p>
        </w:tc>
        <w:tc>
          <w:tcPr>
            <w:tcW w:w="1134" w:type="dxa"/>
            <w:shd w:val="clear" w:color="auto" w:fill="F2F2F2" w:themeFill="background1" w:themeFillShade="F2"/>
            <w:vAlign w:val="center"/>
            <w:hideMark/>
          </w:tcPr>
          <w:p w14:paraId="2EBE3190"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714,385</w:t>
            </w:r>
          </w:p>
        </w:tc>
        <w:tc>
          <w:tcPr>
            <w:tcW w:w="1077" w:type="dxa"/>
            <w:shd w:val="clear" w:color="auto" w:fill="F2F2F2" w:themeFill="background1" w:themeFillShade="F2"/>
            <w:noWrap/>
            <w:vAlign w:val="center"/>
            <w:hideMark/>
          </w:tcPr>
          <w:p w14:paraId="2EBE3191"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723,500</w:t>
            </w:r>
          </w:p>
        </w:tc>
        <w:tc>
          <w:tcPr>
            <w:tcW w:w="1077" w:type="dxa"/>
            <w:shd w:val="clear" w:color="auto" w:fill="F2F2F2" w:themeFill="background1" w:themeFillShade="F2"/>
            <w:noWrap/>
            <w:vAlign w:val="center"/>
            <w:hideMark/>
          </w:tcPr>
          <w:p w14:paraId="2EBE3192"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1,437,885</w:t>
            </w:r>
          </w:p>
        </w:tc>
        <w:tc>
          <w:tcPr>
            <w:tcW w:w="786" w:type="dxa"/>
            <w:shd w:val="clear" w:color="auto" w:fill="F2F2F2" w:themeFill="background1" w:themeFillShade="F2"/>
            <w:vAlign w:val="center"/>
          </w:tcPr>
          <w:p w14:paraId="2EBE3193" w14:textId="77777777" w:rsidR="008C7E0A" w:rsidRPr="004F7F29" w:rsidRDefault="008C7E0A" w:rsidP="00B60723">
            <w:pPr>
              <w:spacing w:after="0"/>
              <w:jc w:val="center"/>
              <w:rPr>
                <w:rFonts w:eastAsia="Times New Roman" w:cs="Segoe UI"/>
                <w:sz w:val="18"/>
                <w:szCs w:val="18"/>
                <w:lang w:eastAsia="en-AU"/>
              </w:rPr>
            </w:pPr>
            <w:r>
              <w:rPr>
                <w:rFonts w:eastAsia="Times New Roman" w:cs="Segoe UI"/>
                <w:sz w:val="18"/>
                <w:szCs w:val="18"/>
                <w:lang w:eastAsia="en-AU"/>
              </w:rPr>
              <w:t>14%</w:t>
            </w:r>
          </w:p>
        </w:tc>
      </w:tr>
      <w:tr w:rsidR="001A6CA4" w:rsidRPr="004F7F29" w14:paraId="2EBE319B" w14:textId="77777777" w:rsidTr="00576DBB">
        <w:trPr>
          <w:trHeight w:val="300"/>
        </w:trPr>
        <w:tc>
          <w:tcPr>
            <w:tcW w:w="2093" w:type="dxa"/>
            <w:shd w:val="clear" w:color="auto" w:fill="F2F2F2" w:themeFill="background1" w:themeFillShade="F2"/>
            <w:hideMark/>
          </w:tcPr>
          <w:p w14:paraId="2EBE3195"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Queensland Health</w:t>
            </w:r>
          </w:p>
        </w:tc>
        <w:tc>
          <w:tcPr>
            <w:tcW w:w="3118" w:type="dxa"/>
            <w:shd w:val="clear" w:color="auto" w:fill="F2F2F2" w:themeFill="background1" w:themeFillShade="F2"/>
            <w:hideMark/>
          </w:tcPr>
          <w:p w14:paraId="2EBE3196"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Alcohol Reform Contribution</w:t>
            </w:r>
          </w:p>
        </w:tc>
        <w:tc>
          <w:tcPr>
            <w:tcW w:w="1134" w:type="dxa"/>
            <w:shd w:val="clear" w:color="auto" w:fill="F2F2F2" w:themeFill="background1" w:themeFillShade="F2"/>
            <w:vAlign w:val="center"/>
            <w:hideMark/>
          </w:tcPr>
          <w:p w14:paraId="2EBE3197"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1,102,280</w:t>
            </w:r>
          </w:p>
        </w:tc>
        <w:tc>
          <w:tcPr>
            <w:tcW w:w="1077" w:type="dxa"/>
            <w:shd w:val="clear" w:color="auto" w:fill="F2F2F2" w:themeFill="background1" w:themeFillShade="F2"/>
            <w:vAlign w:val="center"/>
            <w:hideMark/>
          </w:tcPr>
          <w:p w14:paraId="2EBE3198"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1,102,280</w:t>
            </w:r>
          </w:p>
        </w:tc>
        <w:tc>
          <w:tcPr>
            <w:tcW w:w="1077" w:type="dxa"/>
            <w:shd w:val="clear" w:color="auto" w:fill="F2F2F2" w:themeFill="background1" w:themeFillShade="F2"/>
            <w:noWrap/>
            <w:vAlign w:val="center"/>
            <w:hideMark/>
          </w:tcPr>
          <w:p w14:paraId="2EBE3199"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2,204,560</w:t>
            </w:r>
          </w:p>
        </w:tc>
        <w:tc>
          <w:tcPr>
            <w:tcW w:w="786" w:type="dxa"/>
            <w:shd w:val="clear" w:color="auto" w:fill="F2F2F2" w:themeFill="background1" w:themeFillShade="F2"/>
            <w:vAlign w:val="center"/>
          </w:tcPr>
          <w:p w14:paraId="2EBE319A" w14:textId="77777777" w:rsidR="008C7E0A" w:rsidRPr="004F7F29" w:rsidRDefault="008C7E0A" w:rsidP="00B60723">
            <w:pPr>
              <w:spacing w:after="0"/>
              <w:jc w:val="center"/>
              <w:rPr>
                <w:rFonts w:eastAsia="Times New Roman" w:cs="Segoe UI"/>
                <w:sz w:val="18"/>
                <w:szCs w:val="18"/>
                <w:lang w:eastAsia="en-AU"/>
              </w:rPr>
            </w:pPr>
            <w:r>
              <w:rPr>
                <w:rFonts w:eastAsia="Times New Roman" w:cs="Segoe UI"/>
                <w:sz w:val="18"/>
                <w:szCs w:val="18"/>
                <w:lang w:eastAsia="en-AU"/>
              </w:rPr>
              <w:t>22%</w:t>
            </w:r>
          </w:p>
        </w:tc>
      </w:tr>
      <w:tr w:rsidR="001A6CA4" w:rsidRPr="004F7F29" w14:paraId="2EBE31A2" w14:textId="77777777" w:rsidTr="00576DBB">
        <w:trPr>
          <w:trHeight w:val="300"/>
        </w:trPr>
        <w:tc>
          <w:tcPr>
            <w:tcW w:w="2093" w:type="dxa"/>
            <w:shd w:val="clear" w:color="auto" w:fill="F2F2F2" w:themeFill="background1" w:themeFillShade="F2"/>
            <w:hideMark/>
          </w:tcPr>
          <w:p w14:paraId="2EBE319C"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Medicare Local</w:t>
            </w:r>
          </w:p>
        </w:tc>
        <w:tc>
          <w:tcPr>
            <w:tcW w:w="3118" w:type="dxa"/>
            <w:shd w:val="clear" w:color="auto" w:fill="F2F2F2" w:themeFill="background1" w:themeFillShade="F2"/>
            <w:hideMark/>
          </w:tcPr>
          <w:p w14:paraId="2EBE319D" w14:textId="77777777" w:rsidR="008C7E0A" w:rsidRPr="004F7F29" w:rsidRDefault="008C7E0A" w:rsidP="00576DBB">
            <w:pPr>
              <w:spacing w:after="0"/>
              <w:jc w:val="left"/>
              <w:rPr>
                <w:rFonts w:eastAsia="Times New Roman" w:cs="Segoe UI"/>
                <w:sz w:val="18"/>
                <w:szCs w:val="18"/>
                <w:lang w:eastAsia="en-AU"/>
              </w:rPr>
            </w:pPr>
            <w:r w:rsidRPr="004F7F29">
              <w:rPr>
                <w:rFonts w:eastAsia="Times New Roman" w:cs="Segoe UI"/>
                <w:sz w:val="18"/>
                <w:szCs w:val="18"/>
                <w:lang w:eastAsia="en-AU"/>
              </w:rPr>
              <w:t>Rural Primary Health Services (Hope</w:t>
            </w:r>
            <w:r w:rsidR="00576DBB">
              <w:rPr>
                <w:rFonts w:eastAsia="Times New Roman" w:cs="Segoe UI"/>
                <w:sz w:val="18"/>
                <w:szCs w:val="18"/>
                <w:lang w:eastAsia="en-AU"/>
              </w:rPr>
              <w:t>v</w:t>
            </w:r>
            <w:r w:rsidRPr="004F7F29">
              <w:rPr>
                <w:rFonts w:eastAsia="Times New Roman" w:cs="Segoe UI"/>
                <w:sz w:val="18"/>
                <w:szCs w:val="18"/>
                <w:lang w:eastAsia="en-AU"/>
              </w:rPr>
              <w:t>ale)</w:t>
            </w:r>
          </w:p>
        </w:tc>
        <w:tc>
          <w:tcPr>
            <w:tcW w:w="1134" w:type="dxa"/>
            <w:shd w:val="clear" w:color="auto" w:fill="F2F2F2" w:themeFill="background1" w:themeFillShade="F2"/>
            <w:vAlign w:val="center"/>
            <w:hideMark/>
          </w:tcPr>
          <w:p w14:paraId="2EBE319E"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92,441</w:t>
            </w:r>
          </w:p>
        </w:tc>
        <w:tc>
          <w:tcPr>
            <w:tcW w:w="1077" w:type="dxa"/>
            <w:shd w:val="clear" w:color="auto" w:fill="F2F2F2" w:themeFill="background1" w:themeFillShade="F2"/>
            <w:noWrap/>
            <w:vAlign w:val="center"/>
            <w:hideMark/>
          </w:tcPr>
          <w:p w14:paraId="2EBE319F"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92,441</w:t>
            </w:r>
          </w:p>
        </w:tc>
        <w:tc>
          <w:tcPr>
            <w:tcW w:w="1077" w:type="dxa"/>
            <w:shd w:val="clear" w:color="auto" w:fill="F2F2F2" w:themeFill="background1" w:themeFillShade="F2"/>
            <w:noWrap/>
            <w:vAlign w:val="center"/>
            <w:hideMark/>
          </w:tcPr>
          <w:p w14:paraId="2EBE31A0"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184,882</w:t>
            </w:r>
          </w:p>
        </w:tc>
        <w:tc>
          <w:tcPr>
            <w:tcW w:w="786" w:type="dxa"/>
            <w:shd w:val="clear" w:color="auto" w:fill="F2F2F2" w:themeFill="background1" w:themeFillShade="F2"/>
            <w:vAlign w:val="center"/>
          </w:tcPr>
          <w:p w14:paraId="2EBE31A1" w14:textId="77777777" w:rsidR="008C7E0A" w:rsidRPr="004F7F29" w:rsidRDefault="008C7E0A" w:rsidP="00B60723">
            <w:pPr>
              <w:spacing w:after="0"/>
              <w:jc w:val="center"/>
              <w:rPr>
                <w:rFonts w:eastAsia="Times New Roman" w:cs="Segoe UI"/>
                <w:sz w:val="18"/>
                <w:szCs w:val="18"/>
                <w:lang w:eastAsia="en-AU"/>
              </w:rPr>
            </w:pPr>
            <w:r>
              <w:rPr>
                <w:rFonts w:eastAsia="Times New Roman" w:cs="Segoe UI"/>
                <w:sz w:val="18"/>
                <w:szCs w:val="18"/>
                <w:lang w:eastAsia="en-AU"/>
              </w:rPr>
              <w:t>2%</w:t>
            </w:r>
          </w:p>
        </w:tc>
      </w:tr>
      <w:tr w:rsidR="001A6CA4" w:rsidRPr="004F7F29" w14:paraId="2EBE31A9" w14:textId="77777777" w:rsidTr="00576DBB">
        <w:trPr>
          <w:trHeight w:val="600"/>
        </w:trPr>
        <w:tc>
          <w:tcPr>
            <w:tcW w:w="2093" w:type="dxa"/>
            <w:shd w:val="clear" w:color="auto" w:fill="F2F2F2" w:themeFill="background1" w:themeFillShade="F2"/>
            <w:hideMark/>
          </w:tcPr>
          <w:p w14:paraId="2EBE31A3"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FaHCSIA/Department Social Services/</w:t>
            </w:r>
            <w:r w:rsidR="001A6CA4">
              <w:rPr>
                <w:rFonts w:eastAsia="Times New Roman" w:cs="Segoe UI"/>
                <w:sz w:val="18"/>
                <w:szCs w:val="18"/>
                <w:lang w:eastAsia="en-AU"/>
              </w:rPr>
              <w:t xml:space="preserve"> </w:t>
            </w:r>
            <w:r w:rsidRPr="004F7F29">
              <w:rPr>
                <w:rFonts w:eastAsia="Times New Roman" w:cs="Segoe UI"/>
                <w:sz w:val="18"/>
                <w:szCs w:val="18"/>
                <w:lang w:eastAsia="en-AU"/>
              </w:rPr>
              <w:t>Department of Health</w:t>
            </w:r>
          </w:p>
        </w:tc>
        <w:tc>
          <w:tcPr>
            <w:tcW w:w="3118" w:type="dxa"/>
            <w:shd w:val="clear" w:color="auto" w:fill="F2F2F2" w:themeFill="background1" w:themeFillShade="F2"/>
            <w:hideMark/>
          </w:tcPr>
          <w:p w14:paraId="2EBE31A4"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Cape York Welfare Reform CDEP replacement measure/Indigenous Employment Initiative</w:t>
            </w:r>
          </w:p>
        </w:tc>
        <w:tc>
          <w:tcPr>
            <w:tcW w:w="1134" w:type="dxa"/>
            <w:shd w:val="clear" w:color="auto" w:fill="F2F2F2" w:themeFill="background1" w:themeFillShade="F2"/>
            <w:vAlign w:val="center"/>
            <w:hideMark/>
          </w:tcPr>
          <w:p w14:paraId="2EBE31A5"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182,562</w:t>
            </w:r>
          </w:p>
        </w:tc>
        <w:tc>
          <w:tcPr>
            <w:tcW w:w="1077" w:type="dxa"/>
            <w:shd w:val="clear" w:color="auto" w:fill="F2F2F2" w:themeFill="background1" w:themeFillShade="F2"/>
            <w:noWrap/>
            <w:vAlign w:val="center"/>
            <w:hideMark/>
          </w:tcPr>
          <w:p w14:paraId="2EBE31A6"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163,583</w:t>
            </w:r>
          </w:p>
        </w:tc>
        <w:tc>
          <w:tcPr>
            <w:tcW w:w="1077" w:type="dxa"/>
            <w:shd w:val="clear" w:color="auto" w:fill="F2F2F2" w:themeFill="background1" w:themeFillShade="F2"/>
            <w:noWrap/>
            <w:vAlign w:val="center"/>
            <w:hideMark/>
          </w:tcPr>
          <w:p w14:paraId="2EBE31A7" w14:textId="77777777" w:rsidR="008C7E0A" w:rsidRPr="004F7F29" w:rsidRDefault="008C7E0A" w:rsidP="00B60723">
            <w:pPr>
              <w:spacing w:after="0"/>
              <w:jc w:val="center"/>
              <w:rPr>
                <w:rFonts w:eastAsia="Times New Roman" w:cs="Segoe UI"/>
                <w:sz w:val="18"/>
                <w:szCs w:val="18"/>
                <w:lang w:eastAsia="en-AU"/>
              </w:rPr>
            </w:pPr>
            <w:r w:rsidRPr="004F7F29">
              <w:rPr>
                <w:rFonts w:eastAsia="Times New Roman" w:cs="Segoe UI"/>
                <w:sz w:val="18"/>
                <w:szCs w:val="18"/>
                <w:lang w:eastAsia="en-AU"/>
              </w:rPr>
              <w:t>346,145</w:t>
            </w:r>
          </w:p>
        </w:tc>
        <w:tc>
          <w:tcPr>
            <w:tcW w:w="786" w:type="dxa"/>
            <w:shd w:val="clear" w:color="auto" w:fill="F2F2F2" w:themeFill="background1" w:themeFillShade="F2"/>
            <w:vAlign w:val="center"/>
          </w:tcPr>
          <w:p w14:paraId="2EBE31A8" w14:textId="77777777" w:rsidR="008C7E0A" w:rsidRPr="004F7F29" w:rsidRDefault="008C7E0A" w:rsidP="00B60723">
            <w:pPr>
              <w:spacing w:after="0"/>
              <w:jc w:val="center"/>
              <w:rPr>
                <w:rFonts w:eastAsia="Times New Roman" w:cs="Segoe UI"/>
                <w:sz w:val="18"/>
                <w:szCs w:val="18"/>
                <w:lang w:eastAsia="en-AU"/>
              </w:rPr>
            </w:pPr>
            <w:r>
              <w:rPr>
                <w:rFonts w:eastAsia="Times New Roman" w:cs="Segoe UI"/>
                <w:sz w:val="18"/>
                <w:szCs w:val="18"/>
                <w:lang w:eastAsia="en-AU"/>
              </w:rPr>
              <w:t>3%</w:t>
            </w:r>
          </w:p>
        </w:tc>
      </w:tr>
      <w:tr w:rsidR="001A6CA4" w:rsidRPr="004F7F29" w14:paraId="2EBE31B0" w14:textId="77777777" w:rsidTr="00576DBB">
        <w:trPr>
          <w:trHeight w:val="300"/>
        </w:trPr>
        <w:tc>
          <w:tcPr>
            <w:tcW w:w="2093" w:type="dxa"/>
            <w:shd w:val="clear" w:color="auto" w:fill="F2F2F2" w:themeFill="background1" w:themeFillShade="F2"/>
            <w:hideMark/>
          </w:tcPr>
          <w:p w14:paraId="2EBE31AA" w14:textId="77777777" w:rsidR="008C7E0A" w:rsidRPr="004F7F29" w:rsidRDefault="008C7E0A" w:rsidP="004F7F29">
            <w:pPr>
              <w:spacing w:after="0"/>
              <w:jc w:val="left"/>
              <w:rPr>
                <w:rFonts w:eastAsia="Times New Roman" w:cs="Segoe UI"/>
                <w:b/>
                <w:bCs/>
                <w:sz w:val="18"/>
                <w:szCs w:val="18"/>
                <w:lang w:eastAsia="en-AU"/>
              </w:rPr>
            </w:pPr>
            <w:r w:rsidRPr="004F7F29">
              <w:rPr>
                <w:rFonts w:eastAsia="Times New Roman" w:cs="Segoe UI"/>
                <w:b/>
                <w:bCs/>
                <w:sz w:val="18"/>
                <w:szCs w:val="18"/>
                <w:lang w:eastAsia="en-AU"/>
              </w:rPr>
              <w:t>Total</w:t>
            </w:r>
          </w:p>
        </w:tc>
        <w:tc>
          <w:tcPr>
            <w:tcW w:w="3118" w:type="dxa"/>
            <w:shd w:val="clear" w:color="auto" w:fill="F2F2F2" w:themeFill="background1" w:themeFillShade="F2"/>
            <w:hideMark/>
          </w:tcPr>
          <w:p w14:paraId="2EBE31AB" w14:textId="77777777" w:rsidR="008C7E0A" w:rsidRPr="004F7F29" w:rsidRDefault="008C7E0A" w:rsidP="004F7F29">
            <w:pPr>
              <w:spacing w:after="0"/>
              <w:jc w:val="left"/>
              <w:rPr>
                <w:rFonts w:eastAsia="Times New Roman" w:cs="Segoe UI"/>
                <w:sz w:val="18"/>
                <w:szCs w:val="18"/>
                <w:lang w:eastAsia="en-AU"/>
              </w:rPr>
            </w:pPr>
            <w:r w:rsidRPr="004F7F29">
              <w:rPr>
                <w:rFonts w:eastAsia="Times New Roman" w:cs="Segoe UI"/>
                <w:sz w:val="18"/>
                <w:szCs w:val="18"/>
                <w:lang w:eastAsia="en-AU"/>
              </w:rPr>
              <w:t> </w:t>
            </w:r>
          </w:p>
        </w:tc>
        <w:tc>
          <w:tcPr>
            <w:tcW w:w="1134" w:type="dxa"/>
            <w:shd w:val="clear" w:color="auto" w:fill="F2F2F2" w:themeFill="background1" w:themeFillShade="F2"/>
            <w:vAlign w:val="center"/>
            <w:hideMark/>
          </w:tcPr>
          <w:p w14:paraId="2EBE31AC" w14:textId="77777777" w:rsidR="008C7E0A" w:rsidRPr="004F7F29" w:rsidRDefault="008C7E0A" w:rsidP="00B60723">
            <w:pPr>
              <w:spacing w:after="0"/>
              <w:jc w:val="center"/>
              <w:rPr>
                <w:rFonts w:eastAsia="Times New Roman" w:cs="Segoe UI"/>
                <w:b/>
                <w:bCs/>
                <w:sz w:val="18"/>
                <w:szCs w:val="18"/>
                <w:lang w:eastAsia="en-AU"/>
              </w:rPr>
            </w:pPr>
            <w:r w:rsidRPr="004F7F29">
              <w:rPr>
                <w:rFonts w:eastAsia="Times New Roman" w:cs="Segoe UI"/>
                <w:b/>
                <w:bCs/>
                <w:sz w:val="18"/>
                <w:szCs w:val="18"/>
                <w:lang w:eastAsia="en-AU"/>
              </w:rPr>
              <w:t>5,019,871</w:t>
            </w:r>
          </w:p>
        </w:tc>
        <w:tc>
          <w:tcPr>
            <w:tcW w:w="1077" w:type="dxa"/>
            <w:shd w:val="clear" w:color="auto" w:fill="F2F2F2" w:themeFill="background1" w:themeFillShade="F2"/>
            <w:noWrap/>
            <w:vAlign w:val="center"/>
            <w:hideMark/>
          </w:tcPr>
          <w:p w14:paraId="2EBE31AD" w14:textId="77777777" w:rsidR="008C7E0A" w:rsidRPr="004F7F29" w:rsidRDefault="008C7E0A" w:rsidP="00B60723">
            <w:pPr>
              <w:spacing w:after="0"/>
              <w:jc w:val="center"/>
              <w:rPr>
                <w:rFonts w:eastAsia="Times New Roman" w:cs="Segoe UI"/>
                <w:b/>
                <w:bCs/>
                <w:sz w:val="18"/>
                <w:szCs w:val="18"/>
                <w:lang w:eastAsia="en-AU"/>
              </w:rPr>
            </w:pPr>
            <w:r w:rsidRPr="004F7F29">
              <w:rPr>
                <w:rFonts w:eastAsia="Times New Roman" w:cs="Segoe UI"/>
                <w:b/>
                <w:bCs/>
                <w:sz w:val="18"/>
                <w:szCs w:val="18"/>
                <w:lang w:eastAsia="en-AU"/>
              </w:rPr>
              <w:t>5,031,315</w:t>
            </w:r>
          </w:p>
        </w:tc>
        <w:tc>
          <w:tcPr>
            <w:tcW w:w="1077" w:type="dxa"/>
            <w:shd w:val="clear" w:color="auto" w:fill="F2F2F2" w:themeFill="background1" w:themeFillShade="F2"/>
            <w:noWrap/>
            <w:vAlign w:val="center"/>
            <w:hideMark/>
          </w:tcPr>
          <w:p w14:paraId="2EBE31AE" w14:textId="77777777" w:rsidR="008C7E0A" w:rsidRPr="004F7F29" w:rsidRDefault="008C7E0A" w:rsidP="00B60723">
            <w:pPr>
              <w:spacing w:after="0"/>
              <w:jc w:val="center"/>
              <w:rPr>
                <w:rFonts w:eastAsia="Times New Roman" w:cs="Segoe UI"/>
                <w:b/>
                <w:bCs/>
                <w:sz w:val="18"/>
                <w:szCs w:val="18"/>
                <w:lang w:eastAsia="en-AU"/>
              </w:rPr>
            </w:pPr>
            <w:r w:rsidRPr="004F7F29">
              <w:rPr>
                <w:rFonts w:eastAsia="Times New Roman" w:cs="Segoe UI"/>
                <w:b/>
                <w:bCs/>
                <w:sz w:val="18"/>
                <w:szCs w:val="18"/>
                <w:lang w:eastAsia="en-AU"/>
              </w:rPr>
              <w:t>10,051,186</w:t>
            </w:r>
          </w:p>
        </w:tc>
        <w:tc>
          <w:tcPr>
            <w:tcW w:w="786" w:type="dxa"/>
            <w:shd w:val="clear" w:color="auto" w:fill="F2F2F2" w:themeFill="background1" w:themeFillShade="F2"/>
            <w:vAlign w:val="center"/>
          </w:tcPr>
          <w:p w14:paraId="2EBE31AF" w14:textId="77777777" w:rsidR="008C7E0A" w:rsidRPr="004F7F29" w:rsidRDefault="008C7E0A" w:rsidP="00B60723">
            <w:pPr>
              <w:spacing w:after="0"/>
              <w:jc w:val="center"/>
              <w:rPr>
                <w:rFonts w:eastAsia="Times New Roman" w:cs="Segoe UI"/>
                <w:b/>
                <w:bCs/>
                <w:sz w:val="18"/>
                <w:szCs w:val="18"/>
                <w:lang w:eastAsia="en-AU"/>
              </w:rPr>
            </w:pPr>
            <w:r>
              <w:rPr>
                <w:rFonts w:eastAsia="Times New Roman" w:cs="Segoe UI"/>
                <w:b/>
                <w:bCs/>
                <w:sz w:val="18"/>
                <w:szCs w:val="18"/>
                <w:lang w:eastAsia="en-AU"/>
              </w:rPr>
              <w:t>100%</w:t>
            </w:r>
          </w:p>
        </w:tc>
      </w:tr>
    </w:tbl>
    <w:p w14:paraId="2EBE31B1" w14:textId="77777777" w:rsidR="004F7F29" w:rsidRPr="00CC4169" w:rsidRDefault="008C7E0A" w:rsidP="00204D69">
      <w:pPr>
        <w:rPr>
          <w:lang w:eastAsia="x-none"/>
        </w:rPr>
      </w:pPr>
      <w:r w:rsidRPr="00B60723">
        <w:rPr>
          <w:sz w:val="18"/>
          <w:szCs w:val="18"/>
          <w:lang w:eastAsia="x-none"/>
        </w:rPr>
        <w:t>Note (1): Figures unaudited</w:t>
      </w:r>
      <w:r>
        <w:rPr>
          <w:lang w:eastAsia="x-none"/>
        </w:rPr>
        <w:t>.</w:t>
      </w:r>
    </w:p>
    <w:p w14:paraId="2EBE31B2" w14:textId="77777777" w:rsidR="00604115" w:rsidRDefault="00204D69" w:rsidP="00204D69">
      <w:pPr>
        <w:rPr>
          <w:lang w:eastAsia="x-none"/>
        </w:rPr>
      </w:pPr>
      <w:r>
        <w:rPr>
          <w:lang w:eastAsia="x-none"/>
        </w:rPr>
        <w:fldChar w:fldCharType="begin"/>
      </w:r>
      <w:r>
        <w:rPr>
          <w:lang w:eastAsia="x-none"/>
        </w:rPr>
        <w:instrText xml:space="preserve"> REF _Ref387393818 \h </w:instrText>
      </w:r>
      <w:r>
        <w:rPr>
          <w:lang w:eastAsia="x-none"/>
        </w:rPr>
      </w:r>
      <w:r>
        <w:rPr>
          <w:lang w:eastAsia="x-none"/>
        </w:rPr>
        <w:fldChar w:fldCharType="separate"/>
      </w:r>
      <w:r w:rsidR="009A19EB">
        <w:t xml:space="preserve">Table </w:t>
      </w:r>
      <w:r w:rsidR="009A19EB">
        <w:rPr>
          <w:noProof/>
        </w:rPr>
        <w:t>3</w:t>
      </w:r>
      <w:r w:rsidR="009A19EB">
        <w:t>.</w:t>
      </w:r>
      <w:r w:rsidR="009A19EB">
        <w:rPr>
          <w:noProof/>
        </w:rPr>
        <w:t>6</w:t>
      </w:r>
      <w:r>
        <w:rPr>
          <w:lang w:eastAsia="x-none"/>
        </w:rPr>
        <w:fldChar w:fldCharType="end"/>
      </w:r>
      <w:r>
        <w:rPr>
          <w:lang w:eastAsia="x-none"/>
        </w:rPr>
        <w:t xml:space="preserve"> presents an estimate of unit costs of the WBC from a number of perspectives based on 2012/13 costs and recorded activity</w:t>
      </w:r>
      <w:r w:rsidR="00B76F0F">
        <w:rPr>
          <w:lang w:eastAsia="x-none"/>
        </w:rPr>
        <w:t xml:space="preserve"> and estimates for 2013/14</w:t>
      </w:r>
      <w:r>
        <w:rPr>
          <w:lang w:eastAsia="x-none"/>
        </w:rPr>
        <w:t>. The indicative cost per contact</w:t>
      </w:r>
      <w:r w:rsidR="00B76F0F">
        <w:rPr>
          <w:lang w:eastAsia="x-none"/>
        </w:rPr>
        <w:t xml:space="preserve"> in 2013/14</w:t>
      </w:r>
      <w:r>
        <w:rPr>
          <w:lang w:eastAsia="x-none"/>
        </w:rPr>
        <w:t xml:space="preserve"> was $</w:t>
      </w:r>
      <w:r w:rsidR="00B76F0F">
        <w:rPr>
          <w:lang w:eastAsia="x-none"/>
        </w:rPr>
        <w:t>516</w:t>
      </w:r>
      <w:r>
        <w:rPr>
          <w:lang w:eastAsia="x-none"/>
        </w:rPr>
        <w:t xml:space="preserve"> and the cost per face to face contact was $</w:t>
      </w:r>
      <w:r w:rsidR="00B76F0F">
        <w:rPr>
          <w:lang w:eastAsia="x-none"/>
        </w:rPr>
        <w:t>796</w:t>
      </w:r>
      <w:r>
        <w:rPr>
          <w:lang w:eastAsia="x-none"/>
        </w:rPr>
        <w:t>. The cost per group participant was $</w:t>
      </w:r>
      <w:r w:rsidR="00B76F0F">
        <w:rPr>
          <w:lang w:eastAsia="x-none"/>
        </w:rPr>
        <w:t>116</w:t>
      </w:r>
      <w:r>
        <w:rPr>
          <w:lang w:eastAsia="x-none"/>
        </w:rPr>
        <w:t xml:space="preserve"> per participant. The indicative cost per client for individual services was $</w:t>
      </w:r>
      <w:r w:rsidR="00B76F0F">
        <w:rPr>
          <w:lang w:eastAsia="x-none"/>
        </w:rPr>
        <w:t>4,745</w:t>
      </w:r>
      <w:r>
        <w:rPr>
          <w:lang w:eastAsia="x-none"/>
        </w:rPr>
        <w:t xml:space="preserve"> and the cost per community member was $1,</w:t>
      </w:r>
      <w:r w:rsidR="00B76F0F">
        <w:rPr>
          <w:lang w:eastAsia="x-none"/>
        </w:rPr>
        <w:t>708</w:t>
      </w:r>
      <w:r>
        <w:rPr>
          <w:lang w:eastAsia="x-none"/>
        </w:rPr>
        <w:t xml:space="preserve">. </w:t>
      </w:r>
      <w:r w:rsidR="00B76F0F">
        <w:rPr>
          <w:lang w:eastAsia="x-none"/>
        </w:rPr>
        <w:t xml:space="preserve">2013/14 </w:t>
      </w:r>
      <w:r w:rsidR="006D0F4A">
        <w:rPr>
          <w:lang w:eastAsia="x-none"/>
        </w:rPr>
        <w:t xml:space="preserve">unit cost </w:t>
      </w:r>
      <w:r w:rsidR="00B76F0F">
        <w:rPr>
          <w:lang w:eastAsia="x-none"/>
        </w:rPr>
        <w:t xml:space="preserve">estimates are less than 2012/13 due to increases in activity. </w:t>
      </w:r>
      <w:r>
        <w:rPr>
          <w:lang w:eastAsia="x-none"/>
        </w:rPr>
        <w:t>There is</w:t>
      </w:r>
      <w:r w:rsidR="00A41105">
        <w:rPr>
          <w:lang w:eastAsia="x-none"/>
        </w:rPr>
        <w:t xml:space="preserve"> no comparative data available, although based on this data the cost </w:t>
      </w:r>
      <w:r w:rsidR="00B76F0F">
        <w:rPr>
          <w:lang w:eastAsia="x-none"/>
        </w:rPr>
        <w:t xml:space="preserve">of </w:t>
      </w:r>
      <w:r w:rsidR="00A41105">
        <w:rPr>
          <w:lang w:eastAsia="x-none"/>
        </w:rPr>
        <w:t>the service is very resource intensive.</w:t>
      </w:r>
    </w:p>
    <w:p w14:paraId="2EBE31B3" w14:textId="6498CA0C" w:rsidR="00204D69" w:rsidRPr="006F13CF" w:rsidRDefault="00AA7DC9" w:rsidP="00AA7DC9">
      <w:pPr>
        <w:pStyle w:val="Caption"/>
      </w:pPr>
      <w:bookmarkStart w:id="196" w:name="_Toc392686442"/>
      <w:bookmarkStart w:id="197" w:name="_Ref387393818"/>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6</w:t>
      </w:r>
      <w:r>
        <w:fldChar w:fldCharType="end"/>
      </w:r>
      <w:bookmarkEnd w:id="197"/>
      <w:r w:rsidR="00204D69">
        <w:t xml:space="preserve">: </w:t>
      </w:r>
      <w:r w:rsidR="00204D69" w:rsidRPr="001E0572">
        <w:t xml:space="preserve">WBC </w:t>
      </w:r>
      <w:r w:rsidR="00FB6103">
        <w:t xml:space="preserve">operating </w:t>
      </w:r>
      <w:r w:rsidR="00204D69" w:rsidRPr="001E0572">
        <w:t xml:space="preserve">costs </w:t>
      </w:r>
      <w:r w:rsidR="006F13CF">
        <w:t>and unit costs</w:t>
      </w:r>
      <w:bookmarkEnd w:id="196"/>
    </w:p>
    <w:tbl>
      <w:tblPr>
        <w:tblW w:w="639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3.6: WBC operating costs and unit costs "/>
        <w:tblDescription w:val="Table 3.6 presents the operating and unit costs for the WBC and some of the breakdowns of those costs.  The first column provides the cost item and columns 2 and 3 provide the 2012/13 actual costs and 2013/14 estimated costs.  The first row contains the Total cost of the WBCs, rows 2 and 3 contain the proportion of costs allocated to clinical support services and group activities/events, rows 4 and 5 contain the costs of individual services and group related activities and the subsequent 5 rows contains individual unit costs for a range of items. "/>
      </w:tblPr>
      <w:tblGrid>
        <w:gridCol w:w="4096"/>
        <w:gridCol w:w="1136"/>
        <w:gridCol w:w="1166"/>
      </w:tblGrid>
      <w:tr w:rsidR="00FB6103" w:rsidRPr="00721E7F" w14:paraId="2EBE31B7" w14:textId="77777777" w:rsidTr="009E55F2">
        <w:trPr>
          <w:trHeight w:val="300"/>
          <w:jc w:val="center"/>
        </w:trPr>
        <w:tc>
          <w:tcPr>
            <w:tcW w:w="4096" w:type="dxa"/>
            <w:shd w:val="clear" w:color="auto" w:fill="B8CCE4"/>
            <w:noWrap/>
          </w:tcPr>
          <w:p w14:paraId="2EBE31B4" w14:textId="77777777" w:rsidR="00FB6103" w:rsidRPr="00721E7F" w:rsidRDefault="00FB6103" w:rsidP="00782511">
            <w:pPr>
              <w:spacing w:before="60" w:after="60"/>
              <w:jc w:val="left"/>
              <w:rPr>
                <w:rFonts w:eastAsia="Times New Roman" w:cs="Segoe UI"/>
                <w:b/>
                <w:sz w:val="18"/>
                <w:szCs w:val="18"/>
                <w:lang w:eastAsia="en-AU"/>
              </w:rPr>
            </w:pPr>
            <w:r w:rsidRPr="00721E7F">
              <w:rPr>
                <w:rFonts w:eastAsia="Times New Roman" w:cs="Segoe UI"/>
                <w:b/>
                <w:sz w:val="18"/>
                <w:szCs w:val="18"/>
                <w:lang w:eastAsia="en-AU"/>
              </w:rPr>
              <w:t>Item</w:t>
            </w:r>
          </w:p>
        </w:tc>
        <w:tc>
          <w:tcPr>
            <w:tcW w:w="1136" w:type="dxa"/>
            <w:shd w:val="clear" w:color="auto" w:fill="B8CCE4"/>
            <w:noWrap/>
          </w:tcPr>
          <w:p w14:paraId="2EBE31B5" w14:textId="77777777" w:rsidR="00FB6103" w:rsidRPr="00FB6103" w:rsidRDefault="00FB6103" w:rsidP="00FB6103">
            <w:pPr>
              <w:spacing w:before="60" w:after="60"/>
              <w:jc w:val="center"/>
              <w:rPr>
                <w:rFonts w:eastAsia="Times New Roman" w:cs="Segoe UI"/>
                <w:b/>
                <w:sz w:val="18"/>
                <w:szCs w:val="18"/>
                <w:lang w:eastAsia="en-AU"/>
              </w:rPr>
            </w:pPr>
            <w:r w:rsidRPr="00FB6103">
              <w:rPr>
                <w:rFonts w:eastAsia="Times New Roman" w:cs="Segoe UI"/>
                <w:b/>
                <w:sz w:val="18"/>
                <w:szCs w:val="18"/>
                <w:lang w:eastAsia="en-AU"/>
              </w:rPr>
              <w:t>2012/13 actual</w:t>
            </w:r>
          </w:p>
        </w:tc>
        <w:tc>
          <w:tcPr>
            <w:tcW w:w="1166" w:type="dxa"/>
            <w:shd w:val="clear" w:color="auto" w:fill="B8CCE4"/>
          </w:tcPr>
          <w:p w14:paraId="2EBE31B6" w14:textId="77777777" w:rsidR="00FB6103" w:rsidRPr="00FB6103" w:rsidRDefault="00FB6103" w:rsidP="00FB6103">
            <w:pPr>
              <w:spacing w:before="60" w:after="60"/>
              <w:jc w:val="center"/>
              <w:rPr>
                <w:rFonts w:eastAsia="Times New Roman" w:cs="Segoe UI"/>
                <w:b/>
                <w:sz w:val="18"/>
                <w:szCs w:val="18"/>
                <w:lang w:eastAsia="en-AU"/>
              </w:rPr>
            </w:pPr>
            <w:r>
              <w:rPr>
                <w:rFonts w:eastAsia="Times New Roman" w:cs="Segoe UI"/>
                <w:b/>
                <w:sz w:val="18"/>
                <w:szCs w:val="18"/>
                <w:lang w:eastAsia="en-AU"/>
              </w:rPr>
              <w:t>2013/14 estimate</w:t>
            </w:r>
          </w:p>
        </w:tc>
      </w:tr>
      <w:tr w:rsidR="00FB6103" w:rsidRPr="00721E7F" w14:paraId="2EBE31BB" w14:textId="77777777" w:rsidTr="009E55F2">
        <w:trPr>
          <w:trHeight w:val="300"/>
          <w:jc w:val="center"/>
        </w:trPr>
        <w:tc>
          <w:tcPr>
            <w:tcW w:w="4096" w:type="dxa"/>
            <w:shd w:val="clear" w:color="auto" w:fill="F2F2F2"/>
            <w:noWrap/>
            <w:hideMark/>
          </w:tcPr>
          <w:p w14:paraId="2EBE31B8"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Total cost of WBC</w:t>
            </w:r>
            <w:r w:rsidRPr="00721E7F">
              <w:rPr>
                <w:rFonts w:eastAsia="Times New Roman" w:cs="Segoe UI"/>
                <w:sz w:val="18"/>
                <w:szCs w:val="18"/>
                <w:vertAlign w:val="superscript"/>
                <w:lang w:eastAsia="en-AU"/>
              </w:rPr>
              <w:t xml:space="preserve"> 3</w:t>
            </w:r>
          </w:p>
        </w:tc>
        <w:tc>
          <w:tcPr>
            <w:tcW w:w="1136" w:type="dxa"/>
            <w:shd w:val="clear" w:color="auto" w:fill="F2F2F2"/>
            <w:noWrap/>
            <w:hideMark/>
          </w:tcPr>
          <w:p w14:paraId="2EBE31B9"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$5,089,087</w:t>
            </w:r>
          </w:p>
        </w:tc>
        <w:tc>
          <w:tcPr>
            <w:tcW w:w="1166" w:type="dxa"/>
            <w:shd w:val="clear" w:color="auto" w:fill="F2F2F2"/>
            <w:vAlign w:val="center"/>
          </w:tcPr>
          <w:p w14:paraId="2EBE31BA" w14:textId="77777777" w:rsidR="00FB6103" w:rsidRPr="009E55F2" w:rsidRDefault="00FB6103" w:rsidP="00B76F0F">
            <w:pPr>
              <w:jc w:val="left"/>
              <w:rPr>
                <w:sz w:val="18"/>
                <w:szCs w:val="18"/>
              </w:rPr>
            </w:pPr>
            <w:r w:rsidRPr="009E55F2">
              <w:rPr>
                <w:sz w:val="18"/>
                <w:szCs w:val="18"/>
              </w:rPr>
              <w:t>$4,812,000</w:t>
            </w:r>
          </w:p>
        </w:tc>
      </w:tr>
      <w:tr w:rsidR="00FB6103" w:rsidRPr="00721E7F" w14:paraId="2EBE31BF" w14:textId="77777777" w:rsidTr="009E55F2">
        <w:trPr>
          <w:trHeight w:val="300"/>
          <w:jc w:val="center"/>
        </w:trPr>
        <w:tc>
          <w:tcPr>
            <w:tcW w:w="4096" w:type="dxa"/>
            <w:shd w:val="clear" w:color="auto" w:fill="F2F2F2"/>
            <w:noWrap/>
            <w:hideMark/>
          </w:tcPr>
          <w:p w14:paraId="2EBE31BC"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Share 1:1 and clinical support services</w:t>
            </w:r>
          </w:p>
        </w:tc>
        <w:tc>
          <w:tcPr>
            <w:tcW w:w="1136" w:type="dxa"/>
            <w:shd w:val="clear" w:color="auto" w:fill="F2F2F2"/>
            <w:noWrap/>
            <w:hideMark/>
          </w:tcPr>
          <w:p w14:paraId="2EBE31BD"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71%</w:t>
            </w:r>
          </w:p>
        </w:tc>
        <w:tc>
          <w:tcPr>
            <w:tcW w:w="1166" w:type="dxa"/>
            <w:shd w:val="clear" w:color="auto" w:fill="F2F2F2"/>
            <w:vAlign w:val="center"/>
          </w:tcPr>
          <w:p w14:paraId="2EBE31BE" w14:textId="77777777" w:rsidR="00FB6103" w:rsidRPr="009E55F2" w:rsidRDefault="00FB6103" w:rsidP="00B76F0F">
            <w:pPr>
              <w:jc w:val="center"/>
              <w:rPr>
                <w:sz w:val="18"/>
                <w:szCs w:val="18"/>
              </w:rPr>
            </w:pPr>
            <w:r w:rsidRPr="009E55F2">
              <w:rPr>
                <w:sz w:val="18"/>
                <w:szCs w:val="18"/>
              </w:rPr>
              <w:t>71%</w:t>
            </w:r>
          </w:p>
        </w:tc>
      </w:tr>
      <w:tr w:rsidR="00FB6103" w:rsidRPr="00721E7F" w14:paraId="2EBE31C3" w14:textId="77777777" w:rsidTr="009E55F2">
        <w:trPr>
          <w:trHeight w:val="300"/>
          <w:jc w:val="center"/>
        </w:trPr>
        <w:tc>
          <w:tcPr>
            <w:tcW w:w="4096" w:type="dxa"/>
            <w:shd w:val="clear" w:color="auto" w:fill="F2F2F2"/>
            <w:noWrap/>
            <w:hideMark/>
          </w:tcPr>
          <w:p w14:paraId="2EBE31C0"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Share for group activities/events</w:t>
            </w:r>
          </w:p>
        </w:tc>
        <w:tc>
          <w:tcPr>
            <w:tcW w:w="1136" w:type="dxa"/>
            <w:shd w:val="clear" w:color="auto" w:fill="F2F2F2"/>
            <w:noWrap/>
            <w:hideMark/>
          </w:tcPr>
          <w:p w14:paraId="2EBE31C1"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29%</w:t>
            </w:r>
          </w:p>
        </w:tc>
        <w:tc>
          <w:tcPr>
            <w:tcW w:w="1166" w:type="dxa"/>
            <w:shd w:val="clear" w:color="auto" w:fill="F2F2F2"/>
            <w:vAlign w:val="center"/>
          </w:tcPr>
          <w:p w14:paraId="2EBE31C2" w14:textId="77777777" w:rsidR="00FB6103" w:rsidRPr="009E55F2" w:rsidRDefault="00FB6103" w:rsidP="00B76F0F">
            <w:pPr>
              <w:jc w:val="center"/>
              <w:rPr>
                <w:sz w:val="18"/>
                <w:szCs w:val="18"/>
              </w:rPr>
            </w:pPr>
            <w:r w:rsidRPr="009E55F2">
              <w:rPr>
                <w:sz w:val="18"/>
                <w:szCs w:val="18"/>
              </w:rPr>
              <w:t>29%</w:t>
            </w:r>
          </w:p>
        </w:tc>
      </w:tr>
      <w:tr w:rsidR="00FB6103" w:rsidRPr="00721E7F" w14:paraId="2EBE31C7" w14:textId="77777777" w:rsidTr="009E55F2">
        <w:trPr>
          <w:trHeight w:val="300"/>
          <w:jc w:val="center"/>
        </w:trPr>
        <w:tc>
          <w:tcPr>
            <w:tcW w:w="4096" w:type="dxa"/>
            <w:shd w:val="clear" w:color="auto" w:fill="F2F2F2"/>
            <w:noWrap/>
            <w:hideMark/>
          </w:tcPr>
          <w:p w14:paraId="2EBE31C4"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Total cost individual services</w:t>
            </w:r>
            <w:r w:rsidRPr="00721E7F">
              <w:rPr>
                <w:rFonts w:eastAsia="Times New Roman" w:cs="Segoe UI"/>
                <w:sz w:val="18"/>
                <w:szCs w:val="18"/>
                <w:vertAlign w:val="superscript"/>
                <w:lang w:eastAsia="en-AU"/>
              </w:rPr>
              <w:t xml:space="preserve"> 4</w:t>
            </w:r>
          </w:p>
        </w:tc>
        <w:tc>
          <w:tcPr>
            <w:tcW w:w="1136" w:type="dxa"/>
            <w:shd w:val="clear" w:color="auto" w:fill="F2F2F2"/>
            <w:noWrap/>
            <w:hideMark/>
          </w:tcPr>
          <w:p w14:paraId="2EBE31C5"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$3,613,252</w:t>
            </w:r>
          </w:p>
        </w:tc>
        <w:tc>
          <w:tcPr>
            <w:tcW w:w="1166" w:type="dxa"/>
            <w:shd w:val="clear" w:color="auto" w:fill="F2F2F2"/>
            <w:vAlign w:val="center"/>
          </w:tcPr>
          <w:p w14:paraId="2EBE31C6" w14:textId="77777777" w:rsidR="00FB6103" w:rsidRPr="009E55F2" w:rsidRDefault="00FB6103" w:rsidP="00B76F0F">
            <w:pPr>
              <w:jc w:val="center"/>
              <w:rPr>
                <w:sz w:val="18"/>
                <w:szCs w:val="18"/>
              </w:rPr>
            </w:pPr>
            <w:r w:rsidRPr="009E55F2">
              <w:rPr>
                <w:sz w:val="18"/>
                <w:szCs w:val="18"/>
              </w:rPr>
              <w:t>$3,416,520</w:t>
            </w:r>
          </w:p>
        </w:tc>
      </w:tr>
      <w:tr w:rsidR="00FB6103" w:rsidRPr="00721E7F" w14:paraId="2EBE31CB" w14:textId="77777777" w:rsidTr="009E55F2">
        <w:trPr>
          <w:trHeight w:val="300"/>
          <w:jc w:val="center"/>
        </w:trPr>
        <w:tc>
          <w:tcPr>
            <w:tcW w:w="4096" w:type="dxa"/>
            <w:shd w:val="clear" w:color="auto" w:fill="F2F2F2"/>
            <w:noWrap/>
            <w:hideMark/>
          </w:tcPr>
          <w:p w14:paraId="2EBE31C8"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Total cost group related activities/events</w:t>
            </w:r>
            <w:r w:rsidRPr="00721E7F">
              <w:rPr>
                <w:rFonts w:eastAsia="Times New Roman" w:cs="Segoe UI"/>
                <w:sz w:val="18"/>
                <w:szCs w:val="18"/>
                <w:vertAlign w:val="superscript"/>
                <w:lang w:eastAsia="en-AU"/>
              </w:rPr>
              <w:t>4</w:t>
            </w:r>
          </w:p>
        </w:tc>
        <w:tc>
          <w:tcPr>
            <w:tcW w:w="1136" w:type="dxa"/>
            <w:shd w:val="clear" w:color="auto" w:fill="F2F2F2"/>
            <w:noWrap/>
            <w:hideMark/>
          </w:tcPr>
          <w:p w14:paraId="2EBE31C9"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$1,475,835</w:t>
            </w:r>
          </w:p>
        </w:tc>
        <w:tc>
          <w:tcPr>
            <w:tcW w:w="1166" w:type="dxa"/>
            <w:shd w:val="clear" w:color="auto" w:fill="F2F2F2"/>
            <w:vAlign w:val="center"/>
          </w:tcPr>
          <w:p w14:paraId="2EBE31CA" w14:textId="77777777" w:rsidR="00FB6103" w:rsidRPr="009E55F2" w:rsidRDefault="00FB6103" w:rsidP="00B76F0F">
            <w:pPr>
              <w:jc w:val="center"/>
              <w:rPr>
                <w:sz w:val="18"/>
                <w:szCs w:val="18"/>
              </w:rPr>
            </w:pPr>
            <w:r w:rsidRPr="009E55F2">
              <w:rPr>
                <w:sz w:val="18"/>
                <w:szCs w:val="18"/>
              </w:rPr>
              <w:t>$1,395,480</w:t>
            </w:r>
          </w:p>
        </w:tc>
      </w:tr>
      <w:tr w:rsidR="00FB6103" w:rsidRPr="00721E7F" w14:paraId="2EBE31CF" w14:textId="77777777" w:rsidTr="009E55F2">
        <w:trPr>
          <w:trHeight w:val="300"/>
          <w:jc w:val="center"/>
        </w:trPr>
        <w:tc>
          <w:tcPr>
            <w:tcW w:w="4096" w:type="dxa"/>
            <w:shd w:val="clear" w:color="auto" w:fill="F2F2F2"/>
            <w:noWrap/>
            <w:hideMark/>
          </w:tcPr>
          <w:p w14:paraId="2EBE31CC"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Cost per contact</w:t>
            </w:r>
          </w:p>
        </w:tc>
        <w:tc>
          <w:tcPr>
            <w:tcW w:w="1136" w:type="dxa"/>
            <w:shd w:val="clear" w:color="auto" w:fill="F2F2F2"/>
            <w:noWrap/>
            <w:hideMark/>
          </w:tcPr>
          <w:p w14:paraId="2EBE31CD"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$669</w:t>
            </w:r>
          </w:p>
        </w:tc>
        <w:tc>
          <w:tcPr>
            <w:tcW w:w="1166" w:type="dxa"/>
            <w:shd w:val="clear" w:color="auto" w:fill="D9D9D9" w:themeFill="background1" w:themeFillShade="D9"/>
            <w:vAlign w:val="center"/>
          </w:tcPr>
          <w:p w14:paraId="2EBE31CE" w14:textId="77777777" w:rsidR="00FB6103" w:rsidRPr="009E55F2" w:rsidRDefault="00FB6103" w:rsidP="00B76F0F">
            <w:pPr>
              <w:jc w:val="center"/>
              <w:rPr>
                <w:sz w:val="18"/>
                <w:szCs w:val="18"/>
              </w:rPr>
            </w:pPr>
            <w:r w:rsidRPr="009E55F2">
              <w:rPr>
                <w:sz w:val="18"/>
                <w:szCs w:val="18"/>
              </w:rPr>
              <w:t>$516</w:t>
            </w:r>
          </w:p>
        </w:tc>
      </w:tr>
      <w:tr w:rsidR="00FB6103" w:rsidRPr="00721E7F" w14:paraId="2EBE31D3" w14:textId="77777777" w:rsidTr="009E55F2">
        <w:trPr>
          <w:trHeight w:val="300"/>
          <w:jc w:val="center"/>
        </w:trPr>
        <w:tc>
          <w:tcPr>
            <w:tcW w:w="4096" w:type="dxa"/>
            <w:shd w:val="clear" w:color="auto" w:fill="F2F2F2"/>
            <w:noWrap/>
            <w:hideMark/>
          </w:tcPr>
          <w:p w14:paraId="2EBE31D0"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 xml:space="preserve">Cost per face to face contact </w:t>
            </w:r>
          </w:p>
        </w:tc>
        <w:tc>
          <w:tcPr>
            <w:tcW w:w="1136" w:type="dxa"/>
            <w:shd w:val="clear" w:color="auto" w:fill="F2F2F2"/>
            <w:noWrap/>
            <w:hideMark/>
          </w:tcPr>
          <w:p w14:paraId="2EBE31D1"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$1,079</w:t>
            </w:r>
          </w:p>
        </w:tc>
        <w:tc>
          <w:tcPr>
            <w:tcW w:w="1166" w:type="dxa"/>
            <w:shd w:val="clear" w:color="auto" w:fill="D9D9D9" w:themeFill="background1" w:themeFillShade="D9"/>
            <w:vAlign w:val="center"/>
          </w:tcPr>
          <w:p w14:paraId="2EBE31D2" w14:textId="77777777" w:rsidR="00FB6103" w:rsidRPr="009E55F2" w:rsidRDefault="00FB6103" w:rsidP="00B76F0F">
            <w:pPr>
              <w:jc w:val="center"/>
              <w:rPr>
                <w:sz w:val="18"/>
                <w:szCs w:val="18"/>
              </w:rPr>
            </w:pPr>
            <w:r w:rsidRPr="009E55F2">
              <w:rPr>
                <w:sz w:val="18"/>
                <w:szCs w:val="18"/>
              </w:rPr>
              <w:t>$796</w:t>
            </w:r>
          </w:p>
        </w:tc>
      </w:tr>
      <w:tr w:rsidR="00FB6103" w:rsidRPr="00721E7F" w14:paraId="2EBE31D7" w14:textId="77777777" w:rsidTr="009E55F2">
        <w:trPr>
          <w:trHeight w:val="300"/>
          <w:jc w:val="center"/>
        </w:trPr>
        <w:tc>
          <w:tcPr>
            <w:tcW w:w="4096" w:type="dxa"/>
            <w:shd w:val="clear" w:color="auto" w:fill="F2F2F2"/>
            <w:noWrap/>
            <w:hideMark/>
          </w:tcPr>
          <w:p w14:paraId="2EBE31D4"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Cost per group participant</w:t>
            </w:r>
          </w:p>
        </w:tc>
        <w:tc>
          <w:tcPr>
            <w:tcW w:w="1136" w:type="dxa"/>
            <w:shd w:val="clear" w:color="auto" w:fill="F2F2F2"/>
            <w:noWrap/>
            <w:hideMark/>
          </w:tcPr>
          <w:p w14:paraId="2EBE31D5"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$367</w:t>
            </w:r>
          </w:p>
        </w:tc>
        <w:tc>
          <w:tcPr>
            <w:tcW w:w="1166" w:type="dxa"/>
            <w:shd w:val="clear" w:color="auto" w:fill="D9D9D9" w:themeFill="background1" w:themeFillShade="D9"/>
            <w:vAlign w:val="center"/>
          </w:tcPr>
          <w:p w14:paraId="2EBE31D6" w14:textId="77777777" w:rsidR="00FB6103" w:rsidRPr="009E55F2" w:rsidRDefault="00FB6103" w:rsidP="00B76F0F">
            <w:pPr>
              <w:jc w:val="center"/>
              <w:rPr>
                <w:sz w:val="18"/>
                <w:szCs w:val="18"/>
              </w:rPr>
            </w:pPr>
            <w:r w:rsidRPr="009E55F2">
              <w:rPr>
                <w:sz w:val="18"/>
                <w:szCs w:val="18"/>
              </w:rPr>
              <w:t>$116</w:t>
            </w:r>
          </w:p>
        </w:tc>
      </w:tr>
      <w:tr w:rsidR="00FB6103" w:rsidRPr="00721E7F" w14:paraId="2EBE31DB" w14:textId="77777777" w:rsidTr="009E55F2">
        <w:trPr>
          <w:trHeight w:val="300"/>
          <w:jc w:val="center"/>
        </w:trPr>
        <w:tc>
          <w:tcPr>
            <w:tcW w:w="4096" w:type="dxa"/>
            <w:shd w:val="clear" w:color="auto" w:fill="F2F2F2"/>
            <w:noWrap/>
            <w:hideMark/>
          </w:tcPr>
          <w:p w14:paraId="2EBE31D8"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Cost per client (individual services)</w:t>
            </w:r>
          </w:p>
        </w:tc>
        <w:tc>
          <w:tcPr>
            <w:tcW w:w="1136" w:type="dxa"/>
            <w:shd w:val="clear" w:color="auto" w:fill="F2F2F2"/>
            <w:noWrap/>
            <w:hideMark/>
          </w:tcPr>
          <w:p w14:paraId="2EBE31D9"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$5,353</w:t>
            </w:r>
          </w:p>
        </w:tc>
        <w:tc>
          <w:tcPr>
            <w:tcW w:w="1166" w:type="dxa"/>
            <w:shd w:val="clear" w:color="auto" w:fill="D9D9D9" w:themeFill="background1" w:themeFillShade="D9"/>
            <w:vAlign w:val="center"/>
          </w:tcPr>
          <w:p w14:paraId="2EBE31DA" w14:textId="77777777" w:rsidR="00FB6103" w:rsidRPr="009E55F2" w:rsidRDefault="00FB6103" w:rsidP="00B76F0F">
            <w:pPr>
              <w:jc w:val="center"/>
              <w:rPr>
                <w:sz w:val="18"/>
                <w:szCs w:val="18"/>
              </w:rPr>
            </w:pPr>
            <w:r w:rsidRPr="009E55F2">
              <w:rPr>
                <w:sz w:val="18"/>
                <w:szCs w:val="18"/>
              </w:rPr>
              <w:t>$4,745</w:t>
            </w:r>
          </w:p>
        </w:tc>
      </w:tr>
      <w:tr w:rsidR="00FB6103" w:rsidRPr="00721E7F" w14:paraId="2EBE31DF" w14:textId="77777777" w:rsidTr="009E55F2">
        <w:trPr>
          <w:trHeight w:val="300"/>
          <w:jc w:val="center"/>
        </w:trPr>
        <w:tc>
          <w:tcPr>
            <w:tcW w:w="4096" w:type="dxa"/>
            <w:shd w:val="clear" w:color="auto" w:fill="F2F2F2"/>
            <w:noWrap/>
            <w:hideMark/>
          </w:tcPr>
          <w:p w14:paraId="2EBE31DC" w14:textId="77777777" w:rsidR="00FB6103" w:rsidRPr="00721E7F" w:rsidRDefault="00FB6103" w:rsidP="00782511">
            <w:pPr>
              <w:spacing w:before="60" w:after="60"/>
              <w:jc w:val="left"/>
              <w:rPr>
                <w:rFonts w:eastAsia="Times New Roman" w:cs="Segoe UI"/>
                <w:sz w:val="18"/>
                <w:szCs w:val="18"/>
                <w:lang w:eastAsia="en-AU"/>
              </w:rPr>
            </w:pPr>
            <w:r w:rsidRPr="00721E7F">
              <w:rPr>
                <w:rFonts w:eastAsia="Times New Roman" w:cs="Segoe UI"/>
                <w:sz w:val="18"/>
                <w:szCs w:val="18"/>
                <w:lang w:eastAsia="en-AU"/>
              </w:rPr>
              <w:t xml:space="preserve">Cost per community member </w:t>
            </w:r>
            <w:r w:rsidRPr="00721E7F">
              <w:rPr>
                <w:rFonts w:eastAsia="Times New Roman" w:cs="Segoe UI"/>
                <w:sz w:val="18"/>
                <w:szCs w:val="18"/>
                <w:vertAlign w:val="superscript"/>
                <w:lang w:eastAsia="en-AU"/>
              </w:rPr>
              <w:t>5</w:t>
            </w:r>
          </w:p>
        </w:tc>
        <w:tc>
          <w:tcPr>
            <w:tcW w:w="1136" w:type="dxa"/>
            <w:shd w:val="clear" w:color="auto" w:fill="F2F2F2"/>
            <w:noWrap/>
            <w:hideMark/>
          </w:tcPr>
          <w:p w14:paraId="2EBE31DD" w14:textId="77777777" w:rsidR="00FB6103" w:rsidRPr="00721E7F" w:rsidRDefault="00FB6103" w:rsidP="00B76F0F">
            <w:pPr>
              <w:spacing w:before="60" w:after="60"/>
              <w:jc w:val="center"/>
              <w:rPr>
                <w:rFonts w:eastAsia="Times New Roman" w:cs="Segoe UI"/>
                <w:sz w:val="18"/>
                <w:szCs w:val="18"/>
                <w:lang w:eastAsia="en-AU"/>
              </w:rPr>
            </w:pPr>
            <w:r w:rsidRPr="00721E7F">
              <w:rPr>
                <w:rFonts w:eastAsia="Times New Roman" w:cs="Segoe UI"/>
                <w:sz w:val="18"/>
                <w:szCs w:val="18"/>
                <w:lang w:eastAsia="en-AU"/>
              </w:rPr>
              <w:t>$1,806</w:t>
            </w:r>
          </w:p>
        </w:tc>
        <w:tc>
          <w:tcPr>
            <w:tcW w:w="1166" w:type="dxa"/>
            <w:shd w:val="clear" w:color="auto" w:fill="D9D9D9" w:themeFill="background1" w:themeFillShade="D9"/>
            <w:vAlign w:val="center"/>
          </w:tcPr>
          <w:p w14:paraId="2EBE31DE" w14:textId="77777777" w:rsidR="00FB6103" w:rsidRPr="009E55F2" w:rsidRDefault="00FB6103" w:rsidP="00B76F0F">
            <w:pPr>
              <w:jc w:val="center"/>
              <w:rPr>
                <w:sz w:val="18"/>
                <w:szCs w:val="18"/>
              </w:rPr>
            </w:pPr>
            <w:r w:rsidRPr="009E55F2">
              <w:rPr>
                <w:sz w:val="18"/>
                <w:szCs w:val="18"/>
              </w:rPr>
              <w:t>$1,708</w:t>
            </w:r>
          </w:p>
        </w:tc>
      </w:tr>
    </w:tbl>
    <w:p w14:paraId="2EBE31E0" w14:textId="77777777" w:rsidR="00204D69" w:rsidRPr="00DF4A28" w:rsidRDefault="00204D69" w:rsidP="006D0F4A">
      <w:pPr>
        <w:spacing w:after="60"/>
        <w:rPr>
          <w:sz w:val="16"/>
          <w:szCs w:val="16"/>
        </w:rPr>
      </w:pPr>
      <w:r w:rsidRPr="00DF4A28">
        <w:rPr>
          <w:sz w:val="16"/>
          <w:szCs w:val="16"/>
        </w:rPr>
        <w:t>Note (1): Relevant information is not available to allow unit costs to be calculated for previous years.</w:t>
      </w:r>
    </w:p>
    <w:p w14:paraId="2EBE31E1" w14:textId="77777777" w:rsidR="00204D69" w:rsidRPr="00DF4A28" w:rsidRDefault="00204D69" w:rsidP="006D0F4A">
      <w:pPr>
        <w:spacing w:after="60"/>
        <w:rPr>
          <w:sz w:val="16"/>
          <w:szCs w:val="16"/>
        </w:rPr>
      </w:pPr>
      <w:r w:rsidRPr="00DF4A28">
        <w:rPr>
          <w:sz w:val="16"/>
          <w:szCs w:val="16"/>
        </w:rPr>
        <w:t>Note (2):</w:t>
      </w:r>
      <w:r w:rsidR="00FB6103">
        <w:rPr>
          <w:sz w:val="16"/>
          <w:szCs w:val="16"/>
        </w:rPr>
        <w:t xml:space="preserve"> In 2012/13 the n</w:t>
      </w:r>
      <w:r w:rsidRPr="00DF4A28">
        <w:rPr>
          <w:sz w:val="16"/>
          <w:szCs w:val="16"/>
        </w:rPr>
        <w:t>umber of participants and groups/events has been estimated by doubling the number of participants for the January to June 2013 period.</w:t>
      </w:r>
      <w:r w:rsidR="00FB6103">
        <w:rPr>
          <w:sz w:val="16"/>
          <w:szCs w:val="16"/>
        </w:rPr>
        <w:t xml:space="preserve"> </w:t>
      </w:r>
    </w:p>
    <w:p w14:paraId="2EBE31E2" w14:textId="77777777" w:rsidR="00204D69" w:rsidRPr="00DF4A28" w:rsidRDefault="00204D69" w:rsidP="006D0F4A">
      <w:pPr>
        <w:spacing w:after="60"/>
        <w:rPr>
          <w:sz w:val="16"/>
          <w:szCs w:val="16"/>
        </w:rPr>
      </w:pPr>
      <w:r w:rsidRPr="00DF4A28">
        <w:rPr>
          <w:sz w:val="16"/>
          <w:szCs w:val="16"/>
        </w:rPr>
        <w:t>Note (3): Costs represent the 2012/13 audited expenditure figures.</w:t>
      </w:r>
    </w:p>
    <w:p w14:paraId="2EBE31E3" w14:textId="77777777" w:rsidR="00204D69" w:rsidRPr="00DF4A28" w:rsidRDefault="00204D69" w:rsidP="006D0F4A">
      <w:pPr>
        <w:spacing w:after="60"/>
        <w:rPr>
          <w:sz w:val="16"/>
          <w:szCs w:val="16"/>
        </w:rPr>
      </w:pPr>
      <w:r w:rsidRPr="00DF4A28">
        <w:rPr>
          <w:sz w:val="16"/>
          <w:szCs w:val="16"/>
        </w:rPr>
        <w:lastRenderedPageBreak/>
        <w:t xml:space="preserve">Note (4): Total costs associated with individual 1:1 services and group related activities/event are estimated based on an apportionment of time of WBCs staff who are based in community. These </w:t>
      </w:r>
      <w:r w:rsidR="00556E1C" w:rsidRPr="00DF4A28">
        <w:rPr>
          <w:sz w:val="16"/>
          <w:szCs w:val="16"/>
        </w:rPr>
        <w:t>apportionments</w:t>
      </w:r>
      <w:r w:rsidRPr="00DF4A28">
        <w:rPr>
          <w:sz w:val="16"/>
          <w:szCs w:val="16"/>
        </w:rPr>
        <w:t xml:space="preserve"> are estimates only. Accordingly unit costs should be considered indicative only.</w:t>
      </w:r>
    </w:p>
    <w:p w14:paraId="2EBE31E4" w14:textId="77777777" w:rsidR="00204D69" w:rsidRDefault="00204D69" w:rsidP="006D0F4A">
      <w:pPr>
        <w:spacing w:after="60"/>
        <w:rPr>
          <w:sz w:val="16"/>
          <w:szCs w:val="16"/>
        </w:rPr>
      </w:pPr>
      <w:r w:rsidRPr="00DF4A28">
        <w:rPr>
          <w:sz w:val="16"/>
          <w:szCs w:val="16"/>
        </w:rPr>
        <w:t>Note (5): Cost per community member is based on the 2011 ABS census population numbers.</w:t>
      </w:r>
    </w:p>
    <w:p w14:paraId="2EBE31E5" w14:textId="77777777" w:rsidR="00204D69" w:rsidRDefault="00204D69" w:rsidP="006D0F4A">
      <w:pPr>
        <w:spacing w:after="60"/>
        <w:rPr>
          <w:sz w:val="16"/>
          <w:szCs w:val="16"/>
        </w:rPr>
      </w:pPr>
      <w:r>
        <w:rPr>
          <w:sz w:val="16"/>
          <w:szCs w:val="16"/>
        </w:rPr>
        <w:t xml:space="preserve">Note (6): </w:t>
      </w:r>
      <w:r w:rsidR="00092A21">
        <w:rPr>
          <w:sz w:val="16"/>
          <w:szCs w:val="16"/>
        </w:rPr>
        <w:t>Unit c</w:t>
      </w:r>
      <w:r>
        <w:rPr>
          <w:sz w:val="16"/>
          <w:szCs w:val="16"/>
        </w:rPr>
        <w:t>osts will be overstated as they exclude uncaptured activity.</w:t>
      </w:r>
    </w:p>
    <w:p w14:paraId="2EBE31E6" w14:textId="77777777" w:rsidR="00E11B58" w:rsidRDefault="00FB6103" w:rsidP="006D0F4A">
      <w:pPr>
        <w:spacing w:after="60"/>
        <w:rPr>
          <w:sz w:val="16"/>
          <w:szCs w:val="16"/>
        </w:rPr>
      </w:pPr>
      <w:r>
        <w:rPr>
          <w:sz w:val="16"/>
          <w:szCs w:val="16"/>
        </w:rPr>
        <w:t>Note (7): 2013/14 figures</w:t>
      </w:r>
      <w:r w:rsidR="006675E8">
        <w:rPr>
          <w:sz w:val="16"/>
          <w:szCs w:val="16"/>
        </w:rPr>
        <w:t xml:space="preserve"> are</w:t>
      </w:r>
      <w:r>
        <w:rPr>
          <w:sz w:val="16"/>
          <w:szCs w:val="16"/>
        </w:rPr>
        <w:t xml:space="preserve"> estimated based on six months data to December 2013.</w:t>
      </w:r>
    </w:p>
    <w:p w14:paraId="2EBE31E7" w14:textId="77777777" w:rsidR="00E11B58" w:rsidRDefault="00D837F1" w:rsidP="0005223E">
      <w:pPr>
        <w:spacing w:before="240" w:after="60"/>
        <w:rPr>
          <w:szCs w:val="20"/>
        </w:rPr>
      </w:pPr>
      <w:r w:rsidRPr="00D837F1">
        <w:rPr>
          <w:szCs w:val="20"/>
        </w:rPr>
        <w:t>Figure 3.11 presents the expenditure by cost category for the period July 2008 to June 2013.</w:t>
      </w:r>
      <w:r>
        <w:rPr>
          <w:szCs w:val="20"/>
        </w:rPr>
        <w:t xml:space="preserve"> There is no benchmark data available to undertake a comparison at this level. Clearly the fly in fly out model of staff is costly and fixed wing aircraft cost recovery accounts for approximately 11% of total expenditure.</w:t>
      </w:r>
    </w:p>
    <w:p w14:paraId="2EBE31E8" w14:textId="02330EC3" w:rsidR="00E11B58" w:rsidRDefault="00AA7DC9" w:rsidP="00AA7DC9">
      <w:pPr>
        <w:pStyle w:val="Caption"/>
        <w:rPr>
          <w:b w:val="0"/>
          <w:color w:val="0070C0"/>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11</w:t>
      </w:r>
      <w:r>
        <w:fldChar w:fldCharType="end"/>
      </w:r>
      <w:r w:rsidR="00E11B58" w:rsidRPr="00D837F1">
        <w:rPr>
          <w:color w:val="0070C0"/>
        </w:rPr>
        <w:t>: Expenditure by cost categor</w:t>
      </w:r>
      <w:r w:rsidR="00E11B58">
        <w:rPr>
          <w:color w:val="0070C0"/>
        </w:rPr>
        <w:t>y</w:t>
      </w:r>
      <w:r w:rsidR="00E11B58" w:rsidRPr="00D837F1">
        <w:rPr>
          <w:color w:val="0070C0"/>
        </w:rPr>
        <w:t xml:space="preserve"> - July 2008 to June 2013</w:t>
      </w:r>
    </w:p>
    <w:p w14:paraId="2EBE31E9" w14:textId="77777777" w:rsidR="00E11B58" w:rsidRDefault="00D03DCA" w:rsidP="00D837F1">
      <w:pPr>
        <w:jc w:val="center"/>
      </w:pPr>
      <w:r>
        <w:rPr>
          <w:noProof/>
          <w:lang w:eastAsia="en-AU"/>
        </w:rPr>
        <w:drawing>
          <wp:inline distT="0" distB="0" distL="0" distR="0" wp14:anchorId="2EBE334B" wp14:editId="2EBE334C">
            <wp:extent cx="4826442" cy="3045350"/>
            <wp:effectExtent l="0" t="0" r="12700" b="22225"/>
            <wp:docPr id="21" name="Chart 21" descr="Figure 3.11 is a pie chart that displays the breakdown of expenditure of the WBCs by cost category between July 2008 and June 2013.  $9,463,853 (58%) of costs went to Staffing, $2,214,015 (14%) to Program management, $2,136,532 (13%) to Program service activity, $1,321,845 (8%) to Other, $831,014 (5%) to Program administration and $258,264 (2%) to Program establishment.   " title="Figure 3.11: Expenditure by cost category - July 2008 to June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BE31EA" w14:textId="77777777" w:rsidR="00D03DCA" w:rsidRPr="00D837F1" w:rsidRDefault="00D837F1" w:rsidP="00D837F1">
      <w:pPr>
        <w:spacing w:after="0"/>
        <w:rPr>
          <w:rFonts w:cs="Segoe UI"/>
          <w:sz w:val="18"/>
          <w:szCs w:val="18"/>
        </w:rPr>
      </w:pPr>
      <w:r w:rsidRPr="00D837F1">
        <w:rPr>
          <w:rFonts w:cs="Segoe UI"/>
          <w:sz w:val="18"/>
          <w:szCs w:val="18"/>
        </w:rPr>
        <w:t xml:space="preserve">Note (1): </w:t>
      </w:r>
      <w:r w:rsidRPr="001A6CA4">
        <w:rPr>
          <w:rFonts w:cs="Segoe UI"/>
          <w:b/>
          <w:sz w:val="18"/>
          <w:szCs w:val="18"/>
        </w:rPr>
        <w:t>P</w:t>
      </w:r>
      <w:r w:rsidR="00D03DCA" w:rsidRPr="001A6CA4">
        <w:rPr>
          <w:rFonts w:cs="Segoe UI"/>
          <w:b/>
          <w:sz w:val="18"/>
          <w:szCs w:val="18"/>
        </w:rPr>
        <w:t>rogram administration</w:t>
      </w:r>
      <w:r w:rsidR="00D03DCA" w:rsidRPr="00D837F1">
        <w:rPr>
          <w:rFonts w:cs="Segoe UI"/>
          <w:sz w:val="18"/>
          <w:szCs w:val="18"/>
        </w:rPr>
        <w:t xml:space="preserve"> incorporates insurances, computing expenses, printing and stationery, telecommunications communications costs and utilities.</w:t>
      </w:r>
    </w:p>
    <w:p w14:paraId="2EBE31EB" w14:textId="77777777" w:rsidR="00D03DCA" w:rsidRPr="00D837F1" w:rsidRDefault="00D03DCA" w:rsidP="00D837F1">
      <w:pPr>
        <w:spacing w:after="0"/>
        <w:rPr>
          <w:rFonts w:cs="Segoe UI"/>
          <w:sz w:val="18"/>
          <w:szCs w:val="18"/>
        </w:rPr>
      </w:pPr>
      <w:r w:rsidRPr="001A6CA4">
        <w:rPr>
          <w:rFonts w:cs="Segoe UI"/>
          <w:b/>
          <w:sz w:val="18"/>
          <w:szCs w:val="18"/>
        </w:rPr>
        <w:t>Program service activity</w:t>
      </w:r>
      <w:r w:rsidRPr="00D837F1">
        <w:rPr>
          <w:rFonts w:cs="Segoe UI"/>
          <w:sz w:val="18"/>
          <w:szCs w:val="18"/>
        </w:rPr>
        <w:t xml:space="preserve"> incorporates air</w:t>
      </w:r>
      <w:r w:rsidR="00576DBB">
        <w:rPr>
          <w:rFonts w:cs="Segoe UI"/>
          <w:sz w:val="18"/>
          <w:szCs w:val="18"/>
        </w:rPr>
        <w:t>-</w:t>
      </w:r>
      <w:r w:rsidRPr="00D837F1">
        <w:rPr>
          <w:rFonts w:cs="Segoe UI"/>
          <w:sz w:val="18"/>
          <w:szCs w:val="18"/>
        </w:rPr>
        <w:t xml:space="preserve">wing cost recovery charges (~75%), </w:t>
      </w:r>
      <w:r w:rsidR="00D837F1" w:rsidRPr="00D837F1">
        <w:rPr>
          <w:rFonts w:cs="Segoe UI"/>
          <w:sz w:val="18"/>
          <w:szCs w:val="18"/>
        </w:rPr>
        <w:t>vehicle related costs</w:t>
      </w:r>
      <w:r w:rsidRPr="00D837F1">
        <w:rPr>
          <w:rFonts w:cs="Segoe UI"/>
          <w:sz w:val="18"/>
          <w:szCs w:val="18"/>
        </w:rPr>
        <w:t>, lease payments and specific program activity.</w:t>
      </w:r>
    </w:p>
    <w:p w14:paraId="2EBE31EC" w14:textId="77777777" w:rsidR="00D03DCA" w:rsidRPr="00D837F1" w:rsidRDefault="00D837F1" w:rsidP="00D837F1">
      <w:pPr>
        <w:spacing w:after="0"/>
        <w:rPr>
          <w:rFonts w:cs="Segoe UI"/>
          <w:sz w:val="18"/>
          <w:szCs w:val="18"/>
        </w:rPr>
      </w:pPr>
      <w:r w:rsidRPr="001A6CA4">
        <w:rPr>
          <w:rFonts w:cs="Segoe UI"/>
          <w:b/>
          <w:sz w:val="18"/>
          <w:szCs w:val="18"/>
        </w:rPr>
        <w:t>Other</w:t>
      </w:r>
      <w:r w:rsidRPr="00D837F1">
        <w:rPr>
          <w:rFonts w:cs="Segoe UI"/>
          <w:sz w:val="18"/>
          <w:szCs w:val="18"/>
        </w:rPr>
        <w:t xml:space="preserve"> incorporates cleaning, rent, repairs and maintenance, airfares and accommodation and meals allowance for duty travel and airfares and food allowances associated with training.</w:t>
      </w:r>
    </w:p>
    <w:p w14:paraId="2EBE31ED" w14:textId="77777777" w:rsidR="00204D69" w:rsidRDefault="00204D69" w:rsidP="00204D69">
      <w:pPr>
        <w:pStyle w:val="Heading2"/>
        <w:rPr>
          <w:lang w:val="en-AU"/>
        </w:rPr>
      </w:pPr>
      <w:bookmarkStart w:id="198" w:name="_Toc440038454"/>
      <w:r w:rsidRPr="00C84E0B">
        <w:t>Service access</w:t>
      </w:r>
      <w:r>
        <w:t xml:space="preserve"> </w:t>
      </w:r>
      <w:r>
        <w:rPr>
          <w:lang w:val="en-AU"/>
        </w:rPr>
        <w:t xml:space="preserve">and profile </w:t>
      </w:r>
      <w:r>
        <w:t>comparison</w:t>
      </w:r>
      <w:bookmarkEnd w:id="198"/>
    </w:p>
    <w:p w14:paraId="2EBE31EE" w14:textId="77777777" w:rsidR="00204D69" w:rsidRPr="007C578C" w:rsidRDefault="00204D69" w:rsidP="00204D69">
      <w:pPr>
        <w:rPr>
          <w:lang w:eastAsia="x-none"/>
        </w:rPr>
      </w:pPr>
      <w:r w:rsidRPr="00053E3D">
        <w:rPr>
          <w:color w:val="auto"/>
          <w:lang w:eastAsia="x-none"/>
        </w:rPr>
        <w:t xml:space="preserve">This section considers the question, has the service model resulted in better access to services than in other comparable </w:t>
      </w:r>
      <w:r>
        <w:rPr>
          <w:color w:val="auto"/>
          <w:lang w:eastAsia="x-none"/>
        </w:rPr>
        <w:t>communities</w:t>
      </w:r>
      <w:r w:rsidRPr="00053E3D">
        <w:rPr>
          <w:color w:val="auto"/>
          <w:lang w:eastAsia="x-none"/>
        </w:rPr>
        <w:t xml:space="preserve"> and how does the service profile and service approach compare</w:t>
      </w:r>
      <w:r>
        <w:rPr>
          <w:color w:val="auto"/>
          <w:lang w:eastAsia="x-none"/>
        </w:rPr>
        <w:t>. A more detailed analysis is presented in Appendix 16.</w:t>
      </w:r>
    </w:p>
    <w:p w14:paraId="2EBE31EF" w14:textId="77777777" w:rsidR="00204D69" w:rsidRPr="00C84E0B" w:rsidRDefault="00204D69" w:rsidP="00204D69">
      <w:pPr>
        <w:rPr>
          <w:lang w:eastAsia="en-AU"/>
        </w:rPr>
      </w:pPr>
      <w:r w:rsidRPr="00C84E0B">
        <w:rPr>
          <w:lang w:eastAsia="en-AU"/>
        </w:rPr>
        <w:t>Based on analysis undertaken in relation to available activity and staffing information service</w:t>
      </w:r>
      <w:r>
        <w:rPr>
          <w:lang w:eastAsia="en-AU"/>
        </w:rPr>
        <w:t>,</w:t>
      </w:r>
      <w:r w:rsidRPr="00C84E0B">
        <w:rPr>
          <w:lang w:eastAsia="en-AU"/>
        </w:rPr>
        <w:t xml:space="preserve"> access is greatly enhanced in WBC </w:t>
      </w:r>
      <w:r>
        <w:rPr>
          <w:lang w:eastAsia="en-AU"/>
        </w:rPr>
        <w:t>communities</w:t>
      </w:r>
      <w:r w:rsidRPr="00C84E0B">
        <w:rPr>
          <w:lang w:eastAsia="en-AU"/>
        </w:rPr>
        <w:t>.</w:t>
      </w:r>
      <w:r w:rsidRPr="00C84E0B">
        <w:rPr>
          <w:color w:val="auto"/>
          <w:lang w:eastAsia="x-none"/>
        </w:rPr>
        <w:t xml:space="preserve"> </w:t>
      </w:r>
      <w:r w:rsidRPr="00C84E0B">
        <w:rPr>
          <w:lang w:eastAsia="en-AU"/>
        </w:rPr>
        <w:t>Specifically the:</w:t>
      </w:r>
    </w:p>
    <w:p w14:paraId="2EBE31F0" w14:textId="77777777" w:rsidR="00204D69" w:rsidRPr="00C84E0B" w:rsidRDefault="00C56FF7" w:rsidP="0083588E">
      <w:pPr>
        <w:numPr>
          <w:ilvl w:val="0"/>
          <w:numId w:val="11"/>
        </w:numPr>
        <w:rPr>
          <w:lang w:eastAsia="x-none"/>
        </w:rPr>
      </w:pPr>
      <w:r>
        <w:rPr>
          <w:lang w:eastAsia="x-none"/>
        </w:rPr>
        <w:t>P</w:t>
      </w:r>
      <w:r w:rsidR="00204D69" w:rsidRPr="00C84E0B">
        <w:rPr>
          <w:lang w:eastAsia="x-none"/>
        </w:rPr>
        <w:t xml:space="preserve">opulation per FTE for WBC </w:t>
      </w:r>
      <w:r w:rsidR="00204D69">
        <w:rPr>
          <w:lang w:eastAsia="x-none"/>
        </w:rPr>
        <w:t>communities (ranging from 74 at Coen to 196 at Aurukun)</w:t>
      </w:r>
      <w:r w:rsidR="00204D69" w:rsidRPr="00C84E0B">
        <w:rPr>
          <w:lang w:eastAsia="x-none"/>
        </w:rPr>
        <w:t xml:space="preserve"> is much greater than non WBC </w:t>
      </w:r>
      <w:r w:rsidR="00204D69">
        <w:rPr>
          <w:lang w:eastAsia="x-none"/>
        </w:rPr>
        <w:t xml:space="preserve">communities (ranging from 238 at Laura to 644 at Kowanyama. That is there are </w:t>
      </w:r>
      <w:r w:rsidR="00204D69" w:rsidRPr="00C84E0B">
        <w:rPr>
          <w:lang w:eastAsia="x-none"/>
        </w:rPr>
        <w:t xml:space="preserve">more staff available to </w:t>
      </w:r>
      <w:r w:rsidR="00204D69">
        <w:rPr>
          <w:lang w:eastAsia="x-none"/>
        </w:rPr>
        <w:t>service the community</w:t>
      </w:r>
    </w:p>
    <w:p w14:paraId="2EBE31F1" w14:textId="77777777" w:rsidR="00204D69" w:rsidRPr="00C84E0B" w:rsidRDefault="00C56FF7" w:rsidP="0083588E">
      <w:pPr>
        <w:numPr>
          <w:ilvl w:val="0"/>
          <w:numId w:val="11"/>
        </w:numPr>
        <w:rPr>
          <w:lang w:eastAsia="x-none"/>
        </w:rPr>
      </w:pPr>
      <w:r>
        <w:rPr>
          <w:lang w:eastAsia="x-none"/>
        </w:rPr>
        <w:lastRenderedPageBreak/>
        <w:t>F</w:t>
      </w:r>
      <w:r w:rsidR="00204D69" w:rsidRPr="00C84E0B">
        <w:rPr>
          <w:lang w:eastAsia="x-none"/>
        </w:rPr>
        <w:t xml:space="preserve">ollowing on from the previous point, the percentage of population that is a client of the RFDS operated WBC or SEWB service is significantly greater in the WBC </w:t>
      </w:r>
      <w:r w:rsidR="00204D69">
        <w:rPr>
          <w:lang w:eastAsia="x-none"/>
        </w:rPr>
        <w:t>communities (20% at Aurukun to 34% at Coen)</w:t>
      </w:r>
      <w:r w:rsidR="00204D69" w:rsidRPr="00C84E0B">
        <w:rPr>
          <w:lang w:eastAsia="x-none"/>
        </w:rPr>
        <w:t xml:space="preserve"> compared to other </w:t>
      </w:r>
      <w:r w:rsidR="00204D69">
        <w:rPr>
          <w:lang w:eastAsia="x-none"/>
        </w:rPr>
        <w:t>communities (ranging from 2% at Napranum to 7% at</w:t>
      </w:r>
      <w:r w:rsidR="00204D69" w:rsidRPr="000745B1">
        <w:rPr>
          <w:lang w:eastAsia="x-none"/>
        </w:rPr>
        <w:t xml:space="preserve"> </w:t>
      </w:r>
      <w:r w:rsidR="00204D69">
        <w:rPr>
          <w:lang w:eastAsia="x-none"/>
        </w:rPr>
        <w:t xml:space="preserve">Kowanyama) </w:t>
      </w:r>
    </w:p>
    <w:p w14:paraId="2EBE31F2" w14:textId="77777777" w:rsidR="00204D69" w:rsidRDefault="00C56FF7" w:rsidP="0083588E">
      <w:pPr>
        <w:numPr>
          <w:ilvl w:val="0"/>
          <w:numId w:val="11"/>
        </w:numPr>
        <w:rPr>
          <w:lang w:eastAsia="x-none"/>
        </w:rPr>
      </w:pPr>
      <w:r>
        <w:rPr>
          <w:lang w:eastAsia="x-none"/>
        </w:rPr>
        <w:t>T</w:t>
      </w:r>
      <w:r w:rsidR="00204D69" w:rsidRPr="00C84E0B">
        <w:rPr>
          <w:lang w:eastAsia="x-none"/>
        </w:rPr>
        <w:t xml:space="preserve">he number of contacts per client per annum is greater in WBC </w:t>
      </w:r>
      <w:r w:rsidR="00204D69">
        <w:rPr>
          <w:lang w:eastAsia="x-none"/>
        </w:rPr>
        <w:t>communities</w:t>
      </w:r>
      <w:r w:rsidR="00204D69" w:rsidRPr="00C84E0B">
        <w:rPr>
          <w:lang w:eastAsia="x-none"/>
        </w:rPr>
        <w:t xml:space="preserve"> than in other </w:t>
      </w:r>
      <w:r w:rsidR="00204D69">
        <w:rPr>
          <w:lang w:eastAsia="x-none"/>
        </w:rPr>
        <w:t>communities receiving SEWB services</w:t>
      </w:r>
    </w:p>
    <w:p w14:paraId="2EBE31F3" w14:textId="77777777" w:rsidR="00204D69" w:rsidRDefault="00C56FF7" w:rsidP="0083588E">
      <w:pPr>
        <w:numPr>
          <w:ilvl w:val="0"/>
          <w:numId w:val="11"/>
        </w:numPr>
        <w:rPr>
          <w:lang w:eastAsia="x-none"/>
        </w:rPr>
      </w:pPr>
      <w:r>
        <w:rPr>
          <w:lang w:eastAsia="x-none"/>
        </w:rPr>
        <w:t>The</w:t>
      </w:r>
      <w:r w:rsidR="00204D69">
        <w:rPr>
          <w:lang w:eastAsia="x-none"/>
        </w:rPr>
        <w:t xml:space="preserve"> WBCs are a five day a week service with service staff and local community development consultants whose sole focus is the clients and people of that community. The WBC has a clear mandate and resourcing to provide programs/campaigns at the individual, group and community level and they are fully embedded into the community</w:t>
      </w:r>
    </w:p>
    <w:p w14:paraId="2EBE31F4" w14:textId="77777777" w:rsidR="00204D69" w:rsidRDefault="00C56FF7" w:rsidP="0083588E">
      <w:pPr>
        <w:numPr>
          <w:ilvl w:val="0"/>
          <w:numId w:val="11"/>
        </w:numPr>
        <w:rPr>
          <w:lang w:eastAsia="x-none"/>
        </w:rPr>
      </w:pPr>
      <w:r>
        <w:rPr>
          <w:lang w:eastAsia="x-none"/>
        </w:rPr>
        <w:t xml:space="preserve">Their </w:t>
      </w:r>
      <w:r w:rsidR="00204D69">
        <w:rPr>
          <w:lang w:eastAsia="x-none"/>
        </w:rPr>
        <w:t>presence in the community and diverse range of programs facilitates the capacity to engage a wider range of community members on a regular basis, both as clients and potential clients. They also work closely with, support and assist other partners, for example child safety, probation and parole, the school, in supporting their clients.</w:t>
      </w:r>
    </w:p>
    <w:p w14:paraId="2EBE31F5" w14:textId="169BA2AE" w:rsidR="00204D69" w:rsidRDefault="00204D69" w:rsidP="00204D69">
      <w:pPr>
        <w:pStyle w:val="Heading2"/>
      </w:pPr>
      <w:bookmarkStart w:id="199" w:name="_Toc440038455"/>
      <w:bookmarkStart w:id="200" w:name="_Ref387059453"/>
      <w:r>
        <w:t xml:space="preserve">Single desk </w:t>
      </w:r>
      <w:r>
        <w:rPr>
          <w:lang w:val="en-AU" w:eastAsia="en-AU"/>
        </w:rPr>
        <w:t>o</w:t>
      </w:r>
      <w:r>
        <w:rPr>
          <w:lang w:eastAsia="en-AU"/>
        </w:rPr>
        <w:t xml:space="preserve">fficer </w:t>
      </w:r>
      <w:r>
        <w:rPr>
          <w:lang w:val="en-AU" w:eastAsia="en-AU"/>
        </w:rPr>
        <w:t>t</w:t>
      </w:r>
      <w:r>
        <w:rPr>
          <w:lang w:eastAsia="en-AU"/>
        </w:rPr>
        <w:t>rial</w:t>
      </w:r>
      <w:bookmarkEnd w:id="199"/>
      <w:bookmarkEnd w:id="200"/>
    </w:p>
    <w:p w14:paraId="2EBE31F6" w14:textId="77777777" w:rsidR="00204D69" w:rsidRDefault="00204D69" w:rsidP="00204D69">
      <w:pPr>
        <w:rPr>
          <w:lang w:eastAsia="en-AU"/>
        </w:rPr>
      </w:pPr>
      <w:r>
        <w:rPr>
          <w:lang w:eastAsia="en-AU"/>
        </w:rPr>
        <w:t>The WBCs are</w:t>
      </w:r>
      <w:r w:rsidRPr="0055056A">
        <w:rPr>
          <w:lang w:eastAsia="en-AU"/>
        </w:rPr>
        <w:t xml:space="preserve"> one of four </w:t>
      </w:r>
      <w:r>
        <w:rPr>
          <w:lang w:eastAsia="en-AU"/>
        </w:rPr>
        <w:t xml:space="preserve">RFDS </w:t>
      </w:r>
      <w:r w:rsidRPr="0055056A">
        <w:rPr>
          <w:lang w:eastAsia="en-AU"/>
        </w:rPr>
        <w:t>activities that have been</w:t>
      </w:r>
      <w:r>
        <w:rPr>
          <w:lang w:eastAsia="en-AU"/>
        </w:rPr>
        <w:t xml:space="preserve"> incorporated into the Single Desk Officer Trial (SDOT) covering the three-year period ended June 2015. The SDOT is of relevance to this evaluation in that it was identified as a potential enabler to strengthen management and administration and improve service outcomes. </w:t>
      </w:r>
    </w:p>
    <w:p w14:paraId="2EBE31F7" w14:textId="77777777" w:rsidR="00204D69" w:rsidRDefault="00204D69" w:rsidP="00204D69">
      <w:pPr>
        <w:rPr>
          <w:lang w:eastAsia="en-AU"/>
        </w:rPr>
      </w:pPr>
      <w:r>
        <w:rPr>
          <w:lang w:eastAsia="en-AU"/>
        </w:rPr>
        <w:t>The aim of the trial from the RFDS perspective was to improve grant administration efficiencies and improve service outcomes. The trial combined</w:t>
      </w:r>
      <w:r w:rsidRPr="0055056A">
        <w:rPr>
          <w:lang w:eastAsia="en-AU"/>
        </w:rPr>
        <w:t xml:space="preserve"> funding from multiple programs</w:t>
      </w:r>
      <w:r>
        <w:rPr>
          <w:lang w:eastAsia="en-AU"/>
        </w:rPr>
        <w:t xml:space="preserve"> (in the case of the WBC six funding programs</w:t>
      </w:r>
      <w:r w:rsidR="00092A21">
        <w:rPr>
          <w:lang w:eastAsia="en-AU"/>
        </w:rPr>
        <w:t xml:space="preserve"> - refer to Section 3.14</w:t>
      </w:r>
      <w:r>
        <w:rPr>
          <w:lang w:eastAsia="en-AU"/>
        </w:rPr>
        <w:t>).</w:t>
      </w:r>
    </w:p>
    <w:p w14:paraId="2EBE31F8" w14:textId="77777777" w:rsidR="00204D69" w:rsidRDefault="00204D69" w:rsidP="00204D69">
      <w:r>
        <w:rPr>
          <w:lang w:eastAsia="en-AU"/>
        </w:rPr>
        <w:t>The RFDS is conducting a separate evaluation of the SDOT from its perspective.</w:t>
      </w:r>
      <w:r w:rsidR="00991F0C">
        <w:rPr>
          <w:lang w:eastAsia="en-AU"/>
        </w:rPr>
        <w:t xml:space="preserve"> </w:t>
      </w:r>
      <w:r>
        <w:t>Benefits from the SDOT identified to date include</w:t>
      </w:r>
      <w:r w:rsidR="006D0F4A">
        <w:t>:</w:t>
      </w:r>
      <w:r w:rsidR="00683F7A">
        <w:t xml:space="preserve"> </w:t>
      </w:r>
      <w:r w:rsidR="00683F7A">
        <w:rPr>
          <w:rStyle w:val="FootnoteReference"/>
        </w:rPr>
        <w:footnoteReference w:id="41"/>
      </w:r>
      <w:r>
        <w:t xml:space="preserve"> </w:t>
      </w:r>
    </w:p>
    <w:p w14:paraId="2EBE31F9" w14:textId="77777777" w:rsidR="00204D69" w:rsidRDefault="00C56FF7" w:rsidP="0083588E">
      <w:pPr>
        <w:pStyle w:val="ListParagraph"/>
        <w:numPr>
          <w:ilvl w:val="0"/>
          <w:numId w:val="21"/>
        </w:numPr>
        <w:spacing w:before="120"/>
        <w:rPr>
          <w:lang w:eastAsia="en-AU"/>
        </w:rPr>
      </w:pPr>
      <w:r>
        <w:t>Hel</w:t>
      </w:r>
      <w:r w:rsidR="00204D69">
        <w:t>ping to highlight and reinforce</w:t>
      </w:r>
      <w:r w:rsidR="00204D69" w:rsidRPr="00C10033">
        <w:t xml:space="preserve"> the line of sight from what services are being delivered to funding program requirements and</w:t>
      </w:r>
      <w:r w:rsidR="00204D69">
        <w:t xml:space="preserve"> provide a mechanism to help </w:t>
      </w:r>
      <w:r w:rsidR="00204D69" w:rsidRPr="00C10033">
        <w:t>ensur</w:t>
      </w:r>
      <w:r w:rsidR="00204D69">
        <w:t>e</w:t>
      </w:r>
      <w:r w:rsidR="00204D69" w:rsidRPr="00C10033">
        <w:t xml:space="preserve"> services meet the requirements or are reoriented and reported accordingly</w:t>
      </w:r>
      <w:r w:rsidR="00204D69">
        <w:t>. Examples include the need to strengthen non-SEWB primary health care in the WBCs and the need to strengthen reporting to highlight the extent of alcohol and other drug related services at the WBC given the level of funding from drug and alcohol related programs</w:t>
      </w:r>
    </w:p>
    <w:p w14:paraId="2EBE31FA" w14:textId="77777777" w:rsidR="00204D69" w:rsidRPr="0023178E" w:rsidRDefault="00C56FF7" w:rsidP="0083588E">
      <w:pPr>
        <w:pStyle w:val="ListParagraph"/>
        <w:numPr>
          <w:ilvl w:val="0"/>
          <w:numId w:val="21"/>
        </w:numPr>
        <w:spacing w:before="120"/>
        <w:ind w:left="357" w:hanging="357"/>
      </w:pPr>
      <w:r>
        <w:t>A</w:t>
      </w:r>
      <w:r w:rsidR="00204D69" w:rsidRPr="0023178E">
        <w:t xml:space="preserve"> general service wide reorientation into achieving program outcomes and not just inputs and outputs (all Activities)</w:t>
      </w:r>
      <w:r w:rsidR="00204D69">
        <w:t>, although in the case of the WBC Activity, the evaluation has significantly contributed to this focus</w:t>
      </w:r>
    </w:p>
    <w:p w14:paraId="2EBE31FB" w14:textId="77777777" w:rsidR="00204D69" w:rsidRPr="0023178E" w:rsidRDefault="00C56FF7" w:rsidP="0083588E">
      <w:pPr>
        <w:pStyle w:val="ListParagraph"/>
        <w:numPr>
          <w:ilvl w:val="0"/>
          <w:numId w:val="21"/>
        </w:numPr>
        <w:spacing w:before="120"/>
        <w:ind w:left="357" w:hanging="357"/>
      </w:pPr>
      <w:r>
        <w:t>G</w:t>
      </w:r>
      <w:r w:rsidR="00204D69" w:rsidRPr="0023178E">
        <w:t>reater combined capacity to implement clinical go</w:t>
      </w:r>
      <w:r w:rsidR="00204D69">
        <w:t xml:space="preserve">vernance and reporting systems, </w:t>
      </w:r>
      <w:r w:rsidR="00204D69" w:rsidRPr="0023178E">
        <w:t>evident, for example, in the recent implementation of improved clinical tools, introduction and reporting of mental health outcome measures and the</w:t>
      </w:r>
      <w:r w:rsidR="00204D69">
        <w:t xml:space="preserve"> recently </w:t>
      </w:r>
      <w:r w:rsidR="00204D69" w:rsidRPr="0023178E">
        <w:t>enhanced capabilit</w:t>
      </w:r>
      <w:r w:rsidR="00204D69">
        <w:t>y of the client information management system implemented in April 2014</w:t>
      </w:r>
    </w:p>
    <w:p w14:paraId="2EBE31FC" w14:textId="77777777" w:rsidR="00204D69" w:rsidRDefault="00C56FF7" w:rsidP="0083588E">
      <w:pPr>
        <w:pStyle w:val="ListParagraph"/>
        <w:numPr>
          <w:ilvl w:val="0"/>
          <w:numId w:val="21"/>
        </w:numPr>
        <w:spacing w:before="120"/>
        <w:rPr>
          <w:lang w:eastAsia="en-AU"/>
        </w:rPr>
      </w:pPr>
      <w:r>
        <w:t>S</w:t>
      </w:r>
      <w:r w:rsidR="00204D69" w:rsidRPr="0023178E">
        <w:t>pecification and development of processes and systems to strengthen recording of outputs and actions</w:t>
      </w:r>
    </w:p>
    <w:p w14:paraId="2EBE31FD" w14:textId="77777777" w:rsidR="00204D69" w:rsidRPr="0023178E" w:rsidRDefault="000F6AD3" w:rsidP="0083588E">
      <w:pPr>
        <w:pStyle w:val="ListParagraph"/>
        <w:numPr>
          <w:ilvl w:val="0"/>
          <w:numId w:val="21"/>
        </w:numPr>
        <w:spacing w:before="120"/>
        <w:ind w:left="357" w:hanging="357"/>
      </w:pPr>
      <w:r>
        <w:lastRenderedPageBreak/>
        <w:t>T</w:t>
      </w:r>
      <w:r w:rsidR="00204D69" w:rsidRPr="0023178E">
        <w:t xml:space="preserve">he Single Relationship Manager has streamlined departmental contact and resulted in increased administrative efficiencies, including more responsive, consistent and co-ordinated communication to and from the </w:t>
      </w:r>
      <w:r w:rsidR="00204D69">
        <w:t>DoH</w:t>
      </w:r>
    </w:p>
    <w:p w14:paraId="2EBE31FE" w14:textId="77777777" w:rsidR="00204D69" w:rsidRPr="0023178E" w:rsidRDefault="000F6AD3" w:rsidP="0083588E">
      <w:pPr>
        <w:pStyle w:val="ListParagraph"/>
        <w:numPr>
          <w:ilvl w:val="0"/>
          <w:numId w:val="21"/>
        </w:numPr>
        <w:spacing w:before="120" w:line="276" w:lineRule="auto"/>
        <w:ind w:left="357" w:hanging="357"/>
      </w:pPr>
      <w:r>
        <w:t>F</w:t>
      </w:r>
      <w:r w:rsidR="00204D69" w:rsidRPr="0023178E">
        <w:t xml:space="preserve">acilitated a breakdown of the silo effect both at the RFDS and </w:t>
      </w:r>
      <w:r w:rsidR="00204D69">
        <w:t xml:space="preserve">from the RFDS perspective at DoH </w:t>
      </w:r>
    </w:p>
    <w:p w14:paraId="2EBE31FF" w14:textId="77777777" w:rsidR="00204D69" w:rsidRDefault="000F6AD3" w:rsidP="0083588E">
      <w:pPr>
        <w:pStyle w:val="ListParagraph"/>
        <w:numPr>
          <w:ilvl w:val="0"/>
          <w:numId w:val="21"/>
        </w:numPr>
        <w:spacing w:before="120"/>
        <w:ind w:left="357" w:hanging="357"/>
      </w:pPr>
      <w:r>
        <w:t>A</w:t>
      </w:r>
      <w:r w:rsidR="00204D69" w:rsidRPr="0023178E">
        <w:t xml:space="preserve">ssociated with this is a less fragmented and </w:t>
      </w:r>
      <w:r w:rsidR="00204D69">
        <w:t xml:space="preserve">more </w:t>
      </w:r>
      <w:r w:rsidR="00204D69" w:rsidRPr="0023178E">
        <w:t>responsive service approach, including significantly enhanced team cohesion across programs and better utilisation of staff and skill mix to meet community needs (demonstrated, for example, in the ability to more flexibly and rapidly respond to a recent major suicide incident;</w:t>
      </w:r>
      <w:r w:rsidR="00204D69">
        <w:t xml:space="preserve"> and </w:t>
      </w:r>
      <w:r w:rsidR="00204D69" w:rsidRPr="0023178E">
        <w:t>more specific tailoring of staff skill mix to client needs)</w:t>
      </w:r>
    </w:p>
    <w:p w14:paraId="2EBE3200" w14:textId="77777777" w:rsidR="00204D69" w:rsidRPr="0049420B" w:rsidRDefault="000F6AD3" w:rsidP="0083588E">
      <w:pPr>
        <w:pStyle w:val="ListParagraph"/>
        <w:numPr>
          <w:ilvl w:val="0"/>
          <w:numId w:val="21"/>
        </w:numPr>
        <w:spacing w:before="120"/>
        <w:ind w:left="357" w:hanging="357"/>
      </w:pPr>
      <w:r>
        <w:t>Facilit</w:t>
      </w:r>
      <w:r w:rsidR="00204D69">
        <w:t>ating the aggregation of what can be small amounts of unused funding within various components of an Activity, or across Activities, to create a quantum of funds that can be utilised more productively to deliver a program, either within or across Activities.</w:t>
      </w:r>
    </w:p>
    <w:p w14:paraId="2EBE3201" w14:textId="77777777" w:rsidR="00204D69" w:rsidRPr="0023178E" w:rsidRDefault="000F6AD3" w:rsidP="0083588E">
      <w:pPr>
        <w:pStyle w:val="ListParagraph"/>
        <w:numPr>
          <w:ilvl w:val="0"/>
          <w:numId w:val="21"/>
        </w:numPr>
        <w:spacing w:before="120"/>
        <w:ind w:left="357" w:hanging="357"/>
      </w:pPr>
      <w:r>
        <w:t>Overa</w:t>
      </w:r>
      <w:r w:rsidR="00204D69">
        <w:t>ll across all Activities there have been substantial reductions in management/team leader salary cost profile and support and administration salary cost profile since commencement of the Trial and as a consequence the proportion of salary expenditure being spent on direct service provision has increased substantially from 59% at 30 June 2012 to 72% at 31 December 2013. T</w:t>
      </w:r>
      <w:r w:rsidR="00204D69" w:rsidRPr="00541AB1">
        <w:t xml:space="preserve">he overall spend on </w:t>
      </w:r>
      <w:r w:rsidR="00204D69">
        <w:t xml:space="preserve">non-service provision </w:t>
      </w:r>
      <w:r w:rsidR="00204D69" w:rsidRPr="00541AB1">
        <w:t>salary related costs</w:t>
      </w:r>
      <w:r w:rsidR="00204D69">
        <w:t xml:space="preserve"> is decreasing which means</w:t>
      </w:r>
      <w:r w:rsidR="00204D69" w:rsidRPr="00541AB1">
        <w:t xml:space="preserve"> that funds </w:t>
      </w:r>
      <w:r w:rsidR="00204D69">
        <w:t>will be able to be</w:t>
      </w:r>
      <w:r w:rsidR="00204D69" w:rsidRPr="00541AB1">
        <w:t xml:space="preserve"> released for </w:t>
      </w:r>
      <w:r w:rsidR="00204D69">
        <w:t>expenditure on program related activity.</w:t>
      </w:r>
    </w:p>
    <w:p w14:paraId="2EBE3202" w14:textId="77777777" w:rsidR="00204D69" w:rsidRDefault="00204D69" w:rsidP="00204D69">
      <w:r>
        <w:t>In conclusion f</w:t>
      </w:r>
      <w:r w:rsidRPr="00747CFC">
        <w:t>rom the RDFS perspective the</w:t>
      </w:r>
      <w:r>
        <w:t xml:space="preserve"> SDOT has </w:t>
      </w:r>
      <w:r w:rsidRPr="007D2BCC">
        <w:t>improved the RFDS grant administration efficiencies as it relates to relevant Activities by amongs</w:t>
      </w:r>
      <w:r>
        <w:t xml:space="preserve">t other things reducing </w:t>
      </w:r>
      <w:r w:rsidRPr="00747CFC">
        <w:t>multiple points of departmental contact</w:t>
      </w:r>
      <w:r>
        <w:t>, and reducing</w:t>
      </w:r>
      <w:r w:rsidRPr="00747CFC">
        <w:t xml:space="preserve"> duplicative contract deliverables</w:t>
      </w:r>
      <w:r>
        <w:t>. R</w:t>
      </w:r>
      <w:r w:rsidRPr="00747CFC">
        <w:t>eporting requirements</w:t>
      </w:r>
      <w:r>
        <w:t xml:space="preserve"> are significantly more comprehensive and analytical although as a consequence more time consuming to compile.</w:t>
      </w:r>
    </w:p>
    <w:p w14:paraId="2EBE3203" w14:textId="77777777" w:rsidR="00204D69" w:rsidRDefault="00204D69" w:rsidP="00204D69">
      <w:r>
        <w:t>The SDOT</w:t>
      </w:r>
      <w:r w:rsidRPr="008C2B5E">
        <w:t xml:space="preserve"> has improved service outcomes indirectly, and</w:t>
      </w:r>
      <w:r>
        <w:t xml:space="preserve"> significantly enhanced service responsiveness and service integration</w:t>
      </w:r>
      <w:r w:rsidRPr="00747CFC">
        <w:t>, while</w:t>
      </w:r>
      <w:r>
        <w:t xml:space="preserve"> from the RFDS perspective at least, maintaining</w:t>
      </w:r>
      <w:r w:rsidRPr="00747CFC">
        <w:t xml:space="preserve"> integrity of existing relevant program and financ</w:t>
      </w:r>
      <w:r>
        <w:t xml:space="preserve">ial accountability requirements. </w:t>
      </w:r>
    </w:p>
    <w:p w14:paraId="2EBE3204" w14:textId="77777777" w:rsidR="00204D69" w:rsidRDefault="00204D69" w:rsidP="00204D69">
      <w:pPr>
        <w:shd w:val="clear" w:color="auto" w:fill="DBE5F1" w:themeFill="accent1" w:themeFillTint="33"/>
      </w:pPr>
      <w:r w:rsidRPr="00FC4EA8">
        <w:t xml:space="preserve">HOI is aware of Commonwealth Machinery of Government changes that will impact upon the source of funding streams for the WBC. From the WBC perspective </w:t>
      </w:r>
      <w:r w:rsidRPr="00FC4EA8">
        <w:rPr>
          <w:b/>
        </w:rPr>
        <w:t xml:space="preserve">it is </w:t>
      </w:r>
      <w:r w:rsidR="00541E99">
        <w:rPr>
          <w:b/>
        </w:rPr>
        <w:t>proposed</w:t>
      </w:r>
      <w:r w:rsidRPr="00FC4EA8">
        <w:rPr>
          <w:b/>
        </w:rPr>
        <w:t xml:space="preserve"> </w:t>
      </w:r>
      <w:r w:rsidRPr="0083205E">
        <w:t>that</w:t>
      </w:r>
      <w:r>
        <w:t xml:space="preserve"> </w:t>
      </w:r>
      <w:r w:rsidRPr="00FC4EA8">
        <w:t>the SDOT continue to June 2015 as per the agreement.</w:t>
      </w:r>
    </w:p>
    <w:p w14:paraId="2EBE3205" w14:textId="77777777" w:rsidR="00631F4F" w:rsidRPr="00D420ED" w:rsidRDefault="00AF0CED" w:rsidP="00631F4F">
      <w:pPr>
        <w:pStyle w:val="Heading2"/>
      </w:pPr>
      <w:bookmarkStart w:id="201" w:name="_Summary_of_findings"/>
      <w:bookmarkStart w:id="202" w:name="_Toc440038456"/>
      <w:bookmarkEnd w:id="201"/>
      <w:r>
        <w:rPr>
          <w:lang w:val="en-AU"/>
        </w:rPr>
        <w:t>Summary of findings</w:t>
      </w:r>
      <w:bookmarkEnd w:id="202"/>
    </w:p>
    <w:p w14:paraId="2EBE3206" w14:textId="77777777" w:rsidR="00631F4F" w:rsidRDefault="0005223E" w:rsidP="00F660CA">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Pr>
          <w:b/>
          <w:lang w:eastAsia="x-none"/>
        </w:rPr>
        <w:t>Key review finding #6</w:t>
      </w:r>
      <w:r w:rsidRPr="00631F4F">
        <w:rPr>
          <w:b/>
          <w:lang w:eastAsia="x-none"/>
        </w:rPr>
        <w:t xml:space="preserve"> </w:t>
      </w:r>
      <w:r w:rsidRPr="00631F4F">
        <w:rPr>
          <w:lang w:eastAsia="x-none"/>
        </w:rPr>
        <w:t>The WBC</w:t>
      </w:r>
      <w:r>
        <w:rPr>
          <w:lang w:eastAsia="x-none"/>
        </w:rPr>
        <w:t>s are providing</w:t>
      </w:r>
      <w:r w:rsidRPr="00631F4F">
        <w:rPr>
          <w:lang w:eastAsia="x-none"/>
        </w:rPr>
        <w:t xml:space="preserve"> a new and unique approach to the provision of SEWB services. Overall each WBC is addressing the range of service expectations of the community and other stakeholders relatively well. What is unique about the WBC is that it allows for SEWB services (including mental health and drug and alcohol services) to be provided in combination seamlessly</w:t>
      </w:r>
      <w:r>
        <w:rPr>
          <w:lang w:eastAsia="x-none"/>
        </w:rPr>
        <w:t>.</w:t>
      </w:r>
    </w:p>
    <w:p w14:paraId="2EBE3207" w14:textId="77777777" w:rsidR="00F660CA"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Pr>
          <w:b/>
          <w:lang w:eastAsia="x-none"/>
        </w:rPr>
        <w:br w:type="column"/>
      </w:r>
      <w:r>
        <w:rPr>
          <w:b/>
          <w:lang w:eastAsia="x-none"/>
        </w:rPr>
        <w:lastRenderedPageBreak/>
        <w:t>Key r</w:t>
      </w:r>
      <w:r w:rsidRPr="00631F4F">
        <w:rPr>
          <w:b/>
          <w:lang w:eastAsia="x-none"/>
        </w:rPr>
        <w:t>eview finding #</w:t>
      </w:r>
      <w:r>
        <w:rPr>
          <w:b/>
          <w:lang w:eastAsia="x-none"/>
        </w:rPr>
        <w:t>7</w:t>
      </w:r>
      <w:r w:rsidRPr="00631F4F">
        <w:rPr>
          <w:b/>
          <w:lang w:eastAsia="x-none"/>
        </w:rPr>
        <w:t xml:space="preserve"> </w:t>
      </w:r>
      <w:r>
        <w:rPr>
          <w:lang w:eastAsia="x-none"/>
        </w:rPr>
        <w:t>Service access to SEWB services is greatly enhanced in WBC communities when contrasted to other communities in Cape York. Overall, 48% of the entire community, 57% of the adult community (&gt;19 years) and 26% of the population &lt;20 years are currently, or have been, WBC clients.</w:t>
      </w:r>
    </w:p>
    <w:p w14:paraId="2EBE3208" w14:textId="77777777" w:rsidR="00F660CA"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pPr>
      <w:r>
        <w:rPr>
          <w:lang w:eastAsia="x-none"/>
        </w:rPr>
        <w:t>Violence (21%), mental health (21%), alcohol (20%) and welfare/other support (16%) together make up 78% of the diagnosed assessment issue categories (the primary issue for the client). Many clients have multiple issues.</w:t>
      </w:r>
    </w:p>
    <w:p w14:paraId="2EBE3209" w14:textId="77777777" w:rsidR="00AF0CED" w:rsidRPr="00AF0CED" w:rsidRDefault="00AF0CED" w:rsidP="00BC0A26">
      <w:pPr>
        <w:pStyle w:val="ES3"/>
        <w:rPr>
          <w:lang w:val="en-AU"/>
        </w:rPr>
      </w:pPr>
      <w:r>
        <w:t>Service model</w:t>
      </w:r>
      <w:r>
        <w:rPr>
          <w:lang w:val="en-AU"/>
        </w:rPr>
        <w:t xml:space="preserve"> </w:t>
      </w:r>
    </w:p>
    <w:p w14:paraId="2EBE320A" w14:textId="77777777" w:rsidR="00542916" w:rsidRDefault="00580F82" w:rsidP="00AF0CED">
      <w:pPr>
        <w:rPr>
          <w:lang w:eastAsia="x-none"/>
        </w:rPr>
      </w:pPr>
      <w:r>
        <w:rPr>
          <w:lang w:eastAsia="x-none"/>
        </w:rPr>
        <w:t xml:space="preserve">The service model </w:t>
      </w:r>
      <w:r w:rsidRPr="00580F82">
        <w:rPr>
          <w:lang w:eastAsia="x-none"/>
        </w:rPr>
        <w:t>provid</w:t>
      </w:r>
      <w:r>
        <w:rPr>
          <w:lang w:eastAsia="x-none"/>
        </w:rPr>
        <w:t>es</w:t>
      </w:r>
      <w:r w:rsidRPr="00580F82">
        <w:rPr>
          <w:lang w:eastAsia="x-none"/>
        </w:rPr>
        <w:t xml:space="preserve"> a new and unique approach to the provision of SEWB services</w:t>
      </w:r>
      <w:r w:rsidR="00542916">
        <w:rPr>
          <w:lang w:eastAsia="x-none"/>
        </w:rPr>
        <w:t xml:space="preserve">. </w:t>
      </w:r>
      <w:r w:rsidR="00542916" w:rsidRPr="00542916">
        <w:rPr>
          <w:lang w:eastAsia="x-none"/>
        </w:rPr>
        <w:t>What is unique about the WBC is that it allows for SEWB services (including mental health and drug and alcohol services) to be provided in combination seamlessly</w:t>
      </w:r>
      <w:r w:rsidR="00542916">
        <w:rPr>
          <w:lang w:eastAsia="x-none"/>
        </w:rPr>
        <w:t>.</w:t>
      </w:r>
      <w:r w:rsidR="00A41105">
        <w:rPr>
          <w:lang w:eastAsia="x-none"/>
        </w:rPr>
        <w:t xml:space="preserve"> The model is very resource intensive.</w:t>
      </w:r>
    </w:p>
    <w:p w14:paraId="2EBE320B" w14:textId="77777777" w:rsidR="00AF0CED" w:rsidRDefault="00AF0CED" w:rsidP="00AF0CED">
      <w:pPr>
        <w:rPr>
          <w:lang w:eastAsia="x-none"/>
        </w:rPr>
      </w:pPr>
      <w:r w:rsidRPr="00C84E0B">
        <w:rPr>
          <w:lang w:eastAsia="x-none"/>
        </w:rPr>
        <w:t>The service model has undergone significant development since the commencement of WBC services. It was last revised in September 2012 and the RFDS plan to review and update the service model in 2014. The most recent service model included a more systematic and consistent approach in assessment and outcome measurement</w:t>
      </w:r>
      <w:r>
        <w:rPr>
          <w:lang w:eastAsia="x-none"/>
        </w:rPr>
        <w:t xml:space="preserve">. </w:t>
      </w:r>
    </w:p>
    <w:p w14:paraId="2EBE320C" w14:textId="77777777" w:rsidR="00AF0CED" w:rsidRDefault="00AF0CED" w:rsidP="00AF0CED">
      <w:pPr>
        <w:rPr>
          <w:color w:val="auto"/>
          <w:lang w:eastAsia="en-AU"/>
        </w:rPr>
      </w:pPr>
      <w:r>
        <w:rPr>
          <w:lang w:eastAsia="x-none"/>
        </w:rPr>
        <w:t>In addition the RFDS</w:t>
      </w:r>
      <w:r>
        <w:rPr>
          <w:color w:val="auto"/>
          <w:lang w:eastAsia="en-AU"/>
        </w:rPr>
        <w:t xml:space="preserve"> strengthened </w:t>
      </w:r>
      <w:r w:rsidRPr="00700802">
        <w:rPr>
          <w:color w:val="auto"/>
          <w:lang w:eastAsia="en-AU"/>
        </w:rPr>
        <w:t>‘clinical service provision and standards’</w:t>
      </w:r>
      <w:r w:rsidRPr="00D728FC">
        <w:rPr>
          <w:color w:val="auto"/>
          <w:lang w:eastAsia="en-AU"/>
        </w:rPr>
        <w:t xml:space="preserve"> </w:t>
      </w:r>
      <w:r>
        <w:rPr>
          <w:color w:val="auto"/>
          <w:lang w:eastAsia="en-AU"/>
        </w:rPr>
        <w:t xml:space="preserve">and </w:t>
      </w:r>
      <w:r w:rsidRPr="00700802">
        <w:rPr>
          <w:color w:val="auto"/>
          <w:lang w:eastAsia="en-AU"/>
        </w:rPr>
        <w:t>adopted a purposeful strategy to employ people with psychology qualifications or strong MH backgrounds</w:t>
      </w:r>
      <w:r>
        <w:rPr>
          <w:color w:val="auto"/>
          <w:lang w:eastAsia="en-AU"/>
        </w:rPr>
        <w:t xml:space="preserve"> </w:t>
      </w:r>
      <w:r w:rsidRPr="00700802">
        <w:rPr>
          <w:color w:val="auto"/>
          <w:lang w:eastAsia="en-AU"/>
        </w:rPr>
        <w:t>. The sense at the time was that the early focus had been on the provision of a broad SEWB service and that ‘clinical’ work (1:1 counselling/therapy) was not being afforded a sufficient priority and there were questions concerning the relevant skills and experience of WBC staff to prov</w:t>
      </w:r>
      <w:r>
        <w:rPr>
          <w:color w:val="auto"/>
          <w:lang w:eastAsia="en-AU"/>
        </w:rPr>
        <w:t xml:space="preserve">ide these services. </w:t>
      </w:r>
    </w:p>
    <w:p w14:paraId="2EBE320D" w14:textId="77777777" w:rsidR="00AF0CED" w:rsidRDefault="00AF0CED" w:rsidP="00AF0CED">
      <w:pPr>
        <w:spacing w:after="120"/>
        <w:rPr>
          <w:szCs w:val="22"/>
        </w:rPr>
      </w:pPr>
      <w:r>
        <w:rPr>
          <w:szCs w:val="22"/>
        </w:rPr>
        <w:t xml:space="preserve">The </w:t>
      </w:r>
      <w:r w:rsidRPr="00B7423C">
        <w:rPr>
          <w:szCs w:val="22"/>
        </w:rPr>
        <w:t>service model documented</w:t>
      </w:r>
      <w:r>
        <w:rPr>
          <w:szCs w:val="22"/>
        </w:rPr>
        <w:t xml:space="preserve"> and implemented</w:t>
      </w:r>
      <w:r w:rsidRPr="00B7423C">
        <w:rPr>
          <w:szCs w:val="22"/>
        </w:rPr>
        <w:t xml:space="preserve"> aligns with the key service elements</w:t>
      </w:r>
      <w:r>
        <w:rPr>
          <w:szCs w:val="22"/>
        </w:rPr>
        <w:t xml:space="preserve"> and has been implemented as agreed. It</w:t>
      </w:r>
      <w:r w:rsidRPr="00B7423C">
        <w:rPr>
          <w:szCs w:val="22"/>
        </w:rPr>
        <w:t xml:space="preserve"> is in alignment with the program theory</w:t>
      </w:r>
      <w:r>
        <w:rPr>
          <w:szCs w:val="22"/>
        </w:rPr>
        <w:t>.  While</w:t>
      </w:r>
      <w:r w:rsidRPr="00B7423C">
        <w:rPr>
          <w:szCs w:val="22"/>
        </w:rPr>
        <w:t xml:space="preserve"> sta</w:t>
      </w:r>
      <w:r>
        <w:rPr>
          <w:szCs w:val="22"/>
        </w:rPr>
        <w:t>ff understand the service model there is opportunity to strengthen understanding of it by promoting the service model more actively during the induction process.</w:t>
      </w:r>
    </w:p>
    <w:p w14:paraId="2EBE320E" w14:textId="77777777" w:rsidR="00542916" w:rsidRDefault="00542916" w:rsidP="00542916">
      <w:pPr>
        <w:spacing w:after="120"/>
        <w:rPr>
          <w:szCs w:val="22"/>
        </w:rPr>
      </w:pPr>
      <w:r w:rsidRPr="00D728FC">
        <w:rPr>
          <w:szCs w:val="22"/>
        </w:rPr>
        <w:t xml:space="preserve">One key area of difference is in the provision of </w:t>
      </w:r>
      <w:r>
        <w:rPr>
          <w:szCs w:val="22"/>
        </w:rPr>
        <w:t xml:space="preserve">non SEWB </w:t>
      </w:r>
      <w:r w:rsidRPr="00D728FC">
        <w:rPr>
          <w:szCs w:val="22"/>
        </w:rPr>
        <w:t>primary health care brief interventions which</w:t>
      </w:r>
      <w:r>
        <w:rPr>
          <w:szCs w:val="22"/>
        </w:rPr>
        <w:t xml:space="preserve"> until more recently have </w:t>
      </w:r>
      <w:r w:rsidRPr="00D728FC">
        <w:rPr>
          <w:szCs w:val="22"/>
        </w:rPr>
        <w:t>not been built into the WBC activities in any structured way. However the WBC has recognised this issue and has commenced implementing relevant strategies as part of its Activity Plan for</w:t>
      </w:r>
      <w:r w:rsidRPr="00D728FC">
        <w:rPr>
          <w:i/>
          <w:szCs w:val="22"/>
        </w:rPr>
        <w:t xml:space="preserve"> 2012 -2014</w:t>
      </w:r>
      <w:r>
        <w:rPr>
          <w:szCs w:val="22"/>
        </w:rPr>
        <w:t>.</w:t>
      </w:r>
    </w:p>
    <w:p w14:paraId="2EBE320F" w14:textId="77777777" w:rsidR="00AF0CED" w:rsidRPr="00DA5CD4" w:rsidRDefault="00AF0CED" w:rsidP="00AF0CED">
      <w:r w:rsidRPr="00DA5CD4">
        <w:t>The service model discusses the relevance of, but does not mandate, particular approaches or therapies (e.g. cognitive behaviour therapy, motivational interviewing, and narrative therapy).</w:t>
      </w:r>
      <w:r>
        <w:t xml:space="preserve"> This is left to the counsellors to determine based on the particular needs of the client.</w:t>
      </w:r>
    </w:p>
    <w:p w14:paraId="2EBE3210" w14:textId="77777777" w:rsidR="00AF0CED" w:rsidRDefault="00AF0CED" w:rsidP="00BC0A26">
      <w:pPr>
        <w:pStyle w:val="ES3"/>
        <w:rPr>
          <w:lang w:val="en-AU"/>
        </w:rPr>
      </w:pPr>
      <w:r>
        <w:t xml:space="preserve">Service model implementation </w:t>
      </w:r>
    </w:p>
    <w:p w14:paraId="2EBE3211" w14:textId="77777777" w:rsidR="00AF0CED" w:rsidRDefault="00AF0CED" w:rsidP="00AF0CED">
      <w:r w:rsidRPr="00DA5CD4">
        <w:t>Overall each WBC is addressing the range of service expectations of the communities and other stakeholders relatively</w:t>
      </w:r>
      <w:r>
        <w:t>.</w:t>
      </w:r>
    </w:p>
    <w:p w14:paraId="2EBE3212" w14:textId="77777777" w:rsidR="00541E99" w:rsidRPr="00DA5CD4" w:rsidRDefault="00541E99" w:rsidP="00541E99">
      <w:r w:rsidRPr="00DA5CD4">
        <w:t>In most cases clients, partners and staff seem to have a clear and reasonable understanding of the service model.  Most partners have a clearer view of the service model and/or or the role and function of the WBC and significantly more so than in mid-2012. This likely relates to the consultation on and documentation of a clearer service model; more interaction over time that facilitates a clearer understanding; and stability of management staff.</w:t>
      </w:r>
    </w:p>
    <w:p w14:paraId="2EBE3213" w14:textId="77777777" w:rsidR="00541E99" w:rsidRPr="00DA5CD4" w:rsidRDefault="00541E99" w:rsidP="00541E99">
      <w:r w:rsidRPr="00DA5CD4">
        <w:t xml:space="preserve">The service model and the approach adopted by WBC staff is reflective of providing a culturally appropriate and sensitive service. Eighty two percent of clients interviewed agreed that the WBC staff did understand and respond to their Aboriginal culture a lot and very few community members raised </w:t>
      </w:r>
      <w:r w:rsidRPr="00DA5CD4">
        <w:lastRenderedPageBreak/>
        <w:t>cultural awareness as a concern. However</w:t>
      </w:r>
      <w:r>
        <w:t>,</w:t>
      </w:r>
      <w:r w:rsidRPr="00DA5CD4">
        <w:t xml:space="preserve"> there is a need to continue to develop</w:t>
      </w:r>
      <w:r>
        <w:t xml:space="preserve"> and integrate </w:t>
      </w:r>
      <w:r w:rsidRPr="00DA5CD4">
        <w:t>on country and cultural activities</w:t>
      </w:r>
      <w:r>
        <w:t xml:space="preserve"> within the service offerings</w:t>
      </w:r>
      <w:r w:rsidRPr="00DA5CD4">
        <w:t>.</w:t>
      </w:r>
    </w:p>
    <w:p w14:paraId="2EBE3214" w14:textId="77777777" w:rsidR="00541E99" w:rsidRPr="00DA5CD4" w:rsidRDefault="00541E99" w:rsidP="00541E99">
      <w:pPr>
        <w:rPr>
          <w:lang w:eastAsia="x-none"/>
        </w:rPr>
      </w:pPr>
      <w:r w:rsidRPr="00DA5CD4">
        <w:rPr>
          <w:lang w:eastAsia="x-none"/>
        </w:rPr>
        <w:t xml:space="preserve">The WBC staff structure is sound and well suited to the delivery of WBC services based on the current service model. The mix of males and females is reasonable and there has been focus on the need for, and recruiting of, Indigenous staff wherever possible. The small number of Indigenous clinical staff members is a factor of availability and remote location and not the structure or culture of the WBC itself. </w:t>
      </w:r>
    </w:p>
    <w:p w14:paraId="2EBE3215" w14:textId="77777777" w:rsidR="00541E99" w:rsidRPr="00DA5CD4" w:rsidRDefault="00541E99" w:rsidP="00541E99">
      <w:pPr>
        <w:rPr>
          <w:lang w:eastAsia="x-none"/>
        </w:rPr>
      </w:pPr>
      <w:r w:rsidRPr="00DA5CD4">
        <w:rPr>
          <w:lang w:eastAsia="x-none"/>
        </w:rPr>
        <w:t xml:space="preserve">Consistent with previous findings staff were confident in providing the relevant WBC services and felt they had the skills and experience and appropriate qualifications to provide those services. </w:t>
      </w:r>
    </w:p>
    <w:p w14:paraId="2EBE3216" w14:textId="77777777" w:rsidR="00541E99" w:rsidRPr="00DA5CD4" w:rsidRDefault="00541E99" w:rsidP="00541E99">
      <w:pPr>
        <w:rPr>
          <w:lang w:eastAsia="x-none"/>
        </w:rPr>
      </w:pPr>
      <w:r w:rsidRPr="00DA5CD4">
        <w:rPr>
          <w:lang w:eastAsia="x-none"/>
        </w:rPr>
        <w:t>RFDS have made a substantial commitment and investment in the training and development of all staff</w:t>
      </w:r>
      <w:r>
        <w:rPr>
          <w:lang w:eastAsia="x-none"/>
        </w:rPr>
        <w:t xml:space="preserve"> and in particular local Indigenous staff</w:t>
      </w:r>
      <w:r w:rsidRPr="00DA5CD4">
        <w:rPr>
          <w:lang w:eastAsia="x-none"/>
        </w:rPr>
        <w:t>. This is highly valued by staff. Overall staff are supported, skilled and developed to address the ongoing requirements of the WBC service model.</w:t>
      </w:r>
    </w:p>
    <w:p w14:paraId="2EBE3217" w14:textId="77777777" w:rsidR="00EF78C4" w:rsidRPr="00DA5CD4" w:rsidRDefault="00EF78C4" w:rsidP="00541E99">
      <w:pPr>
        <w:rPr>
          <w:lang w:eastAsia="en-AU"/>
        </w:rPr>
      </w:pPr>
      <w:r w:rsidRPr="00EF78C4">
        <w:rPr>
          <w:lang w:eastAsia="en-AU"/>
        </w:rPr>
        <w:t xml:space="preserve">For the duration of this program there has been a lack of regular communication with stakeholders and community through newsletters, the internet and other means. </w:t>
      </w:r>
    </w:p>
    <w:p w14:paraId="2EBE3218" w14:textId="77777777" w:rsidR="00AF0CED" w:rsidRDefault="00AF0CED" w:rsidP="00AF0CED">
      <w:r>
        <w:t>Violence (21%), mental health (21%), alcohol (20%) and welfare and other support (16%) together make up 78% of the diagnosed assessment issue categories (primary issue for client).</w:t>
      </w:r>
      <w:r w:rsidR="00576DBB">
        <w:t xml:space="preserve"> </w:t>
      </w:r>
      <w:r>
        <w:t>For males, problems with alcohol/other drugs and prison related matters make up a greater percentage of the reasons for presentation than females. For females, welfare support makes up a greater proportion of reason for presentation.</w:t>
      </w:r>
    </w:p>
    <w:p w14:paraId="2EBE3219" w14:textId="77777777" w:rsidR="00AF0CED" w:rsidRPr="00DA5CD4" w:rsidRDefault="00AF0CED" w:rsidP="00AF0CED">
      <w:r w:rsidRPr="00DA5CD4">
        <w:t xml:space="preserve">The total HoNOS scores for all WBC clients is similar to the national profile of mental health ambulatory clients (8.69 compared to 9.1). On a subscale basis, the behaviour score is </w:t>
      </w:r>
      <w:r w:rsidR="006645F5">
        <w:t xml:space="preserve">significantly </w:t>
      </w:r>
      <w:r w:rsidRPr="00DA5CD4">
        <w:t>greater than the national profile (2.25 to 1.6)</w:t>
      </w:r>
      <w:r w:rsidR="006645F5">
        <w:t xml:space="preserve"> particularly given that WBC data incudes clients who are not mentally ill, </w:t>
      </w:r>
      <w:r w:rsidRPr="00DA5CD4">
        <w:t>and is what might be exp</w:t>
      </w:r>
      <w:r>
        <w:t>ected in the reform communities</w:t>
      </w:r>
      <w:r w:rsidRPr="00DA5CD4">
        <w:t>. The non-FRC and FRC client profile is similar.</w:t>
      </w:r>
    </w:p>
    <w:p w14:paraId="2EBE321A" w14:textId="77777777" w:rsidR="00AF0CED" w:rsidRPr="00DA5CD4" w:rsidRDefault="00AF0CED" w:rsidP="00AF0CED">
      <w:r w:rsidRPr="00DA5CD4">
        <w:t xml:space="preserve">The K10 score for all WBC clients is similar to the national profile of mental health ambulatory clients </w:t>
      </w:r>
      <w:r>
        <w:t xml:space="preserve">Proportionally, </w:t>
      </w:r>
      <w:r w:rsidRPr="00DA5CD4">
        <w:t>WBC clients at high or very high distress levels is marginally greater than the general Indigenous population (33% compared to around 27% to 30%).</w:t>
      </w:r>
    </w:p>
    <w:p w14:paraId="2EBE321B" w14:textId="77777777" w:rsidR="00AF0CED" w:rsidRPr="00DA5CD4" w:rsidRDefault="00AF0CED" w:rsidP="00AF0CED">
      <w:r w:rsidRPr="00DA5CD4">
        <w:t>Overall WBC clients fell in the risky or hazardous level of drinking category on initial AUDIT screening. FRC clients were in the same category. There is no benchmark data</w:t>
      </w:r>
      <w:r>
        <w:t xml:space="preserve"> to facilitate comparison</w:t>
      </w:r>
      <w:r w:rsidRPr="00DA5CD4">
        <w:t>.</w:t>
      </w:r>
    </w:p>
    <w:p w14:paraId="2EBE321C" w14:textId="77777777" w:rsidR="00F7231A" w:rsidRDefault="00AF0CED" w:rsidP="00AF0CED">
      <w:r w:rsidRPr="00DA5CD4">
        <w:t>Based on the SDS 36% of client’s demonstrated dependence on cannabis with significant variations between WBCs. Mossman Gorge and Aurukun had the highest percentage of clients recorded as being dependent upon cannabis and consequently the highest average score.</w:t>
      </w:r>
      <w:r w:rsidR="00F7231A">
        <w:t xml:space="preserve"> Correspondingly, it has been noted that since inception 53% of clients had at least one presentation where alcohol or other drugs was an underlying issue and the alcohol and other drug psycho-social module has been the most extensively used of all modules (</w:t>
      </w:r>
      <w:r w:rsidR="00F7231A" w:rsidRPr="000774D3">
        <w:rPr>
          <w:color w:val="auto"/>
          <w:lang w:eastAsia="x-none"/>
        </w:rPr>
        <w:t>underta</w:t>
      </w:r>
      <w:r w:rsidR="00F7231A">
        <w:rPr>
          <w:color w:val="auto"/>
          <w:lang w:eastAsia="x-none"/>
        </w:rPr>
        <w:t>ken by 26% of all clients and 47</w:t>
      </w:r>
      <w:r w:rsidR="00F7231A" w:rsidRPr="000774D3">
        <w:rPr>
          <w:color w:val="auto"/>
          <w:lang w:eastAsia="x-none"/>
        </w:rPr>
        <w:t>% of FRC clients</w:t>
      </w:r>
      <w:r w:rsidR="00F7231A">
        <w:rPr>
          <w:color w:val="auto"/>
          <w:lang w:eastAsia="x-none"/>
        </w:rPr>
        <w:t>)</w:t>
      </w:r>
      <w:r w:rsidR="00F7231A" w:rsidRPr="000774D3">
        <w:rPr>
          <w:color w:val="auto"/>
          <w:lang w:eastAsia="x-none"/>
        </w:rPr>
        <w:t>.</w:t>
      </w:r>
    </w:p>
    <w:p w14:paraId="2EBE321D" w14:textId="77777777" w:rsidR="00AF0CED" w:rsidRDefault="00AF0CED" w:rsidP="00BC0A26">
      <w:pPr>
        <w:pStyle w:val="ES3"/>
      </w:pPr>
      <w:bookmarkStart w:id="203" w:name="_Ref387398090"/>
      <w:r>
        <w:rPr>
          <w:lang w:val="en-AU"/>
        </w:rPr>
        <w:t>P</w:t>
      </w:r>
      <w:r>
        <w:t>artnerships</w:t>
      </w:r>
      <w:bookmarkEnd w:id="203"/>
    </w:p>
    <w:p w14:paraId="2EBE321E" w14:textId="77777777" w:rsidR="00AF0CED" w:rsidRDefault="00AF0CED" w:rsidP="00AF0CED">
      <w:pPr>
        <w:rPr>
          <w:lang w:eastAsia="x-none"/>
        </w:rPr>
      </w:pPr>
      <w:r>
        <w:rPr>
          <w:lang w:eastAsia="x-none"/>
        </w:rPr>
        <w:t xml:space="preserve">Overall the WBCs have been successful in developing effective partnerships. Most partners at both the local and regional level appear to have a solid understanding of the role of the WBCs with most having a good understanding and a strong collaborative relationship working in partnership to enhance outcomes for clients. </w:t>
      </w:r>
    </w:p>
    <w:p w14:paraId="2EBE321F" w14:textId="77777777" w:rsidR="00AF0CED" w:rsidRDefault="00AF0CED" w:rsidP="00AF0CED">
      <w:pPr>
        <w:rPr>
          <w:lang w:eastAsia="x-none"/>
        </w:rPr>
      </w:pPr>
      <w:r w:rsidRPr="00715958">
        <w:rPr>
          <w:lang w:eastAsia="x-none"/>
        </w:rPr>
        <w:lastRenderedPageBreak/>
        <w:t>In a number of cases partners specifically mentioned that the WBC, by being in community five days per week and having appropriate expertise, was assisting their own agency to be more effective, and/or to enable them to concentrate on their core business.</w:t>
      </w:r>
    </w:p>
    <w:p w14:paraId="2EBE3220" w14:textId="77777777" w:rsidR="00AF0CED" w:rsidRDefault="00AF0CED" w:rsidP="00AF0CED">
      <w:pPr>
        <w:rPr>
          <w:lang w:eastAsia="x-none"/>
        </w:rPr>
      </w:pPr>
      <w:r w:rsidRPr="007D25DE">
        <w:rPr>
          <w:lang w:eastAsia="x-none"/>
        </w:rPr>
        <w:t xml:space="preserve">Queensland Health (CYHHS - Mental Health) feel strongly (and RFDS agree) that there is a need to </w:t>
      </w:r>
      <w:r>
        <w:rPr>
          <w:lang w:eastAsia="x-none"/>
        </w:rPr>
        <w:t xml:space="preserve">further strengthen the relationship by </w:t>
      </w:r>
      <w:r w:rsidRPr="007D25DE">
        <w:rPr>
          <w:lang w:eastAsia="x-none"/>
        </w:rPr>
        <w:t>develop</w:t>
      </w:r>
      <w:r>
        <w:rPr>
          <w:lang w:eastAsia="x-none"/>
        </w:rPr>
        <w:t>ing</w:t>
      </w:r>
      <w:r w:rsidRPr="007D25DE">
        <w:rPr>
          <w:lang w:eastAsia="x-none"/>
        </w:rPr>
        <w:t xml:space="preserve"> a service agreement between CYHHS and the RFDS</w:t>
      </w:r>
      <w:r>
        <w:rPr>
          <w:lang w:eastAsia="x-none"/>
        </w:rPr>
        <w:t xml:space="preserve">. This will strengthen the service model by clarifying the service interface in relation to roles and responsibilities for joint client management, how information is shared and conducting joint case reviews. Aligned with this is the need for more transparency in relation to how the WBCs manage their clients. This would build on the service flowchart that has been developed. </w:t>
      </w:r>
    </w:p>
    <w:p w14:paraId="2EBE3221" w14:textId="77777777" w:rsidR="00AF0CED" w:rsidRPr="001A4850" w:rsidRDefault="00AF0CED" w:rsidP="00AF0CED">
      <w:pPr>
        <w:spacing w:after="120"/>
        <w:rPr>
          <w:color w:val="auto"/>
          <w:lang w:eastAsia="en-AU"/>
        </w:rPr>
      </w:pPr>
      <w:r w:rsidRPr="001A4850">
        <w:rPr>
          <w:color w:val="auto"/>
          <w:lang w:eastAsia="en-AU"/>
        </w:rPr>
        <w:t>The effectiveness of the partnership with the FRC was discussed in detail in the Phase One Evaluation Report. While there have been significant improvements since the initial years of WBC operation due to service expectations being clarified, the service model being further developed, and RFDS staff and management changes and stability, there is still opportunity to strengthen the partnership by enhancing service transparency and working more closely with the FRC at the local level.</w:t>
      </w:r>
      <w:r w:rsidRPr="001A4850">
        <w:rPr>
          <w:color w:val="auto"/>
        </w:rPr>
        <w:t xml:space="preserve"> </w:t>
      </w:r>
      <w:r w:rsidRPr="001A4850">
        <w:rPr>
          <w:color w:val="auto"/>
          <w:lang w:eastAsia="en-AU"/>
        </w:rPr>
        <w:t xml:space="preserve">To date they report having received limited details on programs and their structure. In addition, in some cases they would like more information on how their clients are engaging and progressing, in addition to the </w:t>
      </w:r>
      <w:r>
        <w:rPr>
          <w:color w:val="auto"/>
          <w:lang w:eastAsia="en-AU"/>
        </w:rPr>
        <w:t xml:space="preserve">agreed </w:t>
      </w:r>
      <w:r w:rsidRPr="001A4850">
        <w:rPr>
          <w:color w:val="auto"/>
          <w:lang w:eastAsia="en-AU"/>
        </w:rPr>
        <w:t>summary that is currently provided.</w:t>
      </w:r>
    </w:p>
    <w:p w14:paraId="2EBE3222" w14:textId="77777777" w:rsidR="00AF0CED" w:rsidRPr="00715958" w:rsidRDefault="00AF0CED" w:rsidP="00AF0CED">
      <w:pPr>
        <w:rPr>
          <w:color w:val="auto"/>
          <w:lang w:eastAsia="en-AU"/>
        </w:rPr>
      </w:pPr>
      <w:r w:rsidRPr="001A4850">
        <w:rPr>
          <w:color w:val="auto"/>
          <w:lang w:eastAsia="en-AU"/>
        </w:rPr>
        <w:t>The need to strengthen relationships and provision of information at the local level has been recognised by the RFDS</w:t>
      </w:r>
      <w:r>
        <w:rPr>
          <w:color w:val="auto"/>
          <w:lang w:eastAsia="en-AU"/>
        </w:rPr>
        <w:t xml:space="preserve"> and the FRC.</w:t>
      </w:r>
      <w:r w:rsidRPr="00BA657D">
        <w:rPr>
          <w:color w:val="auto"/>
          <w:lang w:eastAsia="en-AU"/>
        </w:rPr>
        <w:t xml:space="preserve"> </w:t>
      </w:r>
      <w:r>
        <w:rPr>
          <w:color w:val="auto"/>
          <w:lang w:eastAsia="en-AU"/>
        </w:rPr>
        <w:t xml:space="preserve">The current </w:t>
      </w:r>
      <w:r w:rsidRPr="001A4850">
        <w:rPr>
          <w:color w:val="auto"/>
          <w:lang w:eastAsia="en-AU"/>
        </w:rPr>
        <w:t>strategy</w:t>
      </w:r>
      <w:r>
        <w:rPr>
          <w:color w:val="auto"/>
          <w:lang w:eastAsia="en-AU"/>
        </w:rPr>
        <w:t xml:space="preserve"> being </w:t>
      </w:r>
      <w:r w:rsidRPr="001A4850">
        <w:rPr>
          <w:color w:val="auto"/>
          <w:lang w:eastAsia="en-AU"/>
        </w:rPr>
        <w:t xml:space="preserve">trialled at Aurukun includes: </w:t>
      </w:r>
      <w:r w:rsidRPr="00735B5B">
        <w:rPr>
          <w:color w:val="auto"/>
          <w:lang w:eastAsia="en-AU"/>
        </w:rPr>
        <w:t>the development of a memorandum of understanding; providing the FRC access to the RFDS client information system; the RFDS to attend FRC case conferences; the RFDS regular summary report including more feedback in relation to a client’s progress and engagement issues (above what has been agreed previously); and using a shared data system to track client progress.</w:t>
      </w:r>
    </w:p>
    <w:p w14:paraId="2EBE3223" w14:textId="77777777" w:rsidR="00AF0CED" w:rsidRPr="00735B5B" w:rsidRDefault="00AF0CED" w:rsidP="00AF0CED">
      <w:pPr>
        <w:shd w:val="clear" w:color="auto" w:fill="DBE5F1" w:themeFill="accent1" w:themeFillTint="33"/>
        <w:spacing w:after="120"/>
        <w:rPr>
          <w:b/>
          <w:lang w:eastAsia="x-none"/>
        </w:rPr>
      </w:pPr>
      <w:r w:rsidRPr="00F660CA">
        <w:rPr>
          <w:rStyle w:val="Strong"/>
        </w:rPr>
        <w:t xml:space="preserve">It is </w:t>
      </w:r>
      <w:r w:rsidR="00541E99" w:rsidRPr="00F660CA">
        <w:rPr>
          <w:rStyle w:val="Strong"/>
        </w:rPr>
        <w:t>proposed</w:t>
      </w:r>
      <w:r w:rsidRPr="00735B5B">
        <w:rPr>
          <w:b/>
          <w:lang w:eastAsia="x-none"/>
        </w:rPr>
        <w:t xml:space="preserve"> </w:t>
      </w:r>
      <w:r w:rsidRPr="00735B5B">
        <w:rPr>
          <w:lang w:eastAsia="x-none"/>
        </w:rPr>
        <w:t>that the RFDS develop a service agreement with CYHHS - Mental Health and a memorandum of understanding with FRC, which provides an appropriate level of detail as to how the organisations will work in partnership to strengthen the management of clients and enhance the effectiveness of both services.</w:t>
      </w:r>
      <w:r w:rsidRPr="00735B5B">
        <w:rPr>
          <w:b/>
          <w:lang w:eastAsia="x-none"/>
        </w:rPr>
        <w:t xml:space="preserve"> </w:t>
      </w:r>
    </w:p>
    <w:p w14:paraId="2EBE3224" w14:textId="77777777" w:rsidR="00AF0CED" w:rsidRDefault="00AF0CED" w:rsidP="00AF0CED">
      <w:pPr>
        <w:rPr>
          <w:color w:val="auto"/>
          <w:lang w:eastAsia="en-AU"/>
        </w:rPr>
      </w:pPr>
      <w:r>
        <w:rPr>
          <w:color w:val="auto"/>
          <w:lang w:eastAsia="en-AU"/>
        </w:rPr>
        <w:t>In the case of the FRC this will build on the learnings from the current trial in Aurukun and for CYHHS Mental Health it will build on the current service flowchart.</w:t>
      </w:r>
    </w:p>
    <w:p w14:paraId="2EBE3225" w14:textId="77777777" w:rsidR="00AF0CED" w:rsidRDefault="00AF0CED" w:rsidP="00BC0A26">
      <w:pPr>
        <w:pStyle w:val="ES3"/>
        <w:rPr>
          <w:lang w:val="en-AU"/>
        </w:rPr>
      </w:pPr>
      <w:r>
        <w:rPr>
          <w:lang w:val="en-AU"/>
        </w:rPr>
        <w:t>C</w:t>
      </w:r>
      <w:r>
        <w:t>ommunity engagement</w:t>
      </w:r>
    </w:p>
    <w:p w14:paraId="2EBE3226" w14:textId="77777777" w:rsidR="00AF0CED" w:rsidRDefault="00AF0CED" w:rsidP="00AF0CED">
      <w:pPr>
        <w:rPr>
          <w:color w:val="auto"/>
        </w:rPr>
      </w:pPr>
      <w:r>
        <w:rPr>
          <w:color w:val="auto"/>
        </w:rPr>
        <w:t>Overall WBCs have effectively engaged the community.</w:t>
      </w:r>
    </w:p>
    <w:p w14:paraId="2EBE3227" w14:textId="77777777" w:rsidR="00AF0CED" w:rsidRDefault="00AF0CED" w:rsidP="00AF0CED">
      <w:pPr>
        <w:rPr>
          <w:color w:val="auto"/>
        </w:rPr>
      </w:pPr>
      <w:r>
        <w:rPr>
          <w:color w:val="auto"/>
        </w:rPr>
        <w:t>L</w:t>
      </w:r>
      <w:r w:rsidRPr="00172ADE">
        <w:rPr>
          <w:color w:val="auto"/>
        </w:rPr>
        <w:t xml:space="preserve">ocal staff have fulfilled their role and strengthened community engagement. They are an important component of the WBC model however as has been recognised </w:t>
      </w:r>
      <w:r>
        <w:rPr>
          <w:color w:val="auto"/>
        </w:rPr>
        <w:t xml:space="preserve">and achieved to some degree, </w:t>
      </w:r>
      <w:r w:rsidRPr="00172ADE">
        <w:rPr>
          <w:color w:val="auto"/>
        </w:rPr>
        <w:t>they now need to take a more active role in appropriate front line service delivery</w:t>
      </w:r>
      <w:r>
        <w:rPr>
          <w:color w:val="auto"/>
        </w:rPr>
        <w:t>.</w:t>
      </w:r>
    </w:p>
    <w:p w14:paraId="2EBE3228" w14:textId="77777777" w:rsidR="00AF0CED" w:rsidRPr="00172ADE" w:rsidRDefault="00AF0CED" w:rsidP="00AF0CED">
      <w:pPr>
        <w:rPr>
          <w:color w:val="auto"/>
        </w:rPr>
      </w:pPr>
      <w:r>
        <w:rPr>
          <w:color w:val="auto"/>
        </w:rPr>
        <w:t>P</w:t>
      </w:r>
      <w:r w:rsidRPr="00172ADE">
        <w:rPr>
          <w:color w:val="auto"/>
        </w:rPr>
        <w:t>rograms and services are offered in a way that are effective in engaging the community</w:t>
      </w:r>
      <w:r>
        <w:rPr>
          <w:color w:val="auto"/>
        </w:rPr>
        <w:t xml:space="preserve"> </w:t>
      </w:r>
      <w:r w:rsidRPr="00172ADE">
        <w:rPr>
          <w:color w:val="auto"/>
        </w:rPr>
        <w:t xml:space="preserve">WBC staff are generally committed to communicating and building relationships with key community personnel and groups to ensure effective community engagement. </w:t>
      </w:r>
    </w:p>
    <w:p w14:paraId="2EBE3229" w14:textId="77777777" w:rsidR="00AF0CED" w:rsidRDefault="00AF0CED" w:rsidP="00AF0CED">
      <w:pPr>
        <w:rPr>
          <w:color w:val="auto"/>
        </w:rPr>
      </w:pPr>
      <w:r>
        <w:rPr>
          <w:color w:val="auto"/>
        </w:rPr>
        <w:t>T</w:t>
      </w:r>
      <w:r w:rsidRPr="00172ADE">
        <w:rPr>
          <w:color w:val="auto"/>
        </w:rPr>
        <w:t xml:space="preserve">here does not appear to be any cross agency social service/primary health group that formally interacts with community leaders to </w:t>
      </w:r>
      <w:r>
        <w:rPr>
          <w:color w:val="auto"/>
        </w:rPr>
        <w:t>address issues of common concern</w:t>
      </w:r>
      <w:r w:rsidRPr="00172ADE">
        <w:rPr>
          <w:color w:val="auto"/>
        </w:rPr>
        <w:t xml:space="preserve">. This is something that needs to be developed within the context of each community. Ultimately the role played by the WBC will vary depending on the type of issue and the community. </w:t>
      </w:r>
    </w:p>
    <w:p w14:paraId="2EBE322A" w14:textId="77777777" w:rsidR="00AF0CED" w:rsidRDefault="00AF0CED" w:rsidP="00AF0CED">
      <w:pPr>
        <w:rPr>
          <w:color w:val="auto"/>
        </w:rPr>
      </w:pPr>
      <w:r w:rsidRPr="00172ADE">
        <w:rPr>
          <w:color w:val="auto"/>
        </w:rPr>
        <w:t xml:space="preserve">LAGS have only been partially effective and in some cases ineffective in providing a structure for formal community input. The LAGs are not currently in a position to be a vehicle for management </w:t>
      </w:r>
      <w:r w:rsidRPr="00172ADE">
        <w:rPr>
          <w:color w:val="auto"/>
        </w:rPr>
        <w:lastRenderedPageBreak/>
        <w:t xml:space="preserve">responsibility </w:t>
      </w:r>
      <w:r>
        <w:rPr>
          <w:color w:val="auto"/>
        </w:rPr>
        <w:t xml:space="preserve">and ultimate community control. </w:t>
      </w:r>
      <w:r w:rsidRPr="00172ADE">
        <w:rPr>
          <w:color w:val="auto"/>
        </w:rPr>
        <w:t>Notwithstanding considerable effort and resources, capacity building efforts have not been effective to date in underpinning a longer term intention of community control</w:t>
      </w:r>
      <w:r>
        <w:rPr>
          <w:color w:val="auto"/>
        </w:rPr>
        <w:t>.</w:t>
      </w:r>
    </w:p>
    <w:p w14:paraId="2EBE322B" w14:textId="77777777" w:rsidR="00AF0CED" w:rsidRPr="00A076D3" w:rsidRDefault="00AF0CED" w:rsidP="00AF0CED">
      <w:pPr>
        <w:rPr>
          <w:lang w:eastAsia="x-none"/>
        </w:rPr>
      </w:pPr>
      <w:r>
        <w:rPr>
          <w:color w:val="auto"/>
        </w:rPr>
        <w:t xml:space="preserve">The </w:t>
      </w:r>
      <w:r w:rsidRPr="00406CDE">
        <w:rPr>
          <w:color w:val="auto"/>
        </w:rPr>
        <w:t xml:space="preserve">WBC is engaging a reasonable representation of </w:t>
      </w:r>
      <w:r>
        <w:rPr>
          <w:color w:val="auto"/>
        </w:rPr>
        <w:t xml:space="preserve">the </w:t>
      </w:r>
      <w:r w:rsidRPr="00406CDE">
        <w:rPr>
          <w:color w:val="auto"/>
        </w:rPr>
        <w:t>community based on age and sex, particularly when taking account of their recent focus on and initiatives for younger people</w:t>
      </w:r>
      <w:r>
        <w:rPr>
          <w:color w:val="auto"/>
        </w:rPr>
        <w:t>.</w:t>
      </w:r>
      <w:r>
        <w:rPr>
          <w:lang w:eastAsia="x-none"/>
        </w:rPr>
        <w:t xml:space="preserve"> C</w:t>
      </w:r>
      <w:r w:rsidRPr="00A076D3">
        <w:rPr>
          <w:lang w:eastAsia="x-none"/>
        </w:rPr>
        <w:t>ommunity members appear to have a reasonable or good understanding of what the WBC does and they believe the WBC is ‘welcoming’ and ‘helpful.</w:t>
      </w:r>
    </w:p>
    <w:p w14:paraId="2EBE322C" w14:textId="77777777" w:rsidR="00AF0CED" w:rsidRDefault="00AF0CED" w:rsidP="00AF0CED">
      <w:pPr>
        <w:rPr>
          <w:lang w:eastAsia="x-none"/>
        </w:rPr>
      </w:pPr>
      <w:r>
        <w:rPr>
          <w:lang w:eastAsia="x-none"/>
        </w:rPr>
        <w:t>Key opportunities for strengthening community engagement include:</w:t>
      </w:r>
    </w:p>
    <w:p w14:paraId="2EBE322D" w14:textId="77777777" w:rsidR="00AF0CED" w:rsidRDefault="00AF0CED" w:rsidP="0083588E">
      <w:pPr>
        <w:pStyle w:val="ListParagraph"/>
        <w:numPr>
          <w:ilvl w:val="0"/>
          <w:numId w:val="20"/>
        </w:numPr>
        <w:rPr>
          <w:lang w:eastAsia="x-none"/>
        </w:rPr>
      </w:pPr>
      <w:r>
        <w:rPr>
          <w:lang w:eastAsia="x-none"/>
        </w:rPr>
        <w:t>Developing an effective vehicle for more structured community input</w:t>
      </w:r>
    </w:p>
    <w:p w14:paraId="2EBE322E" w14:textId="77777777" w:rsidR="00AF0CED" w:rsidRDefault="00AF0CED" w:rsidP="0083588E">
      <w:pPr>
        <w:pStyle w:val="ListParagraph"/>
        <w:numPr>
          <w:ilvl w:val="0"/>
          <w:numId w:val="20"/>
        </w:numPr>
        <w:rPr>
          <w:lang w:eastAsia="x-none"/>
        </w:rPr>
      </w:pPr>
      <w:r>
        <w:rPr>
          <w:lang w:eastAsia="x-none"/>
        </w:rPr>
        <w:t>Ensuring the FRC is informed of all efforts to engage hard to engage clients. This should be addressed as part of the development of a memorandum of understanding referred to previously.</w:t>
      </w:r>
    </w:p>
    <w:p w14:paraId="2EBE322F" w14:textId="77777777" w:rsidR="00AF0CED" w:rsidRDefault="00AF0CED" w:rsidP="00AF0CED">
      <w:pPr>
        <w:shd w:val="clear" w:color="auto" w:fill="DBE5F1" w:themeFill="accent1" w:themeFillTint="33"/>
        <w:spacing w:before="240"/>
      </w:pPr>
      <w:r>
        <w:rPr>
          <w:b/>
        </w:rPr>
        <w:t>I</w:t>
      </w:r>
      <w:r w:rsidRPr="003F34C8">
        <w:rPr>
          <w:b/>
        </w:rPr>
        <w:t xml:space="preserve">t is </w:t>
      </w:r>
      <w:r w:rsidR="00541E99">
        <w:rPr>
          <w:b/>
        </w:rPr>
        <w:t>proposed</w:t>
      </w:r>
      <w:r>
        <w:t xml:space="preserve"> that a joint agency/community approach to obtaining more structured community input into social services/primary health care that is unique to each community be established.</w:t>
      </w:r>
    </w:p>
    <w:p w14:paraId="2EBE3230" w14:textId="77777777" w:rsidR="00AF0CED" w:rsidRDefault="00AF0CED" w:rsidP="00AF0CED">
      <w:pPr>
        <w:rPr>
          <w:lang w:eastAsia="x-none"/>
        </w:rPr>
      </w:pPr>
      <w:r>
        <w:t xml:space="preserve">It is proposed that the interagency meetings in each community be the vehicle for ‘kick-starting’ this process. In establishing a joint approach a number of principles have been proposed in </w:t>
      </w:r>
      <w:r w:rsidRPr="003C3D25">
        <w:t xml:space="preserve">Section </w:t>
      </w:r>
      <w:r w:rsidRPr="003C3D25">
        <w:fldChar w:fldCharType="begin"/>
      </w:r>
      <w:r w:rsidRPr="003C3D25">
        <w:instrText xml:space="preserve"> REF _Ref387398011 \r \h </w:instrText>
      </w:r>
      <w:r>
        <w:instrText xml:space="preserve"> \* MERGEFORMAT </w:instrText>
      </w:r>
      <w:r w:rsidRPr="003C3D25">
        <w:fldChar w:fldCharType="separate"/>
      </w:r>
      <w:r w:rsidR="009A19EB">
        <w:t>3.7.5</w:t>
      </w:r>
      <w:r w:rsidRPr="003C3D25">
        <w:fldChar w:fldCharType="end"/>
      </w:r>
    </w:p>
    <w:p w14:paraId="2EBE3231" w14:textId="77777777" w:rsidR="00541E99" w:rsidRPr="00DA5CD4" w:rsidRDefault="00541E99" w:rsidP="00BC0A26">
      <w:pPr>
        <w:pStyle w:val="ES3"/>
      </w:pPr>
      <w:r w:rsidRPr="00DA5CD4">
        <w:t xml:space="preserve">Service access </w:t>
      </w:r>
    </w:p>
    <w:p w14:paraId="2EBE3232" w14:textId="77777777" w:rsidR="00682E62" w:rsidRDefault="00541E99" w:rsidP="00541E99">
      <w:r w:rsidRPr="00DA5CD4">
        <w:t xml:space="preserve">Based on analysis undertaken </w:t>
      </w:r>
      <w:r>
        <w:t>of</w:t>
      </w:r>
      <w:r w:rsidRPr="00DA5CD4">
        <w:t xml:space="preserve"> available activity and staffing information</w:t>
      </w:r>
      <w:r>
        <w:t>,</w:t>
      </w:r>
      <w:r w:rsidRPr="00DA5CD4">
        <w:t xml:space="preserve"> service access is greatly enhanced in WBC communities. </w:t>
      </w:r>
      <w:r w:rsidR="00682E62" w:rsidRPr="00D420ED">
        <w:t>Overall, 48% of the entire community, 57% of the adult community (&gt;19 years) and 26% of the population &lt;20 years are currently</w:t>
      </w:r>
      <w:r w:rsidR="00682E62">
        <w:t>,</w:t>
      </w:r>
      <w:r w:rsidR="00682E62" w:rsidRPr="00D420ED">
        <w:t xml:space="preserve"> or have been, WBC clients</w:t>
      </w:r>
      <w:r w:rsidR="00682E62">
        <w:t>.</w:t>
      </w:r>
    </w:p>
    <w:p w14:paraId="2EBE3233" w14:textId="77777777" w:rsidR="00B14D28" w:rsidRDefault="00541E99" w:rsidP="0083588E">
      <w:pPr>
        <w:numPr>
          <w:ilvl w:val="0"/>
          <w:numId w:val="11"/>
        </w:numPr>
      </w:pPr>
      <w:r w:rsidRPr="00DA5CD4">
        <w:t>Specifically</w:t>
      </w:r>
      <w:r>
        <w:t>,</w:t>
      </w:r>
      <w:r w:rsidRPr="00DA5CD4">
        <w:t xml:space="preserve"> the population per full-time equivalent (FTE) staff for WBC communities is much greater than non-WBC communities (i.e. more staff available to service the community) and following on from this, the percentage of the population that is a client of the RFDS operated WBC or SEWB service is significantly greater in the WBC communities compared to other communities</w:t>
      </w:r>
      <w:r w:rsidR="002235CF">
        <w:t xml:space="preserve"> </w:t>
      </w:r>
      <w:r w:rsidR="002235CF">
        <w:rPr>
          <w:lang w:eastAsia="x-none"/>
        </w:rPr>
        <w:t>(ranging from 20% at Aurukun to 34% at Coen</w:t>
      </w:r>
      <w:r w:rsidR="002235CF" w:rsidRPr="00C84E0B">
        <w:rPr>
          <w:lang w:eastAsia="x-none"/>
        </w:rPr>
        <w:t xml:space="preserve"> compared to other </w:t>
      </w:r>
      <w:r w:rsidR="002235CF">
        <w:rPr>
          <w:lang w:eastAsia="x-none"/>
        </w:rPr>
        <w:t>communities ranging from 2% at Napranum to 7% at</w:t>
      </w:r>
      <w:r w:rsidR="002235CF" w:rsidRPr="000745B1">
        <w:rPr>
          <w:lang w:eastAsia="x-none"/>
        </w:rPr>
        <w:t xml:space="preserve"> </w:t>
      </w:r>
      <w:r w:rsidR="002235CF">
        <w:rPr>
          <w:lang w:eastAsia="x-none"/>
        </w:rPr>
        <w:t>Kowanyama).</w:t>
      </w:r>
    </w:p>
    <w:p w14:paraId="2EBE3235" w14:textId="77777777" w:rsidR="002235CF" w:rsidRPr="00C84E0B" w:rsidRDefault="00B14D28" w:rsidP="00906B1F">
      <w:pPr>
        <w:pStyle w:val="ChLetter"/>
        <w:pageBreakBefore/>
      </w:pPr>
      <w:r>
        <w:lastRenderedPageBreak/>
        <w:t>4</w:t>
      </w:r>
    </w:p>
    <w:p w14:paraId="2EBE3236" w14:textId="77777777" w:rsidR="009B68AE" w:rsidRDefault="006675E8" w:rsidP="00F660CA">
      <w:pPr>
        <w:pStyle w:val="Heading1"/>
      </w:pPr>
      <w:bookmarkStart w:id="204" w:name="_Toc440038457"/>
      <w:r>
        <w:t>What Has Worked</w:t>
      </w:r>
      <w:bookmarkEnd w:id="204"/>
    </w:p>
    <w:p w14:paraId="2EBE3237" w14:textId="77777777" w:rsidR="00A41105" w:rsidRDefault="009B68AE" w:rsidP="009B68AE">
      <w:pPr>
        <w:rPr>
          <w:szCs w:val="20"/>
        </w:rPr>
      </w:pPr>
      <w:r w:rsidRPr="00492070">
        <w:rPr>
          <w:szCs w:val="20"/>
        </w:rPr>
        <w:t xml:space="preserve">This chapter </w:t>
      </w:r>
      <w:r w:rsidR="00A41105">
        <w:rPr>
          <w:szCs w:val="20"/>
        </w:rPr>
        <w:t xml:space="preserve">addresses the evaluation aim of identifying </w:t>
      </w:r>
      <w:r w:rsidRPr="00492070">
        <w:rPr>
          <w:szCs w:val="20"/>
        </w:rPr>
        <w:t>which prevention, intervention and treatment approaches are</w:t>
      </w:r>
      <w:r w:rsidR="00492070" w:rsidRPr="00492070">
        <w:rPr>
          <w:szCs w:val="20"/>
        </w:rPr>
        <w:t xml:space="preserve"> successful and the key factors (such as tools, delivery approaches governance arrangements etc.)</w:t>
      </w:r>
      <w:r w:rsidRPr="00492070">
        <w:rPr>
          <w:szCs w:val="20"/>
        </w:rPr>
        <w:t xml:space="preserve"> that are contributing to this success.</w:t>
      </w:r>
      <w:r w:rsidR="00492070" w:rsidRPr="00492070">
        <w:rPr>
          <w:szCs w:val="20"/>
        </w:rPr>
        <w:t xml:space="preserve"> </w:t>
      </w:r>
    </w:p>
    <w:p w14:paraId="2EBE3238" w14:textId="77777777" w:rsidR="008C2596" w:rsidRDefault="00492070" w:rsidP="008C2596">
      <w:pPr>
        <w:rPr>
          <w:lang w:eastAsia="en-AU"/>
        </w:rPr>
      </w:pPr>
      <w:r w:rsidRPr="00A41105">
        <w:rPr>
          <w:szCs w:val="20"/>
        </w:rPr>
        <w:t xml:space="preserve">The chapter also </w:t>
      </w:r>
      <w:r w:rsidR="00C9496C" w:rsidRPr="00A41105">
        <w:rPr>
          <w:szCs w:val="20"/>
        </w:rPr>
        <w:t>proposes</w:t>
      </w:r>
      <w:r w:rsidRPr="00A41105">
        <w:rPr>
          <w:szCs w:val="20"/>
        </w:rPr>
        <w:t xml:space="preserve"> </w:t>
      </w:r>
      <w:r w:rsidR="00FA115D" w:rsidRPr="00FA115D">
        <w:rPr>
          <w:rFonts w:eastAsia="Times New Roman" w:cs="Segoe UI"/>
          <w:color w:val="auto"/>
          <w:szCs w:val="20"/>
        </w:rPr>
        <w:t>opportunities for improvement made in the context of strengthening the current WBC approach as it is operated by the RFDS in the current WBC communities</w:t>
      </w:r>
      <w:r w:rsidR="00FA115D">
        <w:rPr>
          <w:rFonts w:eastAsia="Times New Roman" w:cs="Segoe UI"/>
          <w:color w:val="auto"/>
          <w:szCs w:val="20"/>
        </w:rPr>
        <w:t>.</w:t>
      </w:r>
      <w:r w:rsidR="00304A68">
        <w:rPr>
          <w:rFonts w:eastAsia="Times New Roman" w:cs="Segoe UI"/>
          <w:color w:val="auto"/>
          <w:szCs w:val="20"/>
        </w:rPr>
        <w:t xml:space="preserve"> </w:t>
      </w:r>
      <w:r w:rsidR="008C2596">
        <w:rPr>
          <w:lang w:eastAsia="en-AU"/>
        </w:rPr>
        <w:t>Each of these proposed opportunities for improvement will need to be considered in the context of the major recommendations presented in Chapter 5.</w:t>
      </w:r>
    </w:p>
    <w:p w14:paraId="2EBE3239" w14:textId="77777777" w:rsidR="00D57E5B" w:rsidRPr="00D57E5B" w:rsidRDefault="00D57E5B" w:rsidP="00433F05">
      <w:pPr>
        <w:pStyle w:val="Heading2"/>
        <w:numPr>
          <w:ilvl w:val="1"/>
          <w:numId w:val="52"/>
        </w:numPr>
        <w:ind w:hanging="796"/>
      </w:pPr>
      <w:bookmarkStart w:id="205" w:name="_Toc379474391"/>
      <w:bookmarkStart w:id="206" w:name="_Toc440038458"/>
      <w:r w:rsidRPr="00D57E5B">
        <w:t xml:space="preserve">What </w:t>
      </w:r>
      <w:r w:rsidR="00A11A12">
        <w:t xml:space="preserve">treatment approach </w:t>
      </w:r>
      <w:r w:rsidRPr="00D57E5B">
        <w:t>works at the individual level?</w:t>
      </w:r>
      <w:bookmarkEnd w:id="205"/>
      <w:bookmarkEnd w:id="206"/>
    </w:p>
    <w:p w14:paraId="2EBE323A" w14:textId="77777777" w:rsidR="00D57E5B" w:rsidRPr="00D57E5B" w:rsidRDefault="003265BD" w:rsidP="00D57E5B">
      <w:pPr>
        <w:rPr>
          <w:lang w:eastAsia="x-none"/>
        </w:rPr>
      </w:pPr>
      <w:r w:rsidRPr="003265BD">
        <w:rPr>
          <w:lang w:eastAsia="x-none"/>
        </w:rPr>
        <w:t>The evaluation has demonstrated some benefit for individuals.</w:t>
      </w:r>
      <w:r>
        <w:rPr>
          <w:lang w:eastAsia="x-none"/>
        </w:rPr>
        <w:t xml:space="preserve"> </w:t>
      </w:r>
      <w:r w:rsidR="00D57E5B" w:rsidRPr="00D57E5B">
        <w:rPr>
          <w:lang w:eastAsia="x-none"/>
        </w:rPr>
        <w:t>This section presents what clients, the community and staff felt had contributed most to individual change.</w:t>
      </w:r>
    </w:p>
    <w:p w14:paraId="2EBE323B" w14:textId="77777777" w:rsidR="00D57E5B" w:rsidRPr="00433F05" w:rsidRDefault="00D57E5B" w:rsidP="00433F05">
      <w:pPr>
        <w:pStyle w:val="Heading3"/>
      </w:pPr>
      <w:r w:rsidRPr="00433F05">
        <w:t>Client perspective</w:t>
      </w:r>
    </w:p>
    <w:p w14:paraId="2EBE323C" w14:textId="77777777" w:rsidR="00D57E5B" w:rsidRPr="00D57E5B" w:rsidRDefault="00D57E5B" w:rsidP="00D57E5B">
      <w:pPr>
        <w:rPr>
          <w:lang w:eastAsia="en-AU"/>
        </w:rPr>
      </w:pPr>
      <w:r w:rsidRPr="00D57E5B">
        <w:rPr>
          <w:lang w:eastAsia="en-AU"/>
        </w:rPr>
        <w:t xml:space="preserve">The key factors clients </w:t>
      </w:r>
      <w:r w:rsidR="006B47A4" w:rsidRPr="00D57E5B">
        <w:rPr>
          <w:lang w:eastAsia="en-AU"/>
        </w:rPr>
        <w:t xml:space="preserve">that </w:t>
      </w:r>
      <w:r w:rsidRPr="00D57E5B">
        <w:rPr>
          <w:lang w:eastAsia="en-AU"/>
        </w:rPr>
        <w:t xml:space="preserve">considered </w:t>
      </w:r>
      <w:r w:rsidR="006B47A4">
        <w:rPr>
          <w:lang w:eastAsia="en-AU"/>
        </w:rPr>
        <w:t xml:space="preserve">had contributed to changes </w:t>
      </w:r>
      <w:r w:rsidRPr="00D57E5B">
        <w:rPr>
          <w:lang w:eastAsia="en-AU"/>
        </w:rPr>
        <w:t>they had made (sometimes in combination) included:</w:t>
      </w:r>
    </w:p>
    <w:p w14:paraId="2EBE323D" w14:textId="77777777" w:rsidR="00D57E5B" w:rsidRPr="00D57E5B" w:rsidRDefault="00D57E5B" w:rsidP="0083588E">
      <w:pPr>
        <w:numPr>
          <w:ilvl w:val="0"/>
          <w:numId w:val="27"/>
        </w:numPr>
        <w:rPr>
          <w:lang w:eastAsia="en-AU"/>
        </w:rPr>
      </w:pPr>
      <w:r w:rsidRPr="00702884">
        <w:rPr>
          <w:b/>
          <w:color w:val="1F497D" w:themeColor="text2"/>
          <w:lang w:eastAsia="en-AU"/>
        </w:rPr>
        <w:t>1:1 yarning/counselling</w:t>
      </w:r>
      <w:r w:rsidRPr="00702884">
        <w:rPr>
          <w:color w:val="1F497D" w:themeColor="text2"/>
          <w:lang w:eastAsia="en-AU"/>
        </w:rPr>
        <w:t xml:space="preserve">. </w:t>
      </w:r>
      <w:r w:rsidRPr="00D57E5B">
        <w:rPr>
          <w:lang w:eastAsia="en-AU"/>
        </w:rPr>
        <w:t>Overall 89% of all clients we interviewed and 100% of clients who had received 1:1 counselling stated that these services had contributed to the changes they had made. Of these clients, 48% specifically mentioned the listening aspects of counselling as being helpful. This is also in keeping with clients and community members using the WBC as a ‘drop-in’ often simply to escape their environment</w:t>
      </w:r>
      <w:r w:rsidR="006B47A4">
        <w:rPr>
          <w:lang w:eastAsia="en-AU"/>
        </w:rPr>
        <w:t>, seek safety, de-stress</w:t>
      </w:r>
      <w:r w:rsidRPr="00D57E5B">
        <w:rPr>
          <w:lang w:eastAsia="en-AU"/>
        </w:rPr>
        <w:t xml:space="preserve"> and</w:t>
      </w:r>
      <w:r w:rsidR="006B47A4">
        <w:rPr>
          <w:lang w:eastAsia="en-AU"/>
        </w:rPr>
        <w:t>/or</w:t>
      </w:r>
      <w:r w:rsidRPr="00D57E5B">
        <w:rPr>
          <w:lang w:eastAsia="en-AU"/>
        </w:rPr>
        <w:t xml:space="preserve"> ‘vent’.</w:t>
      </w:r>
    </w:p>
    <w:p w14:paraId="2EBE323E" w14:textId="77777777" w:rsidR="00D57E5B" w:rsidRPr="00D57E5B" w:rsidRDefault="00D57E5B" w:rsidP="0083588E">
      <w:pPr>
        <w:numPr>
          <w:ilvl w:val="0"/>
          <w:numId w:val="27"/>
        </w:numPr>
        <w:rPr>
          <w:lang w:eastAsia="en-AU"/>
        </w:rPr>
      </w:pPr>
      <w:r w:rsidRPr="00702884">
        <w:rPr>
          <w:b/>
          <w:color w:val="1F497D" w:themeColor="text2"/>
          <w:lang w:eastAsia="en-AU"/>
        </w:rPr>
        <w:t>Group sessions</w:t>
      </w:r>
      <w:r w:rsidRPr="00D57E5B">
        <w:rPr>
          <w:lang w:eastAsia="en-AU"/>
        </w:rPr>
        <w:t>.</w:t>
      </w:r>
      <w:r w:rsidRPr="00D57E5B">
        <w:rPr>
          <w:lang w:eastAsia="x-none"/>
        </w:rPr>
        <w:t xml:space="preserve"> </w:t>
      </w:r>
      <w:r w:rsidRPr="00D57E5B">
        <w:rPr>
          <w:lang w:eastAsia="en-AU"/>
        </w:rPr>
        <w:t>Overall 28% or 13 of all clients we interviewed and 50% of clients who had had participated in groups stated that these services had contributed to the changes they had made</w:t>
      </w:r>
      <w:r w:rsidR="002538A3">
        <w:rPr>
          <w:lang w:eastAsia="en-AU"/>
        </w:rPr>
        <w:t>.</w:t>
      </w:r>
    </w:p>
    <w:p w14:paraId="2EBE323F" w14:textId="77777777" w:rsidR="00D57E5B" w:rsidRPr="00D57E5B" w:rsidRDefault="00D57E5B" w:rsidP="0083588E">
      <w:pPr>
        <w:numPr>
          <w:ilvl w:val="0"/>
          <w:numId w:val="27"/>
        </w:numPr>
        <w:rPr>
          <w:lang w:eastAsia="en-AU"/>
        </w:rPr>
      </w:pPr>
      <w:r w:rsidRPr="00702884">
        <w:rPr>
          <w:b/>
          <w:color w:val="1F497D" w:themeColor="text2"/>
          <w:lang w:eastAsia="en-AU"/>
        </w:rPr>
        <w:t>Drop in.</w:t>
      </w:r>
      <w:r w:rsidRPr="00702884">
        <w:rPr>
          <w:color w:val="1F497D" w:themeColor="text2"/>
          <w:lang w:eastAsia="en-AU"/>
        </w:rPr>
        <w:t xml:space="preserve"> </w:t>
      </w:r>
      <w:r w:rsidRPr="00D57E5B">
        <w:rPr>
          <w:lang w:eastAsia="en-AU"/>
        </w:rPr>
        <w:t>Of the 47 clients interviewed who were self-referred (n= 22), 50% indicated they highly valued drop-in services. Overall 32% of all clients interviewed and 88% of clients who had used the WBC as a ‘drop-in’ stated that these services had contributed to the changes they had made</w:t>
      </w:r>
      <w:r w:rsidR="002538A3">
        <w:rPr>
          <w:lang w:eastAsia="en-AU"/>
        </w:rPr>
        <w:t>.</w:t>
      </w:r>
    </w:p>
    <w:p w14:paraId="2EBE3240" w14:textId="77777777" w:rsidR="00D57E5B" w:rsidRPr="00D57E5B" w:rsidRDefault="00D57E5B" w:rsidP="0083588E">
      <w:pPr>
        <w:numPr>
          <w:ilvl w:val="0"/>
          <w:numId w:val="27"/>
        </w:numPr>
        <w:rPr>
          <w:lang w:eastAsia="en-AU"/>
        </w:rPr>
      </w:pPr>
      <w:r w:rsidRPr="00702884">
        <w:rPr>
          <w:b/>
          <w:color w:val="1F497D" w:themeColor="text2"/>
          <w:lang w:eastAsia="en-AU"/>
        </w:rPr>
        <w:t>Own determination</w:t>
      </w:r>
      <w:r w:rsidRPr="00702884">
        <w:rPr>
          <w:color w:val="1F497D" w:themeColor="text2"/>
          <w:lang w:eastAsia="en-AU"/>
        </w:rPr>
        <w:t xml:space="preserve">. </w:t>
      </w:r>
      <w:r w:rsidRPr="00D57E5B">
        <w:rPr>
          <w:lang w:eastAsia="en-AU"/>
        </w:rPr>
        <w:t>Eight clients (17%) mentioned their own determination although often driven by extrinsic factors (e.g. FRC, child safety, probation and parole, risk of jail).</w:t>
      </w:r>
    </w:p>
    <w:p w14:paraId="2EBE3241" w14:textId="77777777" w:rsidR="00D57E5B" w:rsidRPr="00D57E5B" w:rsidRDefault="00D57E5B" w:rsidP="00D57E5B">
      <w:pPr>
        <w:rPr>
          <w:lang w:eastAsia="en-AU"/>
        </w:rPr>
      </w:pPr>
      <w:r w:rsidRPr="00D57E5B">
        <w:rPr>
          <w:lang w:eastAsia="en-AU"/>
        </w:rPr>
        <w:t>Other things clients listed as being the most helpful included support and advocacy with other agencies (6 clients or 13%).</w:t>
      </w:r>
    </w:p>
    <w:p w14:paraId="2EBE3242" w14:textId="77777777" w:rsidR="00D57E5B" w:rsidRPr="00D57E5B" w:rsidRDefault="00D57E5B" w:rsidP="00D57E5B">
      <w:pPr>
        <w:rPr>
          <w:color w:val="auto"/>
          <w:lang w:eastAsia="en-AU"/>
        </w:rPr>
      </w:pPr>
      <w:r w:rsidRPr="00D57E5B">
        <w:rPr>
          <w:color w:val="auto"/>
          <w:lang w:eastAsia="en-AU"/>
        </w:rPr>
        <w:t xml:space="preserve">Looking beyond the WBC the </w:t>
      </w:r>
      <w:r w:rsidRPr="00D57E5B">
        <w:rPr>
          <w:i/>
          <w:color w:val="auto"/>
          <w:lang w:eastAsia="en-AU"/>
        </w:rPr>
        <w:t>Cape York Welfare Reform evaluation</w:t>
      </w:r>
      <w:r w:rsidRPr="00D57E5B">
        <w:rPr>
          <w:color w:val="auto"/>
          <w:lang w:eastAsia="en-AU"/>
        </w:rPr>
        <w:t xml:space="preserve"> reported that employment status and perception of strong leadership changes over the past three years were the strongest drivers of positive individual change. This was followed by whether the person had followed up on talks with the </w:t>
      </w:r>
      <w:r w:rsidRPr="00D57E5B">
        <w:rPr>
          <w:color w:val="auto"/>
          <w:lang w:eastAsia="en-AU"/>
        </w:rPr>
        <w:lastRenderedPageBreak/>
        <w:t>FRC, or used the WBC. Members of households with 5–10 people and those with higher levels of education also had a high prevalence of positive individual change.</w:t>
      </w:r>
      <w:r w:rsidRPr="00D57E5B">
        <w:rPr>
          <w:color w:val="auto"/>
          <w:vertAlign w:val="superscript"/>
          <w:lang w:eastAsia="en-AU"/>
        </w:rPr>
        <w:footnoteReference w:id="42"/>
      </w:r>
    </w:p>
    <w:p w14:paraId="2EBE3243" w14:textId="77777777" w:rsidR="00D57E5B" w:rsidRDefault="00D57E5B" w:rsidP="00BC0A26">
      <w:pPr>
        <w:pStyle w:val="Heading3"/>
        <w:rPr>
          <w:lang w:val="en-AU"/>
        </w:rPr>
      </w:pPr>
      <w:r>
        <w:t xml:space="preserve">Community perspective </w:t>
      </w:r>
    </w:p>
    <w:p w14:paraId="2EBE3244" w14:textId="77777777" w:rsidR="002538A3" w:rsidRDefault="00D57E5B" w:rsidP="00D57E5B">
      <w:pPr>
        <w:rPr>
          <w:lang w:eastAsia="en-AU"/>
        </w:rPr>
      </w:pPr>
      <w:r>
        <w:rPr>
          <w:lang w:eastAsia="en-AU"/>
        </w:rPr>
        <w:t>Relevant community members were asked what part of the service they found most helpful (</w:t>
      </w:r>
      <w:r w:rsidR="00576DBB">
        <w:rPr>
          <w:lang w:eastAsia="en-AU"/>
        </w:rPr>
        <w:t xml:space="preserve">note </w:t>
      </w:r>
      <w:r>
        <w:rPr>
          <w:lang w:eastAsia="en-AU"/>
        </w:rPr>
        <w:t>respondents could provide more than one response)</w:t>
      </w:r>
      <w:r w:rsidR="00C16BB5">
        <w:rPr>
          <w:lang w:eastAsia="en-AU"/>
        </w:rPr>
        <w:t xml:space="preserve"> and the responses are presented in </w:t>
      </w:r>
      <w:r w:rsidR="00C16BB5">
        <w:rPr>
          <w:lang w:eastAsia="en-AU"/>
        </w:rPr>
        <w:fldChar w:fldCharType="begin"/>
      </w:r>
      <w:r w:rsidR="00C16BB5">
        <w:rPr>
          <w:lang w:eastAsia="en-AU"/>
        </w:rPr>
        <w:instrText xml:space="preserve"> REF _Ref386966209 \h </w:instrText>
      </w:r>
      <w:r w:rsidR="00C16BB5">
        <w:rPr>
          <w:lang w:eastAsia="en-AU"/>
        </w:rPr>
      </w:r>
      <w:r w:rsidR="00C16BB5">
        <w:rPr>
          <w:lang w:eastAsia="en-AU"/>
        </w:rPr>
        <w:fldChar w:fldCharType="separate"/>
      </w:r>
      <w:r w:rsidR="009A19EB">
        <w:t xml:space="preserve">Figure </w:t>
      </w:r>
      <w:r w:rsidR="009A19EB">
        <w:rPr>
          <w:noProof/>
        </w:rPr>
        <w:t>4</w:t>
      </w:r>
      <w:r w:rsidR="009A19EB">
        <w:t>.</w:t>
      </w:r>
      <w:r w:rsidR="009A19EB">
        <w:rPr>
          <w:noProof/>
        </w:rPr>
        <w:t>1</w:t>
      </w:r>
      <w:r w:rsidR="00C16BB5">
        <w:rPr>
          <w:lang w:eastAsia="en-AU"/>
        </w:rPr>
        <w:fldChar w:fldCharType="end"/>
      </w:r>
      <w:r w:rsidR="00C16BB5">
        <w:rPr>
          <w:lang w:eastAsia="en-AU"/>
        </w:rPr>
        <w:t xml:space="preserve"> and </w:t>
      </w:r>
      <w:r w:rsidR="00C16BB5">
        <w:rPr>
          <w:lang w:eastAsia="en-AU"/>
        </w:rPr>
        <w:fldChar w:fldCharType="begin"/>
      </w:r>
      <w:r w:rsidR="00C16BB5">
        <w:rPr>
          <w:lang w:eastAsia="en-AU"/>
        </w:rPr>
        <w:instrText xml:space="preserve"> REF _Ref386966222 \h </w:instrText>
      </w:r>
      <w:r w:rsidR="00C16BB5">
        <w:rPr>
          <w:lang w:eastAsia="en-AU"/>
        </w:rPr>
      </w:r>
      <w:r w:rsidR="00C16BB5">
        <w:rPr>
          <w:lang w:eastAsia="en-AU"/>
        </w:rPr>
        <w:fldChar w:fldCharType="separate"/>
      </w:r>
      <w:r w:rsidR="009A19EB">
        <w:t xml:space="preserve">Figure </w:t>
      </w:r>
      <w:r w:rsidR="009A19EB">
        <w:rPr>
          <w:noProof/>
        </w:rPr>
        <w:t>4</w:t>
      </w:r>
      <w:r w:rsidR="009A19EB">
        <w:t>.</w:t>
      </w:r>
      <w:r w:rsidR="009A19EB">
        <w:rPr>
          <w:noProof/>
        </w:rPr>
        <w:t>2</w:t>
      </w:r>
      <w:r w:rsidR="00C16BB5">
        <w:rPr>
          <w:lang w:eastAsia="en-AU"/>
        </w:rPr>
        <w:fldChar w:fldCharType="end"/>
      </w:r>
      <w:r>
        <w:rPr>
          <w:lang w:eastAsia="en-AU"/>
        </w:rPr>
        <w:t xml:space="preserve">. Counselling/listening/yarning </w:t>
      </w:r>
      <w:r w:rsidR="003265BD">
        <w:rPr>
          <w:lang w:eastAsia="en-AU"/>
        </w:rPr>
        <w:t>was the most common response (72</w:t>
      </w:r>
      <w:r>
        <w:rPr>
          <w:lang w:eastAsia="en-AU"/>
        </w:rPr>
        <w:t>%</w:t>
      </w:r>
      <w:r w:rsidR="003265BD">
        <w:rPr>
          <w:lang w:eastAsia="en-AU"/>
        </w:rPr>
        <w:t>, 252 respondents</w:t>
      </w:r>
      <w:r>
        <w:rPr>
          <w:lang w:eastAsia="en-AU"/>
        </w:rPr>
        <w:t xml:space="preserve">), followed by </w:t>
      </w:r>
      <w:r w:rsidR="003265BD">
        <w:rPr>
          <w:lang w:eastAsia="en-AU"/>
        </w:rPr>
        <w:t>d</w:t>
      </w:r>
      <w:r w:rsidR="003265BD" w:rsidRPr="003265BD">
        <w:rPr>
          <w:lang w:eastAsia="en-AU"/>
        </w:rPr>
        <w:t>rop in and safe place (</w:t>
      </w:r>
      <w:r w:rsidR="003265BD">
        <w:rPr>
          <w:lang w:eastAsia="en-AU"/>
        </w:rPr>
        <w:t>74</w:t>
      </w:r>
      <w:r w:rsidR="003265BD" w:rsidRPr="003265BD">
        <w:rPr>
          <w:lang w:eastAsia="en-AU"/>
        </w:rPr>
        <w:t>% combined)</w:t>
      </w:r>
      <w:r w:rsidR="002538A3">
        <w:rPr>
          <w:lang w:eastAsia="en-AU"/>
        </w:rPr>
        <w:t>,</w:t>
      </w:r>
      <w:r w:rsidR="003265BD">
        <w:rPr>
          <w:lang w:eastAsia="en-AU"/>
        </w:rPr>
        <w:t xml:space="preserve"> then </w:t>
      </w:r>
      <w:r>
        <w:rPr>
          <w:lang w:eastAsia="en-AU"/>
        </w:rPr>
        <w:t>groups (</w:t>
      </w:r>
      <w:r w:rsidR="003265BD">
        <w:rPr>
          <w:lang w:eastAsia="en-AU"/>
        </w:rPr>
        <w:t>50%)</w:t>
      </w:r>
      <w:r>
        <w:rPr>
          <w:lang w:eastAsia="en-AU"/>
        </w:rPr>
        <w:t xml:space="preserve">. </w:t>
      </w:r>
      <w:r w:rsidR="003D5E95">
        <w:rPr>
          <w:lang w:eastAsia="en-AU"/>
        </w:rPr>
        <w:t xml:space="preserve"> </w:t>
      </w:r>
      <w:r>
        <w:rPr>
          <w:lang w:eastAsia="en-AU"/>
        </w:rPr>
        <w:t>Other services mentioned included: help with Centrelink</w:t>
      </w:r>
      <w:r w:rsidR="003D5E95">
        <w:rPr>
          <w:lang w:eastAsia="en-AU"/>
        </w:rPr>
        <w:t xml:space="preserve"> and telephone availability</w:t>
      </w:r>
      <w:r>
        <w:rPr>
          <w:lang w:eastAsia="en-AU"/>
        </w:rPr>
        <w:t xml:space="preserve">, </w:t>
      </w:r>
      <w:r w:rsidR="002538A3">
        <w:rPr>
          <w:lang w:eastAsia="en-AU"/>
        </w:rPr>
        <w:t xml:space="preserve">advice, </w:t>
      </w:r>
      <w:r w:rsidR="003D5E95">
        <w:rPr>
          <w:lang w:eastAsia="en-AU"/>
        </w:rPr>
        <w:t>advocacy and support in relation to court matters</w:t>
      </w:r>
      <w:r w:rsidR="003A28D9">
        <w:rPr>
          <w:lang w:eastAsia="en-AU"/>
        </w:rPr>
        <w:t xml:space="preserve">. </w:t>
      </w:r>
    </w:p>
    <w:p w14:paraId="2EBE3245" w14:textId="77777777" w:rsidR="00D57E5B" w:rsidRDefault="003D5E95" w:rsidP="00D57E5B">
      <w:pPr>
        <w:rPr>
          <w:lang w:eastAsia="en-AU"/>
        </w:rPr>
      </w:pPr>
      <w:r>
        <w:rPr>
          <w:lang w:eastAsia="en-AU"/>
        </w:rPr>
        <w:t xml:space="preserve">The results were relatively consistent between WBCs. </w:t>
      </w:r>
      <w:r w:rsidR="00D57E5B">
        <w:rPr>
          <w:lang w:eastAsia="en-AU"/>
        </w:rPr>
        <w:t xml:space="preserve">Of note </w:t>
      </w:r>
      <w:r w:rsidR="00C16BB5">
        <w:rPr>
          <w:lang w:eastAsia="en-AU"/>
        </w:rPr>
        <w:t>is the</w:t>
      </w:r>
      <w:r>
        <w:rPr>
          <w:lang w:eastAsia="en-AU"/>
        </w:rPr>
        <w:t xml:space="preserve"> smaller percentage of</w:t>
      </w:r>
      <w:r w:rsidR="00D57E5B">
        <w:rPr>
          <w:lang w:eastAsia="en-AU"/>
        </w:rPr>
        <w:t xml:space="preserve"> Hopevale respondents </w:t>
      </w:r>
      <w:r w:rsidR="00C16BB5">
        <w:rPr>
          <w:lang w:eastAsia="en-AU"/>
        </w:rPr>
        <w:t xml:space="preserve">who </w:t>
      </w:r>
      <w:r w:rsidR="00D57E5B">
        <w:rPr>
          <w:lang w:eastAsia="en-AU"/>
        </w:rPr>
        <w:t>rated ‘</w:t>
      </w:r>
      <w:r w:rsidR="00C16BB5">
        <w:rPr>
          <w:lang w:eastAsia="en-AU"/>
        </w:rPr>
        <w:t>drop-in</w:t>
      </w:r>
      <w:r w:rsidR="00D57E5B">
        <w:rPr>
          <w:lang w:eastAsia="en-AU"/>
        </w:rPr>
        <w:t xml:space="preserve">‘ as a most useful service aspect reflecting that this centre is not used </w:t>
      </w:r>
      <w:r w:rsidR="002538A3">
        <w:rPr>
          <w:lang w:eastAsia="en-AU"/>
        </w:rPr>
        <w:t xml:space="preserve">as frequently </w:t>
      </w:r>
      <w:r w:rsidR="00D57E5B">
        <w:rPr>
          <w:lang w:eastAsia="en-AU"/>
        </w:rPr>
        <w:t>for this type of service</w:t>
      </w:r>
      <w:r w:rsidR="003A28D9">
        <w:rPr>
          <w:lang w:eastAsia="en-AU"/>
        </w:rPr>
        <w:t xml:space="preserve">, and the relatively high percentage of respondents at Coen rating groups as a most useful service </w:t>
      </w:r>
      <w:r w:rsidR="006B47A4">
        <w:rPr>
          <w:lang w:eastAsia="en-AU"/>
        </w:rPr>
        <w:t>likely</w:t>
      </w:r>
      <w:r w:rsidR="002538A3">
        <w:rPr>
          <w:lang w:eastAsia="en-AU"/>
        </w:rPr>
        <w:t xml:space="preserve"> </w:t>
      </w:r>
      <w:r w:rsidR="003A28D9">
        <w:rPr>
          <w:lang w:eastAsia="en-AU"/>
        </w:rPr>
        <w:t xml:space="preserve">reflecting </w:t>
      </w:r>
      <w:r w:rsidR="002538A3">
        <w:rPr>
          <w:lang w:eastAsia="en-AU"/>
        </w:rPr>
        <w:t xml:space="preserve">the maturity </w:t>
      </w:r>
      <w:r w:rsidR="006B47A4">
        <w:rPr>
          <w:lang w:eastAsia="en-AU"/>
        </w:rPr>
        <w:t xml:space="preserve">and consistency </w:t>
      </w:r>
      <w:r w:rsidR="002538A3">
        <w:rPr>
          <w:lang w:eastAsia="en-AU"/>
        </w:rPr>
        <w:t>of some of groups in that location</w:t>
      </w:r>
      <w:r w:rsidR="00D57E5B">
        <w:rPr>
          <w:lang w:eastAsia="en-AU"/>
        </w:rPr>
        <w:t xml:space="preserve"> (refer to</w:t>
      </w:r>
      <w:r w:rsidR="00C16BB5">
        <w:rPr>
          <w:lang w:eastAsia="en-AU"/>
        </w:rPr>
        <w:t xml:space="preserve"> </w:t>
      </w:r>
      <w:r w:rsidR="00C16BB5">
        <w:rPr>
          <w:lang w:eastAsia="en-AU"/>
        </w:rPr>
        <w:fldChar w:fldCharType="begin"/>
      </w:r>
      <w:r w:rsidR="00C16BB5">
        <w:rPr>
          <w:lang w:eastAsia="en-AU"/>
        </w:rPr>
        <w:instrText xml:space="preserve"> REF _Ref386966222 \h </w:instrText>
      </w:r>
      <w:r w:rsidR="00C16BB5">
        <w:rPr>
          <w:lang w:eastAsia="en-AU"/>
        </w:rPr>
      </w:r>
      <w:r w:rsidR="00C16BB5">
        <w:rPr>
          <w:lang w:eastAsia="en-AU"/>
        </w:rPr>
        <w:fldChar w:fldCharType="separate"/>
      </w:r>
      <w:r w:rsidR="009A19EB">
        <w:t xml:space="preserve">Figure </w:t>
      </w:r>
      <w:r w:rsidR="009A19EB">
        <w:rPr>
          <w:noProof/>
        </w:rPr>
        <w:t>4</w:t>
      </w:r>
      <w:r w:rsidR="009A19EB">
        <w:t>.</w:t>
      </w:r>
      <w:r w:rsidR="009A19EB">
        <w:rPr>
          <w:noProof/>
        </w:rPr>
        <w:t>2</w:t>
      </w:r>
      <w:r w:rsidR="00C16BB5">
        <w:rPr>
          <w:lang w:eastAsia="en-AU"/>
        </w:rPr>
        <w:fldChar w:fldCharType="end"/>
      </w:r>
      <w:r w:rsidR="00D57E5B">
        <w:rPr>
          <w:lang w:eastAsia="en-AU"/>
        </w:rPr>
        <w:t>).</w:t>
      </w:r>
    </w:p>
    <w:p w14:paraId="2EBE3246" w14:textId="70974A3E" w:rsidR="00D57E5B" w:rsidRDefault="00AA7DC9" w:rsidP="00AA7DC9">
      <w:pPr>
        <w:pStyle w:val="Caption"/>
        <w:rPr>
          <w:lang w:eastAsia="en-AU"/>
        </w:rPr>
      </w:pPr>
      <w:bookmarkStart w:id="207" w:name="_Ref386966209"/>
      <w:bookmarkStart w:id="208" w:name="_Toc392683540"/>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1</w:t>
      </w:r>
      <w:r>
        <w:fldChar w:fldCharType="end"/>
      </w:r>
      <w:bookmarkEnd w:id="207"/>
      <w:r w:rsidR="00D57E5B">
        <w:t>: Services community members found must helpful (n=351)</w:t>
      </w:r>
      <w:bookmarkEnd w:id="208"/>
    </w:p>
    <w:p w14:paraId="2EBE3247" w14:textId="77777777" w:rsidR="004C5724" w:rsidRDefault="00D57E5B" w:rsidP="00D57E5B">
      <w:pPr>
        <w:jc w:val="center"/>
      </w:pPr>
      <w:r>
        <w:rPr>
          <w:noProof/>
          <w:lang w:eastAsia="en-AU"/>
        </w:rPr>
        <w:drawing>
          <wp:inline distT="0" distB="0" distL="0" distR="0" wp14:anchorId="2EBE334D" wp14:editId="2EBE334E">
            <wp:extent cx="4285753" cy="2425147"/>
            <wp:effectExtent l="0" t="0" r="19685" b="13335"/>
            <wp:docPr id="14" name="Chart 14" descr="Figure 4.1 is a pie graph that shows the services that community members found most helpful.  'Counselling/listening' was the most common answer (72%), followed by 'Groups' (50%), 'Cup of tea/drop in' (46%), 'Safe place' (28%) and 'Other support (21%). " title="Figure 4.1: Services community members found most helpful (n=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BE3248" w14:textId="448F0FF6" w:rsidR="003D5E95" w:rsidRDefault="00AA7DC9" w:rsidP="00AA7DC9">
      <w:pPr>
        <w:pStyle w:val="Caption"/>
      </w:pPr>
      <w:bookmarkStart w:id="209" w:name="_Ref386966222"/>
      <w:bookmarkStart w:id="210" w:name="_Toc392683541"/>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2</w:t>
      </w:r>
      <w:r>
        <w:fldChar w:fldCharType="end"/>
      </w:r>
      <w:bookmarkEnd w:id="209"/>
      <w:r w:rsidR="003D5E95">
        <w:t>: Services community members found most useful by WBC</w:t>
      </w:r>
      <w:bookmarkEnd w:id="210"/>
    </w:p>
    <w:p w14:paraId="2EBE3249" w14:textId="77777777" w:rsidR="00C1158D" w:rsidRPr="00C1158D" w:rsidRDefault="003D5E95" w:rsidP="00E86B26">
      <w:pPr>
        <w:jc w:val="center"/>
      </w:pPr>
      <w:r>
        <w:rPr>
          <w:noProof/>
          <w:lang w:eastAsia="en-AU"/>
        </w:rPr>
        <w:drawing>
          <wp:inline distT="0" distB="0" distL="0" distR="0" wp14:anchorId="2EBE334F" wp14:editId="2EBE3350">
            <wp:extent cx="4158700" cy="2289849"/>
            <wp:effectExtent l="0" t="0" r="0" b="0"/>
            <wp:docPr id="16" name="Picture 16" descr="Figure 4.2 is a column graph that shows the services that the community members found most useful in the different WBCs.  The x-axis containts the services listed in the order of 'Counselling/listening', 'Safe place', 'Cup of tea/drop in', 'Groups' and 'Other support'.  The data for each WBC is provided in service groupings so that the value for each WBC is provided for each service.  Data for Aurukun is provided in the first column of each group, Coen in the second, Hopevale in the third and Mossman Gorge in the fourth.  The y-axis provides percentage values from 0% to 90%. " title="Figure 4.2: Services community members found most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7176" cy="2289010"/>
                    </a:xfrm>
                    <a:prstGeom prst="rect">
                      <a:avLst/>
                    </a:prstGeom>
                    <a:noFill/>
                  </pic:spPr>
                </pic:pic>
              </a:graphicData>
            </a:graphic>
          </wp:inline>
        </w:drawing>
      </w:r>
    </w:p>
    <w:p w14:paraId="2EBE324A" w14:textId="77777777" w:rsidR="00A11A12" w:rsidRDefault="00D862A5" w:rsidP="00BC0A26">
      <w:pPr>
        <w:pStyle w:val="Heading3"/>
      </w:pPr>
      <w:r>
        <w:lastRenderedPageBreak/>
        <w:t>Summary</w:t>
      </w:r>
    </w:p>
    <w:p w14:paraId="2EBE324B" w14:textId="77777777" w:rsidR="009B68AE" w:rsidRPr="00686608" w:rsidRDefault="009B68AE" w:rsidP="009B68AE">
      <w:pPr>
        <w:rPr>
          <w:color w:val="auto"/>
          <w:lang w:eastAsia="x-none"/>
        </w:rPr>
      </w:pPr>
      <w:r w:rsidRPr="00686608">
        <w:rPr>
          <w:color w:val="auto"/>
          <w:lang w:eastAsia="x-none"/>
        </w:rPr>
        <w:t>The benefit</w:t>
      </w:r>
      <w:r w:rsidR="00A11A12">
        <w:rPr>
          <w:color w:val="auto"/>
          <w:lang w:eastAsia="x-none"/>
        </w:rPr>
        <w:t xml:space="preserve"> to individuals</w:t>
      </w:r>
      <w:r w:rsidRPr="00686608">
        <w:rPr>
          <w:color w:val="auto"/>
          <w:lang w:eastAsia="x-none"/>
        </w:rPr>
        <w:t xml:space="preserve"> is derived from various service components (either separately or in combination) which is different for different clients. </w:t>
      </w:r>
      <w:r w:rsidR="00C43161">
        <w:rPr>
          <w:color w:val="auto"/>
          <w:lang w:eastAsia="x-none"/>
        </w:rPr>
        <w:fldChar w:fldCharType="begin"/>
      </w:r>
      <w:r w:rsidR="00C43161">
        <w:rPr>
          <w:color w:val="auto"/>
          <w:lang w:eastAsia="x-none"/>
        </w:rPr>
        <w:instrText xml:space="preserve"> REF _Ref387394374 \h </w:instrText>
      </w:r>
      <w:r w:rsidR="00C43161">
        <w:rPr>
          <w:color w:val="auto"/>
          <w:lang w:eastAsia="x-none"/>
        </w:rPr>
      </w:r>
      <w:r w:rsidR="00C43161">
        <w:rPr>
          <w:color w:val="auto"/>
          <w:lang w:eastAsia="x-none"/>
        </w:rPr>
        <w:fldChar w:fldCharType="separate"/>
      </w:r>
      <w:r w:rsidR="009A19EB">
        <w:t xml:space="preserve">Table </w:t>
      </w:r>
      <w:r w:rsidR="009A19EB">
        <w:rPr>
          <w:noProof/>
        </w:rPr>
        <w:t>4</w:t>
      </w:r>
      <w:r w:rsidR="009A19EB">
        <w:t>.</w:t>
      </w:r>
      <w:r w:rsidR="009A19EB">
        <w:rPr>
          <w:noProof/>
        </w:rPr>
        <w:t>1</w:t>
      </w:r>
      <w:r w:rsidR="00C43161">
        <w:rPr>
          <w:color w:val="auto"/>
          <w:lang w:eastAsia="x-none"/>
        </w:rPr>
        <w:fldChar w:fldCharType="end"/>
      </w:r>
      <w:r w:rsidRPr="00686608">
        <w:rPr>
          <w:color w:val="auto"/>
          <w:lang w:eastAsia="x-none"/>
        </w:rPr>
        <w:t xml:space="preserve"> sets out a comparison of what clients, community and staff consider contribute to making change. Counselling is ranked the most highly in terms of helping people, followed by the safe place/drop in role with groups being third most important.</w:t>
      </w:r>
      <w:r w:rsidR="006B47A4">
        <w:rPr>
          <w:color w:val="auto"/>
          <w:lang w:eastAsia="x-none"/>
        </w:rPr>
        <w:t xml:space="preserve"> Whilst ranking and differentiating between service types, it was very evident from our consultations with all stakeholders that the combination of components is what makes the WBC unique and beneficial.</w:t>
      </w:r>
    </w:p>
    <w:p w14:paraId="2EBE324C" w14:textId="7495B5DB" w:rsidR="006F28F3" w:rsidRPr="006F28F3" w:rsidRDefault="00AA7DC9" w:rsidP="00AA7DC9">
      <w:pPr>
        <w:pStyle w:val="Caption"/>
      </w:pPr>
      <w:bookmarkStart w:id="211" w:name="_Toc392686443"/>
      <w:bookmarkStart w:id="212" w:name="_Ref387394374"/>
      <w:r>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1</w:t>
      </w:r>
      <w:r>
        <w:fldChar w:fldCharType="end"/>
      </w:r>
      <w:bookmarkEnd w:id="212"/>
      <w:r w:rsidR="006F28F3">
        <w:t>: Comparison of what works</w:t>
      </w:r>
      <w:bookmarkEnd w:id="211"/>
    </w:p>
    <w:tbl>
      <w:tblPr>
        <w:tblStyle w:val="Hoi2"/>
        <w:tblW w:w="4880" w:type="dxa"/>
        <w:jc w:val="center"/>
        <w:tblLook w:val="04A0" w:firstRow="1" w:lastRow="0" w:firstColumn="1" w:lastColumn="0" w:noHBand="0" w:noVBand="1"/>
        <w:tblCaption w:val="Table 4.1: Comparison of what works"/>
        <w:tblDescription w:val="Table 4.1 presents data on what clients, the community and WBC staff view as what elements of the WBC work.  The first column lists the services and the following three columns contains the data for the Clients, Community and Staff respectively.  The data for Clients and Community are presented as percentages of people that chose that service as one that worked, and the data for Staff is presented as a ranking from first to third. "/>
      </w:tblPr>
      <w:tblGrid>
        <w:gridCol w:w="1720"/>
        <w:gridCol w:w="960"/>
        <w:gridCol w:w="1240"/>
        <w:gridCol w:w="960"/>
      </w:tblGrid>
      <w:tr w:rsidR="009B68AE" w:rsidRPr="006F6B36" w14:paraId="2EBE3252" w14:textId="77777777" w:rsidTr="00377FC2">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720" w:type="dxa"/>
            <w:tcBorders>
              <w:bottom w:val="single" w:sz="4" w:space="0" w:color="FFFFFF"/>
            </w:tcBorders>
            <w:noWrap/>
            <w:hideMark/>
          </w:tcPr>
          <w:p w14:paraId="2EBE324D" w14:textId="77777777" w:rsidR="009B68AE" w:rsidRPr="006F6B36" w:rsidRDefault="009B68AE" w:rsidP="006B47A4">
            <w:pPr>
              <w:spacing w:after="120"/>
              <w:jc w:val="left"/>
              <w:rPr>
                <w:rFonts w:ascii="Segoe UI" w:eastAsia="Times New Roman" w:hAnsi="Segoe UI" w:cs="Segoe UI"/>
                <w:b/>
                <w:sz w:val="18"/>
                <w:szCs w:val="18"/>
                <w:lang w:eastAsia="en-AU"/>
              </w:rPr>
            </w:pPr>
            <w:r w:rsidRPr="006F6B36">
              <w:rPr>
                <w:rFonts w:ascii="Segoe UI" w:eastAsia="Times New Roman" w:hAnsi="Segoe UI" w:cs="Segoe UI"/>
                <w:b/>
                <w:sz w:val="18"/>
                <w:szCs w:val="18"/>
                <w:lang w:eastAsia="en-AU"/>
              </w:rPr>
              <w:t>Service</w:t>
            </w:r>
          </w:p>
        </w:tc>
        <w:tc>
          <w:tcPr>
            <w:tcW w:w="960" w:type="dxa"/>
            <w:tcBorders>
              <w:bottom w:val="single" w:sz="4" w:space="0" w:color="FFFFFF"/>
            </w:tcBorders>
            <w:noWrap/>
            <w:hideMark/>
          </w:tcPr>
          <w:p w14:paraId="2EBE324E" w14:textId="77777777" w:rsidR="009B68AE" w:rsidRPr="006F6B36" w:rsidRDefault="009B68AE" w:rsidP="006B47A4">
            <w:pPr>
              <w:spacing w:after="120"/>
              <w:jc w:val="center"/>
              <w:rPr>
                <w:rFonts w:ascii="Segoe UI" w:eastAsia="Times New Roman" w:hAnsi="Segoe UI" w:cs="Segoe UI"/>
                <w:b/>
                <w:sz w:val="18"/>
                <w:szCs w:val="18"/>
                <w:lang w:eastAsia="en-AU"/>
              </w:rPr>
            </w:pPr>
            <w:r w:rsidRPr="006F6B36">
              <w:rPr>
                <w:rFonts w:ascii="Segoe UI" w:eastAsia="Times New Roman" w:hAnsi="Segoe UI" w:cs="Segoe UI"/>
                <w:b/>
                <w:sz w:val="18"/>
                <w:szCs w:val="18"/>
                <w:lang w:eastAsia="en-AU"/>
              </w:rPr>
              <w:t>Clients</w:t>
            </w:r>
            <w:r w:rsidRPr="006F6B36">
              <w:rPr>
                <w:rFonts w:ascii="Segoe UI" w:eastAsia="Times New Roman" w:hAnsi="Segoe UI" w:cs="Segoe UI"/>
                <w:b/>
                <w:sz w:val="18"/>
                <w:szCs w:val="18"/>
                <w:vertAlign w:val="superscript"/>
                <w:lang w:eastAsia="en-AU"/>
              </w:rPr>
              <w:t>1</w:t>
            </w:r>
          </w:p>
        </w:tc>
        <w:tc>
          <w:tcPr>
            <w:tcW w:w="1240" w:type="dxa"/>
            <w:tcBorders>
              <w:bottom w:val="single" w:sz="4" w:space="0" w:color="FFFFFF"/>
            </w:tcBorders>
            <w:noWrap/>
            <w:hideMark/>
          </w:tcPr>
          <w:p w14:paraId="2EBE324F" w14:textId="77777777" w:rsidR="009B68AE" w:rsidRDefault="009B68AE" w:rsidP="006B47A4">
            <w:pPr>
              <w:spacing w:after="120"/>
              <w:jc w:val="center"/>
              <w:rPr>
                <w:rFonts w:ascii="Segoe UI" w:eastAsia="Times New Roman" w:hAnsi="Segoe UI" w:cs="Segoe UI"/>
                <w:b/>
                <w:sz w:val="18"/>
                <w:szCs w:val="18"/>
                <w:lang w:eastAsia="en-AU"/>
              </w:rPr>
            </w:pPr>
            <w:r w:rsidRPr="006F6B36">
              <w:rPr>
                <w:rFonts w:ascii="Segoe UI" w:eastAsia="Times New Roman" w:hAnsi="Segoe UI" w:cs="Segoe UI"/>
                <w:b/>
                <w:sz w:val="18"/>
                <w:szCs w:val="18"/>
                <w:lang w:eastAsia="en-AU"/>
              </w:rPr>
              <w:t>Community</w:t>
            </w:r>
          </w:p>
          <w:p w14:paraId="2EBE3250" w14:textId="77777777" w:rsidR="00104D1F" w:rsidRPr="006F6B36" w:rsidRDefault="00104D1F" w:rsidP="006B47A4">
            <w:pPr>
              <w:spacing w:after="120"/>
              <w:jc w:val="center"/>
              <w:rPr>
                <w:rFonts w:ascii="Segoe UI" w:eastAsia="Times New Roman" w:hAnsi="Segoe UI" w:cs="Segoe UI"/>
                <w:b/>
                <w:sz w:val="18"/>
                <w:szCs w:val="18"/>
                <w:lang w:eastAsia="en-AU"/>
              </w:rPr>
            </w:pPr>
            <w:r>
              <w:rPr>
                <w:rFonts w:ascii="Segoe UI" w:eastAsia="Times New Roman" w:hAnsi="Segoe UI" w:cs="Segoe UI"/>
                <w:b/>
                <w:sz w:val="18"/>
                <w:szCs w:val="18"/>
                <w:lang w:eastAsia="en-AU"/>
              </w:rPr>
              <w:t>(n=351)</w:t>
            </w:r>
          </w:p>
        </w:tc>
        <w:tc>
          <w:tcPr>
            <w:tcW w:w="960" w:type="dxa"/>
            <w:tcBorders>
              <w:bottom w:val="single" w:sz="4" w:space="0" w:color="FFFFFF"/>
            </w:tcBorders>
            <w:noWrap/>
            <w:hideMark/>
          </w:tcPr>
          <w:p w14:paraId="2EBE3251" w14:textId="77777777" w:rsidR="009B68AE" w:rsidRPr="006F6B36" w:rsidRDefault="009B68AE" w:rsidP="006B47A4">
            <w:pPr>
              <w:spacing w:after="120"/>
              <w:jc w:val="center"/>
              <w:rPr>
                <w:rFonts w:ascii="Segoe UI" w:eastAsia="Times New Roman" w:hAnsi="Segoe UI" w:cs="Segoe UI"/>
                <w:b/>
                <w:sz w:val="18"/>
                <w:szCs w:val="18"/>
                <w:lang w:eastAsia="en-AU"/>
              </w:rPr>
            </w:pPr>
            <w:r w:rsidRPr="006F6B36">
              <w:rPr>
                <w:rFonts w:ascii="Segoe UI" w:eastAsia="Times New Roman" w:hAnsi="Segoe UI" w:cs="Segoe UI"/>
                <w:b/>
                <w:sz w:val="18"/>
                <w:szCs w:val="18"/>
                <w:lang w:eastAsia="en-AU"/>
              </w:rPr>
              <w:t>Staff</w:t>
            </w:r>
            <w:r w:rsidRPr="006F6B36">
              <w:rPr>
                <w:rFonts w:ascii="Segoe UI" w:eastAsia="Times New Roman" w:hAnsi="Segoe UI" w:cs="Segoe UI"/>
                <w:b/>
                <w:sz w:val="18"/>
                <w:szCs w:val="18"/>
                <w:vertAlign w:val="superscript"/>
                <w:lang w:eastAsia="en-AU"/>
              </w:rPr>
              <w:t>2</w:t>
            </w:r>
          </w:p>
        </w:tc>
      </w:tr>
      <w:tr w:rsidR="009B68AE" w:rsidRPr="006F6B36" w14:paraId="2EBE3257" w14:textId="77777777" w:rsidTr="009B68AE">
        <w:trPr>
          <w:trHeight w:val="300"/>
          <w:jc w:val="center"/>
        </w:trPr>
        <w:tc>
          <w:tcPr>
            <w:tcW w:w="1720" w:type="dxa"/>
            <w:shd w:val="clear" w:color="auto" w:fill="F2F2F2" w:themeFill="background1" w:themeFillShade="F2"/>
            <w:noWrap/>
            <w:hideMark/>
          </w:tcPr>
          <w:p w14:paraId="2EBE3253" w14:textId="77777777" w:rsidR="009B68AE" w:rsidRPr="006F6B36" w:rsidRDefault="009B68AE" w:rsidP="006B47A4">
            <w:pPr>
              <w:spacing w:after="120"/>
              <w:jc w:val="left"/>
              <w:rPr>
                <w:rFonts w:eastAsia="Times New Roman" w:cs="Segoe UI"/>
                <w:sz w:val="18"/>
                <w:szCs w:val="18"/>
                <w:lang w:eastAsia="en-AU"/>
              </w:rPr>
            </w:pPr>
            <w:r w:rsidRPr="006F6B36">
              <w:rPr>
                <w:rFonts w:eastAsia="Times New Roman" w:cs="Segoe UI"/>
                <w:sz w:val="18"/>
                <w:szCs w:val="18"/>
                <w:lang w:eastAsia="en-AU"/>
              </w:rPr>
              <w:t>Counselling</w:t>
            </w:r>
          </w:p>
        </w:tc>
        <w:tc>
          <w:tcPr>
            <w:tcW w:w="960" w:type="dxa"/>
            <w:shd w:val="clear" w:color="auto" w:fill="F2F2F2" w:themeFill="background1" w:themeFillShade="F2"/>
            <w:noWrap/>
            <w:hideMark/>
          </w:tcPr>
          <w:p w14:paraId="2EBE3254" w14:textId="77777777" w:rsidR="009B68AE" w:rsidRPr="006F6B36" w:rsidRDefault="009B68AE" w:rsidP="006B47A4">
            <w:pPr>
              <w:spacing w:after="120"/>
              <w:jc w:val="center"/>
              <w:rPr>
                <w:rFonts w:eastAsia="Times New Roman" w:cs="Segoe UI"/>
                <w:sz w:val="18"/>
                <w:szCs w:val="18"/>
                <w:lang w:eastAsia="en-AU"/>
              </w:rPr>
            </w:pPr>
            <w:r w:rsidRPr="006F6B36">
              <w:rPr>
                <w:rFonts w:eastAsia="Times New Roman" w:cs="Segoe UI"/>
                <w:sz w:val="18"/>
                <w:szCs w:val="18"/>
                <w:lang w:eastAsia="en-AU"/>
              </w:rPr>
              <w:t>100%</w:t>
            </w:r>
          </w:p>
        </w:tc>
        <w:tc>
          <w:tcPr>
            <w:tcW w:w="1240" w:type="dxa"/>
            <w:shd w:val="clear" w:color="auto" w:fill="F2F2F2" w:themeFill="background1" w:themeFillShade="F2"/>
            <w:noWrap/>
            <w:hideMark/>
          </w:tcPr>
          <w:p w14:paraId="2EBE3255" w14:textId="77777777" w:rsidR="009B68AE" w:rsidRPr="006F6B36" w:rsidRDefault="00104D1F" w:rsidP="006B47A4">
            <w:pPr>
              <w:spacing w:after="120"/>
              <w:jc w:val="center"/>
              <w:rPr>
                <w:rFonts w:eastAsia="Times New Roman" w:cs="Segoe UI"/>
                <w:sz w:val="18"/>
                <w:szCs w:val="18"/>
                <w:lang w:eastAsia="en-AU"/>
              </w:rPr>
            </w:pPr>
            <w:r>
              <w:rPr>
                <w:rFonts w:eastAsia="Times New Roman" w:cs="Segoe UI"/>
                <w:sz w:val="18"/>
                <w:szCs w:val="18"/>
                <w:lang w:eastAsia="en-AU"/>
              </w:rPr>
              <w:t>72</w:t>
            </w:r>
            <w:r w:rsidR="009B68AE" w:rsidRPr="006F6B36">
              <w:rPr>
                <w:rFonts w:eastAsia="Times New Roman" w:cs="Segoe UI"/>
                <w:sz w:val="18"/>
                <w:szCs w:val="18"/>
                <w:lang w:eastAsia="en-AU"/>
              </w:rPr>
              <w:t>%</w:t>
            </w:r>
          </w:p>
        </w:tc>
        <w:tc>
          <w:tcPr>
            <w:tcW w:w="960" w:type="dxa"/>
            <w:shd w:val="clear" w:color="auto" w:fill="F2F2F2" w:themeFill="background1" w:themeFillShade="F2"/>
            <w:noWrap/>
            <w:hideMark/>
          </w:tcPr>
          <w:p w14:paraId="2EBE3256" w14:textId="77777777" w:rsidR="009B68AE" w:rsidRPr="006F6B36" w:rsidRDefault="009B68AE" w:rsidP="006B47A4">
            <w:pPr>
              <w:spacing w:after="120"/>
              <w:jc w:val="center"/>
              <w:rPr>
                <w:rFonts w:eastAsia="Times New Roman" w:cs="Segoe UI"/>
                <w:sz w:val="18"/>
                <w:szCs w:val="18"/>
                <w:lang w:eastAsia="en-AU"/>
              </w:rPr>
            </w:pPr>
            <w:r w:rsidRPr="006F6B36">
              <w:rPr>
                <w:rFonts w:eastAsia="Times New Roman" w:cs="Segoe UI"/>
                <w:sz w:val="18"/>
                <w:szCs w:val="18"/>
                <w:lang w:eastAsia="en-AU"/>
              </w:rPr>
              <w:t>First</w:t>
            </w:r>
          </w:p>
        </w:tc>
      </w:tr>
      <w:tr w:rsidR="006B47A4" w:rsidRPr="006F6B36" w14:paraId="2EBE325C" w14:textId="77777777" w:rsidTr="00541CAC">
        <w:trPr>
          <w:trHeight w:val="300"/>
          <w:jc w:val="center"/>
        </w:trPr>
        <w:tc>
          <w:tcPr>
            <w:tcW w:w="1720" w:type="dxa"/>
            <w:shd w:val="clear" w:color="auto" w:fill="F2F2F2" w:themeFill="background1" w:themeFillShade="F2"/>
            <w:noWrap/>
            <w:hideMark/>
          </w:tcPr>
          <w:p w14:paraId="2EBE3258" w14:textId="77777777" w:rsidR="006B47A4" w:rsidRPr="006F6B36" w:rsidRDefault="006B47A4" w:rsidP="00541CAC">
            <w:pPr>
              <w:spacing w:after="120"/>
              <w:jc w:val="left"/>
              <w:rPr>
                <w:rFonts w:eastAsia="Times New Roman" w:cs="Segoe UI"/>
                <w:sz w:val="18"/>
                <w:szCs w:val="18"/>
                <w:lang w:eastAsia="en-AU"/>
              </w:rPr>
            </w:pPr>
            <w:r w:rsidRPr="006F6B36">
              <w:rPr>
                <w:rFonts w:eastAsia="Times New Roman" w:cs="Segoe UI"/>
                <w:sz w:val="18"/>
                <w:szCs w:val="18"/>
                <w:lang w:eastAsia="en-AU"/>
              </w:rPr>
              <w:t>Safe place/drop in</w:t>
            </w:r>
          </w:p>
        </w:tc>
        <w:tc>
          <w:tcPr>
            <w:tcW w:w="960" w:type="dxa"/>
            <w:shd w:val="clear" w:color="auto" w:fill="F2F2F2" w:themeFill="background1" w:themeFillShade="F2"/>
            <w:noWrap/>
            <w:hideMark/>
          </w:tcPr>
          <w:p w14:paraId="2EBE3259" w14:textId="77777777" w:rsidR="006B47A4" w:rsidRPr="006F6B36" w:rsidRDefault="006B47A4" w:rsidP="00541CAC">
            <w:pPr>
              <w:spacing w:after="120"/>
              <w:jc w:val="center"/>
              <w:rPr>
                <w:rFonts w:eastAsia="Times New Roman" w:cs="Segoe UI"/>
                <w:sz w:val="18"/>
                <w:szCs w:val="18"/>
                <w:lang w:eastAsia="en-AU"/>
              </w:rPr>
            </w:pPr>
            <w:r w:rsidRPr="006F6B36">
              <w:rPr>
                <w:rFonts w:eastAsia="Times New Roman" w:cs="Segoe UI"/>
                <w:sz w:val="18"/>
                <w:szCs w:val="18"/>
                <w:lang w:eastAsia="en-AU"/>
              </w:rPr>
              <w:t>88%</w:t>
            </w:r>
          </w:p>
        </w:tc>
        <w:tc>
          <w:tcPr>
            <w:tcW w:w="1240" w:type="dxa"/>
            <w:shd w:val="clear" w:color="auto" w:fill="F2F2F2" w:themeFill="background1" w:themeFillShade="F2"/>
            <w:noWrap/>
            <w:hideMark/>
          </w:tcPr>
          <w:p w14:paraId="2EBE325A" w14:textId="77777777" w:rsidR="006B47A4" w:rsidRPr="006F6B36" w:rsidRDefault="006B47A4" w:rsidP="00541CAC">
            <w:pPr>
              <w:spacing w:after="120"/>
              <w:jc w:val="center"/>
              <w:rPr>
                <w:rFonts w:eastAsia="Times New Roman" w:cs="Segoe UI"/>
                <w:sz w:val="18"/>
                <w:szCs w:val="18"/>
                <w:lang w:eastAsia="en-AU"/>
              </w:rPr>
            </w:pPr>
            <w:r>
              <w:rPr>
                <w:rFonts w:eastAsia="Times New Roman" w:cs="Segoe UI"/>
                <w:sz w:val="18"/>
                <w:szCs w:val="18"/>
                <w:lang w:eastAsia="en-AU"/>
              </w:rPr>
              <w:t>74</w:t>
            </w:r>
            <w:r w:rsidRPr="006F6B36">
              <w:rPr>
                <w:rFonts w:eastAsia="Times New Roman" w:cs="Segoe UI"/>
                <w:sz w:val="18"/>
                <w:szCs w:val="18"/>
                <w:lang w:eastAsia="en-AU"/>
              </w:rPr>
              <w:t>%</w:t>
            </w:r>
          </w:p>
        </w:tc>
        <w:tc>
          <w:tcPr>
            <w:tcW w:w="960" w:type="dxa"/>
            <w:shd w:val="clear" w:color="auto" w:fill="F2F2F2" w:themeFill="background1" w:themeFillShade="F2"/>
            <w:noWrap/>
            <w:hideMark/>
          </w:tcPr>
          <w:p w14:paraId="2EBE325B" w14:textId="77777777" w:rsidR="006B47A4" w:rsidRPr="006F6B36" w:rsidRDefault="006B47A4" w:rsidP="00541CAC">
            <w:pPr>
              <w:spacing w:after="120"/>
              <w:jc w:val="center"/>
              <w:rPr>
                <w:rFonts w:eastAsia="Times New Roman" w:cs="Segoe UI"/>
                <w:sz w:val="18"/>
                <w:szCs w:val="18"/>
                <w:lang w:eastAsia="en-AU"/>
              </w:rPr>
            </w:pPr>
            <w:r w:rsidRPr="006F6B36">
              <w:rPr>
                <w:rFonts w:eastAsia="Times New Roman" w:cs="Segoe UI"/>
                <w:sz w:val="18"/>
                <w:szCs w:val="18"/>
                <w:lang w:eastAsia="en-AU"/>
              </w:rPr>
              <w:t>Second</w:t>
            </w:r>
          </w:p>
        </w:tc>
      </w:tr>
      <w:tr w:rsidR="009B68AE" w:rsidRPr="006F6B36" w14:paraId="2EBE3261" w14:textId="77777777" w:rsidTr="009B68AE">
        <w:trPr>
          <w:trHeight w:val="300"/>
          <w:jc w:val="center"/>
        </w:trPr>
        <w:tc>
          <w:tcPr>
            <w:tcW w:w="1720" w:type="dxa"/>
            <w:shd w:val="clear" w:color="auto" w:fill="F2F2F2" w:themeFill="background1" w:themeFillShade="F2"/>
            <w:noWrap/>
            <w:hideMark/>
          </w:tcPr>
          <w:p w14:paraId="2EBE325D" w14:textId="77777777" w:rsidR="009B68AE" w:rsidRPr="006F6B36" w:rsidRDefault="009B68AE" w:rsidP="006B47A4">
            <w:pPr>
              <w:spacing w:after="120"/>
              <w:jc w:val="left"/>
              <w:rPr>
                <w:rFonts w:eastAsia="Times New Roman" w:cs="Segoe UI"/>
                <w:sz w:val="18"/>
                <w:szCs w:val="18"/>
                <w:lang w:eastAsia="en-AU"/>
              </w:rPr>
            </w:pPr>
            <w:r w:rsidRPr="006F6B36">
              <w:rPr>
                <w:rFonts w:eastAsia="Times New Roman" w:cs="Segoe UI"/>
                <w:sz w:val="18"/>
                <w:szCs w:val="18"/>
                <w:lang w:eastAsia="en-AU"/>
              </w:rPr>
              <w:t>Groups</w:t>
            </w:r>
          </w:p>
        </w:tc>
        <w:tc>
          <w:tcPr>
            <w:tcW w:w="960" w:type="dxa"/>
            <w:shd w:val="clear" w:color="auto" w:fill="F2F2F2" w:themeFill="background1" w:themeFillShade="F2"/>
            <w:noWrap/>
            <w:hideMark/>
          </w:tcPr>
          <w:p w14:paraId="2EBE325E" w14:textId="77777777" w:rsidR="009B68AE" w:rsidRPr="006F6B36" w:rsidRDefault="009B68AE" w:rsidP="006B47A4">
            <w:pPr>
              <w:spacing w:after="120"/>
              <w:jc w:val="center"/>
              <w:rPr>
                <w:rFonts w:eastAsia="Times New Roman" w:cs="Segoe UI"/>
                <w:sz w:val="18"/>
                <w:szCs w:val="18"/>
                <w:lang w:eastAsia="en-AU"/>
              </w:rPr>
            </w:pPr>
            <w:r w:rsidRPr="006F6B36">
              <w:rPr>
                <w:rFonts w:eastAsia="Times New Roman" w:cs="Segoe UI"/>
                <w:sz w:val="18"/>
                <w:szCs w:val="18"/>
                <w:lang w:eastAsia="en-AU"/>
              </w:rPr>
              <w:t>50%</w:t>
            </w:r>
          </w:p>
        </w:tc>
        <w:tc>
          <w:tcPr>
            <w:tcW w:w="1240" w:type="dxa"/>
            <w:shd w:val="clear" w:color="auto" w:fill="F2F2F2" w:themeFill="background1" w:themeFillShade="F2"/>
            <w:noWrap/>
            <w:hideMark/>
          </w:tcPr>
          <w:p w14:paraId="2EBE325F" w14:textId="77777777" w:rsidR="009B68AE" w:rsidRPr="006F6B36" w:rsidRDefault="00104D1F" w:rsidP="006B47A4">
            <w:pPr>
              <w:spacing w:after="120"/>
              <w:jc w:val="center"/>
              <w:rPr>
                <w:rFonts w:eastAsia="Times New Roman" w:cs="Segoe UI"/>
                <w:sz w:val="18"/>
                <w:szCs w:val="18"/>
                <w:lang w:eastAsia="en-AU"/>
              </w:rPr>
            </w:pPr>
            <w:r>
              <w:rPr>
                <w:rFonts w:eastAsia="Times New Roman" w:cs="Segoe UI"/>
                <w:sz w:val="18"/>
                <w:szCs w:val="18"/>
                <w:lang w:eastAsia="en-AU"/>
              </w:rPr>
              <w:t>50</w:t>
            </w:r>
            <w:r w:rsidR="009B68AE" w:rsidRPr="006F6B36">
              <w:rPr>
                <w:rFonts w:eastAsia="Times New Roman" w:cs="Segoe UI"/>
                <w:sz w:val="18"/>
                <w:szCs w:val="18"/>
                <w:lang w:eastAsia="en-AU"/>
              </w:rPr>
              <w:t>%</w:t>
            </w:r>
          </w:p>
        </w:tc>
        <w:tc>
          <w:tcPr>
            <w:tcW w:w="960" w:type="dxa"/>
            <w:shd w:val="clear" w:color="auto" w:fill="F2F2F2" w:themeFill="background1" w:themeFillShade="F2"/>
            <w:noWrap/>
            <w:hideMark/>
          </w:tcPr>
          <w:p w14:paraId="2EBE3260" w14:textId="77777777" w:rsidR="009B68AE" w:rsidRPr="006F6B36" w:rsidRDefault="009B68AE" w:rsidP="006B47A4">
            <w:pPr>
              <w:spacing w:after="120"/>
              <w:jc w:val="center"/>
              <w:rPr>
                <w:rFonts w:eastAsia="Times New Roman" w:cs="Segoe UI"/>
                <w:sz w:val="18"/>
                <w:szCs w:val="18"/>
                <w:lang w:eastAsia="en-AU"/>
              </w:rPr>
            </w:pPr>
            <w:r w:rsidRPr="006F6B36">
              <w:rPr>
                <w:rFonts w:eastAsia="Times New Roman" w:cs="Segoe UI"/>
                <w:sz w:val="18"/>
                <w:szCs w:val="18"/>
                <w:lang w:eastAsia="en-AU"/>
              </w:rPr>
              <w:t xml:space="preserve">Third </w:t>
            </w:r>
          </w:p>
        </w:tc>
      </w:tr>
    </w:tbl>
    <w:p w14:paraId="2EBE3262" w14:textId="77777777" w:rsidR="009B68AE" w:rsidRPr="00686608" w:rsidRDefault="009B68AE" w:rsidP="00104D1F">
      <w:pPr>
        <w:spacing w:after="0"/>
        <w:rPr>
          <w:color w:val="auto"/>
          <w:sz w:val="16"/>
          <w:szCs w:val="16"/>
        </w:rPr>
      </w:pPr>
      <w:r w:rsidRPr="00686608">
        <w:rPr>
          <w:color w:val="auto"/>
          <w:sz w:val="16"/>
          <w:szCs w:val="16"/>
        </w:rPr>
        <w:t>Note (1): Percentage relates to the number of clients who rated this service as a contributing to changes they had made where they received that service.</w:t>
      </w:r>
    </w:p>
    <w:p w14:paraId="2EBE3263" w14:textId="77777777" w:rsidR="009B68AE" w:rsidRDefault="009B68AE" w:rsidP="00C43161">
      <w:pPr>
        <w:rPr>
          <w:color w:val="auto"/>
          <w:sz w:val="16"/>
          <w:szCs w:val="16"/>
        </w:rPr>
      </w:pPr>
      <w:r w:rsidRPr="00686608">
        <w:rPr>
          <w:color w:val="auto"/>
          <w:sz w:val="16"/>
          <w:szCs w:val="16"/>
        </w:rPr>
        <w:t>Note (2): Staff is a priority ranking of what they see as most valuable in assisting clients</w:t>
      </w:r>
      <w:r w:rsidR="008B2646">
        <w:rPr>
          <w:color w:val="auto"/>
          <w:sz w:val="16"/>
          <w:szCs w:val="16"/>
        </w:rPr>
        <w:t>.</w:t>
      </w:r>
    </w:p>
    <w:p w14:paraId="2EBE3264" w14:textId="77777777" w:rsidR="008B2646" w:rsidRDefault="00A11A12" w:rsidP="00A11A12">
      <w:pPr>
        <w:rPr>
          <w:color w:val="auto"/>
        </w:rPr>
      </w:pPr>
      <w:r>
        <w:rPr>
          <w:lang w:eastAsia="en-AU"/>
        </w:rPr>
        <w:t xml:space="preserve">The most effective </w:t>
      </w:r>
      <w:r w:rsidR="008B2646">
        <w:rPr>
          <w:lang w:eastAsia="en-AU"/>
        </w:rPr>
        <w:t>counselling/intervention approaches</w:t>
      </w:r>
      <w:r>
        <w:rPr>
          <w:lang w:eastAsia="en-AU"/>
        </w:rPr>
        <w:t xml:space="preserve"> are considered to include: </w:t>
      </w:r>
      <w:r w:rsidR="008B2646">
        <w:t>General counselling</w:t>
      </w:r>
      <w:r>
        <w:t xml:space="preserve">; </w:t>
      </w:r>
      <w:r w:rsidR="008B2646">
        <w:t>Motivational interviewing</w:t>
      </w:r>
      <w:r>
        <w:t>;</w:t>
      </w:r>
      <w:r>
        <w:rPr>
          <w:lang w:eastAsia="en-AU"/>
        </w:rPr>
        <w:t xml:space="preserve"> </w:t>
      </w:r>
      <w:r w:rsidR="008B2646">
        <w:t>Narrative therapy</w:t>
      </w:r>
      <w:r>
        <w:rPr>
          <w:lang w:eastAsia="en-AU"/>
        </w:rPr>
        <w:t xml:space="preserve">; </w:t>
      </w:r>
      <w:r w:rsidR="008B2646">
        <w:t>Cognitive behavioural therapy</w:t>
      </w:r>
      <w:r>
        <w:rPr>
          <w:lang w:eastAsia="en-AU"/>
        </w:rPr>
        <w:t xml:space="preserve">; </w:t>
      </w:r>
      <w:r w:rsidR="008B2646">
        <w:t>Strengths based approach</w:t>
      </w:r>
      <w:r>
        <w:rPr>
          <w:lang w:eastAsia="en-AU"/>
        </w:rPr>
        <w:t xml:space="preserve">; </w:t>
      </w:r>
      <w:r w:rsidR="008B2646">
        <w:t>Psycho-social education</w:t>
      </w:r>
      <w:r>
        <w:rPr>
          <w:lang w:eastAsia="en-AU"/>
        </w:rPr>
        <w:t xml:space="preserve">; </w:t>
      </w:r>
      <w:r w:rsidR="008B2646">
        <w:t>Group work, and Advoca</w:t>
      </w:r>
      <w:r w:rsidR="008B2646">
        <w:rPr>
          <w:lang w:eastAsia="en-AU"/>
        </w:rPr>
        <w:t>cy.</w:t>
      </w:r>
      <w:r w:rsidR="00B81A9F">
        <w:rPr>
          <w:lang w:eastAsia="en-AU"/>
        </w:rPr>
        <w:t xml:space="preserve"> </w:t>
      </w:r>
      <w:r w:rsidR="008B2646" w:rsidRPr="00BA0422">
        <w:rPr>
          <w:color w:val="auto"/>
        </w:rPr>
        <w:t xml:space="preserve">In most cases a combination of </w:t>
      </w:r>
      <w:r>
        <w:rPr>
          <w:color w:val="auto"/>
        </w:rPr>
        <w:t xml:space="preserve">these </w:t>
      </w:r>
      <w:r w:rsidR="008B2646" w:rsidRPr="00BA0422">
        <w:rPr>
          <w:color w:val="auto"/>
        </w:rPr>
        <w:t>approaches is used and they can change over time as the client develops and staff change</w:t>
      </w:r>
      <w:r w:rsidR="00302C7C">
        <w:rPr>
          <w:color w:val="auto"/>
        </w:rPr>
        <w:t>.</w:t>
      </w:r>
    </w:p>
    <w:p w14:paraId="2EBE3265" w14:textId="77777777" w:rsidR="002538A3" w:rsidRDefault="00B81A9F" w:rsidP="002538A3">
      <w:pPr>
        <w:rPr>
          <w:lang w:eastAsia="x-none"/>
        </w:rPr>
      </w:pPr>
      <w:r>
        <w:rPr>
          <w:lang w:eastAsia="x-none"/>
        </w:rPr>
        <w:t>A</w:t>
      </w:r>
      <w:r w:rsidR="002538A3">
        <w:rPr>
          <w:lang w:eastAsia="x-none"/>
        </w:rPr>
        <w:t xml:space="preserve"> regression and univariate analysis </w:t>
      </w:r>
      <w:r>
        <w:rPr>
          <w:lang w:eastAsia="x-none"/>
        </w:rPr>
        <w:t xml:space="preserve">was undertaken </w:t>
      </w:r>
      <w:r w:rsidR="002538A3" w:rsidRPr="001006C6">
        <w:rPr>
          <w:lang w:eastAsia="x-none"/>
        </w:rPr>
        <w:t xml:space="preserve">across a range of input and assessment issue parameters </w:t>
      </w:r>
      <w:r w:rsidR="002538A3">
        <w:rPr>
          <w:lang w:eastAsia="x-none"/>
        </w:rPr>
        <w:t xml:space="preserve">against achievement in outcome measures. No significant correlations were noted. The wide range of counselling therapies and approaches, and their use in various combinations in a wide variety of client circumstances means that it is not possible to determine whether any one particular approach is better than another. </w:t>
      </w:r>
    </w:p>
    <w:p w14:paraId="2EBE3266" w14:textId="77777777" w:rsidR="002538A3" w:rsidRDefault="002538A3" w:rsidP="002538A3">
      <w:pPr>
        <w:rPr>
          <w:lang w:eastAsia="x-none"/>
        </w:rPr>
      </w:pPr>
      <w:r>
        <w:rPr>
          <w:lang w:eastAsia="x-none"/>
        </w:rPr>
        <w:t xml:space="preserve">What is unique about the WBC is that it allows these services and others to be provided in combination seamlessly. </w:t>
      </w:r>
      <w:r>
        <w:t>It is the availability, integration and combination of services, that is, individual counselling, group, drop-in, advocacy plus referral to other agencies that facilitates client engagement and assists the client to make change.</w:t>
      </w:r>
    </w:p>
    <w:p w14:paraId="2EBE3267" w14:textId="77777777" w:rsidR="00A11A12" w:rsidRPr="0060216B" w:rsidRDefault="0060216B" w:rsidP="0060216B">
      <w:pPr>
        <w:pStyle w:val="Heading2"/>
      </w:pPr>
      <w:bookmarkStart w:id="213" w:name="_Key_success_factors"/>
      <w:bookmarkStart w:id="214" w:name="_Ref387398272"/>
      <w:bookmarkStart w:id="215" w:name="_Ref387398380"/>
      <w:bookmarkStart w:id="216" w:name="_Toc440038459"/>
      <w:bookmarkEnd w:id="213"/>
      <w:r w:rsidRPr="0060216B">
        <w:t>Key success factors</w:t>
      </w:r>
      <w:bookmarkEnd w:id="214"/>
      <w:bookmarkEnd w:id="215"/>
      <w:r w:rsidRPr="0060216B">
        <w:t xml:space="preserve"> </w:t>
      </w:r>
      <w:r w:rsidR="00D862A5">
        <w:rPr>
          <w:lang w:val="en-AU"/>
        </w:rPr>
        <w:t>and challenges</w:t>
      </w:r>
      <w:bookmarkEnd w:id="216"/>
      <w:r w:rsidR="00D862A5">
        <w:rPr>
          <w:lang w:val="en-AU"/>
        </w:rPr>
        <w:t xml:space="preserve"> </w:t>
      </w:r>
    </w:p>
    <w:p w14:paraId="2EBE3268" w14:textId="77777777" w:rsidR="00D862A5" w:rsidRDefault="007874AE" w:rsidP="008B2646">
      <w:pPr>
        <w:rPr>
          <w:color w:val="auto"/>
          <w:lang w:eastAsia="en-AU"/>
        </w:rPr>
      </w:pPr>
      <w:r>
        <w:rPr>
          <w:color w:val="auto"/>
          <w:lang w:eastAsia="en-AU"/>
        </w:rPr>
        <w:t>This section</w:t>
      </w:r>
      <w:r w:rsidR="00890083">
        <w:rPr>
          <w:color w:val="auto"/>
          <w:lang w:eastAsia="en-AU"/>
        </w:rPr>
        <w:t xml:space="preserve"> summarises the </w:t>
      </w:r>
      <w:r>
        <w:rPr>
          <w:color w:val="auto"/>
          <w:lang w:eastAsia="en-AU"/>
        </w:rPr>
        <w:t xml:space="preserve">key success factors of the </w:t>
      </w:r>
      <w:r w:rsidR="00890083">
        <w:rPr>
          <w:color w:val="auto"/>
          <w:lang w:eastAsia="en-AU"/>
        </w:rPr>
        <w:t xml:space="preserve">service </w:t>
      </w:r>
      <w:r>
        <w:rPr>
          <w:color w:val="auto"/>
          <w:lang w:eastAsia="en-AU"/>
        </w:rPr>
        <w:t>model that has been implemented</w:t>
      </w:r>
      <w:r w:rsidR="00D862A5">
        <w:rPr>
          <w:color w:val="auto"/>
          <w:lang w:eastAsia="en-AU"/>
        </w:rPr>
        <w:t xml:space="preserve"> and the key challenges </w:t>
      </w:r>
      <w:r w:rsidR="008C2596">
        <w:rPr>
          <w:color w:val="auto"/>
          <w:lang w:eastAsia="en-AU"/>
        </w:rPr>
        <w:t xml:space="preserve">confronted. </w:t>
      </w:r>
      <w:r w:rsidR="00890083">
        <w:rPr>
          <w:color w:val="auto"/>
          <w:lang w:eastAsia="en-AU"/>
        </w:rPr>
        <w:t xml:space="preserve">More detailed analysis is provided in </w:t>
      </w:r>
      <w:r w:rsidR="00D00E0F">
        <w:rPr>
          <w:color w:val="auto"/>
          <w:lang w:eastAsia="en-AU"/>
        </w:rPr>
        <w:t xml:space="preserve">the relevant sections in </w:t>
      </w:r>
      <w:r w:rsidR="00890083">
        <w:rPr>
          <w:color w:val="auto"/>
          <w:lang w:eastAsia="en-AU"/>
        </w:rPr>
        <w:t xml:space="preserve">Chapter 3. </w:t>
      </w:r>
    </w:p>
    <w:p w14:paraId="2EBE3269" w14:textId="77777777" w:rsidR="00D862A5" w:rsidRDefault="00D862A5" w:rsidP="00BC0A26">
      <w:pPr>
        <w:pStyle w:val="Heading3"/>
      </w:pPr>
      <w:r>
        <w:t xml:space="preserve">Key success factors </w:t>
      </w:r>
    </w:p>
    <w:p w14:paraId="2EBE326A" w14:textId="77777777" w:rsidR="007874AE" w:rsidRDefault="007874AE" w:rsidP="008B2646">
      <w:pPr>
        <w:rPr>
          <w:color w:val="auto"/>
          <w:lang w:eastAsia="en-AU"/>
        </w:rPr>
      </w:pPr>
      <w:r>
        <w:rPr>
          <w:color w:val="auto"/>
          <w:lang w:eastAsia="en-AU"/>
        </w:rPr>
        <w:t>The key success factors include</w:t>
      </w:r>
      <w:r w:rsidR="003C60A4">
        <w:rPr>
          <w:color w:val="auto"/>
          <w:lang w:eastAsia="en-AU"/>
        </w:rPr>
        <w:t>:</w:t>
      </w:r>
    </w:p>
    <w:p w14:paraId="2EBE326B" w14:textId="77777777" w:rsidR="007874AE" w:rsidRDefault="00D00E0F" w:rsidP="0083588E">
      <w:pPr>
        <w:pStyle w:val="ListParagraph"/>
        <w:numPr>
          <w:ilvl w:val="0"/>
          <w:numId w:val="28"/>
        </w:numPr>
        <w:rPr>
          <w:noProof/>
          <w:color w:val="auto"/>
          <w:lang w:eastAsia="en-AU"/>
        </w:rPr>
      </w:pPr>
      <w:r w:rsidRPr="00702884">
        <w:rPr>
          <w:b/>
          <w:noProof/>
          <w:color w:val="1F497D" w:themeColor="text2"/>
          <w:lang w:eastAsia="en-AU"/>
        </w:rPr>
        <w:t>L</w:t>
      </w:r>
      <w:r w:rsidR="00860A0C" w:rsidRPr="00702884">
        <w:rPr>
          <w:b/>
          <w:noProof/>
          <w:color w:val="1F497D" w:themeColor="text2"/>
          <w:lang w:eastAsia="en-AU"/>
        </w:rPr>
        <w:t>evel of integration between the areas of activity</w:t>
      </w:r>
      <w:r w:rsidR="00890083" w:rsidRPr="00702884">
        <w:rPr>
          <w:b/>
          <w:noProof/>
          <w:color w:val="1F497D" w:themeColor="text2"/>
          <w:lang w:eastAsia="en-AU"/>
        </w:rPr>
        <w:t xml:space="preserve">. </w:t>
      </w:r>
      <w:r w:rsidR="00860A0C" w:rsidRPr="00702884">
        <w:rPr>
          <w:noProof/>
          <w:color w:val="1F497D" w:themeColor="text2"/>
          <w:lang w:eastAsia="en-AU"/>
        </w:rPr>
        <w:t xml:space="preserve"> </w:t>
      </w:r>
      <w:r w:rsidR="00890083" w:rsidRPr="00890083">
        <w:rPr>
          <w:noProof/>
          <w:color w:val="auto"/>
          <w:lang w:eastAsia="en-AU"/>
        </w:rPr>
        <w:t xml:space="preserve">This is a key strength and uniqueness of the </w:t>
      </w:r>
      <w:r w:rsidR="005A67A0">
        <w:rPr>
          <w:noProof/>
          <w:color w:val="auto"/>
          <w:lang w:eastAsia="en-AU"/>
        </w:rPr>
        <w:t xml:space="preserve">service </w:t>
      </w:r>
      <w:r w:rsidR="00890083" w:rsidRPr="00890083">
        <w:rPr>
          <w:noProof/>
          <w:color w:val="auto"/>
          <w:lang w:eastAsia="en-AU"/>
        </w:rPr>
        <w:t>model</w:t>
      </w:r>
      <w:r w:rsidR="00890083">
        <w:rPr>
          <w:noProof/>
          <w:color w:val="auto"/>
          <w:lang w:eastAsia="en-AU"/>
        </w:rPr>
        <w:t>. The model allows for the seamless provision of i</w:t>
      </w:r>
      <w:r w:rsidR="00860A0C" w:rsidRPr="007874AE">
        <w:rPr>
          <w:noProof/>
          <w:color w:val="auto"/>
          <w:lang w:eastAsia="en-AU"/>
        </w:rPr>
        <w:t xml:space="preserve">ndividual counselling and treatment, </w:t>
      </w:r>
      <w:r w:rsidR="00890083">
        <w:rPr>
          <w:noProof/>
          <w:color w:val="auto"/>
          <w:lang w:eastAsia="en-AU"/>
        </w:rPr>
        <w:t xml:space="preserve">a capacity for drop-in and a </w:t>
      </w:r>
      <w:r w:rsidR="00860A0C" w:rsidRPr="007874AE">
        <w:rPr>
          <w:noProof/>
          <w:color w:val="auto"/>
          <w:lang w:eastAsia="en-AU"/>
        </w:rPr>
        <w:t>safe place</w:t>
      </w:r>
      <w:r w:rsidR="00890083">
        <w:rPr>
          <w:noProof/>
          <w:color w:val="auto"/>
          <w:lang w:eastAsia="en-AU"/>
        </w:rPr>
        <w:t xml:space="preserve"> </w:t>
      </w:r>
      <w:r w:rsidR="00860A0C" w:rsidRPr="007874AE">
        <w:rPr>
          <w:noProof/>
          <w:color w:val="auto"/>
          <w:lang w:eastAsia="en-AU"/>
        </w:rPr>
        <w:t>and</w:t>
      </w:r>
      <w:r w:rsidR="00890083">
        <w:rPr>
          <w:noProof/>
          <w:color w:val="auto"/>
          <w:lang w:eastAsia="en-AU"/>
        </w:rPr>
        <w:t xml:space="preserve"> provision of</w:t>
      </w:r>
      <w:r w:rsidR="00860A0C" w:rsidRPr="007874AE">
        <w:rPr>
          <w:noProof/>
          <w:color w:val="auto"/>
          <w:lang w:eastAsia="en-AU"/>
        </w:rPr>
        <w:t xml:space="preserve"> a </w:t>
      </w:r>
      <w:r w:rsidR="00890083">
        <w:rPr>
          <w:noProof/>
          <w:color w:val="auto"/>
          <w:lang w:eastAsia="en-AU"/>
        </w:rPr>
        <w:t>wide range of group activities in a variety of settings</w:t>
      </w:r>
      <w:r w:rsidR="00B81A9F">
        <w:rPr>
          <w:noProof/>
          <w:color w:val="auto"/>
          <w:lang w:eastAsia="en-AU"/>
        </w:rPr>
        <w:t xml:space="preserve">. This </w:t>
      </w:r>
      <w:r w:rsidR="00AA0578" w:rsidRPr="007874AE">
        <w:rPr>
          <w:noProof/>
          <w:color w:val="auto"/>
          <w:lang w:eastAsia="en-AU"/>
        </w:rPr>
        <w:t xml:space="preserve">often </w:t>
      </w:r>
      <w:r w:rsidR="00B81A9F">
        <w:rPr>
          <w:noProof/>
          <w:color w:val="auto"/>
          <w:lang w:eastAsia="en-AU"/>
        </w:rPr>
        <w:t xml:space="preserve">includes </w:t>
      </w:r>
      <w:r w:rsidR="00AA0578" w:rsidRPr="007874AE">
        <w:rPr>
          <w:noProof/>
          <w:color w:val="auto"/>
          <w:lang w:eastAsia="en-AU"/>
        </w:rPr>
        <w:t xml:space="preserve">a joint approach </w:t>
      </w:r>
      <w:r w:rsidR="00B81A9F">
        <w:rPr>
          <w:noProof/>
          <w:color w:val="auto"/>
          <w:lang w:eastAsia="en-AU"/>
        </w:rPr>
        <w:t xml:space="preserve">with </w:t>
      </w:r>
      <w:r w:rsidR="00890083">
        <w:rPr>
          <w:noProof/>
          <w:color w:val="auto"/>
          <w:lang w:eastAsia="en-AU"/>
        </w:rPr>
        <w:t xml:space="preserve">partner </w:t>
      </w:r>
      <w:r w:rsidR="00AA0578" w:rsidRPr="007874AE">
        <w:rPr>
          <w:noProof/>
          <w:color w:val="auto"/>
          <w:lang w:eastAsia="en-AU"/>
        </w:rPr>
        <w:t>service providers</w:t>
      </w:r>
      <w:r w:rsidR="00860A0C" w:rsidRPr="007874AE">
        <w:rPr>
          <w:noProof/>
          <w:color w:val="auto"/>
          <w:lang w:eastAsia="en-AU"/>
        </w:rPr>
        <w:t>. A client will often participate in multiple types of activity</w:t>
      </w:r>
      <w:r w:rsidR="00AA0578" w:rsidRPr="007874AE">
        <w:rPr>
          <w:noProof/>
          <w:color w:val="auto"/>
          <w:lang w:eastAsia="en-AU"/>
        </w:rPr>
        <w:t xml:space="preserve"> at the same</w:t>
      </w:r>
      <w:r w:rsidR="005A67A0">
        <w:rPr>
          <w:noProof/>
          <w:color w:val="auto"/>
          <w:lang w:eastAsia="en-AU"/>
        </w:rPr>
        <w:t xml:space="preserve"> time</w:t>
      </w:r>
      <w:r w:rsidR="00AA0578" w:rsidRPr="007874AE">
        <w:rPr>
          <w:noProof/>
          <w:color w:val="auto"/>
          <w:lang w:eastAsia="en-AU"/>
        </w:rPr>
        <w:t xml:space="preserve"> or </w:t>
      </w:r>
      <w:r w:rsidR="00890083">
        <w:rPr>
          <w:noProof/>
          <w:color w:val="auto"/>
          <w:lang w:eastAsia="en-AU"/>
        </w:rPr>
        <w:t>progress through variou</w:t>
      </w:r>
      <w:r w:rsidR="00A31834">
        <w:rPr>
          <w:noProof/>
          <w:color w:val="auto"/>
          <w:lang w:eastAsia="en-AU"/>
        </w:rPr>
        <w:t>s activities at different times.</w:t>
      </w:r>
    </w:p>
    <w:p w14:paraId="2EBE326C" w14:textId="77777777" w:rsidR="007874AE" w:rsidRDefault="005A67A0" w:rsidP="0083588E">
      <w:pPr>
        <w:pStyle w:val="ListParagraph"/>
        <w:numPr>
          <w:ilvl w:val="0"/>
          <w:numId w:val="28"/>
        </w:numPr>
        <w:spacing w:before="240"/>
        <w:rPr>
          <w:noProof/>
          <w:color w:val="auto"/>
          <w:lang w:eastAsia="en-AU"/>
        </w:rPr>
      </w:pPr>
      <w:r w:rsidRPr="00702884">
        <w:rPr>
          <w:b/>
          <w:noProof/>
          <w:color w:val="1F497D" w:themeColor="text2"/>
          <w:lang w:eastAsia="en-AU"/>
        </w:rPr>
        <w:lastRenderedPageBreak/>
        <w:t>C</w:t>
      </w:r>
      <w:r w:rsidR="00AA0578" w:rsidRPr="00702884">
        <w:rPr>
          <w:b/>
          <w:noProof/>
          <w:color w:val="1F497D" w:themeColor="text2"/>
          <w:lang w:eastAsia="en-AU"/>
        </w:rPr>
        <w:t>apacity to work with clients across a wide range of issues</w:t>
      </w:r>
      <w:r w:rsidR="00AA0578" w:rsidRPr="00702884">
        <w:rPr>
          <w:noProof/>
          <w:color w:val="1F497D" w:themeColor="text2"/>
          <w:lang w:eastAsia="en-AU"/>
        </w:rPr>
        <w:t xml:space="preserve"> </w:t>
      </w:r>
      <w:r w:rsidR="00890083" w:rsidRPr="00702884">
        <w:rPr>
          <w:b/>
          <w:noProof/>
          <w:color w:val="1F497D" w:themeColor="text2"/>
          <w:lang w:eastAsia="en-AU"/>
        </w:rPr>
        <w:t>that impact</w:t>
      </w:r>
      <w:r w:rsidR="00AA0578" w:rsidRPr="00702884">
        <w:rPr>
          <w:b/>
          <w:noProof/>
          <w:color w:val="1F497D" w:themeColor="text2"/>
          <w:lang w:eastAsia="en-AU"/>
        </w:rPr>
        <w:t xml:space="preserve"> upon SEWB</w:t>
      </w:r>
      <w:r w:rsidR="00890083" w:rsidRPr="00702884">
        <w:rPr>
          <w:b/>
          <w:noProof/>
          <w:color w:val="1F497D" w:themeColor="text2"/>
          <w:lang w:eastAsia="en-AU"/>
        </w:rPr>
        <w:t xml:space="preserve">. </w:t>
      </w:r>
      <w:r w:rsidR="00490D22">
        <w:rPr>
          <w:noProof/>
          <w:color w:val="auto"/>
          <w:lang w:eastAsia="en-AU"/>
        </w:rPr>
        <w:t>WBC staff provide services relating to</w:t>
      </w:r>
      <w:r w:rsidR="00AA0578" w:rsidRPr="007874AE">
        <w:rPr>
          <w:noProof/>
          <w:color w:val="auto"/>
          <w:lang w:eastAsia="en-AU"/>
        </w:rPr>
        <w:t xml:space="preserve"> </w:t>
      </w:r>
      <w:r>
        <w:rPr>
          <w:noProof/>
          <w:color w:val="auto"/>
          <w:lang w:eastAsia="en-AU"/>
        </w:rPr>
        <w:t xml:space="preserve">issues such as </w:t>
      </w:r>
      <w:r w:rsidR="00AA0578" w:rsidRPr="007874AE">
        <w:rPr>
          <w:noProof/>
          <w:color w:val="auto"/>
          <w:lang w:eastAsia="en-AU"/>
        </w:rPr>
        <w:t>mental health, alcohol</w:t>
      </w:r>
      <w:r>
        <w:rPr>
          <w:noProof/>
          <w:color w:val="auto"/>
          <w:lang w:eastAsia="en-AU"/>
        </w:rPr>
        <w:t xml:space="preserve"> and other drugs</w:t>
      </w:r>
      <w:r w:rsidR="00AA0578" w:rsidRPr="007874AE">
        <w:rPr>
          <w:noProof/>
          <w:color w:val="auto"/>
          <w:lang w:eastAsia="en-AU"/>
        </w:rPr>
        <w:t>, welfare support, family violence, relationships, parenting, child safety, advocacy and probation and parole support</w:t>
      </w:r>
      <w:r w:rsidR="00B83E14">
        <w:rPr>
          <w:noProof/>
          <w:color w:val="auto"/>
          <w:lang w:eastAsia="en-AU"/>
        </w:rPr>
        <w:t>. As part of this</w:t>
      </w:r>
      <w:r w:rsidR="00B81A9F">
        <w:rPr>
          <w:noProof/>
          <w:color w:val="auto"/>
          <w:lang w:eastAsia="en-AU"/>
        </w:rPr>
        <w:t>,</w:t>
      </w:r>
      <w:r w:rsidR="00B83E14">
        <w:rPr>
          <w:noProof/>
          <w:color w:val="auto"/>
          <w:lang w:eastAsia="en-AU"/>
        </w:rPr>
        <w:t xml:space="preserve"> clinical services are provided in the context of assessment, treatment</w:t>
      </w:r>
      <w:r>
        <w:rPr>
          <w:noProof/>
          <w:color w:val="auto"/>
          <w:lang w:eastAsia="en-AU"/>
        </w:rPr>
        <w:t>, case review</w:t>
      </w:r>
      <w:r w:rsidR="00B83E14">
        <w:rPr>
          <w:noProof/>
          <w:color w:val="auto"/>
          <w:lang w:eastAsia="en-AU"/>
        </w:rPr>
        <w:t xml:space="preserve"> an</w:t>
      </w:r>
      <w:r w:rsidR="00B81A9F">
        <w:rPr>
          <w:noProof/>
          <w:color w:val="auto"/>
          <w:lang w:eastAsia="en-AU"/>
        </w:rPr>
        <w:t>d</w:t>
      </w:r>
      <w:r w:rsidR="00B83E14">
        <w:rPr>
          <w:noProof/>
          <w:color w:val="auto"/>
          <w:lang w:eastAsia="en-AU"/>
        </w:rPr>
        <w:t xml:space="preserve"> ap</w:t>
      </w:r>
      <w:r w:rsidR="009536C6">
        <w:rPr>
          <w:noProof/>
          <w:color w:val="auto"/>
          <w:lang w:eastAsia="en-AU"/>
        </w:rPr>
        <w:t xml:space="preserve">propriate clinical supervision </w:t>
      </w:r>
      <w:r w:rsidR="00B83E14">
        <w:rPr>
          <w:noProof/>
          <w:color w:val="auto"/>
          <w:lang w:eastAsia="en-AU"/>
        </w:rPr>
        <w:t xml:space="preserve">i.e. with a degree of rigour in the very unstructured </w:t>
      </w:r>
      <w:r w:rsidR="009536C6">
        <w:rPr>
          <w:noProof/>
          <w:color w:val="auto"/>
          <w:lang w:eastAsia="en-AU"/>
        </w:rPr>
        <w:t>service en</w:t>
      </w:r>
      <w:r w:rsidR="00EF49FB">
        <w:rPr>
          <w:noProof/>
          <w:color w:val="auto"/>
          <w:lang w:eastAsia="en-AU"/>
        </w:rPr>
        <w:t>vironment that exists</w:t>
      </w:r>
      <w:r w:rsidR="009536C6">
        <w:rPr>
          <w:noProof/>
          <w:color w:val="auto"/>
          <w:lang w:eastAsia="en-AU"/>
        </w:rPr>
        <w:t>.</w:t>
      </w:r>
    </w:p>
    <w:p w14:paraId="2EBE326D" w14:textId="77777777" w:rsidR="00EF49FB" w:rsidRDefault="00EF49FB" w:rsidP="0083588E">
      <w:pPr>
        <w:pStyle w:val="ListParagraph"/>
        <w:numPr>
          <w:ilvl w:val="0"/>
          <w:numId w:val="28"/>
        </w:numPr>
        <w:spacing w:before="240"/>
        <w:rPr>
          <w:noProof/>
          <w:color w:val="auto"/>
          <w:lang w:eastAsia="en-AU"/>
        </w:rPr>
      </w:pPr>
      <w:r w:rsidRPr="00702884">
        <w:rPr>
          <w:b/>
          <w:noProof/>
          <w:color w:val="1F497D" w:themeColor="text2"/>
          <w:lang w:eastAsia="en-AU"/>
        </w:rPr>
        <w:t>D</w:t>
      </w:r>
      <w:r w:rsidR="00AA0578" w:rsidRPr="00702884">
        <w:rPr>
          <w:b/>
          <w:noProof/>
          <w:color w:val="1F497D" w:themeColor="text2"/>
          <w:lang w:eastAsia="en-AU"/>
        </w:rPr>
        <w:t>rop-in element</w:t>
      </w:r>
      <w:r w:rsidR="00490D22" w:rsidRPr="00702884">
        <w:rPr>
          <w:noProof/>
          <w:color w:val="1F497D" w:themeColor="text2"/>
          <w:lang w:eastAsia="en-AU"/>
        </w:rPr>
        <w:t xml:space="preserve">. </w:t>
      </w:r>
      <w:r w:rsidRPr="00EF49FB">
        <w:rPr>
          <w:noProof/>
          <w:color w:val="auto"/>
          <w:lang w:eastAsia="en-AU"/>
        </w:rPr>
        <w:t xml:space="preserve">Aligned with being a key contact point, one of the most significant roles the WBCs are playing </w:t>
      </w:r>
      <w:r w:rsidR="00B81A9F">
        <w:rPr>
          <w:noProof/>
          <w:color w:val="auto"/>
          <w:lang w:eastAsia="en-AU"/>
        </w:rPr>
        <w:t xml:space="preserve">in each community </w:t>
      </w:r>
      <w:r w:rsidRPr="00EF49FB">
        <w:rPr>
          <w:noProof/>
          <w:color w:val="auto"/>
          <w:lang w:eastAsia="en-AU"/>
        </w:rPr>
        <w:t xml:space="preserve">is that as a point of pressure relief. Clients (or in fact general community members) who are highly stressed/distressed often as a result of heightened tension and confrontation in the home or community, come to the WBC to talk, be listened to, have a cup of tea, and simply get time out. </w:t>
      </w:r>
      <w:r w:rsidR="00B81A9F">
        <w:rPr>
          <w:noProof/>
          <w:color w:val="auto"/>
          <w:lang w:eastAsia="en-AU"/>
        </w:rPr>
        <w:t xml:space="preserve">This has included perpetrators of violence who recognise thay may be ‘losing control’ of their emotions. </w:t>
      </w:r>
      <w:r w:rsidRPr="00EF49FB">
        <w:rPr>
          <w:noProof/>
          <w:color w:val="auto"/>
          <w:lang w:eastAsia="en-AU"/>
        </w:rPr>
        <w:t xml:space="preserve">Clients and community members also utilise an available telephone to help manage </w:t>
      </w:r>
      <w:r w:rsidR="00B81A9F">
        <w:rPr>
          <w:noProof/>
          <w:color w:val="auto"/>
          <w:lang w:eastAsia="en-AU"/>
        </w:rPr>
        <w:t xml:space="preserve">various income and social </w:t>
      </w:r>
      <w:r w:rsidRPr="00EF49FB">
        <w:rPr>
          <w:noProof/>
          <w:color w:val="auto"/>
          <w:lang w:eastAsia="en-AU"/>
        </w:rPr>
        <w:t>matters</w:t>
      </w:r>
      <w:r w:rsidR="00B81A9F">
        <w:rPr>
          <w:noProof/>
          <w:color w:val="auto"/>
          <w:lang w:eastAsia="en-AU"/>
        </w:rPr>
        <w:t xml:space="preserve"> that often are a source of major emotional concern</w:t>
      </w:r>
      <w:r w:rsidRPr="00EF49FB">
        <w:rPr>
          <w:noProof/>
          <w:color w:val="auto"/>
          <w:lang w:eastAsia="en-AU"/>
        </w:rPr>
        <w:t>. This drop-in aspect is highly valued by the client group, the community more generally and many of the partner agencies.</w:t>
      </w:r>
    </w:p>
    <w:p w14:paraId="2EBE326E" w14:textId="77777777" w:rsidR="007874AE" w:rsidRDefault="00490D22" w:rsidP="00EF49FB">
      <w:pPr>
        <w:pStyle w:val="ListParagraph"/>
        <w:ind w:left="360"/>
        <w:rPr>
          <w:noProof/>
          <w:color w:val="auto"/>
          <w:lang w:eastAsia="en-AU"/>
        </w:rPr>
      </w:pPr>
      <w:r>
        <w:rPr>
          <w:noProof/>
          <w:color w:val="auto"/>
          <w:lang w:eastAsia="en-AU"/>
        </w:rPr>
        <w:t xml:space="preserve">This </w:t>
      </w:r>
      <w:r w:rsidR="00AA0578" w:rsidRPr="007874AE">
        <w:rPr>
          <w:noProof/>
          <w:color w:val="auto"/>
          <w:lang w:eastAsia="en-AU"/>
        </w:rPr>
        <w:t xml:space="preserve">is </w:t>
      </w:r>
      <w:r>
        <w:rPr>
          <w:noProof/>
          <w:color w:val="auto"/>
          <w:lang w:eastAsia="en-AU"/>
        </w:rPr>
        <w:t xml:space="preserve">percieived as being </w:t>
      </w:r>
      <w:r w:rsidR="00AA0578" w:rsidRPr="007874AE">
        <w:rPr>
          <w:noProof/>
          <w:color w:val="auto"/>
          <w:lang w:eastAsia="en-AU"/>
        </w:rPr>
        <w:t xml:space="preserve">valuable for stress release </w:t>
      </w:r>
      <w:r>
        <w:rPr>
          <w:noProof/>
          <w:color w:val="auto"/>
          <w:lang w:eastAsia="en-AU"/>
        </w:rPr>
        <w:t xml:space="preserve">and </w:t>
      </w:r>
      <w:r w:rsidR="00AA0578" w:rsidRPr="007874AE">
        <w:rPr>
          <w:noProof/>
          <w:color w:val="auto"/>
          <w:lang w:eastAsia="en-AU"/>
        </w:rPr>
        <w:t>provides opportunity for community members to receive brief intervention and engage as clients (where they are not already clients) for longer term follow up and therapeutic intervention through counselling</w:t>
      </w:r>
      <w:r w:rsidR="007874AE" w:rsidRPr="007874AE">
        <w:rPr>
          <w:noProof/>
          <w:color w:val="auto"/>
          <w:lang w:eastAsia="en-AU"/>
        </w:rPr>
        <w:t xml:space="preserve">. </w:t>
      </w:r>
      <w:r w:rsidR="007874AE" w:rsidRPr="007874AE">
        <w:rPr>
          <w:color w:val="auto"/>
          <w:lang w:eastAsia="x-none"/>
        </w:rPr>
        <w:t>Many consider this service to be critical to averting crisis for individuals and de-escalating conflict and confrontation between family and community members groups</w:t>
      </w:r>
      <w:r w:rsidR="00EF49FB">
        <w:rPr>
          <w:noProof/>
          <w:color w:val="auto"/>
          <w:lang w:eastAsia="en-AU"/>
        </w:rPr>
        <w:t>.</w:t>
      </w:r>
    </w:p>
    <w:p w14:paraId="2EBE326F" w14:textId="77777777" w:rsidR="00EF49FB" w:rsidRDefault="00EF49FB" w:rsidP="00EF49FB">
      <w:pPr>
        <w:pStyle w:val="ListParagraph"/>
        <w:ind w:left="360"/>
        <w:rPr>
          <w:noProof/>
          <w:color w:val="auto"/>
          <w:lang w:eastAsia="en-AU"/>
        </w:rPr>
      </w:pPr>
      <w:r>
        <w:rPr>
          <w:noProof/>
          <w:color w:val="auto"/>
          <w:lang w:eastAsia="en-AU"/>
        </w:rPr>
        <w:t xml:space="preserve">A component of this is the availability of the WBC as a safe place. While not utilised </w:t>
      </w:r>
      <w:r w:rsidR="00B81A9F">
        <w:rPr>
          <w:noProof/>
          <w:color w:val="auto"/>
          <w:lang w:eastAsia="en-AU"/>
        </w:rPr>
        <w:t xml:space="preserve">for this purpose </w:t>
      </w:r>
      <w:r>
        <w:rPr>
          <w:noProof/>
          <w:color w:val="auto"/>
          <w:lang w:eastAsia="en-AU"/>
        </w:rPr>
        <w:t xml:space="preserve">as frequently </w:t>
      </w:r>
      <w:r w:rsidR="00B81A9F">
        <w:rPr>
          <w:noProof/>
          <w:color w:val="auto"/>
          <w:lang w:eastAsia="en-AU"/>
        </w:rPr>
        <w:t xml:space="preserve">as for general stress relief, </w:t>
      </w:r>
      <w:r>
        <w:rPr>
          <w:noProof/>
          <w:color w:val="auto"/>
          <w:lang w:eastAsia="en-AU"/>
        </w:rPr>
        <w:t xml:space="preserve">this is still </w:t>
      </w:r>
      <w:r w:rsidR="00B81A9F">
        <w:rPr>
          <w:noProof/>
          <w:color w:val="auto"/>
          <w:lang w:eastAsia="en-AU"/>
        </w:rPr>
        <w:t xml:space="preserve">a </w:t>
      </w:r>
      <w:r>
        <w:rPr>
          <w:noProof/>
          <w:color w:val="auto"/>
          <w:lang w:eastAsia="en-AU"/>
        </w:rPr>
        <w:t xml:space="preserve">valued </w:t>
      </w:r>
      <w:r w:rsidR="00B81A9F">
        <w:rPr>
          <w:noProof/>
          <w:color w:val="auto"/>
          <w:lang w:eastAsia="en-AU"/>
        </w:rPr>
        <w:t>elem</w:t>
      </w:r>
      <w:r w:rsidR="00530184">
        <w:rPr>
          <w:noProof/>
          <w:color w:val="auto"/>
          <w:lang w:eastAsia="en-AU"/>
        </w:rPr>
        <w:t>e</w:t>
      </w:r>
      <w:r w:rsidR="00B81A9F">
        <w:rPr>
          <w:noProof/>
          <w:color w:val="auto"/>
          <w:lang w:eastAsia="en-AU"/>
        </w:rPr>
        <w:t>nt of the centres</w:t>
      </w:r>
      <w:r>
        <w:rPr>
          <w:noProof/>
          <w:color w:val="auto"/>
          <w:lang w:eastAsia="en-AU"/>
        </w:rPr>
        <w:t>.</w:t>
      </w:r>
    </w:p>
    <w:p w14:paraId="2EBE3270" w14:textId="77777777" w:rsidR="007874AE" w:rsidRPr="00490D22" w:rsidRDefault="00EF49FB" w:rsidP="0083588E">
      <w:pPr>
        <w:pStyle w:val="ListParagraph"/>
        <w:numPr>
          <w:ilvl w:val="0"/>
          <w:numId w:val="28"/>
        </w:numPr>
        <w:spacing w:before="240"/>
        <w:rPr>
          <w:noProof/>
          <w:color w:val="auto"/>
          <w:lang w:eastAsia="en-AU"/>
        </w:rPr>
      </w:pPr>
      <w:r w:rsidRPr="00702884">
        <w:rPr>
          <w:b/>
          <w:noProof/>
          <w:color w:val="1F497D" w:themeColor="text2"/>
          <w:lang w:eastAsia="en-AU"/>
        </w:rPr>
        <w:t>R</w:t>
      </w:r>
      <w:r w:rsidR="007874AE" w:rsidRPr="00702884">
        <w:rPr>
          <w:b/>
          <w:noProof/>
          <w:color w:val="1F497D" w:themeColor="text2"/>
          <w:lang w:eastAsia="en-AU"/>
        </w:rPr>
        <w:t>ecognition that it takes</w:t>
      </w:r>
      <w:r w:rsidR="00AA0578" w:rsidRPr="00702884">
        <w:rPr>
          <w:b/>
          <w:noProof/>
          <w:color w:val="1F497D" w:themeColor="text2"/>
          <w:lang w:eastAsia="en-AU"/>
        </w:rPr>
        <w:t xml:space="preserve"> time for staff to establish relationships</w:t>
      </w:r>
      <w:r w:rsidR="00490D22" w:rsidRPr="00702884">
        <w:rPr>
          <w:b/>
          <w:noProof/>
          <w:color w:val="1F497D" w:themeColor="text2"/>
          <w:lang w:eastAsia="en-AU"/>
        </w:rPr>
        <w:t xml:space="preserve">. </w:t>
      </w:r>
      <w:r w:rsidR="00490D22" w:rsidRPr="00490D22">
        <w:rPr>
          <w:noProof/>
          <w:color w:val="auto"/>
          <w:lang w:eastAsia="en-AU"/>
        </w:rPr>
        <w:t>The service model, management and staff</w:t>
      </w:r>
      <w:r w:rsidR="00490D22">
        <w:rPr>
          <w:noProof/>
          <w:color w:val="auto"/>
          <w:lang w:eastAsia="en-AU"/>
        </w:rPr>
        <w:t xml:space="preserve"> recognise </w:t>
      </w:r>
      <w:r w:rsidR="00AA0578" w:rsidRPr="00490D22">
        <w:rPr>
          <w:noProof/>
          <w:color w:val="auto"/>
          <w:lang w:eastAsia="en-AU"/>
        </w:rPr>
        <w:t>that</w:t>
      </w:r>
      <w:r w:rsidR="00490D22">
        <w:rPr>
          <w:noProof/>
          <w:color w:val="auto"/>
          <w:lang w:eastAsia="en-AU"/>
        </w:rPr>
        <w:t xml:space="preserve"> relationships with the community members and clients</w:t>
      </w:r>
      <w:r w:rsidR="00AA0578" w:rsidRPr="00490D22">
        <w:rPr>
          <w:noProof/>
          <w:color w:val="auto"/>
          <w:lang w:eastAsia="en-AU"/>
        </w:rPr>
        <w:t xml:space="preserve"> are built on </w:t>
      </w:r>
      <w:r w:rsidR="00490D22">
        <w:rPr>
          <w:noProof/>
          <w:color w:val="auto"/>
          <w:lang w:eastAsia="en-AU"/>
        </w:rPr>
        <w:t xml:space="preserve">developing </w:t>
      </w:r>
      <w:r w:rsidR="00AA0578" w:rsidRPr="00490D22">
        <w:rPr>
          <w:noProof/>
          <w:color w:val="auto"/>
          <w:lang w:eastAsia="en-AU"/>
        </w:rPr>
        <w:t>trust and reciprocity</w:t>
      </w:r>
      <w:r w:rsidR="00490D22">
        <w:rPr>
          <w:noProof/>
          <w:color w:val="auto"/>
          <w:lang w:eastAsia="en-AU"/>
        </w:rPr>
        <w:t xml:space="preserve"> and time is allowed for this to occur.</w:t>
      </w:r>
    </w:p>
    <w:p w14:paraId="2EBE3271" w14:textId="77777777" w:rsidR="007874AE" w:rsidRPr="009536C6" w:rsidRDefault="00EF49FB" w:rsidP="0083588E">
      <w:pPr>
        <w:pStyle w:val="ListParagraph"/>
        <w:numPr>
          <w:ilvl w:val="0"/>
          <w:numId w:val="28"/>
        </w:numPr>
        <w:spacing w:before="240"/>
        <w:rPr>
          <w:noProof/>
          <w:color w:val="auto"/>
          <w:lang w:eastAsia="en-AU"/>
        </w:rPr>
      </w:pPr>
      <w:r w:rsidRPr="00702884">
        <w:rPr>
          <w:b/>
          <w:noProof/>
          <w:color w:val="1F497D" w:themeColor="text2"/>
          <w:lang w:eastAsia="en-AU"/>
        </w:rPr>
        <w:t>K</w:t>
      </w:r>
      <w:r w:rsidR="00AA0578" w:rsidRPr="00702884">
        <w:rPr>
          <w:b/>
          <w:color w:val="1F497D" w:themeColor="text2"/>
          <w:lang w:eastAsia="x-none"/>
        </w:rPr>
        <w:t>ey point of contact</w:t>
      </w:r>
      <w:r w:rsidR="00AA0578" w:rsidRPr="00702884">
        <w:rPr>
          <w:color w:val="1F497D" w:themeColor="text2"/>
          <w:lang w:eastAsia="x-none"/>
        </w:rPr>
        <w:t xml:space="preserve"> </w:t>
      </w:r>
      <w:r w:rsidR="00AA0578" w:rsidRPr="00702884">
        <w:rPr>
          <w:b/>
          <w:color w:val="1F497D" w:themeColor="text2"/>
          <w:lang w:eastAsia="x-none"/>
        </w:rPr>
        <w:t>and referral</w:t>
      </w:r>
      <w:r w:rsidR="009536C6" w:rsidRPr="00702884">
        <w:rPr>
          <w:b/>
          <w:color w:val="1F497D" w:themeColor="text2"/>
          <w:lang w:eastAsia="x-none"/>
        </w:rPr>
        <w:t xml:space="preserve">. </w:t>
      </w:r>
      <w:r w:rsidR="009536C6" w:rsidRPr="009536C6">
        <w:rPr>
          <w:color w:val="auto"/>
          <w:lang w:eastAsia="x-none"/>
        </w:rPr>
        <w:t>The WBCs provide a key point of contact and referral</w:t>
      </w:r>
      <w:r w:rsidR="00AA0578" w:rsidRPr="009536C6">
        <w:rPr>
          <w:color w:val="auto"/>
          <w:lang w:eastAsia="x-none"/>
        </w:rPr>
        <w:t xml:space="preserve"> f</w:t>
      </w:r>
      <w:r w:rsidR="00AA0578" w:rsidRPr="007874AE">
        <w:rPr>
          <w:color w:val="auto"/>
          <w:lang w:eastAsia="x-none"/>
        </w:rPr>
        <w:t>or the community</w:t>
      </w:r>
      <w:r>
        <w:rPr>
          <w:color w:val="auto"/>
          <w:lang w:eastAsia="x-none"/>
        </w:rPr>
        <w:t>,</w:t>
      </w:r>
      <w:r w:rsidR="00AA0578" w:rsidRPr="007874AE">
        <w:rPr>
          <w:color w:val="auto"/>
          <w:lang w:eastAsia="x-none"/>
        </w:rPr>
        <w:t xml:space="preserve"> </w:t>
      </w:r>
      <w:r w:rsidR="009536C6">
        <w:rPr>
          <w:color w:val="auto"/>
          <w:lang w:eastAsia="x-none"/>
        </w:rPr>
        <w:t xml:space="preserve">importantly </w:t>
      </w:r>
      <w:r w:rsidR="00AA0578" w:rsidRPr="007874AE">
        <w:rPr>
          <w:color w:val="auto"/>
          <w:lang w:eastAsia="x-none"/>
        </w:rPr>
        <w:t xml:space="preserve">including </w:t>
      </w:r>
      <w:r>
        <w:rPr>
          <w:color w:val="auto"/>
          <w:lang w:eastAsia="x-none"/>
        </w:rPr>
        <w:t>for</w:t>
      </w:r>
      <w:r w:rsidR="00AA0578" w:rsidRPr="007874AE">
        <w:rPr>
          <w:color w:val="auto"/>
          <w:lang w:eastAsia="x-none"/>
        </w:rPr>
        <w:t xml:space="preserve"> community members who may not readily access other services</w:t>
      </w:r>
      <w:r w:rsidR="009536C6">
        <w:rPr>
          <w:noProof/>
          <w:color w:val="auto"/>
          <w:lang w:eastAsia="en-AU"/>
        </w:rPr>
        <w:t>.</w:t>
      </w:r>
    </w:p>
    <w:p w14:paraId="2EBE3272" w14:textId="77777777" w:rsidR="007874AE" w:rsidRDefault="00EF49FB" w:rsidP="0083588E">
      <w:pPr>
        <w:pStyle w:val="ListParagraph"/>
        <w:numPr>
          <w:ilvl w:val="0"/>
          <w:numId w:val="28"/>
        </w:numPr>
        <w:spacing w:before="240"/>
        <w:rPr>
          <w:noProof/>
          <w:color w:val="auto"/>
          <w:lang w:eastAsia="en-AU"/>
        </w:rPr>
      </w:pPr>
      <w:r w:rsidRPr="00702884">
        <w:rPr>
          <w:b/>
          <w:noProof/>
          <w:color w:val="1F497D" w:themeColor="text2"/>
          <w:lang w:eastAsia="en-AU"/>
        </w:rPr>
        <w:t>C</w:t>
      </w:r>
      <w:r w:rsidR="007874AE" w:rsidRPr="00702884">
        <w:rPr>
          <w:b/>
          <w:noProof/>
          <w:color w:val="1F497D" w:themeColor="text2"/>
          <w:lang w:eastAsia="en-AU"/>
        </w:rPr>
        <w:t>apacity to work with non-voluntary referred clients</w:t>
      </w:r>
      <w:r w:rsidR="00FD5D18" w:rsidRPr="00702884">
        <w:rPr>
          <w:b/>
          <w:color w:val="1F497D" w:themeColor="text2"/>
          <w:lang w:eastAsia="en-AU"/>
        </w:rPr>
        <w:t>.</w:t>
      </w:r>
      <w:r w:rsidR="009536C6" w:rsidRPr="00702884">
        <w:rPr>
          <w:noProof/>
          <w:color w:val="1F497D" w:themeColor="text2"/>
          <w:lang w:eastAsia="en-AU"/>
        </w:rPr>
        <w:t xml:space="preserve"> </w:t>
      </w:r>
      <w:r w:rsidR="009536C6">
        <w:rPr>
          <w:noProof/>
          <w:color w:val="auto"/>
          <w:lang w:eastAsia="en-AU"/>
        </w:rPr>
        <w:t>T</w:t>
      </w:r>
      <w:r w:rsidR="00AA0578" w:rsidRPr="007874AE">
        <w:rPr>
          <w:noProof/>
          <w:color w:val="auto"/>
          <w:lang w:eastAsia="en-AU"/>
        </w:rPr>
        <w:t>here is an expectation that the WBC will work with FRC referred clients (i.e. non-voluntary presentations) who may not normally access services until a crisis or trigger event occurs</w:t>
      </w:r>
      <w:r w:rsidR="007874AE">
        <w:rPr>
          <w:noProof/>
          <w:color w:val="auto"/>
          <w:lang w:eastAsia="en-AU"/>
        </w:rPr>
        <w:t>.</w:t>
      </w:r>
      <w:r w:rsidR="009536C6">
        <w:rPr>
          <w:noProof/>
          <w:color w:val="auto"/>
          <w:lang w:eastAsia="en-AU"/>
        </w:rPr>
        <w:t xml:space="preserve"> There </w:t>
      </w:r>
      <w:r w:rsidR="00602086">
        <w:rPr>
          <w:noProof/>
          <w:color w:val="auto"/>
          <w:lang w:eastAsia="en-AU"/>
        </w:rPr>
        <w:t xml:space="preserve">was </w:t>
      </w:r>
      <w:r w:rsidR="009536C6">
        <w:rPr>
          <w:noProof/>
          <w:color w:val="auto"/>
          <w:lang w:eastAsia="en-AU"/>
        </w:rPr>
        <w:t xml:space="preserve">evidence that </w:t>
      </w:r>
      <w:r w:rsidR="002E464A">
        <w:rPr>
          <w:noProof/>
          <w:color w:val="auto"/>
          <w:lang w:eastAsia="en-AU"/>
        </w:rPr>
        <w:t xml:space="preserve">many of these clients are able to be engaged and that </w:t>
      </w:r>
      <w:r w:rsidR="009536C6">
        <w:rPr>
          <w:noProof/>
          <w:color w:val="auto"/>
          <w:lang w:eastAsia="en-AU"/>
        </w:rPr>
        <w:t>some of these clients become voluntary after their tenure with the FRC concludes.</w:t>
      </w:r>
    </w:p>
    <w:p w14:paraId="2EBE3273" w14:textId="77777777" w:rsidR="009536C6" w:rsidRDefault="002E464A" w:rsidP="0083588E">
      <w:pPr>
        <w:pStyle w:val="ListParagraph"/>
        <w:numPr>
          <w:ilvl w:val="0"/>
          <w:numId w:val="28"/>
        </w:numPr>
        <w:spacing w:before="240"/>
        <w:rPr>
          <w:noProof/>
          <w:color w:val="auto"/>
          <w:lang w:eastAsia="en-AU"/>
        </w:rPr>
      </w:pPr>
      <w:r w:rsidRPr="00702884">
        <w:rPr>
          <w:b/>
          <w:color w:val="1F497D" w:themeColor="text2"/>
          <w:lang w:eastAsia="en-AU"/>
        </w:rPr>
        <w:t>D</w:t>
      </w:r>
      <w:r w:rsidR="007874AE" w:rsidRPr="00702884">
        <w:rPr>
          <w:b/>
          <w:color w:val="1F497D" w:themeColor="text2"/>
          <w:lang w:eastAsia="en-AU"/>
        </w:rPr>
        <w:t xml:space="preserve">evelopment of effective </w:t>
      </w:r>
      <w:r w:rsidR="00BD33DF" w:rsidRPr="00702884">
        <w:rPr>
          <w:b/>
          <w:color w:val="1F497D" w:themeColor="text2"/>
          <w:lang w:eastAsia="en-AU"/>
        </w:rPr>
        <w:t>partnerships</w:t>
      </w:r>
      <w:r w:rsidR="009536C6" w:rsidRPr="00702884">
        <w:rPr>
          <w:b/>
          <w:color w:val="1F497D" w:themeColor="text2"/>
          <w:lang w:eastAsia="en-AU"/>
        </w:rPr>
        <w:t xml:space="preserve">. </w:t>
      </w:r>
      <w:r w:rsidR="009536C6" w:rsidRPr="009536C6">
        <w:rPr>
          <w:color w:val="auto"/>
          <w:lang w:eastAsia="en-AU"/>
        </w:rPr>
        <w:t>As highlighted in Section 3.</w:t>
      </w:r>
      <w:r>
        <w:rPr>
          <w:color w:val="auto"/>
          <w:lang w:eastAsia="en-AU"/>
        </w:rPr>
        <w:t>6,</w:t>
      </w:r>
      <w:r w:rsidR="007874AE">
        <w:rPr>
          <w:color w:val="auto"/>
          <w:lang w:eastAsia="en-AU"/>
        </w:rPr>
        <w:t xml:space="preserve"> </w:t>
      </w:r>
      <w:r w:rsidR="009536C6">
        <w:rPr>
          <w:color w:val="auto"/>
          <w:lang w:eastAsia="en-AU"/>
        </w:rPr>
        <w:t xml:space="preserve">the WBC has established some very effective partnerships </w:t>
      </w:r>
      <w:r w:rsidR="007874AE">
        <w:rPr>
          <w:color w:val="auto"/>
          <w:lang w:eastAsia="en-AU"/>
        </w:rPr>
        <w:t>to support client level treatment and provision of a wider range of group activities</w:t>
      </w:r>
      <w:r w:rsidR="00A206BC">
        <w:rPr>
          <w:color w:val="auto"/>
          <w:lang w:eastAsia="en-AU"/>
        </w:rPr>
        <w:t xml:space="preserve">. </w:t>
      </w:r>
      <w:r w:rsidR="00A206BC" w:rsidRPr="00A206BC">
        <w:rPr>
          <w:color w:val="auto"/>
          <w:lang w:eastAsia="en-AU"/>
        </w:rPr>
        <w:t>There are very positive examples of WBC</w:t>
      </w:r>
      <w:r>
        <w:rPr>
          <w:color w:val="auto"/>
          <w:lang w:eastAsia="en-AU"/>
        </w:rPr>
        <w:t>s</w:t>
      </w:r>
      <w:r w:rsidR="00A206BC" w:rsidRPr="00A206BC">
        <w:rPr>
          <w:color w:val="auto"/>
          <w:lang w:eastAsia="en-AU"/>
        </w:rPr>
        <w:t xml:space="preserve"> working with partners to enhance client outcomes</w:t>
      </w:r>
      <w:r w:rsidR="00A206BC">
        <w:rPr>
          <w:color w:val="auto"/>
          <w:lang w:eastAsia="en-AU"/>
        </w:rPr>
        <w:t>.</w:t>
      </w:r>
      <w:r w:rsidR="00A206BC">
        <w:t xml:space="preserve"> Success </w:t>
      </w:r>
      <w:r w:rsidR="009536C6">
        <w:t>is</w:t>
      </w:r>
      <w:r w:rsidR="00A206BC">
        <w:t xml:space="preserve"> predicated on there being: a clear understanding </w:t>
      </w:r>
      <w:r w:rsidR="00A206BC">
        <w:rPr>
          <w:color w:val="auto"/>
          <w:lang w:eastAsia="en-AU"/>
        </w:rPr>
        <w:t>of each partner’s role and expectations</w:t>
      </w:r>
      <w:r>
        <w:rPr>
          <w:color w:val="auto"/>
          <w:lang w:eastAsia="en-AU"/>
        </w:rPr>
        <w:t>;</w:t>
      </w:r>
      <w:r w:rsidR="00A206BC">
        <w:rPr>
          <w:color w:val="auto"/>
          <w:lang w:eastAsia="en-AU"/>
        </w:rPr>
        <w:t xml:space="preserve"> the value each</w:t>
      </w:r>
      <w:r w:rsidR="00A206BC" w:rsidRPr="00A206BC">
        <w:rPr>
          <w:color w:val="auto"/>
          <w:lang w:eastAsia="en-AU"/>
        </w:rPr>
        <w:t xml:space="preserve"> partner</w:t>
      </w:r>
      <w:r w:rsidR="00A206BC">
        <w:rPr>
          <w:color w:val="auto"/>
          <w:lang w:eastAsia="en-AU"/>
        </w:rPr>
        <w:t xml:space="preserve"> </w:t>
      </w:r>
      <w:r w:rsidR="009536C6">
        <w:rPr>
          <w:color w:val="auto"/>
          <w:lang w:eastAsia="en-AU"/>
        </w:rPr>
        <w:t>adds</w:t>
      </w:r>
      <w:r w:rsidR="00A206BC">
        <w:rPr>
          <w:color w:val="auto"/>
          <w:lang w:eastAsia="en-AU"/>
        </w:rPr>
        <w:t>; clear</w:t>
      </w:r>
      <w:r w:rsidR="00A206BC" w:rsidRPr="00A206BC">
        <w:rPr>
          <w:color w:val="auto"/>
          <w:lang w:eastAsia="en-AU"/>
        </w:rPr>
        <w:t xml:space="preserve"> priorities</w:t>
      </w:r>
      <w:r w:rsidR="009536C6">
        <w:rPr>
          <w:color w:val="auto"/>
          <w:lang w:eastAsia="en-AU"/>
        </w:rPr>
        <w:t xml:space="preserve"> being established</w:t>
      </w:r>
      <w:r w:rsidR="00A206BC">
        <w:rPr>
          <w:color w:val="auto"/>
          <w:lang w:eastAsia="en-AU"/>
        </w:rPr>
        <w:t>;</w:t>
      </w:r>
      <w:r w:rsidR="00A206BC" w:rsidRPr="00A206BC">
        <w:rPr>
          <w:color w:val="auto"/>
          <w:lang w:eastAsia="en-AU"/>
        </w:rPr>
        <w:t xml:space="preserve"> and not the least </w:t>
      </w:r>
      <w:r w:rsidR="00A206BC">
        <w:rPr>
          <w:color w:val="auto"/>
          <w:lang w:eastAsia="en-AU"/>
        </w:rPr>
        <w:t xml:space="preserve">the </w:t>
      </w:r>
      <w:r w:rsidR="00A206BC" w:rsidRPr="00A206BC">
        <w:rPr>
          <w:color w:val="auto"/>
          <w:lang w:eastAsia="en-AU"/>
        </w:rPr>
        <w:t>personalities</w:t>
      </w:r>
      <w:r w:rsidR="00A206BC">
        <w:rPr>
          <w:color w:val="auto"/>
          <w:lang w:eastAsia="en-AU"/>
        </w:rPr>
        <w:t xml:space="preserve"> of each </w:t>
      </w:r>
      <w:r w:rsidR="009536C6">
        <w:rPr>
          <w:color w:val="auto"/>
          <w:lang w:eastAsia="en-AU"/>
        </w:rPr>
        <w:t xml:space="preserve">WBC and respective </w:t>
      </w:r>
      <w:r w:rsidR="00A206BC">
        <w:rPr>
          <w:color w:val="auto"/>
          <w:lang w:eastAsia="en-AU"/>
        </w:rPr>
        <w:t>partners staff</w:t>
      </w:r>
      <w:r w:rsidR="00A206BC" w:rsidRPr="00A206BC">
        <w:rPr>
          <w:color w:val="auto"/>
          <w:lang w:eastAsia="en-AU"/>
        </w:rPr>
        <w:t xml:space="preserve">. </w:t>
      </w:r>
    </w:p>
    <w:p w14:paraId="2EBE3274" w14:textId="77777777" w:rsidR="003C60A4" w:rsidRDefault="00A206BC" w:rsidP="009536C6">
      <w:pPr>
        <w:pStyle w:val="ListParagraph"/>
        <w:ind w:left="360"/>
        <w:rPr>
          <w:color w:val="auto"/>
          <w:lang w:eastAsia="en-AU"/>
        </w:rPr>
      </w:pPr>
      <w:r w:rsidRPr="00A206BC">
        <w:rPr>
          <w:color w:val="auto"/>
          <w:lang w:eastAsia="en-AU"/>
        </w:rPr>
        <w:t>The best successes were noted where WBC team leaders and management demonstrated both a strong commitment to develop a particular relationship, possessed good communication skills and of course had a willing partner. This is usually enhanced where the team leader/management of the WBC has been stable for a reason</w:t>
      </w:r>
      <w:r w:rsidR="003C60A4">
        <w:rPr>
          <w:color w:val="auto"/>
          <w:lang w:eastAsia="en-AU"/>
        </w:rPr>
        <w:t>able period of time</w:t>
      </w:r>
      <w:r w:rsidRPr="00A206BC">
        <w:rPr>
          <w:color w:val="auto"/>
          <w:lang w:eastAsia="en-AU"/>
        </w:rPr>
        <w:t>.</w:t>
      </w:r>
      <w:r>
        <w:rPr>
          <w:color w:val="auto"/>
          <w:lang w:eastAsia="en-AU"/>
        </w:rPr>
        <w:t xml:space="preserve"> </w:t>
      </w:r>
    </w:p>
    <w:p w14:paraId="2EBE3275" w14:textId="77777777" w:rsidR="009536C6" w:rsidRDefault="009536C6" w:rsidP="009536C6">
      <w:pPr>
        <w:pStyle w:val="ListParagraph"/>
        <w:ind w:left="360"/>
        <w:rPr>
          <w:noProof/>
          <w:color w:val="auto"/>
          <w:lang w:eastAsia="en-AU"/>
        </w:rPr>
      </w:pPr>
      <w:r>
        <w:rPr>
          <w:noProof/>
          <w:color w:val="auto"/>
          <w:lang w:eastAsia="en-AU"/>
        </w:rPr>
        <w:t>Over the last two years</w:t>
      </w:r>
      <w:r w:rsidR="002E464A">
        <w:rPr>
          <w:noProof/>
          <w:color w:val="auto"/>
          <w:lang w:eastAsia="en-AU"/>
        </w:rPr>
        <w:t>,</w:t>
      </w:r>
      <w:r>
        <w:rPr>
          <w:noProof/>
          <w:color w:val="auto"/>
          <w:lang w:eastAsia="en-AU"/>
        </w:rPr>
        <w:t xml:space="preserve"> establishing effective partnerships at the regional level has also been</w:t>
      </w:r>
      <w:r w:rsidR="002E464A">
        <w:rPr>
          <w:noProof/>
          <w:color w:val="auto"/>
          <w:lang w:eastAsia="en-AU"/>
        </w:rPr>
        <w:t xml:space="preserve"> important to </w:t>
      </w:r>
      <w:r>
        <w:rPr>
          <w:noProof/>
          <w:color w:val="auto"/>
          <w:lang w:eastAsia="en-AU"/>
        </w:rPr>
        <w:t>developing appropriate community and local partnership responses.</w:t>
      </w:r>
    </w:p>
    <w:p w14:paraId="2EBE3276" w14:textId="77777777" w:rsidR="00474842" w:rsidRDefault="00474842" w:rsidP="009536C6">
      <w:pPr>
        <w:pStyle w:val="ListParagraph"/>
        <w:ind w:left="360"/>
        <w:rPr>
          <w:noProof/>
          <w:color w:val="auto"/>
          <w:lang w:eastAsia="en-AU"/>
        </w:rPr>
      </w:pPr>
      <w:r>
        <w:rPr>
          <w:noProof/>
          <w:color w:val="auto"/>
          <w:lang w:eastAsia="en-AU"/>
        </w:rPr>
        <w:lastRenderedPageBreak/>
        <w:t>Converesely, we have also noted through the report that there have been partnerships that have not worked as successfully from time to time, both at the local and regional level. In particular we have noted the issue with the FRC. However, the improvements that have arisen in this relationship have been the result of a concerted effort by both parties and this simply reaffirms the importance of an effective partnership to good service oputcomes.</w:t>
      </w:r>
    </w:p>
    <w:p w14:paraId="2EBE3277" w14:textId="77777777" w:rsidR="00C41681" w:rsidRDefault="002E464A" w:rsidP="0083588E">
      <w:pPr>
        <w:pStyle w:val="ListParagraph"/>
        <w:numPr>
          <w:ilvl w:val="0"/>
          <w:numId w:val="28"/>
        </w:numPr>
        <w:rPr>
          <w:noProof/>
          <w:color w:val="auto"/>
          <w:lang w:eastAsia="en-AU"/>
        </w:rPr>
      </w:pPr>
      <w:r w:rsidRPr="00702884">
        <w:rPr>
          <w:b/>
          <w:color w:val="1F497D" w:themeColor="text2"/>
          <w:lang w:eastAsia="en-AU"/>
        </w:rPr>
        <w:t>Effectively engaging</w:t>
      </w:r>
      <w:r w:rsidR="003C60A4" w:rsidRPr="00702884">
        <w:rPr>
          <w:b/>
          <w:color w:val="1F497D" w:themeColor="text2"/>
          <w:lang w:eastAsia="en-AU"/>
        </w:rPr>
        <w:t xml:space="preserve"> the community</w:t>
      </w:r>
      <w:r w:rsidR="009536C6" w:rsidRPr="00702884">
        <w:rPr>
          <w:b/>
          <w:color w:val="1F497D" w:themeColor="text2"/>
          <w:lang w:eastAsia="en-AU"/>
        </w:rPr>
        <w:t xml:space="preserve">. </w:t>
      </w:r>
      <w:r w:rsidR="009536C6" w:rsidRPr="009536C6">
        <w:rPr>
          <w:color w:val="auto"/>
          <w:lang w:eastAsia="en-AU"/>
        </w:rPr>
        <w:t xml:space="preserve">This is fully </w:t>
      </w:r>
      <w:r w:rsidR="009536C6" w:rsidRPr="00FD5D18">
        <w:rPr>
          <w:color w:val="auto"/>
          <w:lang w:eastAsia="en-AU"/>
        </w:rPr>
        <w:t xml:space="preserve">discussed in Section </w:t>
      </w:r>
      <w:r w:rsidR="00FD5D18" w:rsidRPr="00FD5D18">
        <w:rPr>
          <w:color w:val="auto"/>
          <w:lang w:eastAsia="en-AU"/>
        </w:rPr>
        <w:fldChar w:fldCharType="begin"/>
      </w:r>
      <w:r w:rsidR="00FD5D18" w:rsidRPr="00FD5D18">
        <w:rPr>
          <w:color w:val="auto"/>
          <w:lang w:eastAsia="en-AU"/>
        </w:rPr>
        <w:instrText xml:space="preserve"> REF _Ref387398239 \r \h </w:instrText>
      </w:r>
      <w:r w:rsidR="00FD5D18">
        <w:rPr>
          <w:color w:val="auto"/>
          <w:lang w:eastAsia="en-AU"/>
        </w:rPr>
        <w:instrText xml:space="preserve"> \* MERGEFORMAT </w:instrText>
      </w:r>
      <w:r w:rsidR="00FD5D18" w:rsidRPr="00FD5D18">
        <w:rPr>
          <w:color w:val="auto"/>
          <w:lang w:eastAsia="en-AU"/>
        </w:rPr>
      </w:r>
      <w:r w:rsidR="00FD5D18" w:rsidRPr="00FD5D18">
        <w:rPr>
          <w:color w:val="auto"/>
          <w:lang w:eastAsia="en-AU"/>
        </w:rPr>
        <w:fldChar w:fldCharType="separate"/>
      </w:r>
      <w:r w:rsidR="009A19EB">
        <w:rPr>
          <w:color w:val="auto"/>
          <w:lang w:eastAsia="en-AU"/>
        </w:rPr>
        <w:t>3.7</w:t>
      </w:r>
      <w:r w:rsidR="00FD5D18" w:rsidRPr="00FD5D18">
        <w:rPr>
          <w:color w:val="auto"/>
          <w:lang w:eastAsia="en-AU"/>
        </w:rPr>
        <w:fldChar w:fldCharType="end"/>
      </w:r>
      <w:r w:rsidR="009536C6" w:rsidRPr="00FD5D18">
        <w:rPr>
          <w:color w:val="auto"/>
          <w:lang w:eastAsia="en-AU"/>
        </w:rPr>
        <w:t>.</w:t>
      </w:r>
      <w:r w:rsidR="003C60A4" w:rsidRPr="00A31834">
        <w:rPr>
          <w:color w:val="auto"/>
          <w:lang w:eastAsia="en-AU"/>
        </w:rPr>
        <w:t xml:space="preserve"> </w:t>
      </w:r>
      <w:r w:rsidR="009536C6" w:rsidRPr="00A31834">
        <w:rPr>
          <w:color w:val="auto"/>
          <w:lang w:eastAsia="en-AU"/>
        </w:rPr>
        <w:t>K</w:t>
      </w:r>
      <w:r w:rsidR="00C41681" w:rsidRPr="00A31834">
        <w:rPr>
          <w:color w:val="auto"/>
          <w:lang w:eastAsia="en-AU"/>
        </w:rPr>
        <w:t>ey</w:t>
      </w:r>
      <w:r w:rsidR="00C41681">
        <w:rPr>
          <w:color w:val="auto"/>
          <w:lang w:eastAsia="en-AU"/>
        </w:rPr>
        <w:t xml:space="preserve"> elements that have facilitated community engagement include: </w:t>
      </w:r>
    </w:p>
    <w:p w14:paraId="2EBE3278" w14:textId="77777777" w:rsidR="00C41681" w:rsidRDefault="009536C6" w:rsidP="0083588E">
      <w:pPr>
        <w:pStyle w:val="ListParagraph"/>
        <w:numPr>
          <w:ilvl w:val="1"/>
          <w:numId w:val="33"/>
        </w:numPr>
        <w:rPr>
          <w:color w:val="auto"/>
        </w:rPr>
      </w:pPr>
      <w:r>
        <w:rPr>
          <w:color w:val="auto"/>
        </w:rPr>
        <w:t>t</w:t>
      </w:r>
      <w:r w:rsidR="00C41681" w:rsidRPr="00FA509A">
        <w:rPr>
          <w:color w:val="auto"/>
        </w:rPr>
        <w:t>he employment of local staff as community development consultants</w:t>
      </w:r>
    </w:p>
    <w:p w14:paraId="2EBE3279" w14:textId="77777777" w:rsidR="00C41681" w:rsidRDefault="00C41681" w:rsidP="0083588E">
      <w:pPr>
        <w:pStyle w:val="ListParagraph"/>
        <w:numPr>
          <w:ilvl w:val="1"/>
          <w:numId w:val="33"/>
        </w:numPr>
        <w:rPr>
          <w:color w:val="auto"/>
        </w:rPr>
      </w:pPr>
      <w:r>
        <w:rPr>
          <w:color w:val="auto"/>
        </w:rPr>
        <w:t xml:space="preserve">being </w:t>
      </w:r>
      <w:r w:rsidRPr="00C41681">
        <w:rPr>
          <w:color w:val="auto"/>
        </w:rPr>
        <w:t>a welcoming and culturally safe place where people can come and simply have a cup of tea and a chat</w:t>
      </w:r>
    </w:p>
    <w:p w14:paraId="2EBE327A" w14:textId="77777777" w:rsidR="00C41681" w:rsidRDefault="00530184" w:rsidP="0083588E">
      <w:pPr>
        <w:numPr>
          <w:ilvl w:val="1"/>
          <w:numId w:val="33"/>
        </w:numPr>
        <w:rPr>
          <w:lang w:eastAsia="en-AU"/>
        </w:rPr>
      </w:pPr>
      <w:r>
        <w:rPr>
          <w:lang w:eastAsia="en-AU"/>
        </w:rPr>
        <w:t>b</w:t>
      </w:r>
      <w:r w:rsidR="00C41681">
        <w:rPr>
          <w:lang w:eastAsia="en-AU"/>
        </w:rPr>
        <w:t>eing a safe place where people can obtain refuge from stressful or violent situations</w:t>
      </w:r>
    </w:p>
    <w:p w14:paraId="2EBE327B" w14:textId="77777777" w:rsidR="00C41681" w:rsidRPr="006A4B8C" w:rsidRDefault="00530184" w:rsidP="0083588E">
      <w:pPr>
        <w:numPr>
          <w:ilvl w:val="1"/>
          <w:numId w:val="33"/>
        </w:numPr>
        <w:rPr>
          <w:lang w:eastAsia="en-AU"/>
        </w:rPr>
      </w:pPr>
      <w:r>
        <w:rPr>
          <w:lang w:eastAsia="en-AU"/>
        </w:rPr>
        <w:t>t</w:t>
      </w:r>
      <w:r w:rsidR="00C41681" w:rsidRPr="006A4B8C">
        <w:rPr>
          <w:lang w:eastAsia="en-AU"/>
        </w:rPr>
        <w:t xml:space="preserve">ailoring activities and groups to community </w:t>
      </w:r>
      <w:r w:rsidR="00C41681">
        <w:rPr>
          <w:lang w:eastAsia="en-AU"/>
        </w:rPr>
        <w:t xml:space="preserve">(and cultural) </w:t>
      </w:r>
      <w:r w:rsidR="00C41681" w:rsidRPr="006A4B8C">
        <w:rPr>
          <w:lang w:eastAsia="en-AU"/>
        </w:rPr>
        <w:t>needs</w:t>
      </w:r>
      <w:r w:rsidR="00C41681">
        <w:rPr>
          <w:lang w:eastAsia="en-AU"/>
        </w:rPr>
        <w:t xml:space="preserve"> – consulting with LAGs</w:t>
      </w:r>
      <w:r w:rsidR="007C12CB">
        <w:rPr>
          <w:lang w:eastAsia="en-AU"/>
        </w:rPr>
        <w:t xml:space="preserve"> when they have been functioning</w:t>
      </w:r>
      <w:r w:rsidR="00C41681">
        <w:rPr>
          <w:lang w:eastAsia="en-AU"/>
        </w:rPr>
        <w:t>, Women’s groups and Men’s groups</w:t>
      </w:r>
      <w:r w:rsidR="007C12CB">
        <w:rPr>
          <w:lang w:eastAsia="en-AU"/>
        </w:rPr>
        <w:t xml:space="preserve"> regarding </w:t>
      </w:r>
      <w:r w:rsidR="00C41681">
        <w:rPr>
          <w:lang w:eastAsia="en-AU"/>
        </w:rPr>
        <w:t>their needs and program preferences</w:t>
      </w:r>
    </w:p>
    <w:p w14:paraId="2EBE327C" w14:textId="77777777" w:rsidR="00C41681" w:rsidRDefault="00530184" w:rsidP="0083588E">
      <w:pPr>
        <w:numPr>
          <w:ilvl w:val="1"/>
          <w:numId w:val="33"/>
        </w:numPr>
      </w:pPr>
      <w:r>
        <w:t>o</w:t>
      </w:r>
      <w:r w:rsidR="00C41681">
        <w:t>ffering a range of programs and services (e.g. alcohol and other drugs, relationships, family violence, mental health) in a variety of settings (e.g. WBC, in-home, in other agencies, community based groups, on-country)</w:t>
      </w:r>
    </w:p>
    <w:p w14:paraId="2EBE327D" w14:textId="77777777" w:rsidR="00C41681" w:rsidRPr="00C41681" w:rsidRDefault="00530184" w:rsidP="0083588E">
      <w:pPr>
        <w:pStyle w:val="ListParagraph"/>
        <w:numPr>
          <w:ilvl w:val="1"/>
          <w:numId w:val="33"/>
        </w:numPr>
        <w:rPr>
          <w:color w:val="auto"/>
        </w:rPr>
      </w:pPr>
      <w:r>
        <w:rPr>
          <w:color w:val="auto"/>
        </w:rPr>
        <w:t>e</w:t>
      </w:r>
      <w:r w:rsidR="00C41681" w:rsidRPr="00C41681">
        <w:rPr>
          <w:color w:val="auto"/>
        </w:rPr>
        <w:t>ffective communication and relationship building</w:t>
      </w:r>
      <w:r w:rsidR="00C41681">
        <w:rPr>
          <w:color w:val="auto"/>
        </w:rPr>
        <w:t xml:space="preserve"> </w:t>
      </w:r>
      <w:r w:rsidR="007C12CB">
        <w:rPr>
          <w:color w:val="auto"/>
        </w:rPr>
        <w:t xml:space="preserve">with </w:t>
      </w:r>
      <w:r w:rsidR="00C41681" w:rsidRPr="00C41681">
        <w:rPr>
          <w:color w:val="auto"/>
        </w:rPr>
        <w:t>groups in the community such as mayors, counsellors, family representatives and the leaders of community led groups and organisations</w:t>
      </w:r>
      <w:r w:rsidR="007C12CB">
        <w:rPr>
          <w:color w:val="auto"/>
        </w:rPr>
        <w:t>.</w:t>
      </w:r>
    </w:p>
    <w:p w14:paraId="2EBE327E" w14:textId="77777777" w:rsidR="002E464A" w:rsidRPr="003F73F4" w:rsidRDefault="002E464A" w:rsidP="0083588E">
      <w:pPr>
        <w:pStyle w:val="ListParagraph"/>
        <w:numPr>
          <w:ilvl w:val="0"/>
          <w:numId w:val="29"/>
        </w:numPr>
        <w:spacing w:before="240"/>
        <w:rPr>
          <w:color w:val="auto"/>
          <w:lang w:eastAsia="en-AU"/>
        </w:rPr>
      </w:pPr>
      <w:r w:rsidRPr="00702884">
        <w:rPr>
          <w:b/>
          <w:color w:val="1F497D" w:themeColor="text2"/>
          <w:lang w:eastAsia="en-AU"/>
        </w:rPr>
        <w:t>P</w:t>
      </w:r>
      <w:r w:rsidR="007C12CB" w:rsidRPr="00702884">
        <w:rPr>
          <w:b/>
          <w:color w:val="1F497D" w:themeColor="text2"/>
          <w:lang w:eastAsia="en-AU"/>
        </w:rPr>
        <w:t>rovision of appropriate levels of training and support for local I</w:t>
      </w:r>
      <w:r w:rsidR="00B83E14" w:rsidRPr="00702884">
        <w:rPr>
          <w:b/>
          <w:color w:val="1F497D" w:themeColor="text2"/>
          <w:lang w:eastAsia="en-AU"/>
        </w:rPr>
        <w:t>ndigenous staff</w:t>
      </w:r>
      <w:r w:rsidRPr="00702884">
        <w:rPr>
          <w:b/>
          <w:color w:val="1F497D" w:themeColor="text2"/>
          <w:lang w:eastAsia="en-AU"/>
        </w:rPr>
        <w:t xml:space="preserve">. </w:t>
      </w:r>
      <w:r w:rsidRPr="003F73F4">
        <w:rPr>
          <w:color w:val="auto"/>
          <w:lang w:eastAsia="en-AU"/>
        </w:rPr>
        <w:t>Local staff need to be a credible local person, vouch for the credibility of non-local staff and the service in the community, assist in orienting new staff to the cultural expectat</w:t>
      </w:r>
      <w:r w:rsidR="00E7389B" w:rsidRPr="003F73F4">
        <w:rPr>
          <w:color w:val="auto"/>
          <w:lang w:eastAsia="en-AU"/>
        </w:rPr>
        <w:t>ions of that specific community, assist</w:t>
      </w:r>
      <w:r w:rsidRPr="003F73F4">
        <w:rPr>
          <w:color w:val="auto"/>
          <w:lang w:eastAsia="en-AU"/>
        </w:rPr>
        <w:t xml:space="preserve"> other team members with relevant and appropriate information concerning the community members and clients</w:t>
      </w:r>
      <w:r w:rsidR="00E7389B" w:rsidRPr="003F73F4">
        <w:rPr>
          <w:color w:val="auto"/>
          <w:lang w:eastAsia="en-AU"/>
        </w:rPr>
        <w:t xml:space="preserve"> and f</w:t>
      </w:r>
      <w:r w:rsidRPr="003F73F4">
        <w:rPr>
          <w:color w:val="auto"/>
          <w:lang w:eastAsia="en-AU"/>
        </w:rPr>
        <w:t>acilitat</w:t>
      </w:r>
      <w:r w:rsidR="00E7389B" w:rsidRPr="003F73F4">
        <w:rPr>
          <w:color w:val="auto"/>
          <w:lang w:eastAsia="en-AU"/>
        </w:rPr>
        <w:t>e</w:t>
      </w:r>
      <w:r w:rsidRPr="003F73F4">
        <w:rPr>
          <w:color w:val="auto"/>
          <w:lang w:eastAsia="en-AU"/>
        </w:rPr>
        <w:t xml:space="preserve"> or support</w:t>
      </w:r>
      <w:r w:rsidR="00E7389B" w:rsidRPr="003F73F4">
        <w:rPr>
          <w:color w:val="auto"/>
          <w:lang w:eastAsia="en-AU"/>
        </w:rPr>
        <w:t xml:space="preserve"> </w:t>
      </w:r>
      <w:r w:rsidRPr="003F73F4">
        <w:rPr>
          <w:color w:val="auto"/>
          <w:lang w:eastAsia="en-AU"/>
        </w:rPr>
        <w:t>the delivery of the range of WBC programs</w:t>
      </w:r>
      <w:r w:rsidR="00602086">
        <w:rPr>
          <w:color w:val="auto"/>
          <w:lang w:eastAsia="en-AU"/>
        </w:rPr>
        <w:t>. To achieve this</w:t>
      </w:r>
      <w:r w:rsidR="003F73F4" w:rsidRPr="003F73F4">
        <w:rPr>
          <w:color w:val="auto"/>
          <w:lang w:eastAsia="en-AU"/>
        </w:rPr>
        <w:t xml:space="preserve"> there is </w:t>
      </w:r>
      <w:r w:rsidR="00602086">
        <w:rPr>
          <w:color w:val="auto"/>
          <w:lang w:eastAsia="en-AU"/>
        </w:rPr>
        <w:t xml:space="preserve">a </w:t>
      </w:r>
      <w:r w:rsidR="00E7389B" w:rsidRPr="003F73F4">
        <w:rPr>
          <w:color w:val="auto"/>
          <w:lang w:eastAsia="en-AU"/>
        </w:rPr>
        <w:t xml:space="preserve">need to have realistic expectations </w:t>
      </w:r>
      <w:r w:rsidR="003F73F4" w:rsidRPr="003F73F4">
        <w:rPr>
          <w:color w:val="auto"/>
          <w:lang w:eastAsia="en-AU"/>
        </w:rPr>
        <w:t>of staff</w:t>
      </w:r>
      <w:r w:rsidR="00602086">
        <w:rPr>
          <w:color w:val="auto"/>
          <w:lang w:eastAsia="en-AU"/>
        </w:rPr>
        <w:t>,</w:t>
      </w:r>
      <w:r w:rsidR="003F73F4" w:rsidRPr="003F73F4">
        <w:rPr>
          <w:color w:val="auto"/>
          <w:lang w:eastAsia="en-AU"/>
        </w:rPr>
        <w:t xml:space="preserve"> </w:t>
      </w:r>
      <w:r w:rsidR="00E7389B" w:rsidRPr="003F73F4">
        <w:rPr>
          <w:color w:val="auto"/>
          <w:lang w:eastAsia="en-AU"/>
        </w:rPr>
        <w:t>and structures and strategies in place to</w:t>
      </w:r>
      <w:r w:rsidR="003F73F4" w:rsidRPr="003F73F4">
        <w:rPr>
          <w:color w:val="auto"/>
          <w:lang w:eastAsia="en-AU"/>
        </w:rPr>
        <w:t xml:space="preserve"> ensure local staff are trained, supported and provided with appropriate mentoring.</w:t>
      </w:r>
    </w:p>
    <w:p w14:paraId="2EBE327F" w14:textId="77777777" w:rsidR="00B83E14" w:rsidRDefault="002E464A" w:rsidP="0083588E">
      <w:pPr>
        <w:pStyle w:val="ListParagraph"/>
        <w:numPr>
          <w:ilvl w:val="0"/>
          <w:numId w:val="28"/>
        </w:numPr>
        <w:spacing w:before="240"/>
        <w:rPr>
          <w:color w:val="auto"/>
          <w:lang w:eastAsia="en-AU"/>
        </w:rPr>
      </w:pPr>
      <w:r w:rsidRPr="00702884">
        <w:rPr>
          <w:b/>
          <w:color w:val="1F497D" w:themeColor="text2"/>
          <w:lang w:eastAsia="en-AU"/>
        </w:rPr>
        <w:t>R</w:t>
      </w:r>
      <w:r w:rsidR="00C41681" w:rsidRPr="00702884">
        <w:rPr>
          <w:b/>
          <w:color w:val="1F497D" w:themeColor="text2"/>
          <w:lang w:eastAsia="en-AU"/>
        </w:rPr>
        <w:t xml:space="preserve">ecruiting </w:t>
      </w:r>
      <w:r w:rsidR="00183543" w:rsidRPr="00702884">
        <w:rPr>
          <w:b/>
          <w:color w:val="1F497D" w:themeColor="text2"/>
          <w:lang w:eastAsia="en-AU"/>
        </w:rPr>
        <w:t>the right non</w:t>
      </w:r>
      <w:r w:rsidR="00B83E14" w:rsidRPr="00702884">
        <w:rPr>
          <w:b/>
          <w:color w:val="1F497D" w:themeColor="text2"/>
          <w:lang w:eastAsia="en-AU"/>
        </w:rPr>
        <w:t>- I</w:t>
      </w:r>
      <w:r w:rsidR="00183543" w:rsidRPr="00702884">
        <w:rPr>
          <w:b/>
          <w:color w:val="1F497D" w:themeColor="text2"/>
          <w:lang w:eastAsia="en-AU"/>
        </w:rPr>
        <w:t>ndigenous staff</w:t>
      </w:r>
      <w:r w:rsidR="007C12CB">
        <w:rPr>
          <w:color w:val="auto"/>
          <w:lang w:eastAsia="en-AU"/>
        </w:rPr>
        <w:t xml:space="preserve">. It is critical that non-Indigenous </w:t>
      </w:r>
      <w:r w:rsidR="00602086">
        <w:rPr>
          <w:color w:val="auto"/>
          <w:lang w:eastAsia="en-AU"/>
        </w:rPr>
        <w:t xml:space="preserve">staff </w:t>
      </w:r>
      <w:r w:rsidR="00530184">
        <w:rPr>
          <w:color w:val="auto"/>
          <w:lang w:eastAsia="en-AU"/>
        </w:rPr>
        <w:t>are</w:t>
      </w:r>
      <w:r w:rsidR="00B83E14">
        <w:rPr>
          <w:color w:val="auto"/>
          <w:lang w:eastAsia="en-AU"/>
        </w:rPr>
        <w:t xml:space="preserve"> willing to connect with the community, </w:t>
      </w:r>
      <w:r w:rsidR="007C12CB">
        <w:rPr>
          <w:color w:val="auto"/>
          <w:lang w:eastAsia="en-AU"/>
        </w:rPr>
        <w:t xml:space="preserve">and </w:t>
      </w:r>
      <w:r w:rsidR="00B83E14">
        <w:rPr>
          <w:color w:val="auto"/>
          <w:lang w:eastAsia="en-AU"/>
        </w:rPr>
        <w:t xml:space="preserve">value the trust and respect placed in them. The staff must also be supported by </w:t>
      </w:r>
      <w:r w:rsidR="00183543" w:rsidRPr="00C41681">
        <w:rPr>
          <w:color w:val="auto"/>
          <w:lang w:eastAsia="en-AU"/>
        </w:rPr>
        <w:t>high-quality cultural competence training</w:t>
      </w:r>
      <w:r w:rsidR="007C12CB">
        <w:rPr>
          <w:color w:val="auto"/>
          <w:lang w:eastAsia="en-AU"/>
        </w:rPr>
        <w:t>.</w:t>
      </w:r>
    </w:p>
    <w:p w14:paraId="2EBE3280" w14:textId="77777777" w:rsidR="00183543" w:rsidRDefault="002E464A" w:rsidP="0083588E">
      <w:pPr>
        <w:pStyle w:val="ListParagraph"/>
        <w:numPr>
          <w:ilvl w:val="0"/>
          <w:numId w:val="28"/>
        </w:numPr>
        <w:spacing w:before="240"/>
        <w:rPr>
          <w:color w:val="auto"/>
          <w:lang w:eastAsia="en-AU"/>
        </w:rPr>
      </w:pPr>
      <w:r w:rsidRPr="00702884">
        <w:rPr>
          <w:b/>
          <w:color w:val="1F497D" w:themeColor="text2"/>
          <w:lang w:eastAsia="en-AU"/>
        </w:rPr>
        <w:t>A</w:t>
      </w:r>
      <w:r w:rsidR="00B83E14" w:rsidRPr="00702884">
        <w:rPr>
          <w:b/>
          <w:color w:val="1F497D" w:themeColor="text2"/>
          <w:lang w:eastAsia="en-AU"/>
        </w:rPr>
        <w:t>llowing</w:t>
      </w:r>
      <w:r w:rsidR="00183543" w:rsidRPr="00702884">
        <w:rPr>
          <w:b/>
          <w:color w:val="1F497D" w:themeColor="text2"/>
          <w:lang w:eastAsia="en-AU"/>
        </w:rPr>
        <w:t xml:space="preserve"> flexibility </w:t>
      </w:r>
      <w:r w:rsidR="00B83E14" w:rsidRPr="00702884">
        <w:rPr>
          <w:b/>
          <w:color w:val="1F497D" w:themeColor="text2"/>
          <w:lang w:eastAsia="en-AU"/>
        </w:rPr>
        <w:t>to respond to local issues and needs</w:t>
      </w:r>
      <w:r w:rsidR="007C12CB" w:rsidRPr="00702884">
        <w:rPr>
          <w:b/>
          <w:color w:val="1F497D" w:themeColor="text2"/>
          <w:lang w:eastAsia="en-AU"/>
        </w:rPr>
        <w:t xml:space="preserve">. </w:t>
      </w:r>
      <w:r w:rsidR="007C12CB" w:rsidRPr="007C12CB">
        <w:rPr>
          <w:color w:val="auto"/>
          <w:lang w:eastAsia="en-AU"/>
        </w:rPr>
        <w:t>The level of local flexibility is highly valued</w:t>
      </w:r>
      <w:r w:rsidR="007A08D8">
        <w:rPr>
          <w:color w:val="auto"/>
          <w:lang w:eastAsia="en-AU"/>
        </w:rPr>
        <w:t>,</w:t>
      </w:r>
      <w:r w:rsidR="007C12CB" w:rsidRPr="007C12CB">
        <w:rPr>
          <w:color w:val="auto"/>
          <w:lang w:eastAsia="en-AU"/>
        </w:rPr>
        <w:t xml:space="preserve"> </w:t>
      </w:r>
      <w:r w:rsidR="007C12CB">
        <w:rPr>
          <w:color w:val="auto"/>
          <w:lang w:eastAsia="en-AU"/>
        </w:rPr>
        <w:t xml:space="preserve">however it is important that this </w:t>
      </w:r>
      <w:r w:rsidR="00B83E14">
        <w:rPr>
          <w:color w:val="auto"/>
          <w:lang w:eastAsia="en-AU"/>
        </w:rPr>
        <w:t xml:space="preserve">is </w:t>
      </w:r>
      <w:r w:rsidR="00183543" w:rsidRPr="00B83E14">
        <w:rPr>
          <w:color w:val="auto"/>
          <w:lang w:eastAsia="en-AU"/>
        </w:rPr>
        <w:t xml:space="preserve">within </w:t>
      </w:r>
      <w:r w:rsidR="00B83E14">
        <w:rPr>
          <w:color w:val="auto"/>
          <w:lang w:eastAsia="en-AU"/>
        </w:rPr>
        <w:t>the context</w:t>
      </w:r>
      <w:r w:rsidR="007C12CB">
        <w:rPr>
          <w:color w:val="auto"/>
          <w:lang w:eastAsia="en-AU"/>
        </w:rPr>
        <w:t xml:space="preserve"> and parameters</w:t>
      </w:r>
      <w:r w:rsidR="00B83E14">
        <w:rPr>
          <w:color w:val="auto"/>
          <w:lang w:eastAsia="en-AU"/>
        </w:rPr>
        <w:t xml:space="preserve"> of a clearly </w:t>
      </w:r>
      <w:r w:rsidR="007C12CB">
        <w:rPr>
          <w:color w:val="auto"/>
          <w:lang w:eastAsia="en-AU"/>
        </w:rPr>
        <w:t xml:space="preserve">defined and </w:t>
      </w:r>
      <w:r w:rsidR="00183543" w:rsidRPr="00B83E14">
        <w:rPr>
          <w:color w:val="auto"/>
          <w:lang w:eastAsia="en-AU"/>
        </w:rPr>
        <w:t>documented service model</w:t>
      </w:r>
      <w:r w:rsidR="007C12CB">
        <w:rPr>
          <w:color w:val="auto"/>
          <w:lang w:eastAsia="en-AU"/>
        </w:rPr>
        <w:t>.</w:t>
      </w:r>
    </w:p>
    <w:p w14:paraId="2EBE3281" w14:textId="77777777" w:rsidR="00217860" w:rsidRPr="00D420ED" w:rsidRDefault="00217860" w:rsidP="00217860">
      <w:pPr>
        <w:pStyle w:val="ListParagraph"/>
        <w:ind w:left="360"/>
      </w:pPr>
      <w:r w:rsidRPr="00D420ED">
        <w:t>One good example of a specific response to a particular SEWB need is the recently commenced Intensive Youth Support Program that is being trialled in Aurukun with 1</w:t>
      </w:r>
      <w:r w:rsidR="00557769">
        <w:t>4</w:t>
      </w:r>
      <w:r w:rsidRPr="00D420ED">
        <w:t xml:space="preserve"> extremely challenging youth. Consensus of partners is that this is a critical issue for the wellbeing of the individuals, their families and also the community and it is showing early signs of promising results. </w:t>
      </w:r>
    </w:p>
    <w:p w14:paraId="2EBE3282" w14:textId="77777777" w:rsidR="00B83E14" w:rsidRDefault="00F45714" w:rsidP="00735B5B">
      <w:pPr>
        <w:spacing w:before="240"/>
        <w:rPr>
          <w:lang w:eastAsia="x-none"/>
        </w:rPr>
      </w:pPr>
      <w:r>
        <w:rPr>
          <w:lang w:eastAsia="x-none"/>
        </w:rPr>
        <w:lastRenderedPageBreak/>
        <w:t xml:space="preserve">There is a high level of correlation between the key success factors identified above and what was identified as working in a recently completed review of </w:t>
      </w:r>
      <w:r w:rsidR="007C12CB">
        <w:rPr>
          <w:lang w:eastAsia="x-none"/>
        </w:rPr>
        <w:t xml:space="preserve">Indigenous </w:t>
      </w:r>
      <w:r>
        <w:rPr>
          <w:lang w:eastAsia="x-none"/>
        </w:rPr>
        <w:t>early childhood, education and health intervention programs.</w:t>
      </w:r>
      <w:r>
        <w:rPr>
          <w:rStyle w:val="FootnoteReference"/>
          <w:lang w:eastAsia="x-none"/>
        </w:rPr>
        <w:footnoteReference w:id="43"/>
      </w:r>
    </w:p>
    <w:p w14:paraId="2EBE3283" w14:textId="77777777" w:rsidR="00D862A5" w:rsidRDefault="00D862A5" w:rsidP="00BC0A26">
      <w:pPr>
        <w:pStyle w:val="Heading3"/>
      </w:pPr>
      <w:r>
        <w:t xml:space="preserve">Key challenges </w:t>
      </w:r>
    </w:p>
    <w:p w14:paraId="2EBE3284" w14:textId="77777777" w:rsidR="00690341" w:rsidRDefault="00690341" w:rsidP="00735B5B">
      <w:pPr>
        <w:spacing w:before="240"/>
        <w:rPr>
          <w:lang w:eastAsia="x-none"/>
        </w:rPr>
      </w:pPr>
      <w:r w:rsidRPr="00690341">
        <w:rPr>
          <w:lang w:eastAsia="x-none"/>
        </w:rPr>
        <w:t xml:space="preserve">Key challenges have included: </w:t>
      </w:r>
    </w:p>
    <w:p w14:paraId="2EBE3285" w14:textId="77777777" w:rsidR="00690341" w:rsidRDefault="00690341" w:rsidP="0083588E">
      <w:pPr>
        <w:pStyle w:val="ListParagraph"/>
        <w:numPr>
          <w:ilvl w:val="0"/>
          <w:numId w:val="40"/>
        </w:numPr>
        <w:spacing w:before="240"/>
        <w:rPr>
          <w:lang w:eastAsia="x-none"/>
        </w:rPr>
      </w:pPr>
      <w:r w:rsidRPr="00690341">
        <w:rPr>
          <w:b/>
          <w:color w:val="1F497D" w:themeColor="text2"/>
          <w:lang w:eastAsia="en-AU"/>
        </w:rPr>
        <w:t>Successfully obtaining structured community input on an ongoing basis</w:t>
      </w:r>
      <w:r w:rsidRPr="00690341">
        <w:rPr>
          <w:lang w:eastAsia="x-none"/>
        </w:rPr>
        <w:t>, a prob</w:t>
      </w:r>
      <w:r w:rsidR="00F23DFC">
        <w:rPr>
          <w:lang w:eastAsia="x-none"/>
        </w:rPr>
        <w:t>lem shared with other agencies. This issue is fully explored in Sections 3.7.4 and 3.7.5.</w:t>
      </w:r>
    </w:p>
    <w:p w14:paraId="2EBE3286" w14:textId="77777777" w:rsidR="00690341" w:rsidRDefault="00690341" w:rsidP="0083588E">
      <w:pPr>
        <w:pStyle w:val="ListParagraph"/>
        <w:numPr>
          <w:ilvl w:val="0"/>
          <w:numId w:val="40"/>
        </w:numPr>
        <w:spacing w:before="240"/>
        <w:rPr>
          <w:lang w:eastAsia="x-none"/>
        </w:rPr>
      </w:pPr>
      <w:r w:rsidRPr="00690341">
        <w:rPr>
          <w:b/>
          <w:color w:val="1F497D" w:themeColor="text2"/>
          <w:lang w:eastAsia="en-AU"/>
        </w:rPr>
        <w:t>Capacity building efforts in underpinning a longer term intention of community control</w:t>
      </w:r>
      <w:r w:rsidRPr="00690341">
        <w:rPr>
          <w:lang w:eastAsia="x-none"/>
        </w:rPr>
        <w:t xml:space="preserve"> (which to date</w:t>
      </w:r>
      <w:r w:rsidR="00F23DFC">
        <w:rPr>
          <w:lang w:eastAsia="x-none"/>
        </w:rPr>
        <w:t xml:space="preserve"> have not been successful).</w:t>
      </w:r>
      <w:r w:rsidR="00F23DFC" w:rsidRPr="00F23DFC">
        <w:rPr>
          <w:lang w:eastAsia="x-none"/>
        </w:rPr>
        <w:t xml:space="preserve"> </w:t>
      </w:r>
      <w:r w:rsidR="00F23DFC">
        <w:rPr>
          <w:lang w:eastAsia="x-none"/>
        </w:rPr>
        <w:t>This iss</w:t>
      </w:r>
      <w:r w:rsidR="00AF09A9">
        <w:rPr>
          <w:lang w:eastAsia="x-none"/>
        </w:rPr>
        <w:t>ue is fully explored in Section</w:t>
      </w:r>
      <w:r w:rsidR="00F23DFC">
        <w:rPr>
          <w:lang w:eastAsia="x-none"/>
        </w:rPr>
        <w:t xml:space="preserve"> 3.7.5. </w:t>
      </w:r>
    </w:p>
    <w:p w14:paraId="2EBE3287" w14:textId="77777777" w:rsidR="00D862A5" w:rsidRDefault="00690341" w:rsidP="0083588E">
      <w:pPr>
        <w:pStyle w:val="ListParagraph"/>
        <w:numPr>
          <w:ilvl w:val="0"/>
          <w:numId w:val="40"/>
        </w:numPr>
        <w:spacing w:before="240"/>
        <w:rPr>
          <w:lang w:eastAsia="x-none"/>
        </w:rPr>
      </w:pPr>
      <w:r>
        <w:rPr>
          <w:b/>
          <w:color w:val="1F497D" w:themeColor="text2"/>
          <w:lang w:eastAsia="en-AU"/>
        </w:rPr>
        <w:t>B</w:t>
      </w:r>
      <w:r w:rsidRPr="00690341">
        <w:rPr>
          <w:b/>
          <w:color w:val="1F497D" w:themeColor="text2"/>
          <w:lang w:eastAsia="en-AU"/>
        </w:rPr>
        <w:t>uilding successful working relationships with the FRC (noting substantial improvements in the last 12 to 18 months).</w:t>
      </w:r>
      <w:r w:rsidR="00AF09A9" w:rsidRPr="00AF09A9">
        <w:t xml:space="preserve"> </w:t>
      </w:r>
      <w:r w:rsidR="00AF09A9">
        <w:rPr>
          <w:lang w:eastAsia="x-none"/>
        </w:rPr>
        <w:t xml:space="preserve">This issue is fully explored in Section 3.6.1. </w:t>
      </w:r>
    </w:p>
    <w:p w14:paraId="2EBE3288" w14:textId="77777777" w:rsidR="00F660CA"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pPr>
      <w:r w:rsidRPr="00F660CA">
        <w:rPr>
          <w:b/>
          <w:lang w:eastAsia="x-none"/>
        </w:rPr>
        <w:t xml:space="preserve">Key review finding #8 </w:t>
      </w:r>
      <w:r w:rsidRPr="00D862A5">
        <w:t>The key success factors for the WBCs have included: the level of integration between the core areas of activity (i.e. counselling, drop-in and groups); capacity to work with clients across a wide range of issues that impact upon SEWB; drop-in element; recognition that it takes time for staff to establish relationships; ability to be a key point of contact and referral; capacity to work with non-voluntary referred clients; development of effective partnerships; employment and provision of appropriate levels of training and support for local indigenous staff; recruiting the right non- indigenous staff; and allowing flexibility to respond to local issues and needs.</w:t>
      </w:r>
    </w:p>
    <w:p w14:paraId="2EBE3289" w14:textId="77777777" w:rsidR="00F660CA"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spacing w:before="240"/>
        <w:rPr>
          <w:lang w:eastAsia="x-none"/>
        </w:rPr>
      </w:pPr>
      <w:r w:rsidRPr="00690341">
        <w:t>Key challenges have included:</w:t>
      </w:r>
      <w:r w:rsidRPr="00690341">
        <w:rPr>
          <w:lang w:eastAsia="en-AU"/>
        </w:rPr>
        <w:t xml:space="preserve"> successfully obtaining structured community input on an ongoing basis, a problem shared with other agencies; capacity building efforts in underpinning a longer term intention of community control (which to date have not been successful); and building successful working relationships with the FRC (noting substantial improvements in the last 12 to 18 months).</w:t>
      </w:r>
    </w:p>
    <w:p w14:paraId="2EBE328A" w14:textId="77777777" w:rsidR="0070757F" w:rsidRPr="006A0025" w:rsidRDefault="00FE2793" w:rsidP="006A0025">
      <w:pPr>
        <w:pStyle w:val="Heading2"/>
      </w:pPr>
      <w:bookmarkStart w:id="217" w:name="_Opportunities_for_improvement"/>
      <w:bookmarkStart w:id="218" w:name="_Toc440038460"/>
      <w:bookmarkEnd w:id="217"/>
      <w:r>
        <w:rPr>
          <w:lang w:val="en-AU"/>
        </w:rPr>
        <w:t>O</w:t>
      </w:r>
      <w:r w:rsidR="00AF09A9">
        <w:rPr>
          <w:lang w:val="en-AU"/>
        </w:rPr>
        <w:t>pportunities for improvement</w:t>
      </w:r>
      <w:bookmarkEnd w:id="218"/>
    </w:p>
    <w:p w14:paraId="2EBE328B" w14:textId="77777777" w:rsidR="006A0025" w:rsidRDefault="006A0025" w:rsidP="003F49F0">
      <w:pPr>
        <w:rPr>
          <w:lang w:eastAsia="x-none"/>
        </w:rPr>
      </w:pPr>
      <w:r>
        <w:rPr>
          <w:lang w:eastAsia="x-none"/>
        </w:rPr>
        <w:t xml:space="preserve">This section presents </w:t>
      </w:r>
      <w:r w:rsidR="00E93D28">
        <w:rPr>
          <w:lang w:eastAsia="x-none"/>
        </w:rPr>
        <w:t xml:space="preserve">proposed opportunities for improvement </w:t>
      </w:r>
      <w:r>
        <w:rPr>
          <w:lang w:eastAsia="x-none"/>
        </w:rPr>
        <w:t>in the context of strengthening the current WBC approach as it is operated by the RFDS in the current WBC communities.</w:t>
      </w:r>
    </w:p>
    <w:p w14:paraId="2EBE328C" w14:textId="77777777" w:rsidR="006A0025" w:rsidRDefault="006A0025" w:rsidP="00FE2793">
      <w:pPr>
        <w:spacing w:before="120" w:after="120"/>
        <w:rPr>
          <w:lang w:eastAsia="en-AU"/>
        </w:rPr>
      </w:pPr>
      <w:r>
        <w:rPr>
          <w:lang w:eastAsia="en-AU"/>
        </w:rPr>
        <w:t xml:space="preserve">Each of these </w:t>
      </w:r>
      <w:r w:rsidR="00E93D28">
        <w:rPr>
          <w:lang w:eastAsia="en-AU"/>
        </w:rPr>
        <w:t>proposed opportunities</w:t>
      </w:r>
      <w:r>
        <w:rPr>
          <w:lang w:eastAsia="en-AU"/>
        </w:rPr>
        <w:t xml:space="preserve"> has been developed from analysis presented in Chapter 3. </w:t>
      </w:r>
      <w:r w:rsidR="00C6352F">
        <w:rPr>
          <w:lang w:eastAsia="en-AU"/>
        </w:rPr>
        <w:t>While t</w:t>
      </w:r>
      <w:r>
        <w:rPr>
          <w:lang w:eastAsia="en-AU"/>
        </w:rPr>
        <w:t>he</w:t>
      </w:r>
      <w:r w:rsidR="00735B5B">
        <w:rPr>
          <w:lang w:eastAsia="en-AU"/>
        </w:rPr>
        <w:t xml:space="preserve"> </w:t>
      </w:r>
      <w:r w:rsidR="00E93D28">
        <w:rPr>
          <w:lang w:eastAsia="en-AU"/>
        </w:rPr>
        <w:t xml:space="preserve">proposed opportunities </w:t>
      </w:r>
      <w:r>
        <w:rPr>
          <w:lang w:eastAsia="en-AU"/>
        </w:rPr>
        <w:t xml:space="preserve">have been presented </w:t>
      </w:r>
      <w:r w:rsidR="00C6352F">
        <w:rPr>
          <w:lang w:eastAsia="en-AU"/>
        </w:rPr>
        <w:t xml:space="preserve">in that chapter, they are presented </w:t>
      </w:r>
      <w:r>
        <w:rPr>
          <w:lang w:eastAsia="en-AU"/>
        </w:rPr>
        <w:t xml:space="preserve">in this section </w:t>
      </w:r>
      <w:r w:rsidR="00735B5B">
        <w:rPr>
          <w:lang w:eastAsia="en-AU"/>
        </w:rPr>
        <w:t>for convenience and to provide</w:t>
      </w:r>
      <w:r>
        <w:rPr>
          <w:lang w:eastAsia="en-AU"/>
        </w:rPr>
        <w:t xml:space="preserve"> a logical sequence to the report.</w:t>
      </w:r>
    </w:p>
    <w:p w14:paraId="2EBE328D" w14:textId="77777777" w:rsidR="00FA115D" w:rsidRDefault="00FA115D" w:rsidP="00FE2793">
      <w:pPr>
        <w:spacing w:before="120" w:after="120"/>
        <w:rPr>
          <w:lang w:eastAsia="en-AU"/>
        </w:rPr>
      </w:pPr>
      <w:r>
        <w:rPr>
          <w:lang w:eastAsia="en-AU"/>
        </w:rPr>
        <w:t>Each of these opportunities for improvement will need to be considered in the context of the major recommendations presented in Chapter 5.</w:t>
      </w:r>
    </w:p>
    <w:p w14:paraId="2EBE328E" w14:textId="77777777" w:rsidR="003F49F0" w:rsidRPr="003F49F0" w:rsidRDefault="003F49F0" w:rsidP="0083588E">
      <w:pPr>
        <w:pStyle w:val="ListParagraph"/>
        <w:numPr>
          <w:ilvl w:val="0"/>
          <w:numId w:val="44"/>
        </w:numPr>
        <w:spacing w:before="120"/>
        <w:rPr>
          <w:lang w:eastAsia="en-AU"/>
        </w:rPr>
      </w:pPr>
      <w:r w:rsidRPr="00702884">
        <w:rPr>
          <w:b/>
          <w:color w:val="1F497D" w:themeColor="text2"/>
          <w:lang w:eastAsia="en-AU"/>
        </w:rPr>
        <w:t xml:space="preserve">It is </w:t>
      </w:r>
      <w:r w:rsidR="00E93D28">
        <w:rPr>
          <w:b/>
          <w:color w:val="1F497D" w:themeColor="text2"/>
          <w:lang w:eastAsia="en-AU"/>
        </w:rPr>
        <w:t>proposed</w:t>
      </w:r>
      <w:r w:rsidRPr="00702884">
        <w:rPr>
          <w:color w:val="1F497D" w:themeColor="text2"/>
          <w:lang w:eastAsia="en-AU"/>
        </w:rPr>
        <w:t xml:space="preserve"> </w:t>
      </w:r>
      <w:r w:rsidRPr="003F49F0">
        <w:rPr>
          <w:lang w:eastAsia="en-AU"/>
        </w:rPr>
        <w:t>that the service model description be updated in the second half of 2014.</w:t>
      </w:r>
    </w:p>
    <w:p w14:paraId="2EBE328F" w14:textId="77777777" w:rsidR="003F49F0" w:rsidRPr="003F49F0" w:rsidRDefault="003F49F0" w:rsidP="00FE2793">
      <w:pPr>
        <w:spacing w:before="120" w:after="120"/>
        <w:ind w:firstLine="357"/>
        <w:rPr>
          <w:lang w:eastAsia="en-AU"/>
        </w:rPr>
      </w:pPr>
      <w:r w:rsidRPr="003F49F0">
        <w:rPr>
          <w:lang w:eastAsia="en-AU"/>
        </w:rPr>
        <w:t xml:space="preserve">The update should incorporate the </w:t>
      </w:r>
      <w:r w:rsidR="00C6352F">
        <w:rPr>
          <w:lang w:eastAsia="en-AU"/>
        </w:rPr>
        <w:t xml:space="preserve">following </w:t>
      </w:r>
      <w:r w:rsidR="00C43161">
        <w:rPr>
          <w:lang w:eastAsia="en-AU"/>
        </w:rPr>
        <w:t>key areas:</w:t>
      </w:r>
      <w:r w:rsidRPr="003F49F0">
        <w:rPr>
          <w:lang w:eastAsia="en-AU"/>
        </w:rPr>
        <w:t xml:space="preserve"> </w:t>
      </w:r>
    </w:p>
    <w:p w14:paraId="2EBE3290" w14:textId="77777777" w:rsidR="00C6352F" w:rsidRPr="003F49F0" w:rsidRDefault="00C43161" w:rsidP="0083588E">
      <w:pPr>
        <w:numPr>
          <w:ilvl w:val="1"/>
          <w:numId w:val="35"/>
        </w:numPr>
        <w:spacing w:before="120" w:after="120"/>
        <w:rPr>
          <w:lang w:eastAsia="en-AU"/>
        </w:rPr>
      </w:pPr>
      <w:r>
        <w:rPr>
          <w:lang w:eastAsia="en-AU"/>
        </w:rPr>
        <w:t>t</w:t>
      </w:r>
      <w:r w:rsidR="00C6352F" w:rsidRPr="003F49F0">
        <w:rPr>
          <w:lang w:eastAsia="en-AU"/>
        </w:rPr>
        <w:t>he need for a clear description of the services provided by the WBCs in the mental health and ATODS service lines and the associated interface with Queensland Health</w:t>
      </w:r>
    </w:p>
    <w:p w14:paraId="2EBE3291" w14:textId="77777777" w:rsidR="00C6352F" w:rsidRPr="003F49F0" w:rsidRDefault="00C43161" w:rsidP="0083588E">
      <w:pPr>
        <w:numPr>
          <w:ilvl w:val="1"/>
          <w:numId w:val="35"/>
        </w:numPr>
        <w:spacing w:before="120" w:after="120"/>
        <w:rPr>
          <w:lang w:eastAsia="en-AU"/>
        </w:rPr>
      </w:pPr>
      <w:r>
        <w:rPr>
          <w:lang w:eastAsia="en-AU"/>
        </w:rPr>
        <w:t>t</w:t>
      </w:r>
      <w:r w:rsidR="00C6352F" w:rsidRPr="003F49F0">
        <w:rPr>
          <w:lang w:eastAsia="en-AU"/>
        </w:rPr>
        <w:t>he need for a clear description of the services provided by the WBCs in relation to FRC clients and how the WBC and FRC can work more closely together to improve outcomes for clients</w:t>
      </w:r>
    </w:p>
    <w:p w14:paraId="2EBE3292" w14:textId="77777777" w:rsidR="00C6352F" w:rsidRPr="003F49F0" w:rsidRDefault="00C43161" w:rsidP="0083588E">
      <w:pPr>
        <w:numPr>
          <w:ilvl w:val="1"/>
          <w:numId w:val="35"/>
        </w:numPr>
        <w:spacing w:before="120" w:after="120"/>
        <w:rPr>
          <w:color w:val="auto"/>
          <w:lang w:eastAsia="en-AU"/>
        </w:rPr>
      </w:pPr>
      <w:r>
        <w:rPr>
          <w:color w:val="auto"/>
          <w:lang w:eastAsia="en-AU"/>
        </w:rPr>
        <w:lastRenderedPageBreak/>
        <w:t>a</w:t>
      </w:r>
      <w:r w:rsidR="00C6352F" w:rsidRPr="003F49F0">
        <w:rPr>
          <w:color w:val="auto"/>
          <w:lang w:eastAsia="en-AU"/>
        </w:rPr>
        <w:t>ligned to the above points, the need to clarify how and when modules and specific topics are used and for whom</w:t>
      </w:r>
    </w:p>
    <w:p w14:paraId="2EBE3293" w14:textId="77777777" w:rsidR="00C6352F" w:rsidRPr="003F49F0" w:rsidRDefault="00C43161" w:rsidP="0083588E">
      <w:pPr>
        <w:numPr>
          <w:ilvl w:val="1"/>
          <w:numId w:val="35"/>
        </w:numPr>
        <w:spacing w:before="120" w:after="120"/>
        <w:rPr>
          <w:color w:val="auto"/>
          <w:lang w:eastAsia="en-AU"/>
        </w:rPr>
      </w:pPr>
      <w:r>
        <w:rPr>
          <w:color w:val="auto"/>
          <w:lang w:eastAsia="en-AU"/>
        </w:rPr>
        <w:t>t</w:t>
      </w:r>
      <w:r w:rsidR="00C6352F" w:rsidRPr="003F49F0">
        <w:rPr>
          <w:color w:val="auto"/>
          <w:lang w:eastAsia="en-AU"/>
        </w:rPr>
        <w:t>he need to strengthen description of the approach to non SE</w:t>
      </w:r>
      <w:r w:rsidR="00735B5B">
        <w:rPr>
          <w:color w:val="auto"/>
          <w:lang w:eastAsia="en-AU"/>
        </w:rPr>
        <w:t>WB primary health care services</w:t>
      </w:r>
    </w:p>
    <w:p w14:paraId="2EBE3294" w14:textId="77777777" w:rsidR="00C6352F" w:rsidRDefault="00C43161" w:rsidP="0083588E">
      <w:pPr>
        <w:numPr>
          <w:ilvl w:val="1"/>
          <w:numId w:val="35"/>
        </w:numPr>
        <w:spacing w:before="120" w:after="120"/>
        <w:rPr>
          <w:lang w:eastAsia="en-AU"/>
        </w:rPr>
      </w:pPr>
      <w:r>
        <w:rPr>
          <w:lang w:eastAsia="en-AU"/>
        </w:rPr>
        <w:t>t</w:t>
      </w:r>
      <w:r w:rsidR="00C6352F" w:rsidRPr="003F49F0">
        <w:rPr>
          <w:lang w:eastAsia="en-AU"/>
        </w:rPr>
        <w:t>he need for a clear description of the skills and qualification required to work in the WBC and associated workforce development strategies.</w:t>
      </w:r>
    </w:p>
    <w:p w14:paraId="2EBE3295" w14:textId="77777777" w:rsidR="00E2055C" w:rsidRDefault="00E2055C" w:rsidP="0083588E">
      <w:pPr>
        <w:pStyle w:val="ListParagraph"/>
        <w:numPr>
          <w:ilvl w:val="0"/>
          <w:numId w:val="44"/>
        </w:numPr>
        <w:rPr>
          <w:lang w:eastAsia="x-none"/>
        </w:rPr>
      </w:pPr>
      <w:r w:rsidRPr="00E2055C">
        <w:rPr>
          <w:b/>
          <w:color w:val="1F497D" w:themeColor="text2"/>
          <w:lang w:eastAsia="x-none"/>
        </w:rPr>
        <w:t>It is proposed</w:t>
      </w:r>
      <w:r>
        <w:rPr>
          <w:lang w:eastAsia="x-none"/>
        </w:rPr>
        <w:t xml:space="preserve"> </w:t>
      </w:r>
      <w:r w:rsidRPr="00F325F6">
        <w:rPr>
          <w:lang w:eastAsia="x-none"/>
        </w:rPr>
        <w:t xml:space="preserve">that </w:t>
      </w:r>
      <w:r>
        <w:rPr>
          <w:lang w:eastAsia="x-none"/>
        </w:rPr>
        <w:t>opportunities for formally integrating welfare and support services into social and emotional wellbeing services including appropriate funding be considered on a community by community basis.</w:t>
      </w:r>
    </w:p>
    <w:p w14:paraId="2EBE3296" w14:textId="77777777" w:rsidR="00C843BD" w:rsidRDefault="00C843BD" w:rsidP="0083588E">
      <w:pPr>
        <w:pStyle w:val="ListParagraph"/>
        <w:numPr>
          <w:ilvl w:val="0"/>
          <w:numId w:val="44"/>
        </w:numPr>
        <w:rPr>
          <w:lang w:eastAsia="x-none"/>
        </w:rPr>
      </w:pPr>
      <w:r w:rsidRPr="00ED403F">
        <w:rPr>
          <w:b/>
          <w:color w:val="1F497D" w:themeColor="text2"/>
          <w:lang w:eastAsia="x-none"/>
        </w:rPr>
        <w:t>It is proposed</w:t>
      </w:r>
      <w:r>
        <w:rPr>
          <w:lang w:eastAsia="x-none"/>
        </w:rPr>
        <w:t xml:space="preserve"> </w:t>
      </w:r>
      <w:r w:rsidRPr="00F325F6">
        <w:rPr>
          <w:lang w:eastAsia="x-none"/>
        </w:rPr>
        <w:t>that the RFDS continue to focus effort on integrating non</w:t>
      </w:r>
      <w:r>
        <w:rPr>
          <w:lang w:eastAsia="x-none"/>
        </w:rPr>
        <w:t>-</w:t>
      </w:r>
      <w:r w:rsidRPr="00F325F6">
        <w:rPr>
          <w:lang w:eastAsia="x-none"/>
        </w:rPr>
        <w:t xml:space="preserve">SEWB primary health care into its service. The RFDS </w:t>
      </w:r>
      <w:r>
        <w:rPr>
          <w:lang w:eastAsia="x-none"/>
        </w:rPr>
        <w:t>should continue</w:t>
      </w:r>
      <w:r w:rsidRPr="00F325F6">
        <w:rPr>
          <w:lang w:eastAsia="x-none"/>
        </w:rPr>
        <w:t xml:space="preserve"> to work in conjunction with Apunipima and the local clinic in WBC communities </w:t>
      </w:r>
      <w:r>
        <w:rPr>
          <w:lang w:eastAsia="x-none"/>
        </w:rPr>
        <w:t xml:space="preserve">to further integrate SEWB and Non-SEWB services </w:t>
      </w:r>
      <w:r w:rsidRPr="00F325F6">
        <w:rPr>
          <w:lang w:eastAsia="x-none"/>
        </w:rPr>
        <w:t>(in the case of Apunipima as part of that organisations strategy to embed a SEWB approach across their family and community centred primary health care model</w:t>
      </w:r>
      <w:r>
        <w:rPr>
          <w:lang w:eastAsia="x-none"/>
        </w:rPr>
        <w:t>).</w:t>
      </w:r>
    </w:p>
    <w:p w14:paraId="2EBE3297" w14:textId="77777777" w:rsidR="00C843BD" w:rsidRDefault="00C843BD" w:rsidP="0083588E">
      <w:pPr>
        <w:pStyle w:val="ListParagraph"/>
        <w:numPr>
          <w:ilvl w:val="0"/>
          <w:numId w:val="44"/>
        </w:numPr>
        <w:rPr>
          <w:lang w:eastAsia="x-none"/>
        </w:rPr>
      </w:pPr>
      <w:r w:rsidRPr="00ED403F">
        <w:rPr>
          <w:b/>
          <w:color w:val="1F497D" w:themeColor="text2"/>
          <w:lang w:eastAsia="x-none"/>
        </w:rPr>
        <w:t>It is proposed</w:t>
      </w:r>
      <w:r w:rsidRPr="00C843BD">
        <w:rPr>
          <w:lang w:eastAsia="x-none"/>
        </w:rPr>
        <w:t xml:space="preserve"> that any future SEWB service model should include extensive collaboration with Child Safety</w:t>
      </w:r>
      <w:r>
        <w:rPr>
          <w:lang w:eastAsia="x-none"/>
        </w:rPr>
        <w:t xml:space="preserve"> given the contribution the WBC has been able to make in relation to Child S</w:t>
      </w:r>
      <w:r w:rsidRPr="00966D33">
        <w:rPr>
          <w:lang w:eastAsia="x-none"/>
        </w:rPr>
        <w:t>afety preventing separations and</w:t>
      </w:r>
      <w:r>
        <w:rPr>
          <w:lang w:eastAsia="x-none"/>
        </w:rPr>
        <w:t>/</w:t>
      </w:r>
      <w:r w:rsidRPr="00966D33">
        <w:rPr>
          <w:lang w:eastAsia="x-none"/>
        </w:rPr>
        <w:t xml:space="preserve">or facilitating reunifications not previously achieved. </w:t>
      </w:r>
    </w:p>
    <w:p w14:paraId="2EBE3298" w14:textId="77777777" w:rsidR="00856469" w:rsidRPr="00856469" w:rsidRDefault="00856469" w:rsidP="0083588E">
      <w:pPr>
        <w:pStyle w:val="ListParagraph"/>
        <w:numPr>
          <w:ilvl w:val="0"/>
          <w:numId w:val="44"/>
        </w:numPr>
        <w:spacing w:before="120"/>
        <w:rPr>
          <w:color w:val="auto"/>
          <w:lang w:eastAsia="en-AU"/>
        </w:rPr>
      </w:pPr>
      <w:r w:rsidRPr="00702884">
        <w:rPr>
          <w:b/>
          <w:color w:val="1F497D" w:themeColor="text2"/>
          <w:lang w:eastAsia="x-none"/>
        </w:rPr>
        <w:t xml:space="preserve">It is </w:t>
      </w:r>
      <w:r w:rsidR="00E93D28">
        <w:rPr>
          <w:b/>
          <w:color w:val="1F497D" w:themeColor="text2"/>
          <w:lang w:eastAsia="x-none"/>
        </w:rPr>
        <w:t>proposed</w:t>
      </w:r>
      <w:r w:rsidRPr="00702884">
        <w:rPr>
          <w:b/>
          <w:color w:val="1F497D" w:themeColor="text2"/>
          <w:lang w:eastAsia="x-none"/>
        </w:rPr>
        <w:t xml:space="preserve"> </w:t>
      </w:r>
      <w:r>
        <w:rPr>
          <w:lang w:eastAsia="x-none"/>
        </w:rPr>
        <w:t xml:space="preserve">that the RFDS develop a service agreement with CYHHS - Mental Health </w:t>
      </w:r>
      <w:r w:rsidRPr="00856469">
        <w:rPr>
          <w:color w:val="auto"/>
          <w:lang w:eastAsia="en-AU"/>
        </w:rPr>
        <w:t xml:space="preserve">and a memorandum of understanding with FRC, which provides an appropriate level of detail as to how </w:t>
      </w:r>
      <w:r w:rsidR="00735B5B">
        <w:rPr>
          <w:color w:val="auto"/>
          <w:lang w:eastAsia="en-AU"/>
        </w:rPr>
        <w:t>the organisations</w:t>
      </w:r>
      <w:r w:rsidRPr="00856469">
        <w:rPr>
          <w:color w:val="auto"/>
          <w:lang w:eastAsia="en-AU"/>
        </w:rPr>
        <w:t xml:space="preserve"> will work in partnership to strengthen the management of clients and enhance the effectiveness of both services. </w:t>
      </w:r>
    </w:p>
    <w:p w14:paraId="2EBE3299" w14:textId="77777777" w:rsidR="003F49F0" w:rsidRDefault="00856469" w:rsidP="00FE2793">
      <w:pPr>
        <w:spacing w:before="120" w:after="120"/>
        <w:ind w:left="360"/>
        <w:rPr>
          <w:lang w:eastAsia="x-none"/>
        </w:rPr>
      </w:pPr>
      <w:r>
        <w:rPr>
          <w:lang w:eastAsia="x-none"/>
        </w:rPr>
        <w:t xml:space="preserve">In the case of </w:t>
      </w:r>
      <w:r w:rsidR="003F49F0" w:rsidRPr="007D25DE">
        <w:rPr>
          <w:lang w:eastAsia="x-none"/>
        </w:rPr>
        <w:t>CYHHS - Mental Health</w:t>
      </w:r>
      <w:r w:rsidR="00735B5B">
        <w:rPr>
          <w:lang w:eastAsia="x-none"/>
        </w:rPr>
        <w:t>,</w:t>
      </w:r>
      <w:r>
        <w:rPr>
          <w:lang w:eastAsia="x-none"/>
        </w:rPr>
        <w:t xml:space="preserve"> this</w:t>
      </w:r>
      <w:r w:rsidR="003F49F0">
        <w:rPr>
          <w:lang w:eastAsia="x-none"/>
        </w:rPr>
        <w:t xml:space="preserve"> will strengthen the service model by clarifying the service interface in relation to roles and responsibilities for joint client management, how information is shared and conducting joint case reviews. Aligned with this is the need for more transparency in relation to how the WBCs manage their clients. This would build on the service flowchart that has been developed. </w:t>
      </w:r>
    </w:p>
    <w:p w14:paraId="2EBE329A" w14:textId="77777777" w:rsidR="003F49F0" w:rsidRDefault="00856469" w:rsidP="00FE2793">
      <w:pPr>
        <w:spacing w:before="120" w:after="120"/>
        <w:ind w:left="360"/>
        <w:rPr>
          <w:color w:val="auto"/>
          <w:lang w:eastAsia="en-AU"/>
        </w:rPr>
      </w:pPr>
      <w:r>
        <w:rPr>
          <w:color w:val="auto"/>
          <w:lang w:eastAsia="en-AU"/>
        </w:rPr>
        <w:t>In the case of the FRC, t</w:t>
      </w:r>
      <w:r w:rsidR="003F49F0">
        <w:rPr>
          <w:color w:val="auto"/>
          <w:lang w:eastAsia="en-AU"/>
        </w:rPr>
        <w:t xml:space="preserve">he current </w:t>
      </w:r>
      <w:r w:rsidR="003F49F0" w:rsidRPr="001A4850">
        <w:rPr>
          <w:color w:val="auto"/>
          <w:lang w:eastAsia="en-AU"/>
        </w:rPr>
        <w:t>strategy</w:t>
      </w:r>
      <w:r w:rsidR="003F49F0">
        <w:rPr>
          <w:color w:val="auto"/>
          <w:lang w:eastAsia="en-AU"/>
        </w:rPr>
        <w:t xml:space="preserve"> being </w:t>
      </w:r>
      <w:r w:rsidR="003F49F0" w:rsidRPr="001A4850">
        <w:rPr>
          <w:color w:val="auto"/>
          <w:lang w:eastAsia="en-AU"/>
        </w:rPr>
        <w:t>trialled at Aurukun includes: the development of a memorandum of understanding; providing the FRC access to the RFDS client information system; the RFDS to a</w:t>
      </w:r>
      <w:r w:rsidR="003F49F0">
        <w:rPr>
          <w:color w:val="auto"/>
          <w:lang w:eastAsia="en-AU"/>
        </w:rPr>
        <w:t xml:space="preserve">ttend FRC case conferences; </w:t>
      </w:r>
      <w:r w:rsidR="003F49F0" w:rsidRPr="001A4850">
        <w:rPr>
          <w:color w:val="auto"/>
          <w:lang w:eastAsia="en-AU"/>
        </w:rPr>
        <w:t xml:space="preserve">the RFDS regular summary report </w:t>
      </w:r>
      <w:r w:rsidR="00735B5B">
        <w:rPr>
          <w:color w:val="auto"/>
          <w:lang w:eastAsia="en-AU"/>
        </w:rPr>
        <w:t>including</w:t>
      </w:r>
      <w:r w:rsidR="003F49F0" w:rsidRPr="001A4850">
        <w:rPr>
          <w:color w:val="auto"/>
          <w:lang w:eastAsia="en-AU"/>
        </w:rPr>
        <w:t xml:space="preserve"> more feedback in relation to a client’s progress</w:t>
      </w:r>
      <w:r>
        <w:rPr>
          <w:color w:val="auto"/>
          <w:lang w:eastAsia="en-AU"/>
        </w:rPr>
        <w:t xml:space="preserve"> </w:t>
      </w:r>
      <w:r w:rsidR="00735B5B">
        <w:rPr>
          <w:color w:val="auto"/>
          <w:lang w:eastAsia="en-AU"/>
        </w:rPr>
        <w:t xml:space="preserve">and engagement issues </w:t>
      </w:r>
      <w:r>
        <w:rPr>
          <w:color w:val="auto"/>
          <w:lang w:eastAsia="en-AU"/>
        </w:rPr>
        <w:t>(above what has been agreed previously)</w:t>
      </w:r>
      <w:r w:rsidR="003F49F0">
        <w:rPr>
          <w:color w:val="auto"/>
          <w:lang w:eastAsia="en-AU"/>
        </w:rPr>
        <w:t xml:space="preserve">; and </w:t>
      </w:r>
      <w:r w:rsidR="00735B5B">
        <w:rPr>
          <w:color w:val="auto"/>
          <w:lang w:eastAsia="en-AU"/>
        </w:rPr>
        <w:t>using</w:t>
      </w:r>
      <w:r w:rsidR="003F49F0">
        <w:rPr>
          <w:color w:val="auto"/>
          <w:lang w:eastAsia="en-AU"/>
        </w:rPr>
        <w:t xml:space="preserve"> a shared data system to track client progress</w:t>
      </w:r>
      <w:r w:rsidR="003F49F0" w:rsidRPr="001A4850">
        <w:rPr>
          <w:color w:val="auto"/>
          <w:lang w:eastAsia="en-AU"/>
        </w:rPr>
        <w:t xml:space="preserve">. </w:t>
      </w:r>
    </w:p>
    <w:p w14:paraId="2EBE329B" w14:textId="77777777" w:rsidR="003F49F0" w:rsidRDefault="002D436E" w:rsidP="0083588E">
      <w:pPr>
        <w:pStyle w:val="ListParagraph"/>
        <w:numPr>
          <w:ilvl w:val="0"/>
          <w:numId w:val="44"/>
        </w:numPr>
        <w:spacing w:before="120"/>
      </w:pPr>
      <w:r w:rsidRPr="00702884">
        <w:rPr>
          <w:b/>
          <w:color w:val="1F497D" w:themeColor="text2"/>
        </w:rPr>
        <w:t>I</w:t>
      </w:r>
      <w:r w:rsidR="003F49F0" w:rsidRPr="00702884">
        <w:rPr>
          <w:b/>
          <w:color w:val="1F497D" w:themeColor="text2"/>
        </w:rPr>
        <w:t xml:space="preserve">t is </w:t>
      </w:r>
      <w:r w:rsidR="00E93D28">
        <w:rPr>
          <w:b/>
          <w:color w:val="1F497D" w:themeColor="text2"/>
        </w:rPr>
        <w:t>proposed</w:t>
      </w:r>
      <w:r w:rsidR="003F49F0" w:rsidRPr="00702884">
        <w:rPr>
          <w:color w:val="1F497D" w:themeColor="text2"/>
        </w:rPr>
        <w:t xml:space="preserve"> </w:t>
      </w:r>
      <w:r w:rsidR="003F49F0">
        <w:t xml:space="preserve">that a joint agency/community approach to obtaining more structured community input into social services/primary health care </w:t>
      </w:r>
      <w:r w:rsidR="00602086">
        <w:t xml:space="preserve">specifically </w:t>
      </w:r>
      <w:r w:rsidR="003F49F0">
        <w:t>that is unique to each community be established.</w:t>
      </w:r>
    </w:p>
    <w:p w14:paraId="2EBE329C" w14:textId="77777777" w:rsidR="003F49F0" w:rsidRDefault="003F49F0" w:rsidP="00FE2793">
      <w:pPr>
        <w:spacing w:before="120" w:after="120"/>
        <w:ind w:left="360"/>
      </w:pPr>
      <w:r>
        <w:t>It is proposed that the interagency meetings in each community be the vehicle for ‘kick-starting’ this process. In establishing a joint approach the following principles should apply:</w:t>
      </w:r>
    </w:p>
    <w:p w14:paraId="2EBE329D" w14:textId="77777777" w:rsidR="003F49F0" w:rsidRDefault="003F49F0" w:rsidP="0083588E">
      <w:pPr>
        <w:pStyle w:val="ListParagraph"/>
        <w:numPr>
          <w:ilvl w:val="1"/>
          <w:numId w:val="36"/>
        </w:numPr>
        <w:spacing w:after="60"/>
        <w:ind w:left="1077" w:hanging="357"/>
      </w:pPr>
      <w:r>
        <w:t>Community members should be paid appropriately for their participation</w:t>
      </w:r>
      <w:r w:rsidR="00C43161">
        <w:t>.</w:t>
      </w:r>
    </w:p>
    <w:p w14:paraId="2EBE329E" w14:textId="77777777" w:rsidR="003F49F0" w:rsidRDefault="003F49F0" w:rsidP="0083588E">
      <w:pPr>
        <w:pStyle w:val="ListParagraph"/>
        <w:numPr>
          <w:ilvl w:val="1"/>
          <w:numId w:val="36"/>
        </w:numPr>
        <w:spacing w:after="60"/>
        <w:ind w:left="1077" w:hanging="357"/>
      </w:pPr>
      <w:r>
        <w:t>Membership should be clear and determined locally</w:t>
      </w:r>
      <w:r w:rsidR="00C43161">
        <w:t>.</w:t>
      </w:r>
    </w:p>
    <w:p w14:paraId="2EBE329F" w14:textId="77777777" w:rsidR="003F49F0" w:rsidRDefault="003F49F0" w:rsidP="0083588E">
      <w:pPr>
        <w:pStyle w:val="ListParagraph"/>
        <w:numPr>
          <w:ilvl w:val="1"/>
          <w:numId w:val="36"/>
        </w:numPr>
        <w:spacing w:after="60"/>
        <w:ind w:left="1077" w:hanging="357"/>
      </w:pPr>
      <w:r>
        <w:t>The chairman of the group should be determined locally but joint chairs (one agency, one community member) would be ideal</w:t>
      </w:r>
      <w:r w:rsidR="00C43161">
        <w:t>.</w:t>
      </w:r>
    </w:p>
    <w:p w14:paraId="2EBE32A0" w14:textId="77777777" w:rsidR="003F49F0" w:rsidRDefault="003F49F0" w:rsidP="0083588E">
      <w:pPr>
        <w:pStyle w:val="ListParagraph"/>
        <w:numPr>
          <w:ilvl w:val="1"/>
          <w:numId w:val="36"/>
        </w:numPr>
      </w:pPr>
      <w:r>
        <w:t>The role of the group should focus on:</w:t>
      </w:r>
    </w:p>
    <w:p w14:paraId="2EBE32A1" w14:textId="77777777" w:rsidR="003F49F0" w:rsidRDefault="003F49F0" w:rsidP="0083588E">
      <w:pPr>
        <w:pStyle w:val="ListParagraph"/>
        <w:numPr>
          <w:ilvl w:val="2"/>
          <w:numId w:val="37"/>
        </w:numPr>
      </w:pPr>
      <w:r>
        <w:t xml:space="preserve">needs identification </w:t>
      </w:r>
    </w:p>
    <w:p w14:paraId="2EBE32A2" w14:textId="77777777" w:rsidR="003F49F0" w:rsidRDefault="003F49F0" w:rsidP="0083588E">
      <w:pPr>
        <w:pStyle w:val="ListParagraph"/>
        <w:numPr>
          <w:ilvl w:val="2"/>
          <w:numId w:val="37"/>
        </w:numPr>
      </w:pPr>
      <w:r>
        <w:t>developing appropriate responses</w:t>
      </w:r>
    </w:p>
    <w:p w14:paraId="2EBE32A3" w14:textId="77777777" w:rsidR="003F49F0" w:rsidRDefault="00602086" w:rsidP="0083588E">
      <w:pPr>
        <w:pStyle w:val="ListParagraph"/>
        <w:numPr>
          <w:ilvl w:val="2"/>
          <w:numId w:val="37"/>
        </w:numPr>
      </w:pPr>
      <w:r>
        <w:t>monitoring results</w:t>
      </w:r>
    </w:p>
    <w:p w14:paraId="2EBE32A4" w14:textId="77777777" w:rsidR="003F49F0" w:rsidRDefault="003F49F0" w:rsidP="0083588E">
      <w:pPr>
        <w:pStyle w:val="ListParagraph"/>
        <w:numPr>
          <w:ilvl w:val="2"/>
          <w:numId w:val="37"/>
        </w:numPr>
      </w:pPr>
      <w:r>
        <w:t>providing feedback on service performance</w:t>
      </w:r>
    </w:p>
    <w:p w14:paraId="2EBE32A5" w14:textId="77777777" w:rsidR="003F49F0" w:rsidRDefault="003F49F0" w:rsidP="0083588E">
      <w:pPr>
        <w:pStyle w:val="ListParagraph"/>
        <w:numPr>
          <w:ilvl w:val="1"/>
          <w:numId w:val="38"/>
        </w:numPr>
        <w:spacing w:after="60"/>
        <w:ind w:left="1077" w:hanging="357"/>
      </w:pPr>
      <w:r>
        <w:lastRenderedPageBreak/>
        <w:t>The group should have a clear (funded) support structure</w:t>
      </w:r>
      <w:r w:rsidR="00C43161">
        <w:t>.</w:t>
      </w:r>
    </w:p>
    <w:p w14:paraId="2EBE32A6" w14:textId="77777777" w:rsidR="003F49F0" w:rsidRDefault="003F49F0" w:rsidP="0083588E">
      <w:pPr>
        <w:pStyle w:val="ListParagraph"/>
        <w:numPr>
          <w:ilvl w:val="1"/>
          <w:numId w:val="38"/>
        </w:numPr>
        <w:spacing w:after="60"/>
        <w:ind w:left="1077" w:hanging="357"/>
      </w:pPr>
      <w:r>
        <w:t>The group should have clear reporting and accountability lines</w:t>
      </w:r>
      <w:r w:rsidR="00C43161">
        <w:t>.</w:t>
      </w:r>
    </w:p>
    <w:p w14:paraId="2EBE32A7" w14:textId="77777777" w:rsidR="00C43161" w:rsidRDefault="003F49F0" w:rsidP="0083588E">
      <w:pPr>
        <w:pStyle w:val="ListParagraph"/>
        <w:numPr>
          <w:ilvl w:val="1"/>
          <w:numId w:val="38"/>
        </w:numPr>
        <w:spacing w:after="60"/>
        <w:ind w:left="1077" w:hanging="357"/>
      </w:pPr>
      <w:r>
        <w:t>Meetings should not be too frequent, for example bimonthly initially then quarterly</w:t>
      </w:r>
      <w:r w:rsidR="00C43161">
        <w:t>.</w:t>
      </w:r>
    </w:p>
    <w:p w14:paraId="2EBE32A8" w14:textId="77777777" w:rsidR="003F49F0" w:rsidRDefault="003F49F0" w:rsidP="0083588E">
      <w:pPr>
        <w:pStyle w:val="ListParagraph"/>
        <w:numPr>
          <w:ilvl w:val="1"/>
          <w:numId w:val="38"/>
        </w:numPr>
        <w:spacing w:after="60"/>
        <w:ind w:left="1077" w:hanging="357"/>
      </w:pPr>
      <w:r>
        <w:t>Funders will need to accept that this approach is suitable in the context of governance requirements for specific programs.</w:t>
      </w:r>
    </w:p>
    <w:p w14:paraId="2EBE32A9" w14:textId="77777777" w:rsidR="003F49F0" w:rsidRDefault="003F49F0" w:rsidP="0083588E">
      <w:pPr>
        <w:pStyle w:val="ListParagraph"/>
        <w:numPr>
          <w:ilvl w:val="0"/>
          <w:numId w:val="44"/>
        </w:numPr>
        <w:spacing w:before="120"/>
        <w:ind w:left="357"/>
        <w:rPr>
          <w:lang w:eastAsia="x-none"/>
        </w:rPr>
      </w:pPr>
      <w:r w:rsidRPr="00702884">
        <w:rPr>
          <w:b/>
          <w:color w:val="1F497D" w:themeColor="text2"/>
          <w:lang w:eastAsia="x-none"/>
        </w:rPr>
        <w:t xml:space="preserve">It is </w:t>
      </w:r>
      <w:r w:rsidR="00E93D28">
        <w:rPr>
          <w:b/>
          <w:color w:val="1F497D" w:themeColor="text2"/>
          <w:lang w:eastAsia="x-none"/>
        </w:rPr>
        <w:t>proposed</w:t>
      </w:r>
      <w:r w:rsidRPr="00702884">
        <w:rPr>
          <w:color w:val="1F497D" w:themeColor="text2"/>
          <w:lang w:eastAsia="x-none"/>
        </w:rPr>
        <w:t xml:space="preserve"> </w:t>
      </w:r>
      <w:r>
        <w:rPr>
          <w:lang w:eastAsia="x-none"/>
        </w:rPr>
        <w:t xml:space="preserve">that the WBC develop </w:t>
      </w:r>
      <w:r w:rsidRPr="00FC2428">
        <w:rPr>
          <w:lang w:eastAsia="x-none"/>
        </w:rPr>
        <w:t>specific materials promoting the WBC service</w:t>
      </w:r>
      <w:r>
        <w:rPr>
          <w:lang w:eastAsia="x-none"/>
        </w:rPr>
        <w:t>. This could be done after the service model is updated.</w:t>
      </w:r>
    </w:p>
    <w:p w14:paraId="2EBE32AA" w14:textId="77777777" w:rsidR="000B70F6" w:rsidRDefault="000B70F6" w:rsidP="0083588E">
      <w:pPr>
        <w:pStyle w:val="ListParagraph"/>
        <w:numPr>
          <w:ilvl w:val="0"/>
          <w:numId w:val="44"/>
        </w:numPr>
        <w:spacing w:before="120"/>
        <w:ind w:left="357"/>
        <w:rPr>
          <w:lang w:eastAsia="x-none"/>
        </w:rPr>
      </w:pPr>
      <w:r w:rsidRPr="00702884">
        <w:rPr>
          <w:b/>
          <w:color w:val="1F497D" w:themeColor="text2"/>
          <w:lang w:eastAsia="x-none"/>
        </w:rPr>
        <w:t xml:space="preserve">It is </w:t>
      </w:r>
      <w:r w:rsidR="00E93D28">
        <w:rPr>
          <w:b/>
          <w:color w:val="1F497D" w:themeColor="text2"/>
          <w:lang w:eastAsia="x-none"/>
        </w:rPr>
        <w:t>proposed</w:t>
      </w:r>
      <w:r w:rsidRPr="00702884">
        <w:rPr>
          <w:color w:val="1F497D" w:themeColor="text2"/>
          <w:lang w:eastAsia="x-none"/>
        </w:rPr>
        <w:t xml:space="preserve"> </w:t>
      </w:r>
      <w:r>
        <w:rPr>
          <w:lang w:eastAsia="x-none"/>
        </w:rPr>
        <w:t>that the WBCs establish therapeutic discussion groups to analyse and discuss experiences and results achieved with particular therapies and approaches.</w:t>
      </w:r>
    </w:p>
    <w:p w14:paraId="2EBE32AB" w14:textId="77777777" w:rsidR="000440ED" w:rsidRPr="000440ED" w:rsidRDefault="000440ED" w:rsidP="00FE2793">
      <w:pPr>
        <w:pStyle w:val="ListParagraph"/>
        <w:spacing w:before="120"/>
        <w:ind w:left="357"/>
        <w:rPr>
          <w:lang w:eastAsia="x-none"/>
        </w:rPr>
      </w:pPr>
      <w:r w:rsidRPr="000440ED">
        <w:rPr>
          <w:lang w:eastAsia="x-none"/>
        </w:rPr>
        <w:t>This will be facilitated by information now able to be provided by the upgraded client information system.</w:t>
      </w:r>
    </w:p>
    <w:p w14:paraId="2EBE32AC" w14:textId="77777777" w:rsidR="000B70F6" w:rsidRDefault="000B70F6" w:rsidP="0083588E">
      <w:pPr>
        <w:pStyle w:val="ListParagraph"/>
        <w:numPr>
          <w:ilvl w:val="0"/>
          <w:numId w:val="44"/>
        </w:numPr>
        <w:spacing w:before="120"/>
        <w:ind w:left="357"/>
      </w:pPr>
      <w:r w:rsidRPr="00702884">
        <w:rPr>
          <w:b/>
          <w:color w:val="1F497D" w:themeColor="text2"/>
        </w:rPr>
        <w:t xml:space="preserve">It is </w:t>
      </w:r>
      <w:r w:rsidR="00E93D28">
        <w:rPr>
          <w:b/>
          <w:color w:val="1F497D" w:themeColor="text2"/>
        </w:rPr>
        <w:t>proposed</w:t>
      </w:r>
      <w:r w:rsidRPr="00702884">
        <w:rPr>
          <w:b/>
          <w:color w:val="1F497D" w:themeColor="text2"/>
        </w:rPr>
        <w:t xml:space="preserve"> </w:t>
      </w:r>
      <w:r w:rsidRPr="00A11764">
        <w:t>that</w:t>
      </w:r>
      <w:r>
        <w:t xml:space="preserve"> </w:t>
      </w:r>
      <w:r w:rsidRPr="00FC4EA8">
        <w:t xml:space="preserve">the SDOT continue to June 2015 as per the </w:t>
      </w:r>
      <w:r w:rsidR="000440ED">
        <w:t xml:space="preserve">current </w:t>
      </w:r>
      <w:r w:rsidRPr="00FC4EA8">
        <w:t>agreement.</w:t>
      </w:r>
      <w:r>
        <w:t xml:space="preserve"> </w:t>
      </w:r>
    </w:p>
    <w:p w14:paraId="2EBE32AD" w14:textId="77777777" w:rsidR="007C12CB" w:rsidRDefault="000B70F6" w:rsidP="00FE2793">
      <w:pPr>
        <w:pStyle w:val="ListParagraph"/>
        <w:spacing w:before="120"/>
        <w:ind w:left="357"/>
      </w:pPr>
      <w:r w:rsidRPr="000B70F6">
        <w:t>HOI is aware of</w:t>
      </w:r>
      <w:r w:rsidR="000440ED">
        <w:t xml:space="preserve"> the Australian Government </w:t>
      </w:r>
      <w:r w:rsidRPr="000B70F6">
        <w:t>Machinery of Government changes that will impact upon the source of funding streams for the WBC</w:t>
      </w:r>
      <w:r>
        <w:t xml:space="preserve">. </w:t>
      </w:r>
      <w:r w:rsidRPr="000B70F6">
        <w:t xml:space="preserve">The SDOT has improved service outcomes indirectly, and significantly enhanced service responsiveness and service integration, while from the RFDS perspective at least, maintaining integrity of existing relevant program and financial accountability requirements. </w:t>
      </w:r>
      <w:r w:rsidR="000440ED">
        <w:t>Any cessation of the agreement would limit the RFDS capacity to respond to emerging or changing community needs.</w:t>
      </w:r>
    </w:p>
    <w:p w14:paraId="2EBE32AE" w14:textId="77777777" w:rsidR="00AD0398" w:rsidRPr="00AD0398" w:rsidRDefault="00AD0398" w:rsidP="0083588E">
      <w:pPr>
        <w:pStyle w:val="ListParagraph"/>
        <w:numPr>
          <w:ilvl w:val="0"/>
          <w:numId w:val="44"/>
        </w:numPr>
        <w:spacing w:before="120"/>
        <w:ind w:left="357"/>
        <w:rPr>
          <w:lang w:eastAsia="x-none"/>
        </w:rPr>
      </w:pPr>
      <w:r w:rsidRPr="00702884">
        <w:rPr>
          <w:b/>
          <w:color w:val="1F497D" w:themeColor="text2"/>
          <w:lang w:eastAsia="x-none"/>
        </w:rPr>
        <w:t xml:space="preserve">It is </w:t>
      </w:r>
      <w:r w:rsidR="00E93D28">
        <w:rPr>
          <w:b/>
          <w:color w:val="1F497D" w:themeColor="text2"/>
          <w:lang w:eastAsia="x-none"/>
        </w:rPr>
        <w:t>proposed</w:t>
      </w:r>
      <w:r w:rsidRPr="00702884">
        <w:rPr>
          <w:color w:val="1F497D" w:themeColor="text2"/>
          <w:lang w:eastAsia="x-none"/>
        </w:rPr>
        <w:t xml:space="preserve"> </w:t>
      </w:r>
      <w:r w:rsidRPr="00AD0398">
        <w:rPr>
          <w:lang w:eastAsia="x-none"/>
        </w:rPr>
        <w:t>that HoNOS, K</w:t>
      </w:r>
      <w:r w:rsidR="00B57529">
        <w:rPr>
          <w:lang w:eastAsia="x-none"/>
        </w:rPr>
        <w:t>5</w:t>
      </w:r>
      <w:r w:rsidRPr="00AD0398">
        <w:rPr>
          <w:lang w:eastAsia="x-none"/>
        </w:rPr>
        <w:t>, AUDIT</w:t>
      </w:r>
      <w:r w:rsidR="00B57529">
        <w:rPr>
          <w:lang w:eastAsia="x-none"/>
        </w:rPr>
        <w:t xml:space="preserve"> C</w:t>
      </w:r>
      <w:r w:rsidRPr="00AD0398">
        <w:rPr>
          <w:lang w:eastAsia="x-none"/>
        </w:rPr>
        <w:t xml:space="preserve"> and SDS (in relation to a person’s cannabis usage and associated risk factors) be utilised on an ongoing basis. It is considered this combination of tools best represents the key foci of the WBCs (i.e. mental health, SEWB and drug and alcohol).</w:t>
      </w:r>
    </w:p>
    <w:p w14:paraId="2EBE32AF" w14:textId="77777777" w:rsidR="00AD0398" w:rsidRDefault="00AD0398" w:rsidP="00FE2793">
      <w:pPr>
        <w:spacing w:before="120" w:after="120"/>
        <w:ind w:left="357"/>
        <w:rPr>
          <w:lang w:eastAsia="x-none"/>
        </w:rPr>
      </w:pPr>
      <w:r w:rsidRPr="00AD0398">
        <w:rPr>
          <w:lang w:eastAsia="x-none"/>
        </w:rPr>
        <w:t>The evaluators consider that the number of outcome indicators collected and reported systematically should be minimised to reduce the burden on clinical staff in a challenging service environment.</w:t>
      </w:r>
    </w:p>
    <w:p w14:paraId="2EBE32B0" w14:textId="77777777" w:rsidR="00AD0398" w:rsidRPr="00AD0398" w:rsidRDefault="00AD0398" w:rsidP="00FE2793">
      <w:pPr>
        <w:spacing w:before="120" w:after="120"/>
        <w:ind w:left="357"/>
        <w:rPr>
          <w:lang w:eastAsia="x-none"/>
        </w:rPr>
      </w:pPr>
      <w:r w:rsidRPr="00AD0398">
        <w:rPr>
          <w:lang w:eastAsia="x-none"/>
        </w:rPr>
        <w:t>The HONOS has generally adequate validity and reliability. It has been thoroughly evaluated and extensively used across a range of populations (incl. Indigenous Australians and mental health clients)</w:t>
      </w:r>
      <w:r w:rsidR="00C43161">
        <w:rPr>
          <w:lang w:eastAsia="x-none"/>
        </w:rPr>
        <w:t>.</w:t>
      </w:r>
      <w:r w:rsidRPr="00AD0398">
        <w:rPr>
          <w:vertAlign w:val="superscript"/>
          <w:lang w:eastAsia="x-none"/>
        </w:rPr>
        <w:footnoteReference w:id="44"/>
      </w:r>
      <w:r w:rsidRPr="00AD0398">
        <w:rPr>
          <w:lang w:eastAsia="x-none"/>
        </w:rPr>
        <w:t xml:space="preserve"> The AUDIT is widely used and is the preferred tool of the Australian Government for funded alcohol and other drug services. There is concern about utility in Indigenous populations and the AUDIT–C has been developed which could be used.</w:t>
      </w:r>
    </w:p>
    <w:p w14:paraId="2EBE32B1" w14:textId="77777777" w:rsidR="00AD0398" w:rsidRPr="00AD0398" w:rsidRDefault="00AD0398" w:rsidP="00FE2793">
      <w:pPr>
        <w:spacing w:after="120"/>
        <w:ind w:left="357"/>
        <w:rPr>
          <w:lang w:eastAsia="x-none"/>
        </w:rPr>
      </w:pPr>
      <w:r w:rsidRPr="00AD0398">
        <w:rPr>
          <w:lang w:eastAsia="x-none"/>
        </w:rPr>
        <w:t>The K10 is widely accepted, validated and used nationally</w:t>
      </w:r>
      <w:r w:rsidR="00B57529">
        <w:rPr>
          <w:lang w:eastAsia="x-none"/>
        </w:rPr>
        <w:t xml:space="preserve"> and the K5 is used in Australia for Indigenous populations by the </w:t>
      </w:r>
      <w:r w:rsidR="00541528">
        <w:rPr>
          <w:lang w:eastAsia="x-none"/>
        </w:rPr>
        <w:t>Australian Bureau of Statistics and the Australian Institute of Health and Welfare.</w:t>
      </w:r>
      <w:r w:rsidR="00B57529">
        <w:rPr>
          <w:lang w:eastAsia="x-none"/>
        </w:rPr>
        <w:t xml:space="preserve"> </w:t>
      </w:r>
      <w:r w:rsidRPr="00AD0398">
        <w:rPr>
          <w:lang w:eastAsia="x-none"/>
        </w:rPr>
        <w:t xml:space="preserve"> The SDS has generally adequate psychometrics and can be utilised for a range of substances</w:t>
      </w:r>
      <w:r w:rsidR="00C43161">
        <w:rPr>
          <w:lang w:eastAsia="x-none"/>
        </w:rPr>
        <w:t>.</w:t>
      </w:r>
      <w:r w:rsidRPr="00AD0398">
        <w:rPr>
          <w:vertAlign w:val="superscript"/>
          <w:lang w:eastAsia="x-none"/>
        </w:rPr>
        <w:footnoteReference w:id="45"/>
      </w:r>
    </w:p>
    <w:p w14:paraId="2EBE32B2" w14:textId="77777777" w:rsidR="00433F05" w:rsidRDefault="00AD0398" w:rsidP="00433F05">
      <w:pPr>
        <w:spacing w:after="120"/>
        <w:ind w:left="357"/>
        <w:rPr>
          <w:lang w:eastAsia="x-none"/>
        </w:rPr>
      </w:pPr>
      <w:r w:rsidRPr="00AD0398">
        <w:rPr>
          <w:lang w:eastAsia="x-none"/>
        </w:rPr>
        <w:t>The Indigenous Risk Impact Screen (IRIS) has a high degree of convergence with the K10 and the AUDIT and should not be required as an outcome tool.</w:t>
      </w:r>
    </w:p>
    <w:p w14:paraId="2EBE32B4" w14:textId="77777777" w:rsidR="00433F05" w:rsidRDefault="00433F05" w:rsidP="00906B1F">
      <w:pPr>
        <w:pStyle w:val="ChLetter"/>
        <w:pageBreakBefore/>
      </w:pPr>
      <w:r>
        <w:lastRenderedPageBreak/>
        <w:t>5</w:t>
      </w:r>
    </w:p>
    <w:p w14:paraId="2EBE32B5" w14:textId="77777777" w:rsidR="005F0CC0" w:rsidRDefault="005F0CC0" w:rsidP="00F660CA">
      <w:pPr>
        <w:pStyle w:val="Heading1"/>
      </w:pPr>
      <w:bookmarkStart w:id="219" w:name="_Toc440038461"/>
      <w:r>
        <w:t>Future</w:t>
      </w:r>
      <w:r w:rsidR="005875D5">
        <w:t xml:space="preserve"> Direction</w:t>
      </w:r>
      <w:bookmarkEnd w:id="219"/>
    </w:p>
    <w:p w14:paraId="2EBE32B6" w14:textId="77777777" w:rsidR="005F0CC0" w:rsidRPr="008310B2" w:rsidRDefault="008310B2" w:rsidP="00304A68">
      <w:pPr>
        <w:rPr>
          <w:highlight w:val="yellow"/>
          <w:lang w:eastAsia="x-none"/>
        </w:rPr>
      </w:pPr>
      <w:r>
        <w:rPr>
          <w:lang w:eastAsia="x-none"/>
        </w:rPr>
        <w:t xml:space="preserve">This chapter considers the evaluation aim of recommending any improvements which will enhance health outcomes and contribute to best practice service delivery. </w:t>
      </w:r>
      <w:r w:rsidR="0021653A">
        <w:rPr>
          <w:lang w:eastAsia="x-none"/>
        </w:rPr>
        <w:t>This chapter focuses more strategically on where to from here</w:t>
      </w:r>
      <w:r w:rsidR="00304A68">
        <w:rPr>
          <w:lang w:eastAsia="x-none"/>
        </w:rPr>
        <w:t>.</w:t>
      </w:r>
    </w:p>
    <w:p w14:paraId="2EBE32B7" w14:textId="77777777" w:rsidR="008310B2" w:rsidRDefault="008310B2" w:rsidP="0021653A">
      <w:pPr>
        <w:rPr>
          <w:lang w:eastAsia="x-none"/>
        </w:rPr>
      </w:pPr>
      <w:r>
        <w:rPr>
          <w:lang w:eastAsia="x-none"/>
        </w:rPr>
        <w:t>Proposed improvements within the context of the current service model were presented in the previous chapter.</w:t>
      </w:r>
    </w:p>
    <w:p w14:paraId="2EBE32B8" w14:textId="77777777" w:rsidR="0021653A" w:rsidRDefault="007D0318" w:rsidP="0021653A">
      <w:pPr>
        <w:rPr>
          <w:lang w:eastAsia="x-none"/>
        </w:rPr>
      </w:pPr>
      <w:r>
        <w:rPr>
          <w:lang w:eastAsia="x-none"/>
        </w:rPr>
        <w:t xml:space="preserve">This chapter </w:t>
      </w:r>
      <w:r w:rsidR="00602086">
        <w:rPr>
          <w:lang w:eastAsia="x-none"/>
        </w:rPr>
        <w:t xml:space="preserve">presents </w:t>
      </w:r>
      <w:r>
        <w:rPr>
          <w:lang w:eastAsia="x-none"/>
        </w:rPr>
        <w:t xml:space="preserve">a summary of the </w:t>
      </w:r>
      <w:r w:rsidR="0021653A">
        <w:rPr>
          <w:lang w:eastAsia="x-none"/>
        </w:rPr>
        <w:t>evidence to date</w:t>
      </w:r>
      <w:r w:rsidR="008C2596">
        <w:rPr>
          <w:lang w:eastAsia="x-none"/>
        </w:rPr>
        <w:t xml:space="preserve"> from thi</w:t>
      </w:r>
      <w:r w:rsidR="005875D5">
        <w:rPr>
          <w:lang w:eastAsia="x-none"/>
        </w:rPr>
        <w:t xml:space="preserve">s evaluation and the literature, </w:t>
      </w:r>
      <w:r w:rsidR="0021653A">
        <w:rPr>
          <w:lang w:eastAsia="x-none"/>
        </w:rPr>
        <w:t>it highlights key issues in relation to rolling out a response to SEWB more broadly incorporating key success factors and ensuring p</w:t>
      </w:r>
      <w:r w:rsidR="005F789A">
        <w:rPr>
          <w:lang w:eastAsia="x-none"/>
        </w:rPr>
        <w:t>otential barriers are addressed, and finally it addresses where to from here for the WBCs that were the subject of this evaluation.</w:t>
      </w:r>
    </w:p>
    <w:p w14:paraId="2EBE32B9" w14:textId="77777777" w:rsidR="00005CAD" w:rsidRDefault="008F09D5" w:rsidP="00433F05">
      <w:pPr>
        <w:pStyle w:val="Heading2"/>
        <w:numPr>
          <w:ilvl w:val="1"/>
          <w:numId w:val="55"/>
        </w:numPr>
      </w:pPr>
      <w:bookmarkStart w:id="220" w:name="_What_has_been"/>
      <w:bookmarkStart w:id="221" w:name="_Toc440038462"/>
      <w:bookmarkEnd w:id="220"/>
      <w:r w:rsidRPr="00433F05">
        <w:rPr>
          <w:lang w:val="en-AU"/>
        </w:rPr>
        <w:t xml:space="preserve">What has been learnt </w:t>
      </w:r>
      <w:r w:rsidR="00213BAA" w:rsidRPr="00433F05">
        <w:rPr>
          <w:lang w:val="en-AU"/>
        </w:rPr>
        <w:t>from the WBC evaluation</w:t>
      </w:r>
      <w:r w:rsidRPr="00433F05">
        <w:rPr>
          <w:lang w:val="en-AU"/>
        </w:rPr>
        <w:t>?</w:t>
      </w:r>
      <w:bookmarkEnd w:id="221"/>
    </w:p>
    <w:p w14:paraId="2EBE32BA" w14:textId="77777777" w:rsidR="000F6866" w:rsidRDefault="000F6866" w:rsidP="00005CAD">
      <w:pPr>
        <w:spacing w:before="240" w:after="120"/>
      </w:pPr>
      <w:r>
        <w:t>This section summarises what has been learnt from the WBC evaluation in the context of ongoing sustainability.</w:t>
      </w:r>
    </w:p>
    <w:p w14:paraId="2EBE32BB" w14:textId="77777777" w:rsidR="00005CAD" w:rsidRDefault="00005CAD" w:rsidP="00005CAD">
      <w:pPr>
        <w:spacing w:before="240" w:after="120"/>
      </w:pPr>
      <w:r w:rsidRPr="00D420ED">
        <w:t xml:space="preserve">The WBCs </w:t>
      </w:r>
      <w:r>
        <w:t>provided a new, unique and well-</w:t>
      </w:r>
      <w:r w:rsidRPr="00D420ED">
        <w:t xml:space="preserve">resourced approach to the provision of SEWB services that provided a high level of service access and resulted in significant levels of community engagement.  </w:t>
      </w:r>
    </w:p>
    <w:p w14:paraId="2EBE32BC" w14:textId="77777777" w:rsidR="0067605C" w:rsidRPr="001A4850" w:rsidRDefault="0067605C" w:rsidP="0067605C">
      <w:pPr>
        <w:rPr>
          <w:color w:val="auto"/>
          <w:lang w:eastAsia="x-none"/>
        </w:rPr>
      </w:pPr>
      <w:r w:rsidRPr="001A4850">
        <w:rPr>
          <w:color w:val="auto"/>
          <w:lang w:eastAsia="x-none"/>
        </w:rPr>
        <w:t xml:space="preserve">The WBC service model </w:t>
      </w:r>
      <w:r>
        <w:rPr>
          <w:color w:val="auto"/>
          <w:lang w:eastAsia="x-none"/>
        </w:rPr>
        <w:t xml:space="preserve">focusing on mental health, alcohol and other drugs and SEWB issues more broadly </w:t>
      </w:r>
      <w:r w:rsidRPr="001A4850">
        <w:rPr>
          <w:color w:val="auto"/>
          <w:lang w:eastAsia="x-none"/>
        </w:rPr>
        <w:t>has been implemented as an integrated package of services, specifically counselling/support, drop-in, groups, other related activities, providing leadership in responding to community wide issues and being a key point of referral, staffed by a combination of professional staff (principally social workers, psychologists</w:t>
      </w:r>
      <w:r>
        <w:rPr>
          <w:color w:val="auto"/>
          <w:lang w:eastAsia="x-none"/>
        </w:rPr>
        <w:t>, mental health nurses</w:t>
      </w:r>
      <w:r w:rsidRPr="001A4850">
        <w:rPr>
          <w:color w:val="auto"/>
          <w:lang w:eastAsia="x-none"/>
        </w:rPr>
        <w:t xml:space="preserve"> and counsellors) supported by local community development consultants. Significantly the service has been housed in a separate purpose built facility</w:t>
      </w:r>
      <w:r>
        <w:rPr>
          <w:color w:val="auto"/>
          <w:lang w:eastAsia="x-none"/>
        </w:rPr>
        <w:t xml:space="preserve"> and provided by a different organisation to that providing the primary health care</w:t>
      </w:r>
      <w:r w:rsidR="005F789A">
        <w:rPr>
          <w:color w:val="auto"/>
          <w:lang w:eastAsia="x-none"/>
        </w:rPr>
        <w:t xml:space="preserve"> service</w:t>
      </w:r>
      <w:r w:rsidRPr="001A4850">
        <w:rPr>
          <w:color w:val="auto"/>
          <w:lang w:eastAsia="x-none"/>
        </w:rPr>
        <w:t>. The same model was rolled out to each community.</w:t>
      </w:r>
    </w:p>
    <w:p w14:paraId="2EBE32BD" w14:textId="77777777" w:rsidR="0067605C" w:rsidRPr="00834C7D" w:rsidRDefault="0067605C" w:rsidP="0067605C">
      <w:pPr>
        <w:rPr>
          <w:lang w:eastAsia="x-none"/>
        </w:rPr>
      </w:pPr>
      <w:r>
        <w:rPr>
          <w:lang w:eastAsia="x-none"/>
        </w:rPr>
        <w:t>The evaluation has provided evidence that it is not a case of one size fits all.</w:t>
      </w:r>
      <w:r w:rsidRPr="00834C7D">
        <w:rPr>
          <w:lang w:eastAsia="x-none"/>
        </w:rPr>
        <w:t xml:space="preserve"> It may be that in one community the </w:t>
      </w:r>
      <w:r>
        <w:rPr>
          <w:lang w:eastAsia="x-none"/>
        </w:rPr>
        <w:t xml:space="preserve">greater </w:t>
      </w:r>
      <w:r w:rsidRPr="00834C7D">
        <w:rPr>
          <w:lang w:eastAsia="x-none"/>
        </w:rPr>
        <w:t>focus should be on individual therapeutic services</w:t>
      </w:r>
      <w:r>
        <w:rPr>
          <w:lang w:eastAsia="x-none"/>
        </w:rPr>
        <w:t xml:space="preserve"> with an appropriate focus depending on need e.g. a focus say family violence or alcohol</w:t>
      </w:r>
      <w:r w:rsidRPr="00834C7D">
        <w:rPr>
          <w:lang w:eastAsia="x-none"/>
        </w:rPr>
        <w:t xml:space="preserve">, whereas in another community there may be more of a need for crisis intervention and drop-in support. This will differ by community and what other services are available, and it will </w:t>
      </w:r>
      <w:r>
        <w:rPr>
          <w:lang w:eastAsia="x-none"/>
        </w:rPr>
        <w:t xml:space="preserve">likely </w:t>
      </w:r>
      <w:r w:rsidRPr="00834C7D">
        <w:rPr>
          <w:lang w:eastAsia="x-none"/>
        </w:rPr>
        <w:t>change over time.</w:t>
      </w:r>
    </w:p>
    <w:p w14:paraId="2EBE32BE" w14:textId="77777777" w:rsidR="00005CAD" w:rsidRDefault="00005CAD" w:rsidP="00005CAD">
      <w:pPr>
        <w:spacing w:before="240" w:after="120"/>
      </w:pPr>
      <w:r w:rsidRPr="00D420ED">
        <w:t>The findings indicate that the WBCs are having significant success in helping some individuals through</w:t>
      </w:r>
      <w:r>
        <w:t xml:space="preserve"> immediate crises and in dealing with their immediate problems and that sustained positive behaviour change is occurring in some clients in relation to alcohol use and cannabis dependency and other social behaviours.  Furthermore, there is some anecdotal evidence of individual change having a positive effect on some families within the communities. However, with the exception of Coen, individual-level improvements are not translating into sustained, consistent and clearly observable improvements in outcomes at the community level.  Furthermore, unless the number of individuals making behaviour change increases substantially (including the most challenging community members), it is unlikely that sustained significant change will be observable at the community level </w:t>
      </w:r>
      <w:r>
        <w:lastRenderedPageBreak/>
        <w:t>unless there was another significant positive enabler of change in the communities (e.g. availability of employment).</w:t>
      </w:r>
    </w:p>
    <w:p w14:paraId="2EBE32BF" w14:textId="77777777" w:rsidR="00005CAD" w:rsidRDefault="00005CAD" w:rsidP="00005CAD">
      <w:pPr>
        <w:rPr>
          <w:lang w:eastAsia="x-none"/>
        </w:rPr>
      </w:pPr>
      <w:r>
        <w:t xml:space="preserve">Overall, the level of impact demonstrated over five years from the current service model, (particularly at the community level), does not appear to justify the current level of resourcing over the longer term, not-withstanding the significant contextual influence described previously.  </w:t>
      </w:r>
    </w:p>
    <w:p w14:paraId="2EBE32C0" w14:textId="77777777" w:rsidR="00005CAD" w:rsidRDefault="00005CAD" w:rsidP="0021653A">
      <w:pPr>
        <w:rPr>
          <w:lang w:eastAsia="x-none"/>
        </w:rPr>
      </w:pPr>
      <w:r>
        <w:rPr>
          <w:lang w:eastAsia="x-none"/>
        </w:rPr>
        <w:t>Additionally t</w:t>
      </w:r>
      <w:r w:rsidRPr="00005CAD">
        <w:rPr>
          <w:lang w:eastAsia="x-none"/>
        </w:rPr>
        <w:t>he current service model is resource intensive and could not feasibly be replicated in the numerous Indigenous communities across Australia who might require SEWB services.</w:t>
      </w:r>
    </w:p>
    <w:p w14:paraId="2EBE32C1" w14:textId="77777777" w:rsidR="00F660CA"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Pr>
          <w:b/>
          <w:lang w:eastAsia="x-none"/>
        </w:rPr>
        <w:t>Key r</w:t>
      </w:r>
      <w:r w:rsidRPr="00631F4F">
        <w:rPr>
          <w:b/>
          <w:lang w:eastAsia="x-none"/>
        </w:rPr>
        <w:t>eview finding #</w:t>
      </w:r>
      <w:r>
        <w:rPr>
          <w:b/>
          <w:lang w:eastAsia="x-none"/>
        </w:rPr>
        <w:t xml:space="preserve">9: </w:t>
      </w:r>
      <w:r w:rsidRPr="0067605C">
        <w:t>The current service model is resource intensive and therefore could not feasibly be replicated in the numerous Indigenous communities across Australia who might require SEWB services.</w:t>
      </w:r>
    </w:p>
    <w:p w14:paraId="2EBE32C3" w14:textId="77777777" w:rsidR="0067605C"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Pr>
          <w:b/>
          <w:lang w:eastAsia="x-none"/>
        </w:rPr>
        <w:t>Key r</w:t>
      </w:r>
      <w:r w:rsidRPr="00631F4F">
        <w:rPr>
          <w:b/>
          <w:lang w:eastAsia="x-none"/>
        </w:rPr>
        <w:t>eview finding #</w:t>
      </w:r>
      <w:r>
        <w:rPr>
          <w:b/>
          <w:lang w:eastAsia="x-none"/>
        </w:rPr>
        <w:t xml:space="preserve">10: </w:t>
      </w:r>
      <w:r w:rsidRPr="0067605C">
        <w:t>Based on the level of impact demonstrated over five years, the Cape York SEWB model does not appear to justify the current level of resourcing over the longer term.</w:t>
      </w:r>
    </w:p>
    <w:p w14:paraId="2EBE32C4" w14:textId="77777777" w:rsidR="00213BAA" w:rsidRDefault="008F09D5" w:rsidP="00213BAA">
      <w:pPr>
        <w:pStyle w:val="Heading2"/>
        <w:rPr>
          <w:lang w:val="en-AU"/>
        </w:rPr>
      </w:pPr>
      <w:bookmarkStart w:id="222" w:name="_What_are_the"/>
      <w:bookmarkStart w:id="223" w:name="_Toc440038463"/>
      <w:bookmarkEnd w:id="222"/>
      <w:r>
        <w:rPr>
          <w:lang w:val="en-AU"/>
        </w:rPr>
        <w:t>What are the alternate</w:t>
      </w:r>
      <w:r w:rsidR="00E7642B">
        <w:rPr>
          <w:lang w:val="en-AU"/>
        </w:rPr>
        <w:t xml:space="preserve"> approaches</w:t>
      </w:r>
      <w:r>
        <w:rPr>
          <w:lang w:val="en-AU"/>
        </w:rPr>
        <w:t>?</w:t>
      </w:r>
      <w:bookmarkEnd w:id="223"/>
    </w:p>
    <w:p w14:paraId="2EBE32C5" w14:textId="77777777" w:rsidR="000F6866" w:rsidRPr="000F6866" w:rsidRDefault="00E13240" w:rsidP="000F6866">
      <w:pPr>
        <w:rPr>
          <w:lang w:eastAsia="x-none"/>
        </w:rPr>
      </w:pPr>
      <w:r>
        <w:rPr>
          <w:lang w:eastAsia="x-none"/>
        </w:rPr>
        <w:t>T</w:t>
      </w:r>
      <w:r w:rsidR="000F6866">
        <w:rPr>
          <w:lang w:eastAsia="x-none"/>
        </w:rPr>
        <w:t>his section summarises evidence in relation to alternative appro</w:t>
      </w:r>
      <w:r>
        <w:rPr>
          <w:lang w:eastAsia="x-none"/>
        </w:rPr>
        <w:t xml:space="preserve">aches to the implementation of </w:t>
      </w:r>
      <w:r w:rsidR="000F6866">
        <w:rPr>
          <w:lang w:eastAsia="x-none"/>
        </w:rPr>
        <w:t>SEWB services</w:t>
      </w:r>
      <w:r>
        <w:rPr>
          <w:lang w:eastAsia="x-none"/>
        </w:rPr>
        <w:t>.</w:t>
      </w:r>
    </w:p>
    <w:p w14:paraId="2EBE32C6" w14:textId="77777777" w:rsidR="00C35DB3" w:rsidRPr="00C35DB3" w:rsidRDefault="00C35DB3" w:rsidP="00BC0A26">
      <w:pPr>
        <w:pStyle w:val="Heading3"/>
      </w:pPr>
      <w:r>
        <w:t xml:space="preserve">Integration </w:t>
      </w:r>
    </w:p>
    <w:p w14:paraId="2EBE32C7" w14:textId="77777777" w:rsidR="001A0490" w:rsidRDefault="001A0490" w:rsidP="001A0490">
      <w:pPr>
        <w:rPr>
          <w:lang w:eastAsia="x-none"/>
        </w:rPr>
      </w:pPr>
      <w:r>
        <w:rPr>
          <w:lang w:eastAsia="x-none"/>
        </w:rPr>
        <w:t xml:space="preserve">Looking more widely than the WBCs, there is a wide body of literature highlighting the link between SEWB and physical health. As highlighted in a recent literature review </w:t>
      </w:r>
      <w:r w:rsidRPr="00E7642B">
        <w:rPr>
          <w:i/>
          <w:lang w:eastAsia="x-none"/>
        </w:rPr>
        <w:t>“the literature has highlighted the urgent need for health services to continue to work towards embedding SEWB into all aspects of primary health care, including focusing on empowerment and enhancing personal capacity the change”</w:t>
      </w:r>
      <w:r>
        <w:rPr>
          <w:lang w:eastAsia="x-none"/>
        </w:rPr>
        <w:t>.</w:t>
      </w:r>
      <w:r>
        <w:rPr>
          <w:rStyle w:val="FootnoteReference"/>
          <w:lang w:eastAsia="x-none"/>
        </w:rPr>
        <w:footnoteReference w:id="46"/>
      </w:r>
    </w:p>
    <w:p w14:paraId="2EBE32C8" w14:textId="77777777" w:rsidR="001A0490" w:rsidRDefault="001A0490" w:rsidP="001A0490">
      <w:pPr>
        <w:rPr>
          <w:lang w:eastAsia="x-none"/>
        </w:rPr>
      </w:pPr>
      <w:r>
        <w:rPr>
          <w:lang w:eastAsia="x-none"/>
        </w:rPr>
        <w:t>The World Health Organisation has reported that integrating mental health services into primary care is the most viable way of closing the treatment gap and ensuring that people get the mental healthcare (and by extension SEWB services) they need. They report that primary care for mental health is affordable, and investments can bring important benefits.</w:t>
      </w:r>
      <w:r>
        <w:rPr>
          <w:rStyle w:val="FootnoteReference"/>
          <w:lang w:eastAsia="x-none"/>
        </w:rPr>
        <w:footnoteReference w:id="47"/>
      </w:r>
    </w:p>
    <w:p w14:paraId="2EBE32C9" w14:textId="77777777" w:rsidR="009729A7" w:rsidRDefault="009729A7" w:rsidP="001A0490">
      <w:pPr>
        <w:rPr>
          <w:lang w:eastAsia="x-none"/>
        </w:rPr>
      </w:pPr>
      <w:r>
        <w:rPr>
          <w:lang w:eastAsia="x-none"/>
        </w:rPr>
        <w:t>Service integration has been demonstrated to improve physical and mental he</w:t>
      </w:r>
      <w:r w:rsidR="00315170">
        <w:rPr>
          <w:lang w:eastAsia="x-none"/>
        </w:rPr>
        <w:t xml:space="preserve">alth outcomes. </w:t>
      </w:r>
      <w:r w:rsidR="00E13240">
        <w:rPr>
          <w:lang w:eastAsia="x-none"/>
        </w:rPr>
        <w:t xml:space="preserve">As evidenced for example </w:t>
      </w:r>
      <w:r w:rsidR="00315170">
        <w:rPr>
          <w:lang w:eastAsia="x-none"/>
        </w:rPr>
        <w:t>by the success of child and maternal health services in improving outcomes for mothers and babies</w:t>
      </w:r>
      <w:r w:rsidR="00E13240">
        <w:rPr>
          <w:lang w:eastAsia="x-none"/>
        </w:rPr>
        <w:t>,</w:t>
      </w:r>
      <w:r w:rsidR="00315170">
        <w:rPr>
          <w:lang w:eastAsia="x-none"/>
        </w:rPr>
        <w:t xml:space="preserve"> with the potential for significant longer term benefit given the recognised importance of early childhood development in longer term physical, mental health and other outcomes. </w:t>
      </w:r>
      <w:r w:rsidR="00315170">
        <w:rPr>
          <w:rStyle w:val="FootnoteReference"/>
          <w:lang w:eastAsia="x-none"/>
        </w:rPr>
        <w:footnoteReference w:id="48"/>
      </w:r>
    </w:p>
    <w:p w14:paraId="2EBE32CA" w14:textId="77777777" w:rsidR="009729A7" w:rsidRDefault="001A0490" w:rsidP="001A0490">
      <w:pPr>
        <w:rPr>
          <w:lang w:eastAsia="x-none"/>
        </w:rPr>
      </w:pPr>
      <w:r>
        <w:rPr>
          <w:lang w:eastAsia="x-none"/>
        </w:rPr>
        <w:t xml:space="preserve">The approach </w:t>
      </w:r>
      <w:r w:rsidR="00E7642B">
        <w:rPr>
          <w:lang w:eastAsia="x-none"/>
        </w:rPr>
        <w:t>adopted</w:t>
      </w:r>
      <w:r w:rsidR="00E13240">
        <w:rPr>
          <w:lang w:eastAsia="x-none"/>
        </w:rPr>
        <w:t xml:space="preserve"> when integrating SEWB services into primary health care</w:t>
      </w:r>
      <w:r w:rsidR="00E7642B">
        <w:rPr>
          <w:lang w:eastAsia="x-none"/>
        </w:rPr>
        <w:t xml:space="preserve"> </w:t>
      </w:r>
      <w:r>
        <w:rPr>
          <w:lang w:eastAsia="x-none"/>
        </w:rPr>
        <w:t>is one of strengthening knowledge and skills of workers in the area of SEWB</w:t>
      </w:r>
      <w:r w:rsidR="00E13240">
        <w:rPr>
          <w:lang w:eastAsia="x-none"/>
        </w:rPr>
        <w:t>,</w:t>
      </w:r>
      <w:r>
        <w:rPr>
          <w:lang w:eastAsia="x-none"/>
        </w:rPr>
        <w:t xml:space="preserve"> who </w:t>
      </w:r>
      <w:r w:rsidRPr="000E6D8E">
        <w:rPr>
          <w:lang w:eastAsia="x-none"/>
        </w:rPr>
        <w:t>undertake initial assessments</w:t>
      </w:r>
      <w:r w:rsidR="000E6D8E" w:rsidRPr="000E6D8E">
        <w:rPr>
          <w:lang w:eastAsia="x-none"/>
        </w:rPr>
        <w:t>, brief interventions and coordination</w:t>
      </w:r>
      <w:r w:rsidRPr="000E6D8E">
        <w:rPr>
          <w:lang w:eastAsia="x-none"/>
        </w:rPr>
        <w:t xml:space="preserve"> and refer to appropriate experts as</w:t>
      </w:r>
      <w:r>
        <w:rPr>
          <w:lang w:eastAsia="x-none"/>
        </w:rPr>
        <w:t xml:space="preserve"> required. The most sustainable path to the delivery of SEWB services more widely is in the context of integration with primary health care </w:t>
      </w:r>
      <w:r w:rsidR="006B5FD6">
        <w:rPr>
          <w:lang w:eastAsia="x-none"/>
        </w:rPr>
        <w:t xml:space="preserve">where </w:t>
      </w:r>
      <w:r w:rsidRPr="0073433F">
        <w:rPr>
          <w:lang w:eastAsia="x-none"/>
        </w:rPr>
        <w:t xml:space="preserve">SEWB </w:t>
      </w:r>
      <w:r w:rsidR="006B5FD6">
        <w:rPr>
          <w:lang w:eastAsia="x-none"/>
        </w:rPr>
        <w:t xml:space="preserve">is </w:t>
      </w:r>
      <w:r w:rsidRPr="0073433F">
        <w:rPr>
          <w:lang w:eastAsia="x-none"/>
        </w:rPr>
        <w:t>an integral part of</w:t>
      </w:r>
      <w:r>
        <w:rPr>
          <w:lang w:eastAsia="x-none"/>
        </w:rPr>
        <w:t>, and embedded into</w:t>
      </w:r>
      <w:r w:rsidRPr="0073433F">
        <w:rPr>
          <w:lang w:eastAsia="x-none"/>
        </w:rPr>
        <w:t xml:space="preserve"> primary health care service</w:t>
      </w:r>
      <w:r>
        <w:rPr>
          <w:lang w:eastAsia="x-none"/>
        </w:rPr>
        <w:t>s.</w:t>
      </w:r>
      <w:r w:rsidR="00564CB2">
        <w:rPr>
          <w:lang w:eastAsia="x-none"/>
        </w:rPr>
        <w:t xml:space="preserve"> </w:t>
      </w:r>
      <w:r w:rsidR="0083469D">
        <w:rPr>
          <w:lang w:eastAsia="x-none"/>
        </w:rPr>
        <w:t>Under this model access to relevant specialist experts remains important.</w:t>
      </w:r>
    </w:p>
    <w:p w14:paraId="2EBE32CB" w14:textId="77777777" w:rsidR="00182B2E" w:rsidRPr="00136A8C" w:rsidRDefault="00182B2E" w:rsidP="00182B2E">
      <w:pPr>
        <w:rPr>
          <w:rFonts w:cs="Cambria"/>
          <w:szCs w:val="24"/>
        </w:rPr>
      </w:pPr>
      <w:r>
        <w:rPr>
          <w:rFonts w:cs="Cambria"/>
          <w:szCs w:val="24"/>
        </w:rPr>
        <w:lastRenderedPageBreak/>
        <w:t>T</w:t>
      </w:r>
      <w:r w:rsidRPr="00136A8C">
        <w:rPr>
          <w:rFonts w:cs="Cambria"/>
          <w:szCs w:val="24"/>
        </w:rPr>
        <w:t>he Northern Territory A</w:t>
      </w:r>
      <w:r>
        <w:rPr>
          <w:rFonts w:cs="Cambria"/>
          <w:szCs w:val="24"/>
        </w:rPr>
        <w:t xml:space="preserve">boriginal </w:t>
      </w:r>
      <w:r w:rsidRPr="00136A8C">
        <w:rPr>
          <w:rFonts w:cs="Cambria"/>
          <w:szCs w:val="24"/>
        </w:rPr>
        <w:t>M</w:t>
      </w:r>
      <w:r>
        <w:rPr>
          <w:rFonts w:cs="Cambria"/>
          <w:szCs w:val="24"/>
        </w:rPr>
        <w:t xml:space="preserve">edical </w:t>
      </w:r>
      <w:r w:rsidRPr="00136A8C">
        <w:rPr>
          <w:rFonts w:cs="Cambria"/>
          <w:szCs w:val="24"/>
        </w:rPr>
        <w:t>S</w:t>
      </w:r>
      <w:r>
        <w:rPr>
          <w:rFonts w:cs="Cambria"/>
          <w:szCs w:val="24"/>
        </w:rPr>
        <w:t xml:space="preserve">ervices </w:t>
      </w:r>
      <w:r w:rsidRPr="00136A8C">
        <w:rPr>
          <w:rFonts w:cs="Cambria"/>
          <w:szCs w:val="24"/>
        </w:rPr>
        <w:t>A</w:t>
      </w:r>
      <w:r>
        <w:rPr>
          <w:rFonts w:cs="Cambria"/>
          <w:szCs w:val="24"/>
        </w:rPr>
        <w:t xml:space="preserve">lliance of the </w:t>
      </w:r>
      <w:r w:rsidRPr="00136A8C">
        <w:rPr>
          <w:rFonts w:cs="Cambria"/>
          <w:szCs w:val="24"/>
        </w:rPr>
        <w:t>N</w:t>
      </w:r>
      <w:r>
        <w:rPr>
          <w:rFonts w:cs="Cambria"/>
          <w:szCs w:val="24"/>
        </w:rPr>
        <w:t xml:space="preserve">orthern </w:t>
      </w:r>
      <w:r w:rsidRPr="00136A8C">
        <w:rPr>
          <w:rFonts w:cs="Cambria"/>
          <w:szCs w:val="24"/>
        </w:rPr>
        <w:t>T</w:t>
      </w:r>
      <w:r>
        <w:rPr>
          <w:rFonts w:cs="Cambria"/>
          <w:szCs w:val="24"/>
        </w:rPr>
        <w:t>erritory</w:t>
      </w:r>
      <w:r w:rsidRPr="00136A8C">
        <w:rPr>
          <w:rFonts w:cs="Cambria"/>
          <w:szCs w:val="24"/>
        </w:rPr>
        <w:t xml:space="preserve"> identified </w:t>
      </w:r>
      <w:r w:rsidR="00E13240">
        <w:rPr>
          <w:rFonts w:cs="Cambria"/>
          <w:szCs w:val="24"/>
        </w:rPr>
        <w:t xml:space="preserve">the following rationale </w:t>
      </w:r>
      <w:r w:rsidRPr="00136A8C">
        <w:rPr>
          <w:rFonts w:cs="Cambria"/>
          <w:szCs w:val="24"/>
        </w:rPr>
        <w:t xml:space="preserve">for integrating </w:t>
      </w:r>
      <w:r>
        <w:rPr>
          <w:rFonts w:cs="Cambria"/>
          <w:szCs w:val="24"/>
        </w:rPr>
        <w:t xml:space="preserve">alcohol and other drugs </w:t>
      </w:r>
      <w:r w:rsidRPr="00136A8C">
        <w:rPr>
          <w:rFonts w:cs="Cambria"/>
          <w:szCs w:val="24"/>
        </w:rPr>
        <w:t>and community mental health care into their Aboriginal Medical Servic</w:t>
      </w:r>
      <w:r w:rsidR="00E13240">
        <w:rPr>
          <w:rFonts w:cs="Cambria"/>
          <w:szCs w:val="24"/>
        </w:rPr>
        <w:t>es</w:t>
      </w:r>
      <w:r>
        <w:rPr>
          <w:rFonts w:cs="Cambria"/>
          <w:szCs w:val="24"/>
        </w:rPr>
        <w:t>:</w:t>
      </w:r>
      <w:r w:rsidRPr="00136A8C">
        <w:rPr>
          <w:rFonts w:cs="Cambria"/>
          <w:szCs w:val="24"/>
        </w:rPr>
        <w:t xml:space="preserve"> </w:t>
      </w:r>
    </w:p>
    <w:p w14:paraId="2EBE32CC" w14:textId="77777777" w:rsidR="00182B2E" w:rsidRPr="00182B2E" w:rsidRDefault="00182B2E" w:rsidP="0083588E">
      <w:pPr>
        <w:pStyle w:val="ListParagraph"/>
        <w:numPr>
          <w:ilvl w:val="0"/>
          <w:numId w:val="41"/>
        </w:numPr>
        <w:spacing w:before="200" w:after="200" w:line="276" w:lineRule="auto"/>
        <w:contextualSpacing/>
        <w:rPr>
          <w:i/>
        </w:rPr>
      </w:pPr>
      <w:r w:rsidRPr="00182B2E">
        <w:rPr>
          <w:i/>
        </w:rPr>
        <w:t>Alcohol and other drugs and mental health issues cause a high burden of both mortality and morbidity in the Aboriginal population in the Northern Territory</w:t>
      </w:r>
    </w:p>
    <w:p w14:paraId="2EBE32CD" w14:textId="77777777" w:rsidR="00182B2E" w:rsidRPr="00182B2E" w:rsidRDefault="00182B2E" w:rsidP="0083588E">
      <w:pPr>
        <w:pStyle w:val="ListParagraph"/>
        <w:numPr>
          <w:ilvl w:val="0"/>
          <w:numId w:val="41"/>
        </w:numPr>
        <w:spacing w:before="200" w:after="200" w:line="276" w:lineRule="auto"/>
        <w:contextualSpacing/>
        <w:rPr>
          <w:i/>
        </w:rPr>
      </w:pPr>
      <w:r w:rsidRPr="00182B2E">
        <w:rPr>
          <w:i/>
        </w:rPr>
        <w:t>There is unmet need for services for Aboriginal people, especially in remote areas</w:t>
      </w:r>
    </w:p>
    <w:p w14:paraId="2EBE32CE" w14:textId="77777777" w:rsidR="00182B2E" w:rsidRPr="00182B2E" w:rsidRDefault="00182B2E" w:rsidP="0083588E">
      <w:pPr>
        <w:pStyle w:val="ListParagraph"/>
        <w:numPr>
          <w:ilvl w:val="0"/>
          <w:numId w:val="41"/>
        </w:numPr>
        <w:spacing w:before="200" w:after="200" w:line="276" w:lineRule="auto"/>
        <w:contextualSpacing/>
        <w:rPr>
          <w:i/>
        </w:rPr>
      </w:pPr>
      <w:r w:rsidRPr="00182B2E">
        <w:rPr>
          <w:i/>
        </w:rPr>
        <w:t>The most effective and efficient way to provide these services is to ensure they are community-based and operating through the existing primary health care service infrastructure. The creation of multiple service providers, especially in remote areas, is making the service system unnecessarily complex and more fragmented</w:t>
      </w:r>
    </w:p>
    <w:p w14:paraId="2EBE32CF" w14:textId="77777777" w:rsidR="00182B2E" w:rsidRPr="00182B2E" w:rsidRDefault="00182B2E" w:rsidP="0083588E">
      <w:pPr>
        <w:pStyle w:val="ListParagraph"/>
        <w:numPr>
          <w:ilvl w:val="0"/>
          <w:numId w:val="41"/>
        </w:numPr>
        <w:spacing w:before="200" w:after="200" w:line="276" w:lineRule="auto"/>
        <w:contextualSpacing/>
        <w:rPr>
          <w:i/>
        </w:rPr>
      </w:pPr>
      <w:r w:rsidRPr="00182B2E">
        <w:rPr>
          <w:i/>
        </w:rPr>
        <w:t>Dual diagnosis is common and generally poorly dealt with in the specialist alcohol, and other drugs and mental health sectors</w:t>
      </w:r>
    </w:p>
    <w:p w14:paraId="2EBE32D0" w14:textId="77777777" w:rsidR="00182B2E" w:rsidRPr="00182B2E" w:rsidRDefault="00182B2E" w:rsidP="0083588E">
      <w:pPr>
        <w:pStyle w:val="ListParagraph"/>
        <w:numPr>
          <w:ilvl w:val="0"/>
          <w:numId w:val="41"/>
        </w:numPr>
        <w:spacing w:before="200" w:after="200" w:line="276" w:lineRule="auto"/>
        <w:contextualSpacing/>
        <w:rPr>
          <w:i/>
        </w:rPr>
      </w:pPr>
      <w:r w:rsidRPr="00182B2E">
        <w:rPr>
          <w:i/>
        </w:rPr>
        <w:t>Treatment for both alcohol and other drugs and mental health issues needs to be addressed in a culturally-effective, holistic way that also addresses determinants of these problems at a community and individual level. Aboriginal communities should control theses services.</w:t>
      </w:r>
    </w:p>
    <w:p w14:paraId="2EBE32D1" w14:textId="77777777" w:rsidR="00182B2E" w:rsidRPr="00182B2E" w:rsidRDefault="00182B2E" w:rsidP="0083588E">
      <w:pPr>
        <w:pStyle w:val="ListParagraph"/>
        <w:numPr>
          <w:ilvl w:val="0"/>
          <w:numId w:val="41"/>
        </w:numPr>
        <w:spacing w:before="200" w:after="200" w:line="276" w:lineRule="auto"/>
        <w:contextualSpacing/>
        <w:rPr>
          <w:i/>
        </w:rPr>
      </w:pPr>
      <w:r w:rsidRPr="00182B2E">
        <w:rPr>
          <w:i/>
        </w:rPr>
        <w:t>Therapies such as Cognitive Behaviour Therapy and problem solving therapy are effective in both mental health and alcohol, tobacco and other drugs problems.</w:t>
      </w:r>
    </w:p>
    <w:p w14:paraId="2EBE32D2" w14:textId="77777777" w:rsidR="00182B2E" w:rsidRDefault="00182B2E" w:rsidP="0083588E">
      <w:pPr>
        <w:pStyle w:val="ListParagraph"/>
        <w:numPr>
          <w:ilvl w:val="0"/>
          <w:numId w:val="41"/>
        </w:numPr>
        <w:spacing w:before="200" w:after="200" w:line="276" w:lineRule="auto"/>
        <w:contextualSpacing/>
      </w:pPr>
      <w:r w:rsidRPr="00182B2E">
        <w:rPr>
          <w:i/>
        </w:rPr>
        <w:t>Treatment for mental health and alcohol and other drugs problems needs to be integrated with other aspects of primary health care, including medical care and health promotion</w:t>
      </w:r>
      <w:r>
        <w:t>.</w:t>
      </w:r>
      <w:r>
        <w:rPr>
          <w:rStyle w:val="FootnoteReference"/>
        </w:rPr>
        <w:footnoteReference w:id="49"/>
      </w:r>
    </w:p>
    <w:p w14:paraId="2EBE32D3" w14:textId="77777777" w:rsidR="00262D09" w:rsidRDefault="002704C7" w:rsidP="001A0490">
      <w:pPr>
        <w:rPr>
          <w:lang w:eastAsia="x-none"/>
        </w:rPr>
      </w:pPr>
      <w:r>
        <w:rPr>
          <w:lang w:eastAsia="x-none"/>
        </w:rPr>
        <w:t xml:space="preserve">Whilst unable to identify specific evidence of success, we are advised that </w:t>
      </w:r>
      <w:r w:rsidR="00564CB2">
        <w:rPr>
          <w:lang w:eastAsia="x-none"/>
        </w:rPr>
        <w:t xml:space="preserve">The Wurli-Wurlinjang Health Service in Katherine , Northern Territory is one example of a successfully run primary </w:t>
      </w:r>
      <w:r>
        <w:rPr>
          <w:lang w:eastAsia="x-none"/>
        </w:rPr>
        <w:t xml:space="preserve">health </w:t>
      </w:r>
      <w:r w:rsidR="00564CB2">
        <w:rPr>
          <w:lang w:eastAsia="x-none"/>
        </w:rPr>
        <w:t>care health service</w:t>
      </w:r>
      <w:r>
        <w:rPr>
          <w:lang w:eastAsia="x-none"/>
        </w:rPr>
        <w:t xml:space="preserve"> that has incorporated a wellbeing unit</w:t>
      </w:r>
      <w:r w:rsidR="00564CB2">
        <w:rPr>
          <w:lang w:eastAsia="x-none"/>
        </w:rPr>
        <w:t>, albeit servicing a larger community than those on Cape York</w:t>
      </w:r>
      <w:r w:rsidR="00564CB2" w:rsidRPr="00292EA8">
        <w:rPr>
          <w:lang w:eastAsia="x-none"/>
        </w:rPr>
        <w:t>.</w:t>
      </w:r>
      <w:r w:rsidR="0083469D">
        <w:rPr>
          <w:lang w:eastAsia="x-none"/>
        </w:rPr>
        <w:t xml:space="preserve"> Their primary health care service incorporates a SEWB team and clients have had access to a psychologist. High level clinical care for mental health clients is undertaken by their general practitioners or Territory specialist mental health services.</w:t>
      </w:r>
      <w:r w:rsidR="00262D09">
        <w:rPr>
          <w:lang w:eastAsia="x-none"/>
        </w:rPr>
        <w:t xml:space="preserve"> The service mirrors much of that provided by the stand-alone WBCs including counselling, groups and education </w:t>
      </w:r>
      <w:r w:rsidR="00262D09" w:rsidRPr="00113970">
        <w:rPr>
          <w:lang w:eastAsia="x-none"/>
        </w:rPr>
        <w:t>to deal with; unresolved grief and loss, domestic violence, removal from family, substance misuse, family breakdown, cultural dislocation, racism and discrimination, social disadvantage, sexual abuse, trauma and abuse, depression, poverty, drug and alcohol abuse, and intergenerational consequences of removal policies. We note that the service also operates an Alcohol and Other Drugs counselling and group program.</w:t>
      </w:r>
      <w:r w:rsidR="00262D09" w:rsidRPr="00113970">
        <w:rPr>
          <w:vertAlign w:val="superscript"/>
          <w:lang w:eastAsia="x-none"/>
        </w:rPr>
        <w:footnoteReference w:id="50"/>
      </w:r>
    </w:p>
    <w:p w14:paraId="2EBE32D4" w14:textId="77777777" w:rsidR="00A6547B" w:rsidRDefault="00A6547B" w:rsidP="001A0490">
      <w:pPr>
        <w:rPr>
          <w:lang w:eastAsia="x-none"/>
        </w:rPr>
      </w:pPr>
      <w:r>
        <w:rPr>
          <w:lang w:eastAsia="x-none"/>
        </w:rPr>
        <w:t xml:space="preserve">Similarly, we are also aware that the Institute for Urban Indigenous Health (IUIH) in South East Queensland has also integrated a comprehensive social and emotional wellbeing service into their primary health care services. Additionally, this model brings together </w:t>
      </w:r>
      <w:r w:rsidR="0042415D">
        <w:rPr>
          <w:lang w:eastAsia="x-none"/>
        </w:rPr>
        <w:t>four independent community controlled health services to provide for a large Indigenous population.</w:t>
      </w:r>
    </w:p>
    <w:p w14:paraId="2EBE32D5" w14:textId="77777777" w:rsidR="0042415D" w:rsidRDefault="0042415D" w:rsidP="001A0490">
      <w:pPr>
        <w:rPr>
          <w:lang w:eastAsia="x-none"/>
        </w:rPr>
      </w:pPr>
      <w:r>
        <w:rPr>
          <w:lang w:eastAsia="x-none"/>
        </w:rPr>
        <w:t>In determining a model for the integration of SEWB into PHC services on the Cape, there would be value in researching these service models particularly with a view to lessons learned.</w:t>
      </w:r>
    </w:p>
    <w:p w14:paraId="2EBE32D6" w14:textId="77777777" w:rsidR="007D0318" w:rsidRDefault="001A0490" w:rsidP="001A0490">
      <w:pPr>
        <w:rPr>
          <w:lang w:eastAsia="x-none"/>
        </w:rPr>
      </w:pPr>
      <w:r>
        <w:rPr>
          <w:lang w:eastAsia="x-none"/>
        </w:rPr>
        <w:t xml:space="preserve">As discussed in </w:t>
      </w:r>
      <w:r w:rsidR="00C1158D">
        <w:rPr>
          <w:lang w:eastAsia="x-none"/>
        </w:rPr>
        <w:t>S</w:t>
      </w:r>
      <w:r w:rsidRPr="00FD5D18">
        <w:rPr>
          <w:lang w:eastAsia="x-none"/>
        </w:rPr>
        <w:t xml:space="preserve">ection </w:t>
      </w:r>
      <w:r w:rsidR="00FD5D18" w:rsidRPr="00FD5D18">
        <w:rPr>
          <w:lang w:eastAsia="x-none"/>
        </w:rPr>
        <w:fldChar w:fldCharType="begin"/>
      </w:r>
      <w:r w:rsidR="00FD5D18" w:rsidRPr="00FD5D18">
        <w:rPr>
          <w:lang w:eastAsia="x-none"/>
        </w:rPr>
        <w:instrText xml:space="preserve"> REF _Ref387398300 \r \h </w:instrText>
      </w:r>
      <w:r w:rsidR="00FD5D18">
        <w:rPr>
          <w:lang w:eastAsia="x-none"/>
        </w:rPr>
        <w:instrText xml:space="preserve"> \* MERGEFORMAT </w:instrText>
      </w:r>
      <w:r w:rsidR="00FD5D18" w:rsidRPr="00FD5D18">
        <w:rPr>
          <w:lang w:eastAsia="x-none"/>
        </w:rPr>
      </w:r>
      <w:r w:rsidR="00FD5D18" w:rsidRPr="00FD5D18">
        <w:rPr>
          <w:lang w:eastAsia="x-none"/>
        </w:rPr>
        <w:fldChar w:fldCharType="separate"/>
      </w:r>
      <w:r w:rsidR="009A19EB">
        <w:rPr>
          <w:lang w:eastAsia="x-none"/>
        </w:rPr>
        <w:t>2.5</w:t>
      </w:r>
      <w:r w:rsidR="00FD5D18" w:rsidRPr="00FD5D18">
        <w:rPr>
          <w:lang w:eastAsia="x-none"/>
        </w:rPr>
        <w:fldChar w:fldCharType="end"/>
      </w:r>
      <w:r w:rsidR="0067605C">
        <w:rPr>
          <w:lang w:eastAsia="x-none"/>
        </w:rPr>
        <w:t>.6</w:t>
      </w:r>
      <w:r w:rsidR="00FD5D18">
        <w:rPr>
          <w:lang w:eastAsia="x-none"/>
        </w:rPr>
        <w:t xml:space="preserve"> </w:t>
      </w:r>
      <w:r>
        <w:rPr>
          <w:lang w:eastAsia="x-none"/>
        </w:rPr>
        <w:t>the success of any approach must be seen in the context of</w:t>
      </w:r>
      <w:r w:rsidR="00D12BC9">
        <w:rPr>
          <w:lang w:eastAsia="x-none"/>
        </w:rPr>
        <w:t xml:space="preserve"> </w:t>
      </w:r>
      <w:r w:rsidR="00AF2F68">
        <w:rPr>
          <w:lang w:eastAsia="x-none"/>
        </w:rPr>
        <w:t xml:space="preserve">the </w:t>
      </w:r>
      <w:r w:rsidR="00D12BC9">
        <w:rPr>
          <w:lang w:eastAsia="x-none"/>
        </w:rPr>
        <w:t xml:space="preserve">enormous challenges </w:t>
      </w:r>
      <w:r w:rsidR="00AF2F68">
        <w:rPr>
          <w:lang w:eastAsia="x-none"/>
        </w:rPr>
        <w:t xml:space="preserve">associated </w:t>
      </w:r>
      <w:r>
        <w:rPr>
          <w:lang w:eastAsia="x-none"/>
        </w:rPr>
        <w:t>with</w:t>
      </w:r>
      <w:r w:rsidR="007D0318">
        <w:rPr>
          <w:lang w:eastAsia="x-none"/>
        </w:rPr>
        <w:t xml:space="preserve"> </w:t>
      </w:r>
      <w:r w:rsidR="00AF2F68">
        <w:rPr>
          <w:lang w:eastAsia="x-none"/>
        </w:rPr>
        <w:t>achieving both individual and community level change and that a long-term response is required.</w:t>
      </w:r>
      <w:r w:rsidR="007D0318">
        <w:rPr>
          <w:lang w:eastAsia="x-none"/>
        </w:rPr>
        <w:t xml:space="preserve"> There is no evidence of </w:t>
      </w:r>
      <w:r w:rsidR="00A17CA1" w:rsidRPr="00A17CA1">
        <w:rPr>
          <w:lang w:eastAsia="x-none"/>
        </w:rPr>
        <w:t>a model that has been developed to addres</w:t>
      </w:r>
      <w:r w:rsidR="00A17CA1">
        <w:rPr>
          <w:lang w:eastAsia="x-none"/>
        </w:rPr>
        <w:t xml:space="preserve">s and successfully overcome the impact </w:t>
      </w:r>
      <w:r w:rsidR="000E6D8E">
        <w:rPr>
          <w:lang w:eastAsia="x-none"/>
        </w:rPr>
        <w:t xml:space="preserve">of </w:t>
      </w:r>
      <w:r w:rsidR="00A17CA1">
        <w:rPr>
          <w:lang w:eastAsia="x-none"/>
        </w:rPr>
        <w:t>compromised neurodevelopmental environments</w:t>
      </w:r>
      <w:r w:rsidR="006B5FD6">
        <w:rPr>
          <w:lang w:eastAsia="x-none"/>
        </w:rPr>
        <w:t>. I</w:t>
      </w:r>
      <w:r w:rsidR="007D0318">
        <w:rPr>
          <w:lang w:eastAsia="x-none"/>
        </w:rPr>
        <w:t xml:space="preserve">t is now well </w:t>
      </w:r>
      <w:r w:rsidR="007D0318">
        <w:rPr>
          <w:lang w:eastAsia="x-none"/>
        </w:rPr>
        <w:lastRenderedPageBreak/>
        <w:t>understood that early brain development affects lifelong health and well-being of individual and that early environmental experiences significantly shape the developing brain, with many environmental factors, including smoking, alcohol, maternal nutrition and illness and stress affecting the unborn child</w:t>
      </w:r>
      <w:r w:rsidR="00A17CA1">
        <w:rPr>
          <w:lang w:eastAsia="x-none"/>
        </w:rPr>
        <w:t xml:space="preserve"> and thus capacity for successfully achieving positive longer term outcomes.</w:t>
      </w:r>
    </w:p>
    <w:p w14:paraId="2EBE32D7" w14:textId="77777777" w:rsidR="00605694" w:rsidRDefault="001A0490" w:rsidP="008A482A">
      <w:pPr>
        <w:rPr>
          <w:lang w:eastAsia="x-none"/>
        </w:rPr>
      </w:pPr>
      <w:r w:rsidRPr="000702B3">
        <w:rPr>
          <w:lang w:eastAsia="x-none"/>
        </w:rPr>
        <w:t>Consistent with government priorities</w:t>
      </w:r>
      <w:r w:rsidR="00F30746">
        <w:rPr>
          <w:lang w:eastAsia="x-none"/>
        </w:rPr>
        <w:t xml:space="preserve">, </w:t>
      </w:r>
      <w:r w:rsidR="000702B3" w:rsidRPr="000702B3">
        <w:rPr>
          <w:lang w:eastAsia="x-none"/>
        </w:rPr>
        <w:t xml:space="preserve">as reflected by the current revision underway of the </w:t>
      </w:r>
      <w:r w:rsidR="000E6D8E">
        <w:rPr>
          <w:lang w:eastAsia="x-none"/>
        </w:rPr>
        <w:t>N</w:t>
      </w:r>
      <w:r w:rsidR="000702B3" w:rsidRPr="000702B3">
        <w:rPr>
          <w:lang w:eastAsia="x-none"/>
        </w:rPr>
        <w:t xml:space="preserve">ational SEWB </w:t>
      </w:r>
      <w:r w:rsidR="000E6D8E" w:rsidRPr="000702B3">
        <w:rPr>
          <w:lang w:eastAsia="x-none"/>
        </w:rPr>
        <w:t>Strategic Framework</w:t>
      </w:r>
      <w:r w:rsidR="00E11E45">
        <w:rPr>
          <w:rStyle w:val="FootnoteReference"/>
          <w:lang w:eastAsia="x-none"/>
        </w:rPr>
        <w:footnoteReference w:id="51"/>
      </w:r>
      <w:r w:rsidR="000E6D8E">
        <w:rPr>
          <w:lang w:eastAsia="x-none"/>
        </w:rPr>
        <w:t>,</w:t>
      </w:r>
      <w:r w:rsidRPr="000702B3">
        <w:rPr>
          <w:lang w:eastAsia="x-none"/>
        </w:rPr>
        <w:t xml:space="preserve"> t</w:t>
      </w:r>
      <w:r w:rsidR="00721951" w:rsidRPr="000702B3">
        <w:rPr>
          <w:lang w:eastAsia="x-none"/>
        </w:rPr>
        <w:t xml:space="preserve">he evaluation is </w:t>
      </w:r>
      <w:r w:rsidR="00301200">
        <w:rPr>
          <w:lang w:eastAsia="x-none"/>
        </w:rPr>
        <w:t>proposing</w:t>
      </w:r>
      <w:r w:rsidR="00721951" w:rsidRPr="000702B3">
        <w:rPr>
          <w:lang w:eastAsia="x-none"/>
        </w:rPr>
        <w:t xml:space="preserve"> </w:t>
      </w:r>
      <w:r w:rsidR="009A76C6" w:rsidRPr="000702B3">
        <w:rPr>
          <w:lang w:eastAsia="x-none"/>
        </w:rPr>
        <w:t xml:space="preserve">the </w:t>
      </w:r>
      <w:r w:rsidRPr="000702B3">
        <w:rPr>
          <w:lang w:eastAsia="x-none"/>
        </w:rPr>
        <w:t xml:space="preserve">ongoing development of </w:t>
      </w:r>
      <w:r w:rsidR="00301200">
        <w:rPr>
          <w:lang w:eastAsia="x-none"/>
        </w:rPr>
        <w:t xml:space="preserve">an </w:t>
      </w:r>
      <w:r w:rsidR="0047637E">
        <w:rPr>
          <w:lang w:eastAsia="x-none"/>
        </w:rPr>
        <w:t xml:space="preserve">integrated </w:t>
      </w:r>
      <w:r w:rsidR="0047637E" w:rsidRPr="000702B3">
        <w:rPr>
          <w:lang w:eastAsia="x-none"/>
        </w:rPr>
        <w:t>response</w:t>
      </w:r>
      <w:r w:rsidR="00721951" w:rsidRPr="000702B3">
        <w:rPr>
          <w:lang w:eastAsia="x-none"/>
        </w:rPr>
        <w:t xml:space="preserve"> to SEWB issues</w:t>
      </w:r>
      <w:r w:rsidRPr="000702B3">
        <w:rPr>
          <w:lang w:eastAsia="x-none"/>
        </w:rPr>
        <w:t>, a</w:t>
      </w:r>
      <w:r w:rsidR="00721951" w:rsidRPr="000702B3">
        <w:rPr>
          <w:lang w:eastAsia="x-none"/>
        </w:rPr>
        <w:t xml:space="preserve">lbeit </w:t>
      </w:r>
      <w:r w:rsidR="009A76C6" w:rsidRPr="000702B3">
        <w:rPr>
          <w:lang w:eastAsia="x-none"/>
        </w:rPr>
        <w:t>at</w:t>
      </w:r>
      <w:r w:rsidR="00721951" w:rsidRPr="000702B3">
        <w:rPr>
          <w:lang w:eastAsia="x-none"/>
        </w:rPr>
        <w:t xml:space="preserve"> different level</w:t>
      </w:r>
      <w:r w:rsidRPr="000702B3">
        <w:rPr>
          <w:lang w:eastAsia="x-none"/>
        </w:rPr>
        <w:t>s</w:t>
      </w:r>
      <w:r w:rsidR="00721951" w:rsidRPr="000702B3">
        <w:rPr>
          <w:lang w:eastAsia="x-none"/>
        </w:rPr>
        <w:t xml:space="preserve"> and </w:t>
      </w:r>
      <w:r w:rsidR="009A76C6" w:rsidRPr="000702B3">
        <w:rPr>
          <w:lang w:eastAsia="x-none"/>
        </w:rPr>
        <w:t>utilising a variety of approaches</w:t>
      </w:r>
      <w:r w:rsidR="00721951" w:rsidRPr="000702B3">
        <w:rPr>
          <w:lang w:eastAsia="x-none"/>
        </w:rPr>
        <w:t xml:space="preserve"> depend</w:t>
      </w:r>
      <w:r w:rsidR="009A76C6" w:rsidRPr="000702B3">
        <w:rPr>
          <w:lang w:eastAsia="x-none"/>
        </w:rPr>
        <w:t>ing on community need and input as discussed further</w:t>
      </w:r>
      <w:r w:rsidR="009A76C6">
        <w:rPr>
          <w:lang w:eastAsia="x-none"/>
        </w:rPr>
        <w:t xml:space="preserve"> </w:t>
      </w:r>
      <w:r w:rsidR="00465979">
        <w:rPr>
          <w:lang w:eastAsia="x-none"/>
        </w:rPr>
        <w:t>in Section 5.3</w:t>
      </w:r>
      <w:r w:rsidR="009A76C6">
        <w:rPr>
          <w:lang w:eastAsia="x-none"/>
        </w:rPr>
        <w:t xml:space="preserve">. </w:t>
      </w:r>
    </w:p>
    <w:p w14:paraId="2EBE32D8" w14:textId="77777777" w:rsidR="00721951" w:rsidRDefault="00605694" w:rsidP="008A482A">
      <w:pPr>
        <w:rPr>
          <w:lang w:eastAsia="x-none"/>
        </w:rPr>
      </w:pPr>
      <w:r w:rsidRPr="00B305F3">
        <w:rPr>
          <w:color w:val="auto"/>
          <w:lang w:eastAsia="x-none"/>
        </w:rPr>
        <w:t xml:space="preserve">Based on the evidence of the evaluation to date, depending on the level of social norms operating within the community, a scaled back response to provision of </w:t>
      </w:r>
      <w:r w:rsidR="00E13240">
        <w:rPr>
          <w:color w:val="auto"/>
          <w:lang w:eastAsia="x-none"/>
        </w:rPr>
        <w:t xml:space="preserve">integrated </w:t>
      </w:r>
      <w:r w:rsidRPr="00B305F3">
        <w:rPr>
          <w:color w:val="auto"/>
          <w:lang w:eastAsia="x-none"/>
        </w:rPr>
        <w:t>SEWB services would provide individuals with support to change behaviours, but is unlikely to result in sustained and noticeable improvements at the community level in isolation of a more comprehensive suite of other initi</w:t>
      </w:r>
      <w:r>
        <w:rPr>
          <w:color w:val="auto"/>
          <w:lang w:eastAsia="x-none"/>
        </w:rPr>
        <w:t xml:space="preserve">atives and the passage of time.  </w:t>
      </w:r>
      <w:r>
        <w:rPr>
          <w:lang w:eastAsia="x-none"/>
        </w:rPr>
        <w:t xml:space="preserve">The success of a scaled back integrated </w:t>
      </w:r>
      <w:r w:rsidR="009A76C6">
        <w:rPr>
          <w:lang w:eastAsia="x-none"/>
        </w:rPr>
        <w:t>approach is unlikely to be evident at community level, at least in the short to medium term.</w:t>
      </w:r>
    </w:p>
    <w:p w14:paraId="2EBE32D9" w14:textId="77777777" w:rsidR="00F660CA" w:rsidRPr="00301200"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spacing w:after="120"/>
        <w:rPr>
          <w:lang w:eastAsia="x-none"/>
        </w:rPr>
      </w:pPr>
      <w:r>
        <w:rPr>
          <w:b/>
          <w:lang w:eastAsia="x-none"/>
        </w:rPr>
        <w:t>Key r</w:t>
      </w:r>
      <w:r w:rsidRPr="00631F4F">
        <w:rPr>
          <w:b/>
          <w:lang w:eastAsia="x-none"/>
        </w:rPr>
        <w:t>eview finding #</w:t>
      </w:r>
      <w:r>
        <w:rPr>
          <w:b/>
          <w:lang w:eastAsia="x-none"/>
        </w:rPr>
        <w:t xml:space="preserve">11: </w:t>
      </w:r>
      <w:r w:rsidRPr="00301200">
        <w:rPr>
          <w:lang w:eastAsia="x-none"/>
        </w:rPr>
        <w:t>There is a wide body of literature highlighting the link between SEWB and physical health and the need for health services to continue to work towards embedding SEWB into all aspects of PHC. It is also reported by the World Health Organisation to be the only sustainable option in the long term.</w:t>
      </w:r>
    </w:p>
    <w:p w14:paraId="2EBE32DA" w14:textId="77777777" w:rsidR="00F660CA" w:rsidRPr="00605694"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rPr>
          <w:color w:val="auto"/>
          <w:lang w:eastAsia="x-none"/>
        </w:rPr>
      </w:pPr>
      <w:r w:rsidRPr="00301200">
        <w:rPr>
          <w:lang w:eastAsia="x-none"/>
        </w:rPr>
        <w:t>If the integration of SEWB services is accompanied by a strengthening of the skill and knowledge of all PHC practitioners in SEWB issues, and a building of their capacity to assess, provide brief interventions, refer and coordinate (i.e. provide holistic health and wellbeing interventions), it is likely to significantly strengthen PHC delivery and enhance outcomes for clients</w:t>
      </w:r>
    </w:p>
    <w:p w14:paraId="2EBE32DB" w14:textId="77777777" w:rsidR="00301200" w:rsidRDefault="00F660CA" w:rsidP="00F660CA">
      <w:pPr>
        <w:pBdr>
          <w:top w:val="single" w:sz="4" w:space="1" w:color="auto"/>
          <w:left w:val="single" w:sz="4" w:space="4" w:color="auto"/>
          <w:bottom w:val="single" w:sz="4" w:space="1" w:color="auto"/>
          <w:right w:val="single" w:sz="4" w:space="4" w:color="auto"/>
        </w:pBdr>
        <w:shd w:val="clear" w:color="auto" w:fill="B8CCE4" w:themeFill="accent1" w:themeFillTint="66"/>
        <w:rPr>
          <w:lang w:eastAsia="x-none"/>
        </w:rPr>
      </w:pPr>
      <w:r>
        <w:rPr>
          <w:b/>
          <w:lang w:eastAsia="x-none"/>
        </w:rPr>
        <w:t>Key r</w:t>
      </w:r>
      <w:r w:rsidRPr="00631F4F">
        <w:rPr>
          <w:b/>
          <w:lang w:eastAsia="x-none"/>
        </w:rPr>
        <w:t>eview finding #</w:t>
      </w:r>
      <w:r>
        <w:rPr>
          <w:b/>
          <w:lang w:eastAsia="x-none"/>
        </w:rPr>
        <w:t xml:space="preserve">12: </w:t>
      </w:r>
      <w:r w:rsidRPr="00301200">
        <w:t>Integration of the existing WBC functions within a PHC setting could potentially reduce service duplication and fragmentation, improve secondary referral pathways and improve client outcomes.</w:t>
      </w:r>
    </w:p>
    <w:p w14:paraId="2EBE32DC" w14:textId="77777777" w:rsidR="00C35DB3" w:rsidRDefault="00C35DB3" w:rsidP="00BC0A26">
      <w:pPr>
        <w:pStyle w:val="Heading3"/>
        <w:rPr>
          <w:lang w:val="en-AU"/>
        </w:rPr>
      </w:pPr>
      <w:bookmarkStart w:id="224" w:name="_Toc379474399"/>
      <w:r>
        <w:t>Community control</w:t>
      </w:r>
    </w:p>
    <w:p w14:paraId="2EBE32DD" w14:textId="77777777" w:rsidR="00C35DB3" w:rsidRDefault="00C35DB3" w:rsidP="00C35DB3">
      <w:r w:rsidRPr="00BD5004">
        <w:rPr>
          <w:rFonts w:cs="Segoe UI"/>
        </w:rPr>
        <w:t>The RFDS was contracted as an interim auspice to operate the WBCs with a view to transitioning to a community‐con</w:t>
      </w:r>
      <w:r>
        <w:rPr>
          <w:rFonts w:cs="Segoe UI"/>
        </w:rPr>
        <w:t>trolled arrangement over time</w:t>
      </w:r>
      <w:r w:rsidR="00952CAE">
        <w:rPr>
          <w:rFonts w:cs="Segoe UI"/>
        </w:rPr>
        <w:t>,</w:t>
      </w:r>
      <w:r>
        <w:rPr>
          <w:rFonts w:cs="Segoe UI"/>
        </w:rPr>
        <w:t xml:space="preserve"> </w:t>
      </w:r>
      <w:r>
        <w:t>as there is evidence that effective community cont</w:t>
      </w:r>
      <w:r w:rsidR="00F538C9">
        <w:t>rol enhances community outcomes</w:t>
      </w:r>
      <w:r>
        <w:rPr>
          <w:rStyle w:val="FootnoteReference"/>
        </w:rPr>
        <w:footnoteReference w:id="52"/>
      </w:r>
      <w:r w:rsidR="00F538C9" w:rsidRPr="00F538C9">
        <w:rPr>
          <w:vertAlign w:val="superscript"/>
        </w:rPr>
        <w:t>,</w:t>
      </w:r>
      <w:r w:rsidR="00F538C9">
        <w:rPr>
          <w:rStyle w:val="FootnoteReference"/>
        </w:rPr>
        <w:footnoteReference w:id="53"/>
      </w:r>
      <w:r w:rsidR="00F538C9" w:rsidRPr="00F538C9">
        <w:rPr>
          <w:vertAlign w:val="superscript"/>
        </w:rPr>
        <w:t>,</w:t>
      </w:r>
      <w:r w:rsidR="00F538C9">
        <w:rPr>
          <w:rStyle w:val="FootnoteReference"/>
        </w:rPr>
        <w:footnoteReference w:id="54"/>
      </w:r>
      <w:r w:rsidR="00952CAE">
        <w:t xml:space="preserve">. </w:t>
      </w:r>
      <w:r w:rsidR="00C1673A">
        <w:t>The LAGs were envisaged as the mechanism for shifting from a notion of community involvement and participation to potentially one of community control. As has been discussed, the LAGs have had widely varying levels of success, however, none are envisaged as having developed to the point of assuming localised ‘community control’.</w:t>
      </w:r>
    </w:p>
    <w:p w14:paraId="2EBE32DE" w14:textId="77777777" w:rsidR="00952CAE" w:rsidRDefault="00952CAE" w:rsidP="00952CAE">
      <w:pPr>
        <w:rPr>
          <w:lang w:eastAsia="x-none"/>
        </w:rPr>
      </w:pPr>
      <w:r>
        <w:rPr>
          <w:lang w:eastAsia="x-none"/>
        </w:rPr>
        <w:t>Also of relevance is that t</w:t>
      </w:r>
      <w:r w:rsidRPr="00952CAE">
        <w:rPr>
          <w:lang w:eastAsia="x-none"/>
        </w:rPr>
        <w:t>he Australian Government is auspicing the Empower</w:t>
      </w:r>
      <w:r w:rsidR="00190C4D">
        <w:rPr>
          <w:lang w:eastAsia="x-none"/>
        </w:rPr>
        <w:t>ing</w:t>
      </w:r>
      <w:r w:rsidRPr="00952CAE">
        <w:rPr>
          <w:lang w:eastAsia="x-none"/>
        </w:rPr>
        <w:t xml:space="preserve"> Communities initiative which is examining the potential for structural shifts in power and responsibility to </w:t>
      </w:r>
      <w:r w:rsidRPr="00952CAE">
        <w:rPr>
          <w:lang w:eastAsia="x-none"/>
        </w:rPr>
        <w:lastRenderedPageBreak/>
        <w:t xml:space="preserve">communities. The underlying principle being promoted by the Cape York Institute is one of ‘subsidiarity’, the organising principle that ‘matters ought to be handled by the smallest, lowest or least centralised competent </w:t>
      </w:r>
      <w:r w:rsidR="00F30746">
        <w:rPr>
          <w:lang w:eastAsia="x-none"/>
        </w:rPr>
        <w:t>authority; and</w:t>
      </w:r>
      <w:r w:rsidRPr="00952CAE">
        <w:rPr>
          <w:lang w:eastAsia="x-none"/>
        </w:rPr>
        <w:t xml:space="preserve"> political decisions should be taken at a local level if possible, rather than by a central authority’.</w:t>
      </w:r>
      <w:r w:rsidRPr="00952CAE">
        <w:rPr>
          <w:vertAlign w:val="superscript"/>
          <w:lang w:eastAsia="x-none"/>
        </w:rPr>
        <w:footnoteReference w:id="55"/>
      </w:r>
    </w:p>
    <w:p w14:paraId="2EBE32DF" w14:textId="77777777" w:rsidR="00173C2E" w:rsidRDefault="00952CAE" w:rsidP="00952CAE">
      <w:r>
        <w:rPr>
          <w:lang w:eastAsia="x-none"/>
        </w:rPr>
        <w:t>Accordingly when rolling out SEWB services, c</w:t>
      </w:r>
      <w:r w:rsidRPr="00395503">
        <w:rPr>
          <w:lang w:eastAsia="x-none"/>
        </w:rPr>
        <w:t>onsideration need</w:t>
      </w:r>
      <w:r>
        <w:rPr>
          <w:lang w:eastAsia="x-none"/>
        </w:rPr>
        <w:t>s</w:t>
      </w:r>
      <w:r w:rsidRPr="00395503">
        <w:rPr>
          <w:lang w:eastAsia="x-none"/>
        </w:rPr>
        <w:t xml:space="preserve"> to be given to the level (e.g. local, regional) at which services ca</w:t>
      </w:r>
      <w:r>
        <w:rPr>
          <w:lang w:eastAsia="x-none"/>
        </w:rPr>
        <w:t>n be most appropriately managed and</w:t>
      </w:r>
      <w:r w:rsidRPr="00395503">
        <w:rPr>
          <w:lang w:eastAsia="x-none"/>
        </w:rPr>
        <w:t xml:space="preserve"> where there is a community controlled organisation with a proven capacity to deliver health related services</w:t>
      </w:r>
      <w:r>
        <w:rPr>
          <w:lang w:eastAsia="x-none"/>
        </w:rPr>
        <w:t>.</w:t>
      </w:r>
      <w:r w:rsidR="00C1673A" w:rsidRPr="00C1673A">
        <w:t xml:space="preserve"> </w:t>
      </w:r>
      <w:r w:rsidR="00C1673A">
        <w:t xml:space="preserve">That is, whilst the evidence supports community control enhancing service outcomes, there needs to be an appropriate body identified to safely assume this role particularly if the four WBCs were to be transitioned to that body in one stage. </w:t>
      </w:r>
      <w:r w:rsidR="00173C2E">
        <w:t>Community control should be considered as the way forward, however, care needs to be taken not to overwhelm and possibly destroy an existing service simply to achieve this objective. This should be a key consideration of the proposed transition planning.</w:t>
      </w:r>
    </w:p>
    <w:p w14:paraId="2EBE32E0" w14:textId="77777777" w:rsidR="00F660CA" w:rsidRDefault="00F660CA" w:rsidP="00F660CA">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pPr>
      <w:r w:rsidRPr="00F660CA">
        <w:rPr>
          <w:rStyle w:val="Strong"/>
        </w:rPr>
        <w:t>Recommendation 1:</w:t>
      </w:r>
      <w:r w:rsidRPr="00952CAE">
        <w:rPr>
          <w:b/>
          <w:lang w:eastAsia="x-none"/>
        </w:rPr>
        <w:t xml:space="preserve"> </w:t>
      </w:r>
      <w:r w:rsidRPr="00952CAE">
        <w:rPr>
          <w:lang w:eastAsia="x-none"/>
        </w:rPr>
        <w:t xml:space="preserve">On a national basis the direction of policy and implementation should be focused on the integration of SEWB services within </w:t>
      </w:r>
      <w:r>
        <w:rPr>
          <w:lang w:eastAsia="x-none"/>
        </w:rPr>
        <w:t>primary health care</w:t>
      </w:r>
      <w:r w:rsidRPr="00952CAE">
        <w:rPr>
          <w:lang w:eastAsia="x-none"/>
        </w:rPr>
        <w:t>, ideally under community control and with the level of resourcing aligned to the level of identified community need.</w:t>
      </w:r>
    </w:p>
    <w:p w14:paraId="2EBE32E1" w14:textId="77777777" w:rsidR="00301200" w:rsidRPr="00B305F3" w:rsidRDefault="00301200" w:rsidP="00830B55">
      <w:pPr>
        <w:pStyle w:val="Heading2"/>
      </w:pPr>
      <w:bookmarkStart w:id="225" w:name="_Rolling_out_SEWB"/>
      <w:bookmarkStart w:id="226" w:name="_Toc440038464"/>
      <w:bookmarkEnd w:id="225"/>
      <w:r w:rsidRPr="00B305F3">
        <w:t>Rolling out SEWB</w:t>
      </w:r>
      <w:bookmarkEnd w:id="224"/>
      <w:r>
        <w:t xml:space="preserve"> services</w:t>
      </w:r>
      <w:bookmarkEnd w:id="226"/>
      <w:r>
        <w:t xml:space="preserve"> </w:t>
      </w:r>
    </w:p>
    <w:p w14:paraId="2EBE32E2" w14:textId="77777777" w:rsidR="00301200" w:rsidRDefault="00301200" w:rsidP="00301200">
      <w:pPr>
        <w:rPr>
          <w:lang w:eastAsia="x-none"/>
        </w:rPr>
      </w:pPr>
      <w:r w:rsidRPr="00B305F3">
        <w:rPr>
          <w:lang w:eastAsia="x-none"/>
        </w:rPr>
        <w:t xml:space="preserve">This section sets out </w:t>
      </w:r>
      <w:r>
        <w:rPr>
          <w:lang w:eastAsia="x-none"/>
        </w:rPr>
        <w:t>k</w:t>
      </w:r>
      <w:r w:rsidRPr="00B305F3">
        <w:rPr>
          <w:lang w:eastAsia="x-none"/>
        </w:rPr>
        <w:t xml:space="preserve">ey factors to consider </w:t>
      </w:r>
      <w:r>
        <w:rPr>
          <w:lang w:eastAsia="x-none"/>
        </w:rPr>
        <w:t>when</w:t>
      </w:r>
      <w:r w:rsidRPr="00B305F3">
        <w:rPr>
          <w:lang w:eastAsia="x-none"/>
        </w:rPr>
        <w:t xml:space="preserve"> </w:t>
      </w:r>
      <w:r>
        <w:rPr>
          <w:lang w:eastAsia="x-none"/>
        </w:rPr>
        <w:t>SEWB services are</w:t>
      </w:r>
      <w:r w:rsidRPr="00B305F3">
        <w:rPr>
          <w:lang w:eastAsia="x-none"/>
        </w:rPr>
        <w:t xml:space="preserve"> rolled out to other communities</w:t>
      </w:r>
      <w:r>
        <w:rPr>
          <w:lang w:eastAsia="x-none"/>
        </w:rPr>
        <w:t>,</w:t>
      </w:r>
      <w:r w:rsidRPr="00B305F3">
        <w:rPr>
          <w:lang w:eastAsia="x-none"/>
        </w:rPr>
        <w:t xml:space="preserve"> draw</w:t>
      </w:r>
      <w:r>
        <w:rPr>
          <w:lang w:eastAsia="x-none"/>
        </w:rPr>
        <w:t>ing</w:t>
      </w:r>
      <w:r w:rsidRPr="00B305F3">
        <w:rPr>
          <w:lang w:eastAsia="x-none"/>
        </w:rPr>
        <w:t xml:space="preserve"> on learning’s from the evaluation and feedback from partners</w:t>
      </w:r>
      <w:r>
        <w:rPr>
          <w:lang w:eastAsia="x-none"/>
        </w:rPr>
        <w:t xml:space="preserve">. </w:t>
      </w:r>
    </w:p>
    <w:p w14:paraId="2EBE32E3" w14:textId="77777777" w:rsidR="00301200" w:rsidRDefault="00301200" w:rsidP="00301200">
      <w:pPr>
        <w:rPr>
          <w:lang w:eastAsia="x-none"/>
        </w:rPr>
      </w:pPr>
      <w:r>
        <w:rPr>
          <w:lang w:eastAsia="x-none"/>
        </w:rPr>
        <w:t xml:space="preserve">The key factors </w:t>
      </w:r>
      <w:r w:rsidRPr="00B305F3">
        <w:rPr>
          <w:lang w:eastAsia="x-none"/>
        </w:rPr>
        <w:t>include:</w:t>
      </w:r>
    </w:p>
    <w:p w14:paraId="2EBE32E4" w14:textId="77777777" w:rsidR="00465979" w:rsidRDefault="00465979" w:rsidP="0083588E">
      <w:pPr>
        <w:pStyle w:val="ListParagraph"/>
        <w:numPr>
          <w:ilvl w:val="0"/>
          <w:numId w:val="12"/>
        </w:numPr>
        <w:rPr>
          <w:lang w:eastAsia="x-none"/>
        </w:rPr>
      </w:pPr>
      <w:r>
        <w:rPr>
          <w:lang w:eastAsia="x-none"/>
        </w:rPr>
        <w:t xml:space="preserve">SEWB services should be provided in the context of integrating primary health care and SEWB services. Any introduction of SEWB services should be accompanied by a </w:t>
      </w:r>
      <w:r w:rsidRPr="005672D9">
        <w:rPr>
          <w:lang w:eastAsia="x-none"/>
        </w:rPr>
        <w:t xml:space="preserve">strengthening </w:t>
      </w:r>
      <w:r>
        <w:rPr>
          <w:lang w:eastAsia="x-none"/>
        </w:rPr>
        <w:t xml:space="preserve">of </w:t>
      </w:r>
      <w:r w:rsidRPr="005672D9">
        <w:rPr>
          <w:lang w:eastAsia="x-none"/>
        </w:rPr>
        <w:t>the skill and knowledge of all primary health care practitioners in S</w:t>
      </w:r>
      <w:r>
        <w:rPr>
          <w:lang w:eastAsia="x-none"/>
        </w:rPr>
        <w:t>EWB issues, building their capacity to assess, provide brief interventions, refer and coordinate.</w:t>
      </w:r>
    </w:p>
    <w:p w14:paraId="2EBE32E5" w14:textId="77777777" w:rsidR="00301200" w:rsidRPr="00B305F3" w:rsidRDefault="00301200" w:rsidP="0083588E">
      <w:pPr>
        <w:numPr>
          <w:ilvl w:val="0"/>
          <w:numId w:val="12"/>
        </w:numPr>
        <w:spacing w:after="120"/>
        <w:ind w:left="357" w:hanging="357"/>
        <w:rPr>
          <w:lang w:eastAsia="x-none"/>
        </w:rPr>
      </w:pPr>
      <w:r w:rsidRPr="00B305F3">
        <w:rPr>
          <w:lang w:eastAsia="x-none"/>
        </w:rPr>
        <w:t>The overall level of need for additional SEWB services for a particular community should be assessed at a community level prior to any r</w:t>
      </w:r>
      <w:r>
        <w:rPr>
          <w:lang w:eastAsia="x-none"/>
        </w:rPr>
        <w:t>oll out (i.e. a needs analysis), taking into account all available services in that community</w:t>
      </w:r>
      <w:r w:rsidRPr="00B305F3">
        <w:rPr>
          <w:lang w:eastAsia="x-none"/>
        </w:rPr>
        <w:t>.</w:t>
      </w:r>
    </w:p>
    <w:p w14:paraId="2EBE32E6" w14:textId="77777777" w:rsidR="00301200" w:rsidRDefault="00301200" w:rsidP="00301200">
      <w:pPr>
        <w:spacing w:after="120"/>
        <w:ind w:left="360"/>
        <w:rPr>
          <w:lang w:eastAsia="x-none"/>
        </w:rPr>
      </w:pPr>
      <w:r w:rsidRPr="00B305F3">
        <w:rPr>
          <w:lang w:eastAsia="x-none"/>
        </w:rPr>
        <w:t>It may be that in one community the focus should be on individual therapeutic services</w:t>
      </w:r>
      <w:r>
        <w:rPr>
          <w:lang w:eastAsia="x-none"/>
        </w:rPr>
        <w:t xml:space="preserve"> (focusing on say family violence, alcohol or grief and loss)</w:t>
      </w:r>
      <w:r w:rsidRPr="00B305F3">
        <w:rPr>
          <w:lang w:eastAsia="x-none"/>
        </w:rPr>
        <w:t>, whereas in another community there may be more of a need for crisis intervention and drop-in support. This will differ by community and what other services are availabl</w:t>
      </w:r>
      <w:r>
        <w:rPr>
          <w:lang w:eastAsia="x-none"/>
        </w:rPr>
        <w:t>e, and it will change over time.</w:t>
      </w:r>
    </w:p>
    <w:p w14:paraId="2EBE32E7" w14:textId="77777777" w:rsidR="00465979" w:rsidRPr="0047637E" w:rsidRDefault="00301200" w:rsidP="0083588E">
      <w:pPr>
        <w:pStyle w:val="ListParagraph"/>
        <w:numPr>
          <w:ilvl w:val="0"/>
          <w:numId w:val="30"/>
        </w:numPr>
        <w:ind w:left="357" w:hanging="357"/>
      </w:pPr>
      <w:r w:rsidRPr="0047637E">
        <w:rPr>
          <w:lang w:eastAsia="x-none"/>
        </w:rPr>
        <w:t xml:space="preserve">Solutions are likely to </w:t>
      </w:r>
      <w:r w:rsidR="006D2C95">
        <w:rPr>
          <w:lang w:eastAsia="x-none"/>
        </w:rPr>
        <w:t>be different for each community.</w:t>
      </w:r>
    </w:p>
    <w:p w14:paraId="2EBE32E8" w14:textId="77777777" w:rsidR="00301200" w:rsidRDefault="00301200" w:rsidP="0083588E">
      <w:pPr>
        <w:pStyle w:val="ListParagraph"/>
        <w:numPr>
          <w:ilvl w:val="0"/>
          <w:numId w:val="30"/>
        </w:numPr>
        <w:ind w:left="357" w:hanging="357"/>
      </w:pPr>
      <w:r>
        <w:rPr>
          <w:lang w:eastAsia="x-none"/>
        </w:rPr>
        <w:t>Consideration needs to be given to the appropriate mix of individual therapeutic counselling and support, drop-in/safe place, groups and community development and how these services may best be implemented in the context of the particular community. Regardless it is considered critical that all are available to some extent and truly integrated (not necessarily the same provider).</w:t>
      </w:r>
    </w:p>
    <w:p w14:paraId="2EBE32E9" w14:textId="77777777" w:rsidR="00301200" w:rsidRDefault="00301200" w:rsidP="00301200">
      <w:pPr>
        <w:pStyle w:val="ListParagraph"/>
        <w:ind w:left="357"/>
      </w:pPr>
      <w:r w:rsidRPr="00233742">
        <w:rPr>
          <w:lang w:eastAsia="x-none"/>
        </w:rPr>
        <w:t xml:space="preserve">Within the context of assessed community need, a focus on counselling and therapeutic services </w:t>
      </w:r>
      <w:r>
        <w:rPr>
          <w:lang w:eastAsia="x-none"/>
        </w:rPr>
        <w:t>w</w:t>
      </w:r>
      <w:r w:rsidRPr="00233742">
        <w:rPr>
          <w:lang w:eastAsia="x-none"/>
        </w:rPr>
        <w:t xml:space="preserve">ould </w:t>
      </w:r>
      <w:r>
        <w:rPr>
          <w:lang w:eastAsia="x-none"/>
        </w:rPr>
        <w:t xml:space="preserve">likely </w:t>
      </w:r>
      <w:r w:rsidRPr="00233742">
        <w:rPr>
          <w:lang w:eastAsia="x-none"/>
        </w:rPr>
        <w:t xml:space="preserve">be the primary focus, albeit a place for people to drop-in appears a critical element </w:t>
      </w:r>
      <w:r>
        <w:rPr>
          <w:lang w:eastAsia="x-none"/>
        </w:rPr>
        <w:t>particularly given it appears to be a predecessor to engagement in therapy.</w:t>
      </w:r>
      <w:r w:rsidRPr="00233742">
        <w:rPr>
          <w:lang w:eastAsia="x-none"/>
        </w:rPr>
        <w:t xml:space="preserve"> Establishing a drop-in capacity without an appropriate facility would need to be carefully considered in</w:t>
      </w:r>
      <w:r>
        <w:rPr>
          <w:lang w:eastAsia="x-none"/>
        </w:rPr>
        <w:t xml:space="preserve"> the context of client type, </w:t>
      </w:r>
      <w:r w:rsidRPr="00233742">
        <w:rPr>
          <w:lang w:eastAsia="x-none"/>
        </w:rPr>
        <w:t>the service profile and work flow of the host facility.</w:t>
      </w:r>
      <w:r w:rsidRPr="00233742">
        <w:t xml:space="preserve"> </w:t>
      </w:r>
      <w:r>
        <w:t xml:space="preserve">It may be that in some cases a new facility or extension would need to be built, however, an existing community facility may be </w:t>
      </w:r>
      <w:r>
        <w:lastRenderedPageBreak/>
        <w:t>identified and adapted appropriately. A</w:t>
      </w:r>
      <w:r w:rsidRPr="000440ED">
        <w:t xml:space="preserve">ny new SEWB service which includes a drop-in component, </w:t>
      </w:r>
      <w:r>
        <w:t xml:space="preserve">should </w:t>
      </w:r>
      <w:r w:rsidRPr="000440ED">
        <w:t>incorporate an effective design that enhances client flow and the service experience</w:t>
      </w:r>
      <w:r>
        <w:t>.</w:t>
      </w:r>
    </w:p>
    <w:p w14:paraId="2EBE32EA" w14:textId="77777777" w:rsidR="00301200" w:rsidRDefault="00217860" w:rsidP="00301200">
      <w:pPr>
        <w:pStyle w:val="ListParagraph"/>
        <w:ind w:left="357"/>
        <w:rPr>
          <w:lang w:eastAsia="x-none"/>
        </w:rPr>
      </w:pPr>
      <w:r>
        <w:t>A</w:t>
      </w:r>
      <w:r w:rsidR="00301200">
        <w:t xml:space="preserve"> </w:t>
      </w:r>
      <w:r w:rsidR="00301200" w:rsidRPr="00233742">
        <w:rPr>
          <w:lang w:eastAsia="x-none"/>
        </w:rPr>
        <w:t xml:space="preserve">SEWB service should include some provision for groups and cultural activities albeit </w:t>
      </w:r>
      <w:r w:rsidR="00301200">
        <w:rPr>
          <w:lang w:eastAsia="x-none"/>
        </w:rPr>
        <w:t xml:space="preserve">it may be </w:t>
      </w:r>
      <w:r w:rsidR="00301200" w:rsidRPr="00233742">
        <w:rPr>
          <w:lang w:eastAsia="x-none"/>
        </w:rPr>
        <w:t>in a more limited way than the current WBCs offer</w:t>
      </w:r>
      <w:r w:rsidR="00301200">
        <w:rPr>
          <w:lang w:eastAsia="x-none"/>
        </w:rPr>
        <w:t xml:space="preserve">. </w:t>
      </w:r>
      <w:r w:rsidR="00301200" w:rsidRPr="00233742">
        <w:rPr>
          <w:lang w:eastAsia="x-none"/>
        </w:rPr>
        <w:t>To run groups that respond to community need effectively there needs to be a regular presence in the community and an appropriate location. This capacity could be added to a counselling service</w:t>
      </w:r>
      <w:r w:rsidR="00301200">
        <w:rPr>
          <w:lang w:eastAsia="x-none"/>
        </w:rPr>
        <w:t>. The service could be provided in conjunction with or by</w:t>
      </w:r>
      <w:r w:rsidR="00301200" w:rsidRPr="00233742">
        <w:rPr>
          <w:lang w:eastAsia="x-none"/>
        </w:rPr>
        <w:t xml:space="preserve"> other organisations and groups.</w:t>
      </w:r>
    </w:p>
    <w:p w14:paraId="2EBE32EB" w14:textId="77777777" w:rsidR="00301200" w:rsidRDefault="00301200" w:rsidP="00301200">
      <w:pPr>
        <w:pStyle w:val="ListParagraph"/>
        <w:ind w:left="357"/>
        <w:rPr>
          <w:lang w:eastAsia="x-none"/>
        </w:rPr>
      </w:pPr>
      <w:r>
        <w:rPr>
          <w:lang w:eastAsia="x-none"/>
        </w:rPr>
        <w:t xml:space="preserve">In summary, it is considered </w:t>
      </w:r>
      <w:r w:rsidR="00217860">
        <w:rPr>
          <w:lang w:eastAsia="x-none"/>
        </w:rPr>
        <w:t xml:space="preserve">important </w:t>
      </w:r>
      <w:r>
        <w:rPr>
          <w:lang w:eastAsia="x-none"/>
        </w:rPr>
        <w:t>that all of the service elements (counselling, drop-in, groups) be available and integrated as this is the unique and successful aspect of the WBCs</w:t>
      </w:r>
    </w:p>
    <w:p w14:paraId="2EBE32EC" w14:textId="77777777" w:rsidR="00301200" w:rsidRPr="00B305F3" w:rsidRDefault="00301200" w:rsidP="0083588E">
      <w:pPr>
        <w:numPr>
          <w:ilvl w:val="0"/>
          <w:numId w:val="12"/>
        </w:numPr>
        <w:spacing w:after="120"/>
        <w:rPr>
          <w:lang w:eastAsia="x-none"/>
        </w:rPr>
      </w:pPr>
      <w:r w:rsidRPr="00B305F3">
        <w:rPr>
          <w:lang w:eastAsia="x-none"/>
        </w:rPr>
        <w:t>A community must be completely committed to having</w:t>
      </w:r>
      <w:r>
        <w:rPr>
          <w:lang w:eastAsia="x-none"/>
        </w:rPr>
        <w:t xml:space="preserve"> additional or refocused SEWB </w:t>
      </w:r>
      <w:r w:rsidRPr="00B305F3">
        <w:rPr>
          <w:lang w:eastAsia="x-none"/>
        </w:rPr>
        <w:t>service</w:t>
      </w:r>
      <w:r>
        <w:rPr>
          <w:lang w:eastAsia="x-none"/>
        </w:rPr>
        <w:t xml:space="preserve">s </w:t>
      </w:r>
      <w:r w:rsidRPr="00B305F3">
        <w:rPr>
          <w:lang w:eastAsia="x-none"/>
        </w:rPr>
        <w:t>in its community</w:t>
      </w:r>
      <w:r>
        <w:rPr>
          <w:lang w:eastAsia="x-none"/>
        </w:rPr>
        <w:t>.</w:t>
      </w:r>
    </w:p>
    <w:p w14:paraId="2EBE32ED" w14:textId="77777777" w:rsidR="00301200" w:rsidRPr="00952CAE" w:rsidRDefault="00301200" w:rsidP="0083588E">
      <w:pPr>
        <w:numPr>
          <w:ilvl w:val="0"/>
          <w:numId w:val="12"/>
        </w:numPr>
        <w:spacing w:after="120"/>
        <w:rPr>
          <w:lang w:eastAsia="x-none"/>
        </w:rPr>
      </w:pPr>
      <w:r w:rsidRPr="00B305F3">
        <w:rPr>
          <w:lang w:eastAsia="x-none"/>
        </w:rPr>
        <w:t xml:space="preserve">The establishment of any </w:t>
      </w:r>
      <w:r w:rsidR="00605694">
        <w:rPr>
          <w:lang w:eastAsia="x-none"/>
        </w:rPr>
        <w:t xml:space="preserve">SEWB </w:t>
      </w:r>
      <w:r w:rsidRPr="00B305F3">
        <w:rPr>
          <w:lang w:eastAsia="x-none"/>
        </w:rPr>
        <w:t>service should reinforce local Indigenous authority</w:t>
      </w:r>
      <w:r>
        <w:rPr>
          <w:lang w:eastAsia="x-none"/>
        </w:rPr>
        <w:t xml:space="preserve"> and have an </w:t>
      </w:r>
      <w:r w:rsidRPr="00952CAE">
        <w:rPr>
          <w:lang w:eastAsia="x-none"/>
        </w:rPr>
        <w:t>agreed structure for community input. This structure should be identified in conjunction with the community. Ideally this structure or a precursor to it, could be utilised during the planning stage.</w:t>
      </w:r>
    </w:p>
    <w:p w14:paraId="2EBE32EE" w14:textId="77777777" w:rsidR="00952CAE" w:rsidRPr="00952CAE" w:rsidRDefault="00952CAE" w:rsidP="0083588E">
      <w:pPr>
        <w:numPr>
          <w:ilvl w:val="0"/>
          <w:numId w:val="12"/>
        </w:numPr>
        <w:spacing w:after="120"/>
        <w:rPr>
          <w:lang w:eastAsia="x-none"/>
        </w:rPr>
      </w:pPr>
      <w:r w:rsidRPr="00952CAE">
        <w:rPr>
          <w:lang w:eastAsia="x-none"/>
        </w:rPr>
        <w:t>The service delivery agent should have a proven capacity in delivering similar services in remote communities in a culturally appropriate way.</w:t>
      </w:r>
    </w:p>
    <w:p w14:paraId="2EBE32EF" w14:textId="77777777" w:rsidR="00301200" w:rsidRPr="00952CAE" w:rsidRDefault="00301200" w:rsidP="0083588E">
      <w:pPr>
        <w:numPr>
          <w:ilvl w:val="0"/>
          <w:numId w:val="12"/>
        </w:numPr>
        <w:spacing w:after="120"/>
        <w:rPr>
          <w:lang w:eastAsia="x-none"/>
        </w:rPr>
      </w:pPr>
      <w:r w:rsidRPr="00952CAE">
        <w:rPr>
          <w:lang w:eastAsia="x-none"/>
        </w:rPr>
        <w:t>Key service delivery partners should be consulted prior to SEWB services being established.</w:t>
      </w:r>
    </w:p>
    <w:p w14:paraId="2EBE32F0" w14:textId="77777777" w:rsidR="00301200" w:rsidRPr="00952CAE" w:rsidRDefault="00301200" w:rsidP="0083588E">
      <w:pPr>
        <w:numPr>
          <w:ilvl w:val="0"/>
          <w:numId w:val="12"/>
        </w:numPr>
        <w:spacing w:after="120"/>
        <w:rPr>
          <w:lang w:eastAsia="x-none"/>
        </w:rPr>
      </w:pPr>
      <w:r w:rsidRPr="00952CAE">
        <w:rPr>
          <w:lang w:eastAsia="x-none"/>
        </w:rPr>
        <w:t xml:space="preserve">Pooling of funds currently in communities who are addressing SEWB should be considered (notwithstanding the difficulty this creates for the funders). </w:t>
      </w:r>
    </w:p>
    <w:p w14:paraId="2EBE32F1" w14:textId="77777777" w:rsidR="00301200" w:rsidRPr="00B305F3" w:rsidRDefault="00301200" w:rsidP="0083588E">
      <w:pPr>
        <w:numPr>
          <w:ilvl w:val="0"/>
          <w:numId w:val="12"/>
        </w:numPr>
        <w:spacing w:after="120"/>
        <w:rPr>
          <w:lang w:eastAsia="x-none"/>
        </w:rPr>
      </w:pPr>
      <w:r w:rsidRPr="00952CAE">
        <w:rPr>
          <w:lang w:eastAsia="x-none"/>
        </w:rPr>
        <w:t>SEWB services would be significantly enhanced if they were supported by a local indigenous community development consultant/health worker who was capable of running</w:t>
      </w:r>
      <w:r w:rsidRPr="00233742">
        <w:rPr>
          <w:lang w:eastAsia="x-none"/>
        </w:rPr>
        <w:t xml:space="preserve"> appropriate programs</w:t>
      </w:r>
      <w:r>
        <w:rPr>
          <w:lang w:eastAsia="x-none"/>
        </w:rPr>
        <w:t>.</w:t>
      </w:r>
      <w:r w:rsidRPr="00233742">
        <w:rPr>
          <w:lang w:eastAsia="x-none"/>
        </w:rPr>
        <w:t xml:space="preserve"> </w:t>
      </w:r>
      <w:r>
        <w:rPr>
          <w:lang w:eastAsia="x-none"/>
        </w:rPr>
        <w:t>I</w:t>
      </w:r>
      <w:r w:rsidRPr="00B305F3">
        <w:rPr>
          <w:lang w:eastAsia="x-none"/>
        </w:rPr>
        <w:t xml:space="preserve">n the long term </w:t>
      </w:r>
      <w:r>
        <w:rPr>
          <w:lang w:eastAsia="x-none"/>
        </w:rPr>
        <w:t xml:space="preserve">services should be staffed </w:t>
      </w:r>
      <w:r w:rsidRPr="00B305F3">
        <w:rPr>
          <w:lang w:eastAsia="x-none"/>
        </w:rPr>
        <w:t>by Indigenous people who have the capacity to manage and deliver the services. Accordingly ongoing investment in long-term capacity building is an ongoing strategy requirement</w:t>
      </w:r>
      <w:r>
        <w:rPr>
          <w:lang w:eastAsia="x-none"/>
        </w:rPr>
        <w:t>.</w:t>
      </w:r>
    </w:p>
    <w:p w14:paraId="2EBE32F2" w14:textId="77777777" w:rsidR="00301200" w:rsidRDefault="00301200" w:rsidP="0083588E">
      <w:pPr>
        <w:numPr>
          <w:ilvl w:val="0"/>
          <w:numId w:val="12"/>
        </w:numPr>
        <w:spacing w:after="120"/>
        <w:rPr>
          <w:lang w:eastAsia="x-none"/>
        </w:rPr>
      </w:pPr>
      <w:r w:rsidRPr="00B305F3">
        <w:rPr>
          <w:lang w:eastAsia="x-none"/>
        </w:rPr>
        <w:t>The broad outline of the service model</w:t>
      </w:r>
      <w:r>
        <w:rPr>
          <w:lang w:eastAsia="x-none"/>
        </w:rPr>
        <w:t>/approach</w:t>
      </w:r>
      <w:r w:rsidRPr="00B305F3">
        <w:rPr>
          <w:lang w:eastAsia="x-none"/>
        </w:rPr>
        <w:t xml:space="preserve"> must be clear to key stakeholders</w:t>
      </w:r>
      <w:r>
        <w:rPr>
          <w:lang w:eastAsia="x-none"/>
        </w:rPr>
        <w:t xml:space="preserve"> and documented</w:t>
      </w:r>
      <w:r w:rsidRPr="00B305F3">
        <w:rPr>
          <w:lang w:eastAsia="x-none"/>
        </w:rPr>
        <w:t xml:space="preserve"> but also allow for </w:t>
      </w:r>
      <w:r>
        <w:rPr>
          <w:lang w:eastAsia="x-none"/>
        </w:rPr>
        <w:t xml:space="preserve">ongoing </w:t>
      </w:r>
      <w:r w:rsidRPr="00B305F3">
        <w:rPr>
          <w:lang w:eastAsia="x-none"/>
        </w:rPr>
        <w:t xml:space="preserve">local flexibility in response </w:t>
      </w:r>
      <w:r>
        <w:rPr>
          <w:lang w:eastAsia="x-none"/>
        </w:rPr>
        <w:t>to needs changing.</w:t>
      </w:r>
    </w:p>
    <w:p w14:paraId="2EBE32F3" w14:textId="77777777" w:rsidR="00465979" w:rsidRDefault="00F660CA" w:rsidP="00F660CA">
      <w:pPr>
        <w:pBdr>
          <w:top w:val="single" w:sz="2" w:space="1" w:color="auto"/>
          <w:left w:val="single" w:sz="2" w:space="4" w:color="auto"/>
          <w:bottom w:val="single" w:sz="2" w:space="1" w:color="auto"/>
          <w:right w:val="single" w:sz="2" w:space="4" w:color="auto"/>
        </w:pBdr>
        <w:shd w:val="clear" w:color="auto" w:fill="B8CCE4" w:themeFill="accent1" w:themeFillTint="66"/>
        <w:spacing w:after="120"/>
        <w:ind w:left="360"/>
        <w:rPr>
          <w:lang w:eastAsia="x-none"/>
        </w:rPr>
      </w:pPr>
      <w:r>
        <w:rPr>
          <w:b/>
          <w:lang w:eastAsia="x-none"/>
        </w:rPr>
        <w:t>Key r</w:t>
      </w:r>
      <w:r w:rsidRPr="00631F4F">
        <w:rPr>
          <w:b/>
          <w:lang w:eastAsia="x-none"/>
        </w:rPr>
        <w:t>eview finding #</w:t>
      </w:r>
      <w:r>
        <w:rPr>
          <w:b/>
          <w:lang w:eastAsia="x-none"/>
        </w:rPr>
        <w:t xml:space="preserve">13: </w:t>
      </w:r>
      <w:r w:rsidRPr="00CD74DB">
        <w:t>Prior to rolling out SEWB services in a community, a needs assessment should be undertaken to assess the appropriate mix of individual therapeutic counselling and support, drop-in/safe place, groups and community development that are required and how these services may best be ‘positioned’, targeted and implemented in the context of the particular community (i.e. where centred, what is already available, existing service providers, community n</w:t>
      </w:r>
      <w:r>
        <w:t>eed and community commitment).</w:t>
      </w:r>
    </w:p>
    <w:p w14:paraId="2EBE32F4" w14:textId="77777777" w:rsidR="0073433F" w:rsidRDefault="00EE28D7" w:rsidP="00EE28D7">
      <w:pPr>
        <w:pStyle w:val="Heading2"/>
        <w:rPr>
          <w:lang w:val="en-AU"/>
        </w:rPr>
      </w:pPr>
      <w:bookmarkStart w:id="227" w:name="_Where_to_from"/>
      <w:bookmarkStart w:id="228" w:name="_Toc440038465"/>
      <w:bookmarkEnd w:id="227"/>
      <w:r>
        <w:t>W</w:t>
      </w:r>
      <w:r w:rsidR="0073433F">
        <w:t>here to from here</w:t>
      </w:r>
      <w:r w:rsidR="009638FA">
        <w:rPr>
          <w:lang w:val="en-AU"/>
        </w:rPr>
        <w:t xml:space="preserve"> for the </w:t>
      </w:r>
      <w:r w:rsidR="00896FF3">
        <w:rPr>
          <w:lang w:val="en-AU"/>
        </w:rPr>
        <w:t xml:space="preserve">cape York </w:t>
      </w:r>
      <w:r w:rsidR="009638FA">
        <w:rPr>
          <w:lang w:val="en-AU"/>
        </w:rPr>
        <w:t>WBC</w:t>
      </w:r>
      <w:r w:rsidR="00896FF3">
        <w:rPr>
          <w:lang w:val="en-AU"/>
        </w:rPr>
        <w:t>s</w:t>
      </w:r>
      <w:bookmarkEnd w:id="228"/>
      <w:r w:rsidR="009638FA">
        <w:rPr>
          <w:lang w:val="en-AU"/>
        </w:rPr>
        <w:t xml:space="preserve"> </w:t>
      </w:r>
    </w:p>
    <w:p w14:paraId="2EBE32F5" w14:textId="77777777" w:rsidR="00EB77AB" w:rsidRPr="00EB77AB" w:rsidRDefault="00EB77AB" w:rsidP="00EB77AB">
      <w:pPr>
        <w:rPr>
          <w:lang w:eastAsia="x-none"/>
        </w:rPr>
      </w:pPr>
      <w:r>
        <w:rPr>
          <w:lang w:eastAsia="x-none"/>
        </w:rPr>
        <w:t>This section presents wher</w:t>
      </w:r>
      <w:r w:rsidR="009638FA">
        <w:rPr>
          <w:lang w:eastAsia="x-none"/>
        </w:rPr>
        <w:t>e to from here for the four WBCs</w:t>
      </w:r>
      <w:r w:rsidR="00A43556">
        <w:rPr>
          <w:lang w:eastAsia="x-none"/>
        </w:rPr>
        <w:t xml:space="preserve"> in the context of the recommendation for SEWB and primary health care integration, the intent to transition to community control and the key finding that the </w:t>
      </w:r>
      <w:r w:rsidR="001E6E9B">
        <w:rPr>
          <w:lang w:eastAsia="x-none"/>
        </w:rPr>
        <w:t xml:space="preserve">current </w:t>
      </w:r>
      <w:r w:rsidR="00A43556">
        <w:rPr>
          <w:lang w:eastAsia="x-none"/>
        </w:rPr>
        <w:t>level of resourcing cannot be sustained or replicated.</w:t>
      </w:r>
    </w:p>
    <w:p w14:paraId="2EBE32F6" w14:textId="77777777" w:rsidR="00EF3856" w:rsidRDefault="00EF3856" w:rsidP="00BC0A26">
      <w:pPr>
        <w:pStyle w:val="Heading3"/>
      </w:pPr>
      <w:r>
        <w:t>The need for a transition plan</w:t>
      </w:r>
    </w:p>
    <w:p w14:paraId="2EBE32F7" w14:textId="77777777" w:rsidR="001E6E9B" w:rsidRDefault="003F50F4" w:rsidP="00F374C8">
      <w:r>
        <w:t xml:space="preserve">Through the evaluation, it has been </w:t>
      </w:r>
      <w:r w:rsidR="00F374C8" w:rsidRPr="00EE28D7">
        <w:t xml:space="preserve">demonstrated that it is very challenging to establish and operate a broad based mental health, SEWB and drug and alcohol service and meet the wide range of stakeholder expectations. </w:t>
      </w:r>
      <w:r w:rsidR="001E6E9B">
        <w:t xml:space="preserve">It is evident that it has taken a period of time for the RFDS to build this capacity and capability, however, it appears they are </w:t>
      </w:r>
      <w:r w:rsidR="001E6E9B" w:rsidRPr="00EE28D7">
        <w:t xml:space="preserve">now performing </w:t>
      </w:r>
      <w:r w:rsidR="001E6E9B">
        <w:t xml:space="preserve">much </w:t>
      </w:r>
      <w:r w:rsidR="001E6E9B" w:rsidRPr="00EE28D7">
        <w:t>better than at any time since inception</w:t>
      </w:r>
      <w:r w:rsidR="001E6E9B">
        <w:t>.</w:t>
      </w:r>
      <w:r w:rsidR="007B0F42">
        <w:t xml:space="preserve"> This predominantly relates to the RFDS becoming clearer over time as to the specific </w:t>
      </w:r>
      <w:r w:rsidR="007B0F42">
        <w:lastRenderedPageBreak/>
        <w:t xml:space="preserve">priority needs of each community, the resultant service model, being clearer with partners in relation to the respective service model and thereby better managing diverse and wide ranging expectations. </w:t>
      </w:r>
    </w:p>
    <w:p w14:paraId="2EBE32F8" w14:textId="77777777" w:rsidR="001E6E9B" w:rsidRDefault="003F50F4" w:rsidP="00F374C8">
      <w:r>
        <w:t xml:space="preserve">In considering </w:t>
      </w:r>
      <w:r w:rsidR="00F374C8" w:rsidRPr="00EE28D7">
        <w:t xml:space="preserve">any </w:t>
      </w:r>
      <w:r w:rsidR="001E6E9B">
        <w:t xml:space="preserve">transition to an </w:t>
      </w:r>
      <w:r w:rsidR="00F374C8" w:rsidRPr="00EE28D7">
        <w:t>alte</w:t>
      </w:r>
      <w:r>
        <w:t>rnative organisational approach, it will be critical to</w:t>
      </w:r>
      <w:r w:rsidR="001E6E9B">
        <w:t xml:space="preserve"> carefully manage the process to </w:t>
      </w:r>
      <w:r w:rsidR="00F374C8" w:rsidRPr="00EE28D7">
        <w:t xml:space="preserve">ensure </w:t>
      </w:r>
      <w:r w:rsidR="001E6E9B">
        <w:t xml:space="preserve">the maintenance of </w:t>
      </w:r>
      <w:r w:rsidR="00F374C8" w:rsidRPr="00EE28D7">
        <w:t>appropriate capacity, capability, knowledge and accountability.</w:t>
      </w:r>
      <w:r w:rsidR="00F374C8">
        <w:t xml:space="preserve"> </w:t>
      </w:r>
      <w:r w:rsidR="00EF3856">
        <w:t>This can best be achieved by the development of a transition plan.</w:t>
      </w:r>
    </w:p>
    <w:p w14:paraId="2EBE32F9" w14:textId="77777777" w:rsidR="0083469D" w:rsidRDefault="0083469D" w:rsidP="00F374C8">
      <w:r>
        <w:t xml:space="preserve">Timing for transition planning will also be important given current funding for the WBCs ends in June 2015. </w:t>
      </w:r>
    </w:p>
    <w:p w14:paraId="2EBE32FA" w14:textId="77777777" w:rsidR="001E6E9B" w:rsidRPr="001E6E9B" w:rsidRDefault="001E6E9B" w:rsidP="00BC0A26">
      <w:pPr>
        <w:pStyle w:val="Heading3"/>
      </w:pPr>
      <w:r w:rsidRPr="001E6E9B">
        <w:t>Aspects for consideration in transition planning</w:t>
      </w:r>
    </w:p>
    <w:p w14:paraId="2EBE32FB" w14:textId="77777777" w:rsidR="001E6E9B" w:rsidRPr="001E6E9B" w:rsidRDefault="001E6E9B" w:rsidP="001E6E9B">
      <w:pPr>
        <w:spacing w:after="120"/>
      </w:pPr>
      <w:r w:rsidRPr="001E6E9B">
        <w:t>Communities and key partners will need to be consulted during the development of the transition plan and the role of the Queensland Health clinics in Aurukun, Coen, and Hope Vale will need to be determined given a greater focus on managing emergency and acute issues.</w:t>
      </w:r>
    </w:p>
    <w:p w14:paraId="2EBE32FC" w14:textId="77777777" w:rsidR="001E6E9B" w:rsidRPr="001E6E9B" w:rsidRDefault="001E6E9B" w:rsidP="001E6E9B">
      <w:pPr>
        <w:spacing w:after="120"/>
      </w:pPr>
      <w:r w:rsidRPr="001E6E9B">
        <w:t xml:space="preserve">The areas to be addressed by </w:t>
      </w:r>
      <w:r w:rsidR="00EF3856">
        <w:t>a</w:t>
      </w:r>
      <w:r w:rsidRPr="001E6E9B">
        <w:t xml:space="preserve"> transition plan include:</w:t>
      </w:r>
    </w:p>
    <w:p w14:paraId="2EBE32FD" w14:textId="77777777" w:rsidR="001E6E9B" w:rsidRPr="001E6E9B" w:rsidRDefault="001E6E9B" w:rsidP="0083588E">
      <w:pPr>
        <w:numPr>
          <w:ilvl w:val="0"/>
          <w:numId w:val="42"/>
        </w:numPr>
        <w:spacing w:after="120"/>
      </w:pPr>
      <w:r w:rsidRPr="001E6E9B">
        <w:t>Governance arrangements</w:t>
      </w:r>
    </w:p>
    <w:p w14:paraId="2EBE32FE" w14:textId="77777777" w:rsidR="001E6E9B" w:rsidRPr="001E6E9B" w:rsidRDefault="001E6E9B" w:rsidP="0083588E">
      <w:pPr>
        <w:numPr>
          <w:ilvl w:val="0"/>
          <w:numId w:val="42"/>
        </w:numPr>
        <w:spacing w:after="120"/>
      </w:pPr>
      <w:r w:rsidRPr="001E6E9B">
        <w:t>Agreeing the most appropriate strategy for initial and ongoing local community input</w:t>
      </w:r>
    </w:p>
    <w:p w14:paraId="2EBE32FF" w14:textId="77777777" w:rsidR="001E6E9B" w:rsidRPr="001E6E9B" w:rsidRDefault="001E6E9B" w:rsidP="0083588E">
      <w:pPr>
        <w:numPr>
          <w:ilvl w:val="0"/>
          <w:numId w:val="42"/>
        </w:numPr>
        <w:spacing w:after="120"/>
      </w:pPr>
      <w:r w:rsidRPr="001E6E9B">
        <w:t>Determining the priority focus for SEWB services in each community</w:t>
      </w:r>
    </w:p>
    <w:p w14:paraId="2EBE3300" w14:textId="77777777" w:rsidR="001E6E9B" w:rsidRPr="001E6E9B" w:rsidRDefault="001E6E9B" w:rsidP="0083588E">
      <w:pPr>
        <w:numPr>
          <w:ilvl w:val="0"/>
          <w:numId w:val="42"/>
        </w:numPr>
        <w:spacing w:after="120"/>
      </w:pPr>
      <w:r w:rsidRPr="001E6E9B">
        <w:t>Identification of the mix of SEWB services to be provided in each community</w:t>
      </w:r>
    </w:p>
    <w:p w14:paraId="2EBE3301" w14:textId="77777777" w:rsidR="001E6E9B" w:rsidRPr="001E6E9B" w:rsidRDefault="001E6E9B" w:rsidP="0083588E">
      <w:pPr>
        <w:numPr>
          <w:ilvl w:val="0"/>
          <w:numId w:val="42"/>
        </w:numPr>
        <w:spacing w:after="120"/>
      </w:pPr>
      <w:r w:rsidRPr="001E6E9B">
        <w:t>Determining the appropriate location and responsibility for each type of service</w:t>
      </w:r>
    </w:p>
    <w:p w14:paraId="2EBE3302" w14:textId="77777777" w:rsidR="001E6E9B" w:rsidRPr="001E6E9B" w:rsidRDefault="001E6E9B" w:rsidP="0083588E">
      <w:pPr>
        <w:numPr>
          <w:ilvl w:val="0"/>
          <w:numId w:val="42"/>
        </w:numPr>
        <w:spacing w:after="120"/>
      </w:pPr>
      <w:r w:rsidRPr="001E6E9B">
        <w:t>Establishing a clear service model, service protocols supporting assessment and outcome tools and referral pathways systems</w:t>
      </w:r>
    </w:p>
    <w:p w14:paraId="2EBE3303" w14:textId="77777777" w:rsidR="001E6E9B" w:rsidRPr="001E6E9B" w:rsidRDefault="001E6E9B" w:rsidP="0083588E">
      <w:pPr>
        <w:numPr>
          <w:ilvl w:val="0"/>
          <w:numId w:val="42"/>
        </w:numPr>
        <w:spacing w:after="120"/>
      </w:pPr>
      <w:r w:rsidRPr="001E6E9B">
        <w:t>The development of KPIs and other service reporting requirements and establishing relevant systems</w:t>
      </w:r>
    </w:p>
    <w:p w14:paraId="2EBE3304" w14:textId="77777777" w:rsidR="001E6E9B" w:rsidRPr="001E6E9B" w:rsidRDefault="001E6E9B" w:rsidP="0083588E">
      <w:pPr>
        <w:numPr>
          <w:ilvl w:val="0"/>
          <w:numId w:val="42"/>
        </w:numPr>
        <w:spacing w:after="120"/>
      </w:pPr>
      <w:r w:rsidRPr="001E6E9B">
        <w:t>Workforce planning including finalising the role and function of each type of position and the development and implementation of a workforce development strategy</w:t>
      </w:r>
    </w:p>
    <w:p w14:paraId="2EBE3305" w14:textId="77777777" w:rsidR="001E6E9B" w:rsidRPr="001E6E9B" w:rsidRDefault="001E6E9B" w:rsidP="0083588E">
      <w:pPr>
        <w:numPr>
          <w:ilvl w:val="0"/>
          <w:numId w:val="42"/>
        </w:numPr>
        <w:spacing w:after="120"/>
      </w:pPr>
      <w:r w:rsidRPr="001E6E9B">
        <w:t>Addressing human resource management issues (e.g. community based versus Cairns based staff, shift arrangements)</w:t>
      </w:r>
    </w:p>
    <w:p w14:paraId="2EBE3306" w14:textId="77777777" w:rsidR="001E6E9B" w:rsidRPr="001E6E9B" w:rsidRDefault="001E6E9B" w:rsidP="0083588E">
      <w:pPr>
        <w:numPr>
          <w:ilvl w:val="0"/>
          <w:numId w:val="42"/>
        </w:numPr>
        <w:spacing w:after="120"/>
      </w:pPr>
      <w:r w:rsidRPr="001E6E9B">
        <w:t>Agreeing funding levels including ensuring funding program requirements are met</w:t>
      </w:r>
    </w:p>
    <w:p w14:paraId="2EBE3307" w14:textId="77777777" w:rsidR="001E6E9B" w:rsidRDefault="001E6E9B" w:rsidP="0083588E">
      <w:pPr>
        <w:numPr>
          <w:ilvl w:val="0"/>
          <w:numId w:val="42"/>
        </w:numPr>
        <w:spacing w:after="120"/>
      </w:pPr>
      <w:r w:rsidRPr="001E6E9B">
        <w:t>Strategies for integrating with an</w:t>
      </w:r>
      <w:r w:rsidR="008C2596">
        <w:t>d supporting partner activities</w:t>
      </w:r>
    </w:p>
    <w:p w14:paraId="2EBE3308" w14:textId="77777777" w:rsidR="008C2596" w:rsidRPr="001E6E9B" w:rsidRDefault="008C2596" w:rsidP="0083588E">
      <w:pPr>
        <w:numPr>
          <w:ilvl w:val="0"/>
          <w:numId w:val="42"/>
        </w:numPr>
        <w:spacing w:after="120"/>
      </w:pPr>
      <w:r>
        <w:t xml:space="preserve">Addressing the proposed opportunities for improvement highlighted in Section 4.3 as appropriate in the context of the final timeframe developed for the transition.  </w:t>
      </w:r>
    </w:p>
    <w:p w14:paraId="2EBE3309" w14:textId="77777777" w:rsidR="001E6E9B" w:rsidRPr="001E6E9B" w:rsidRDefault="00FE2793" w:rsidP="00BC0A26">
      <w:pPr>
        <w:pStyle w:val="Heading3"/>
      </w:pPr>
      <w:r>
        <w:t xml:space="preserve">Potential </w:t>
      </w:r>
      <w:r>
        <w:rPr>
          <w:lang w:val="en-AU"/>
        </w:rPr>
        <w:t>t</w:t>
      </w:r>
      <w:r>
        <w:t xml:space="preserve">ransition </w:t>
      </w:r>
      <w:r>
        <w:rPr>
          <w:lang w:val="en-AU"/>
        </w:rPr>
        <w:t>p</w:t>
      </w:r>
      <w:r w:rsidR="001E6E9B" w:rsidRPr="001E6E9B">
        <w:t>hasing</w:t>
      </w:r>
    </w:p>
    <w:p w14:paraId="2EBE330A" w14:textId="77777777" w:rsidR="001E6E9B" w:rsidRPr="001E6E9B" w:rsidRDefault="001E6E9B" w:rsidP="001E6E9B">
      <w:pPr>
        <w:spacing w:after="120"/>
      </w:pPr>
      <w:r w:rsidRPr="001E6E9B">
        <w:t>When developing the transition plan, consideration could be given to:</w:t>
      </w:r>
    </w:p>
    <w:p w14:paraId="2EBE330B" w14:textId="77777777" w:rsidR="001E6E9B" w:rsidRDefault="001E6E9B" w:rsidP="0083588E">
      <w:pPr>
        <w:numPr>
          <w:ilvl w:val="0"/>
          <w:numId w:val="42"/>
        </w:numPr>
        <w:spacing w:after="120"/>
      </w:pPr>
      <w:r w:rsidRPr="001E6E9B">
        <w:t>At Mossman Gorge, early transfer of the WBC to the Apunipima Cape York Health Council. Apunipima is the PHC provider in that community and this transition will facilitate immediate trialling of service integration, reduced service fragmentation and systems and processes. It is understood the community would support this.</w:t>
      </w:r>
    </w:p>
    <w:p w14:paraId="2EBE330C" w14:textId="77777777" w:rsidR="00EF3856" w:rsidRPr="001E6E9B" w:rsidRDefault="00EF3856" w:rsidP="00EF3856">
      <w:pPr>
        <w:ind w:left="360"/>
      </w:pPr>
      <w:r>
        <w:t xml:space="preserve">[Note: Apunipima is already </w:t>
      </w:r>
      <w:r w:rsidRPr="00F374C8">
        <w:t>focus</w:t>
      </w:r>
      <w:r>
        <w:t>ing</w:t>
      </w:r>
      <w:r w:rsidRPr="00F374C8">
        <w:t xml:space="preserve"> on developing an integrated SEWB and primary healthcare response</w:t>
      </w:r>
      <w:r>
        <w:t xml:space="preserve"> across is service. Early transfer will assist Apunipima in implementing its integrated approach and facilitate learnings for other communities which they service.]</w:t>
      </w:r>
    </w:p>
    <w:p w14:paraId="2EBE330D" w14:textId="77777777" w:rsidR="001E6E9B" w:rsidRDefault="001E6E9B" w:rsidP="0083588E">
      <w:pPr>
        <w:numPr>
          <w:ilvl w:val="0"/>
          <w:numId w:val="42"/>
        </w:numPr>
        <w:spacing w:after="120"/>
      </w:pPr>
      <w:r w:rsidRPr="001E6E9B">
        <w:lastRenderedPageBreak/>
        <w:t>At Coen, while the transition plan is being developed, there could be an immediate move to local Indigenous leadership being implemented given local WBC staff have shown strong leadership capability. The local staff would provide the full range of SEWB services, however, be supported by the fly in fly out clinical professional services. This would enable all of the components of the service model to be delivered (general counselling, drop-in, groups and clinical interventions).</w:t>
      </w:r>
    </w:p>
    <w:p w14:paraId="2EBE330E" w14:textId="77777777" w:rsidR="00032DD2" w:rsidRPr="001E6E9B" w:rsidRDefault="00032DD2" w:rsidP="00032DD2">
      <w:pPr>
        <w:spacing w:after="120"/>
        <w:ind w:left="360"/>
      </w:pPr>
      <w:r w:rsidRPr="00032DD2">
        <w:t xml:space="preserve">Under this scenario, </w:t>
      </w:r>
      <w:r>
        <w:t>any</w:t>
      </w:r>
      <w:r w:rsidRPr="00032DD2">
        <w:t xml:space="preserve"> resources released </w:t>
      </w:r>
      <w:r>
        <w:t xml:space="preserve">could </w:t>
      </w:r>
      <w:r w:rsidRPr="00032DD2">
        <w:t>be allocated to communities without existing services</w:t>
      </w:r>
      <w:r>
        <w:t xml:space="preserve"> in line with community need</w:t>
      </w:r>
      <w:r w:rsidRPr="00032DD2">
        <w:t>.</w:t>
      </w:r>
    </w:p>
    <w:p w14:paraId="2EBE330F" w14:textId="77777777" w:rsidR="001E6E9B" w:rsidRDefault="001E6E9B" w:rsidP="0083588E">
      <w:pPr>
        <w:numPr>
          <w:ilvl w:val="0"/>
          <w:numId w:val="42"/>
        </w:numPr>
        <w:spacing w:after="120"/>
      </w:pPr>
      <w:r w:rsidRPr="001E6E9B">
        <w:t>At Aurukun and Hope Vale, while the transition plan is being developed there should be a continuing focus and emphasis on the recently commenced Intensive Youth Support Program that is being trialled in Aurukun with 14 extremely challenging youth. Consensus of partners is that this is a critical issue for the wellbeing of the individuals, their families and also the community and is showing early signs of promising results. It is a good example of a specific response to a particular SEWB need for that community</w:t>
      </w:r>
      <w:r w:rsidR="00557769">
        <w:t xml:space="preserve"> and of the importance of a partnership approach between agencies.</w:t>
      </w:r>
    </w:p>
    <w:p w14:paraId="2EBE3310" w14:textId="77777777" w:rsidR="00F660CA" w:rsidRDefault="00F660CA" w:rsidP="00F660CA">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pPr>
      <w:r w:rsidRPr="00F660CA">
        <w:rPr>
          <w:b/>
          <w:lang w:eastAsia="x-none"/>
        </w:rPr>
        <w:t xml:space="preserve">Recommendation 2: </w:t>
      </w:r>
      <w:r>
        <w:t>That the WBCs no longer be funded as stand-alone services and that the WBC functions be transitioned into a comprehensive PHC service setting. To support this, a transition plan should be developed in the next six months, to facilitate implementation in 2015/16.</w:t>
      </w:r>
    </w:p>
    <w:p w14:paraId="2EBE3311" w14:textId="77777777" w:rsidR="00F660CA" w:rsidRPr="00032DD2" w:rsidRDefault="00F660CA" w:rsidP="00F660CA">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pPr>
      <w:r>
        <w:t xml:space="preserve">[Note: </w:t>
      </w:r>
      <w:r w:rsidRPr="00032DD2">
        <w:t>Communities and key partners will need to be consulted during the development of the transition plan and the role of the Queensland Health clinics in Aurukun, Coen, and Hope Vale will need to be determined given a greater focus on managing emergency and acute issues.</w:t>
      </w:r>
    </w:p>
    <w:p w14:paraId="2EBE3312" w14:textId="77777777" w:rsidR="00F660CA" w:rsidRDefault="00F660CA" w:rsidP="00F660CA">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pPr>
      <w:r w:rsidRPr="00032DD2">
        <w:t>Key factors to be considered in transition planning and which are more fully outlined in the report include items such as governance, service mix, workforce planning, funding and phasing in different approaches for each WBC.</w:t>
      </w:r>
      <w:r>
        <w:t>]</w:t>
      </w:r>
    </w:p>
    <w:p w14:paraId="2EBE3314" w14:textId="77777777" w:rsidR="003543D6" w:rsidRPr="00996C08" w:rsidRDefault="00996C08" w:rsidP="00906B1F">
      <w:pPr>
        <w:pStyle w:val="ChLetter"/>
        <w:pageBreakBefore/>
      </w:pPr>
      <w:r>
        <w:lastRenderedPageBreak/>
        <w:t>A</w:t>
      </w:r>
    </w:p>
    <w:p w14:paraId="2EBE3315" w14:textId="77777777" w:rsidR="001D4E5F" w:rsidRPr="00BD25DB" w:rsidRDefault="00996C08" w:rsidP="00433F05">
      <w:pPr>
        <w:pStyle w:val="Heading1"/>
        <w:numPr>
          <w:ilvl w:val="0"/>
          <w:numId w:val="0"/>
        </w:numPr>
        <w:ind w:left="432"/>
      </w:pPr>
      <w:bookmarkStart w:id="229" w:name="_Toc440038466"/>
      <w:bookmarkStart w:id="230" w:name="_Appendices"/>
      <w:bookmarkEnd w:id="230"/>
      <w:r w:rsidRPr="00BD25DB">
        <w:t>Appendices</w:t>
      </w:r>
      <w:bookmarkEnd w:id="229"/>
    </w:p>
    <w:p w14:paraId="2EBE3316" w14:textId="77777777" w:rsidR="00996C08" w:rsidRDefault="00996C08" w:rsidP="00996C08">
      <w:r>
        <w:t>The appendices to this report are contained in a separate document entitled:</w:t>
      </w:r>
    </w:p>
    <w:p w14:paraId="2EBE3317" w14:textId="77777777" w:rsidR="00996C08" w:rsidRPr="002226FE" w:rsidRDefault="00996C08" w:rsidP="00297E4D">
      <w:pPr>
        <w:jc w:val="center"/>
        <w:rPr>
          <w:b/>
        </w:rPr>
      </w:pPr>
      <w:r w:rsidRPr="002226FE">
        <w:rPr>
          <w:b/>
        </w:rPr>
        <w:t>Evaluation of Cape York Wellbeing Centres</w:t>
      </w:r>
    </w:p>
    <w:p w14:paraId="2EBE3318" w14:textId="77777777" w:rsidR="00996C08" w:rsidRPr="002226FE" w:rsidRDefault="00996C08" w:rsidP="00297E4D">
      <w:pPr>
        <w:jc w:val="center"/>
        <w:rPr>
          <w:b/>
        </w:rPr>
      </w:pPr>
      <w:r w:rsidRPr="002226FE">
        <w:rPr>
          <w:b/>
        </w:rPr>
        <w:t>Final Evaluation Report</w:t>
      </w:r>
    </w:p>
    <w:p w14:paraId="2EBE3319" w14:textId="77777777" w:rsidR="00996C08" w:rsidRPr="002226FE" w:rsidRDefault="00996C08" w:rsidP="00297E4D">
      <w:pPr>
        <w:jc w:val="center"/>
        <w:rPr>
          <w:b/>
        </w:rPr>
      </w:pPr>
      <w:r w:rsidRPr="002226FE">
        <w:rPr>
          <w:b/>
        </w:rPr>
        <w:t>Appendices</w:t>
      </w:r>
    </w:p>
    <w:p w14:paraId="2EBE331A" w14:textId="77777777" w:rsidR="00996C08" w:rsidRPr="002226FE" w:rsidRDefault="006D2C95" w:rsidP="00297E4D">
      <w:pPr>
        <w:jc w:val="center"/>
        <w:rPr>
          <w:b/>
        </w:rPr>
      </w:pPr>
      <w:r>
        <w:rPr>
          <w:b/>
        </w:rPr>
        <w:t>June</w:t>
      </w:r>
      <w:r w:rsidR="00996C08" w:rsidRPr="002226FE">
        <w:rPr>
          <w:b/>
        </w:rPr>
        <w:t xml:space="preserve"> 2014</w:t>
      </w:r>
    </w:p>
    <w:sectPr w:rsidR="00996C08" w:rsidRPr="002226FE" w:rsidSect="00505D6E">
      <w:pgSz w:w="11907" w:h="16840" w:code="9"/>
      <w:pgMar w:top="1560" w:right="1418" w:bottom="1418" w:left="1418" w:header="709" w:footer="4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E3353" w14:textId="77777777" w:rsidR="00906B1F" w:rsidRDefault="00906B1F" w:rsidP="00377FC2">
      <w:pPr>
        <w:spacing w:after="0"/>
      </w:pPr>
      <w:r>
        <w:separator/>
      </w:r>
    </w:p>
    <w:p w14:paraId="2EBE3354" w14:textId="77777777" w:rsidR="00906B1F" w:rsidRDefault="00906B1F" w:rsidP="005C2F08"/>
  </w:endnote>
  <w:endnote w:type="continuationSeparator" w:id="0">
    <w:p w14:paraId="2EBE3355" w14:textId="77777777" w:rsidR="00906B1F" w:rsidRDefault="00906B1F" w:rsidP="00377FC2">
      <w:pPr>
        <w:spacing w:after="0"/>
      </w:pPr>
      <w:r>
        <w:continuationSeparator/>
      </w:r>
    </w:p>
    <w:p w14:paraId="2EBE3356" w14:textId="77777777" w:rsidR="00906B1F" w:rsidRDefault="00906B1F" w:rsidP="005C2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E3358" w14:textId="77777777" w:rsidR="00906B1F" w:rsidRDefault="00906B1F" w:rsidP="000B50D5">
    <w:pPr>
      <w:pStyle w:val="FrontHOIaddress"/>
      <w:rPr>
        <w:b/>
        <w:sz w:val="18"/>
        <w:szCs w:val="18"/>
      </w:rPr>
    </w:pPr>
    <w:r>
      <w:rPr>
        <w:b/>
        <w:noProof/>
        <w:sz w:val="18"/>
        <w:szCs w:val="18"/>
        <w:lang w:eastAsia="en-AU"/>
      </w:rPr>
      <w:drawing>
        <wp:anchor distT="0" distB="0" distL="114300" distR="114300" simplePos="0" relativeHeight="251665408" behindDoc="0" locked="0" layoutInCell="1" allowOverlap="1" wp14:anchorId="2EBE3362" wp14:editId="2EBE3363">
          <wp:simplePos x="0" y="0"/>
          <wp:positionH relativeFrom="column">
            <wp:posOffset>-44450</wp:posOffset>
          </wp:positionH>
          <wp:positionV relativeFrom="paragraph">
            <wp:posOffset>-111125</wp:posOffset>
          </wp:positionV>
          <wp:extent cx="1272540" cy="394970"/>
          <wp:effectExtent l="0" t="0" r="3810" b="5080"/>
          <wp:wrapNone/>
          <wp:docPr id="12"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3359" w14:textId="77777777" w:rsidR="00906B1F" w:rsidRDefault="00906B1F" w:rsidP="000B50D5">
    <w:pPr>
      <w:pStyle w:val="FrontHOIaddress"/>
      <w:rPr>
        <w:b/>
        <w:sz w:val="18"/>
        <w:szCs w:val="18"/>
      </w:rPr>
    </w:pPr>
  </w:p>
  <w:p w14:paraId="2EBE335A" w14:textId="2EE7C53A" w:rsidR="00906B1F" w:rsidRPr="000B50D5" w:rsidRDefault="00906B1F" w:rsidP="000B50D5">
    <w:pPr>
      <w:pStyle w:val="FrontHOIaddress"/>
      <w:rPr>
        <w:sz w:val="18"/>
        <w:szCs w:val="18"/>
      </w:rPr>
    </w:pPr>
    <w:r>
      <w:rPr>
        <w:b/>
        <w:noProof/>
        <w:sz w:val="18"/>
        <w:szCs w:val="18"/>
        <w:lang w:eastAsia="en-AU"/>
      </w:rPr>
      <w:drawing>
        <wp:anchor distT="0" distB="0" distL="114300" distR="114300" simplePos="0" relativeHeight="251657216" behindDoc="1" locked="1" layoutInCell="1" allowOverlap="1" wp14:anchorId="2EBE3364" wp14:editId="2EBE3365">
          <wp:simplePos x="0" y="0"/>
          <wp:positionH relativeFrom="column">
            <wp:posOffset>4824095</wp:posOffset>
          </wp:positionH>
          <wp:positionV relativeFrom="paragraph">
            <wp:posOffset>-571500</wp:posOffset>
          </wp:positionV>
          <wp:extent cx="1962785" cy="1944370"/>
          <wp:effectExtent l="0" t="0" r="0" b="0"/>
          <wp:wrapNone/>
          <wp:docPr id="11"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278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94C">
      <w:rPr>
        <w:b/>
        <w:sz w:val="18"/>
        <w:szCs w:val="18"/>
      </w:rPr>
      <w:t>HEALTH OUTCOMES INTERNATIONAL</w:t>
    </w:r>
    <w:r>
      <w:rPr>
        <w:b/>
        <w:sz w:val="18"/>
        <w:szCs w:val="18"/>
      </w:rPr>
      <w:br/>
    </w:r>
    <w:r w:rsidRPr="0068394C">
      <w:rPr>
        <w:sz w:val="18"/>
        <w:szCs w:val="18"/>
      </w:rPr>
      <w:t xml:space="preserve">5A Glynburn Road, Glynde, SA 5070|P: 08 8363 3699   |   F: 08 8365 3560 </w:t>
    </w:r>
    <w:r>
      <w:rPr>
        <w:sz w:val="18"/>
        <w:szCs w:val="18"/>
      </w:rPr>
      <w:br/>
    </w:r>
    <w:r w:rsidR="004D37B6">
      <w:rPr>
        <w:sz w:val="18"/>
        <w:szCs w:val="18"/>
      </w:rPr>
      <w:t xml:space="preserve">E: </w:t>
    </w:r>
    <w:hyperlink r:id="rId3" w:history="1">
      <w:r w:rsidR="004D37B6" w:rsidRPr="00C76E01">
        <w:rPr>
          <w:rStyle w:val="Hyperlink"/>
          <w:sz w:val="18"/>
          <w:szCs w:val="18"/>
        </w:rPr>
        <w:t>info@hoi.com.au</w:t>
      </w:r>
    </w:hyperlink>
    <w:r w:rsidR="004D37B6">
      <w:rPr>
        <w:sz w:val="18"/>
        <w:szCs w:val="18"/>
      </w:rPr>
      <w:t xml:space="preserve"> | </w:t>
    </w:r>
    <w:r w:rsidRPr="0068394C">
      <w:rPr>
        <w:sz w:val="18"/>
        <w:szCs w:val="18"/>
      </w:rPr>
      <w:t>www.hoi.com.au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E335D" w14:textId="77777777" w:rsidR="00906B1F" w:rsidRPr="00235DA1" w:rsidRDefault="00906B1F" w:rsidP="002D7FE7">
    <w:pPr>
      <w:pStyle w:val="HOIFooter"/>
      <w:rPr>
        <w:b/>
        <w:sz w:val="16"/>
        <w:szCs w:val="16"/>
        <w:lang w:val="en-AU"/>
      </w:rPr>
    </w:pPr>
    <w:r>
      <w:rPr>
        <w:b/>
        <w:lang w:val="en-AU"/>
      </w:rPr>
      <w:t>Final E</w:t>
    </w:r>
    <w:r>
      <w:rPr>
        <w:b/>
      </w:rPr>
      <w:t>valuation</w:t>
    </w:r>
    <w:r>
      <w:rPr>
        <w:b/>
        <w:lang w:val="en-AU"/>
      </w:rPr>
      <w:t xml:space="preserve"> Report</w:t>
    </w:r>
  </w:p>
  <w:p w14:paraId="2EBE335E" w14:textId="77777777" w:rsidR="00906B1F" w:rsidRPr="00D75DA5" w:rsidRDefault="00906B1F" w:rsidP="00C44626">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2EBE335F" w14:textId="77777777" w:rsidR="00906B1F" w:rsidRPr="00271548" w:rsidRDefault="00906B1F" w:rsidP="002D7FE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AA7DC9">
      <w:rPr>
        <w:rFonts w:eastAsia="Times New Roman"/>
        <w:b/>
        <w:noProof/>
        <w:color w:val="365F91"/>
        <w:sz w:val="16"/>
        <w:szCs w:val="16"/>
      </w:rPr>
      <w:t>9</w:t>
    </w:r>
    <w:r w:rsidRPr="00271548">
      <w:rPr>
        <w:rFonts w:eastAsia="Times New Roman"/>
        <w:b/>
        <w:noProof/>
        <w:color w:val="365F91"/>
        <w:sz w:val="16"/>
        <w:szCs w:val="16"/>
      </w:rPr>
      <w:fldChar w:fldCharType="end"/>
    </w:r>
    <w:r>
      <w:rPr>
        <w:b/>
        <w:noProof/>
        <w:sz w:val="18"/>
        <w:szCs w:val="18"/>
        <w:lang w:eastAsia="en-AU"/>
      </w:rPr>
      <w:drawing>
        <wp:anchor distT="0" distB="0" distL="114300" distR="114300" simplePos="0" relativeHeight="251655168" behindDoc="1" locked="1" layoutInCell="1" allowOverlap="1" wp14:anchorId="2EBE3368" wp14:editId="2EBE3369">
          <wp:simplePos x="0" y="0"/>
          <wp:positionH relativeFrom="column">
            <wp:posOffset>5638800</wp:posOffset>
          </wp:positionH>
          <wp:positionV relativeFrom="paragraph">
            <wp:posOffset>-421005</wp:posOffset>
          </wp:positionV>
          <wp:extent cx="1016635" cy="1007110"/>
          <wp:effectExtent l="0" t="0" r="0" b="2540"/>
          <wp:wrapNone/>
          <wp:docPr id="31"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E3351" w14:textId="77777777" w:rsidR="00906B1F" w:rsidRDefault="00906B1F" w:rsidP="001F1C46">
      <w:pPr>
        <w:spacing w:after="120"/>
      </w:pPr>
      <w:r>
        <w:separator/>
      </w:r>
    </w:p>
  </w:footnote>
  <w:footnote w:type="continuationSeparator" w:id="0">
    <w:p w14:paraId="2EBE3352" w14:textId="77777777" w:rsidR="00906B1F" w:rsidRDefault="00906B1F" w:rsidP="005B5910">
      <w:r>
        <w:continuationSeparator/>
      </w:r>
    </w:p>
  </w:footnote>
  <w:footnote w:id="1">
    <w:p w14:paraId="2EBE336A" w14:textId="77777777" w:rsidR="00906B1F" w:rsidRPr="00EC332A" w:rsidRDefault="00906B1F" w:rsidP="006B4C1F">
      <w:pPr>
        <w:pStyle w:val="FootnoteText"/>
        <w:ind w:left="142" w:hanging="142"/>
        <w:rPr>
          <w:lang w:val="en-AU"/>
        </w:rPr>
      </w:pPr>
      <w:r>
        <w:rPr>
          <w:rStyle w:val="FootnoteReference"/>
        </w:rPr>
        <w:footnoteRef/>
      </w:r>
      <w:r>
        <w:t xml:space="preserve"> </w:t>
      </w:r>
      <w:r>
        <w:rPr>
          <w:lang w:val="en-AU"/>
        </w:rPr>
        <w:t>NADA (Network of alcohol and other drug agencies). Review of Screening, Assessment and Outcome Measures for Drug and Alcohol Settings. 2009</w:t>
      </w:r>
    </w:p>
  </w:footnote>
  <w:footnote w:id="2">
    <w:p w14:paraId="2EBE336B" w14:textId="77777777" w:rsidR="00906B1F" w:rsidRPr="00F95481" w:rsidRDefault="00906B1F" w:rsidP="006B4C1F">
      <w:pPr>
        <w:pStyle w:val="FootnoteText"/>
        <w:rPr>
          <w:lang w:val="en-AU"/>
        </w:rPr>
      </w:pPr>
      <w:r>
        <w:rPr>
          <w:rStyle w:val="FootnoteReference"/>
        </w:rPr>
        <w:footnoteRef/>
      </w:r>
      <w:r>
        <w:t xml:space="preserve"> </w:t>
      </w:r>
      <w:r>
        <w:rPr>
          <w:lang w:val="en-AU"/>
        </w:rPr>
        <w:t>Ibid.</w:t>
      </w:r>
    </w:p>
  </w:footnote>
  <w:footnote w:id="3">
    <w:p w14:paraId="2EBE336C" w14:textId="77777777" w:rsidR="00906B1F" w:rsidRPr="00165526" w:rsidRDefault="00906B1F" w:rsidP="007E2E6D">
      <w:pPr>
        <w:pStyle w:val="FootnoteText"/>
        <w:rPr>
          <w:lang w:val="en-AU"/>
        </w:rPr>
      </w:pPr>
      <w:r>
        <w:rPr>
          <w:rStyle w:val="FootnoteReference"/>
        </w:rPr>
        <w:footnoteRef/>
      </w:r>
      <w:r>
        <w:t xml:space="preserve"> </w:t>
      </w:r>
      <w:r>
        <w:rPr>
          <w:lang w:val="en-AU"/>
        </w:rPr>
        <w:t xml:space="preserve">Deady, M. </w:t>
      </w:r>
      <w:r w:rsidRPr="00F669B2">
        <w:rPr>
          <w:lang w:val="en-AU"/>
        </w:rPr>
        <w:t>Deady M.</w:t>
      </w:r>
      <w:r w:rsidRPr="00F669B2">
        <w:rPr>
          <w:i/>
          <w:lang w:val="en-AU"/>
        </w:rPr>
        <w:t xml:space="preserve"> A Review of Screening, Assessment and Outcome Measures for Drug and Alcohol Settings</w:t>
      </w:r>
      <w:r w:rsidRPr="00F669B2">
        <w:rPr>
          <w:lang w:val="en-AU"/>
        </w:rPr>
        <w:t>. Sydney: Network of Alcohol and Other Drugs Agencies, 2009</w:t>
      </w:r>
      <w:r>
        <w:rPr>
          <w:lang w:val="en-AU"/>
        </w:rPr>
        <w:t>.</w:t>
      </w:r>
    </w:p>
  </w:footnote>
  <w:footnote w:id="4">
    <w:p w14:paraId="2EBE336D" w14:textId="77777777" w:rsidR="00906B1F" w:rsidRPr="00F669B2" w:rsidRDefault="00906B1F" w:rsidP="007E2E6D">
      <w:pPr>
        <w:pStyle w:val="FootnoteText"/>
        <w:rPr>
          <w:lang w:val="en-AU"/>
        </w:rPr>
      </w:pPr>
      <w:r>
        <w:rPr>
          <w:rStyle w:val="FootnoteReference"/>
        </w:rPr>
        <w:footnoteRef/>
      </w:r>
      <w:r>
        <w:t xml:space="preserve"> </w:t>
      </w:r>
      <w:r w:rsidRPr="00F669B2">
        <w:rPr>
          <w:lang w:val="en-AU"/>
        </w:rPr>
        <w:t xml:space="preserve">Daw S et al. </w:t>
      </w:r>
      <w:r w:rsidRPr="00F669B2">
        <w:rPr>
          <w:i/>
          <w:lang w:val="en-AU"/>
        </w:rPr>
        <w:t>Assessing substance use and mental health in indigenous clients: what appears to work and where to next</w:t>
      </w:r>
      <w:r w:rsidRPr="00F669B2">
        <w:rPr>
          <w:lang w:val="en-AU"/>
        </w:rPr>
        <w:t>. Griffith University. Funded by Alcohol and Other Drugs Treatment Strategy Unit, Queensland Health. April 2010</w:t>
      </w:r>
    </w:p>
  </w:footnote>
  <w:footnote w:id="5">
    <w:p w14:paraId="2EBE336E" w14:textId="77777777" w:rsidR="00906B1F" w:rsidRDefault="00906B1F" w:rsidP="007E2E6D">
      <w:pPr>
        <w:pStyle w:val="FootnoteText"/>
        <w:tabs>
          <w:tab w:val="left" w:pos="284"/>
        </w:tabs>
        <w:ind w:left="284" w:hanging="284"/>
      </w:pPr>
      <w:r>
        <w:rPr>
          <w:rStyle w:val="FootnoteReference"/>
        </w:rPr>
        <w:footnoteRef/>
      </w:r>
      <w:r>
        <w:t xml:space="preserve"> </w:t>
      </w:r>
      <w:r>
        <w:rPr>
          <w:lang w:val="en-AU"/>
        </w:rPr>
        <w:tab/>
      </w:r>
      <w:r>
        <w:t xml:space="preserve">Department of Health and Ageing 2011, </w:t>
      </w:r>
      <w:r w:rsidRPr="00F60D01">
        <w:rPr>
          <w:i/>
        </w:rPr>
        <w:t>Request for Tender-Evaluation of Cape York Wellbeing Centres</w:t>
      </w:r>
      <w:r>
        <w:t>, Brisbane Queensland</w:t>
      </w:r>
    </w:p>
  </w:footnote>
  <w:footnote w:id="6">
    <w:p w14:paraId="2EBE336F" w14:textId="77777777" w:rsidR="00906B1F" w:rsidRPr="00762888" w:rsidRDefault="00906B1F" w:rsidP="00204D69">
      <w:pPr>
        <w:pStyle w:val="FootnoteText"/>
        <w:rPr>
          <w:lang w:val="en-AU"/>
        </w:rPr>
      </w:pPr>
      <w:r>
        <w:rPr>
          <w:rStyle w:val="FootnoteReference"/>
        </w:rPr>
        <w:footnoteRef/>
      </w:r>
      <w:r>
        <w:rPr>
          <w:lang w:val="en-AU"/>
        </w:rPr>
        <w:t>Ibid. The Cape York Welfare Reform Evaluation  - page 128,129,136</w:t>
      </w:r>
    </w:p>
  </w:footnote>
  <w:footnote w:id="7">
    <w:p w14:paraId="2EBE3370" w14:textId="77777777" w:rsidR="00906B1F" w:rsidRPr="007C197D" w:rsidRDefault="00906B1F" w:rsidP="00204D69">
      <w:pPr>
        <w:pStyle w:val="FootnoteText"/>
        <w:rPr>
          <w:lang w:val="en-AU"/>
        </w:rPr>
      </w:pPr>
      <w:r>
        <w:rPr>
          <w:rStyle w:val="FootnoteReference"/>
        </w:rPr>
        <w:footnoteRef/>
      </w:r>
      <w:r>
        <w:t xml:space="preserve"> </w:t>
      </w:r>
      <w:r w:rsidRPr="007C197D">
        <w:rPr>
          <w:lang w:val="en-AU"/>
        </w:rPr>
        <w:t>Ibid. The Cape York Welfare R</w:t>
      </w:r>
      <w:r>
        <w:rPr>
          <w:lang w:val="en-AU"/>
        </w:rPr>
        <w:t>eform Evaluation  - page 132</w:t>
      </w:r>
    </w:p>
  </w:footnote>
  <w:footnote w:id="8">
    <w:p w14:paraId="2EBE3371" w14:textId="77777777" w:rsidR="00906B1F" w:rsidRPr="00D77274" w:rsidRDefault="00906B1F" w:rsidP="00204D69">
      <w:pPr>
        <w:shd w:val="clear" w:color="auto" w:fill="FFFFFF"/>
        <w:tabs>
          <w:tab w:val="left" w:pos="284"/>
        </w:tabs>
        <w:spacing w:after="0"/>
        <w:ind w:left="284" w:hanging="284"/>
        <w:rPr>
          <w:rFonts w:ascii="Lucida Sans Unicode" w:eastAsia="Times New Roman" w:hAnsi="Lucida Sans Unicode" w:cs="Lucida Sans Unicode"/>
          <w:color w:val="222222"/>
          <w:sz w:val="19"/>
          <w:szCs w:val="19"/>
          <w:lang w:eastAsia="en-AU"/>
        </w:rPr>
      </w:pPr>
      <w:r w:rsidRPr="008E77F0">
        <w:rPr>
          <w:rStyle w:val="FootnoteReference"/>
          <w:sz w:val="16"/>
          <w:szCs w:val="16"/>
        </w:rPr>
        <w:footnoteRef/>
      </w:r>
      <w:r>
        <w:t xml:space="preserve"> </w:t>
      </w:r>
      <w:r>
        <w:tab/>
      </w:r>
      <w:r w:rsidRPr="008E77F0">
        <w:rPr>
          <w:rFonts w:eastAsia="Times New Roman" w:cs="Segoe UI"/>
          <w:bCs/>
          <w:iCs/>
          <w:color w:val="222222"/>
          <w:sz w:val="16"/>
          <w:szCs w:val="16"/>
          <w:lang w:eastAsia="en-AU"/>
        </w:rPr>
        <w:t>Wing, J. K., Beevor, A. S. &amp; Curtis, R. H. (</w:t>
      </w:r>
      <w:r w:rsidRPr="008E77F0">
        <w:rPr>
          <w:rFonts w:eastAsia="Times New Roman" w:cs="Segoe UI"/>
          <w:iCs/>
          <w:color w:val="222222"/>
          <w:sz w:val="16"/>
          <w:szCs w:val="16"/>
          <w:lang w:eastAsia="en-AU"/>
        </w:rPr>
        <w:t>1998</w:t>
      </w:r>
      <w:r w:rsidRPr="008E77F0">
        <w:rPr>
          <w:rFonts w:eastAsia="Times New Roman" w:cs="Segoe UI"/>
          <w:bCs/>
          <w:iCs/>
          <w:color w:val="222222"/>
          <w:sz w:val="16"/>
          <w:szCs w:val="16"/>
          <w:lang w:eastAsia="en-AU"/>
        </w:rPr>
        <w:t>)</w:t>
      </w:r>
      <w:r w:rsidRPr="008E77F0">
        <w:rPr>
          <w:rFonts w:eastAsia="Times New Roman" w:cs="Segoe UI"/>
          <w:i/>
          <w:iCs/>
          <w:color w:val="222222"/>
          <w:sz w:val="16"/>
          <w:szCs w:val="16"/>
          <w:lang w:eastAsia="en-AU"/>
        </w:rPr>
        <w:t xml:space="preserve"> Health of the Nation Outcome Scales (Ho NOS). Research and development. </w:t>
      </w:r>
      <w:r w:rsidRPr="008E77F0">
        <w:rPr>
          <w:rFonts w:eastAsia="Times New Roman" w:cs="Segoe UI"/>
          <w:iCs/>
          <w:color w:val="222222"/>
          <w:sz w:val="16"/>
          <w:szCs w:val="16"/>
          <w:lang w:eastAsia="en-AU"/>
        </w:rPr>
        <w:t>British Journal of Psychiatry, 172, 11-18.</w:t>
      </w:r>
    </w:p>
  </w:footnote>
  <w:footnote w:id="9">
    <w:p w14:paraId="2EBE3372" w14:textId="77777777" w:rsidR="00906B1F" w:rsidRPr="00531E11" w:rsidRDefault="00906B1F" w:rsidP="00204D69">
      <w:pPr>
        <w:pStyle w:val="FootnoteText"/>
        <w:rPr>
          <w:lang w:val="en-AU"/>
        </w:rPr>
      </w:pPr>
      <w:r>
        <w:rPr>
          <w:rStyle w:val="FootnoteReference"/>
        </w:rPr>
        <w:footnoteRef/>
      </w:r>
      <w:r>
        <w:rPr>
          <w:lang w:val="en-AU"/>
        </w:rPr>
        <w:t xml:space="preserve">Ibid, Deady M. </w:t>
      </w:r>
    </w:p>
  </w:footnote>
  <w:footnote w:id="10">
    <w:p w14:paraId="2EBE3373" w14:textId="77777777" w:rsidR="00906B1F" w:rsidRPr="008E77F0" w:rsidRDefault="00906B1F" w:rsidP="00204D69">
      <w:pPr>
        <w:pStyle w:val="FootnoteText"/>
        <w:tabs>
          <w:tab w:val="left" w:pos="284"/>
        </w:tabs>
        <w:ind w:left="284" w:hanging="284"/>
        <w:rPr>
          <w:rFonts w:cs="Segoe UI"/>
          <w:lang w:val="en-AU"/>
        </w:rPr>
      </w:pPr>
      <w:r w:rsidRPr="008E77F0">
        <w:rPr>
          <w:rStyle w:val="FootnoteReference"/>
          <w:rFonts w:cs="Segoe UI"/>
        </w:rPr>
        <w:footnoteRef/>
      </w:r>
      <w:r w:rsidRPr="008E77F0">
        <w:rPr>
          <w:rFonts w:eastAsia="Times New Roman" w:cs="Segoe UI"/>
          <w:bCs/>
          <w:iCs/>
          <w:color w:val="222222"/>
          <w:szCs w:val="16"/>
          <w:lang w:val="en-AU" w:eastAsia="en-AU"/>
        </w:rPr>
        <w:t xml:space="preserve"> </w:t>
      </w:r>
      <w:r w:rsidRPr="008E77F0">
        <w:rPr>
          <w:rFonts w:eastAsia="Times New Roman" w:cs="Segoe UI"/>
          <w:bCs/>
          <w:iCs/>
          <w:color w:val="222222"/>
          <w:szCs w:val="16"/>
          <w:lang w:val="en-AU" w:eastAsia="en-AU"/>
        </w:rPr>
        <w:tab/>
        <w:t>Australian Bureau of Statistics. Information paper: use of the Kessler psychological distress scale in APS health surveys. 4817.0.55.001.</w:t>
      </w:r>
    </w:p>
  </w:footnote>
  <w:footnote w:id="11">
    <w:p w14:paraId="2EBE3374" w14:textId="77777777" w:rsidR="00906B1F" w:rsidRPr="008E77F0" w:rsidRDefault="00906B1F" w:rsidP="00204D69">
      <w:pPr>
        <w:pStyle w:val="FootnoteText"/>
        <w:tabs>
          <w:tab w:val="left" w:pos="284"/>
        </w:tabs>
        <w:ind w:left="284" w:hanging="284"/>
        <w:rPr>
          <w:rFonts w:cs="Segoe UI"/>
          <w:lang w:val="en-AU"/>
        </w:rPr>
      </w:pPr>
      <w:r w:rsidRPr="008E77F0">
        <w:rPr>
          <w:rStyle w:val="FootnoteReference"/>
          <w:rFonts w:cs="Segoe UI"/>
        </w:rPr>
        <w:footnoteRef/>
      </w:r>
      <w:r w:rsidRPr="008E77F0">
        <w:rPr>
          <w:rFonts w:cs="Segoe UI"/>
        </w:rPr>
        <w:t xml:space="preserve"> </w:t>
      </w:r>
      <w:r w:rsidRPr="008E77F0">
        <w:rPr>
          <w:rFonts w:cs="Segoe UI"/>
          <w:lang w:val="en-AU"/>
        </w:rPr>
        <w:tab/>
      </w:r>
      <w:r w:rsidRPr="008E77F0">
        <w:rPr>
          <w:rFonts w:cs="Segoe UI"/>
          <w:color w:val="auto"/>
          <w:szCs w:val="16"/>
          <w:lang w:eastAsia="en-AU"/>
        </w:rPr>
        <w:t xml:space="preserve">Kessler, R.C., Andrews, G., Colpe, .et al (2002) Short screening scales to monitor population prevalence and trends in non-specific psychological distress. </w:t>
      </w:r>
      <w:r w:rsidRPr="008E77F0">
        <w:rPr>
          <w:rFonts w:cs="Segoe UI"/>
          <w:bCs/>
          <w:i/>
          <w:color w:val="auto"/>
          <w:szCs w:val="16"/>
          <w:lang w:eastAsia="en-AU"/>
        </w:rPr>
        <w:t>Psychological Medicine, 32</w:t>
      </w:r>
      <w:r w:rsidRPr="008E77F0">
        <w:rPr>
          <w:rFonts w:cs="Segoe UI"/>
          <w:color w:val="auto"/>
          <w:szCs w:val="16"/>
          <w:lang w:eastAsia="en-AU"/>
        </w:rPr>
        <w:t>, 959-956.</w:t>
      </w:r>
    </w:p>
  </w:footnote>
  <w:footnote w:id="12">
    <w:p w14:paraId="2EBE3375" w14:textId="77777777" w:rsidR="00906B1F" w:rsidRPr="00A23B40" w:rsidRDefault="00906B1F" w:rsidP="00204D69">
      <w:pPr>
        <w:pStyle w:val="FootnoteText"/>
        <w:tabs>
          <w:tab w:val="left" w:pos="284"/>
        </w:tabs>
        <w:ind w:left="284" w:hanging="284"/>
        <w:rPr>
          <w:lang w:val="en-AU"/>
        </w:rPr>
      </w:pPr>
      <w:r w:rsidRPr="008E77F0">
        <w:rPr>
          <w:rStyle w:val="FootnoteReference"/>
          <w:rFonts w:cs="Segoe UI"/>
        </w:rPr>
        <w:footnoteRef/>
      </w:r>
      <w:r w:rsidRPr="008E77F0">
        <w:rPr>
          <w:rFonts w:cs="Segoe UI"/>
        </w:rPr>
        <w:t xml:space="preserve"> </w:t>
      </w:r>
      <w:r w:rsidRPr="008E77F0">
        <w:rPr>
          <w:rFonts w:cs="Segoe UI"/>
          <w:lang w:val="en-AU"/>
        </w:rPr>
        <w:tab/>
      </w:r>
      <w:r w:rsidRPr="008E77F0">
        <w:rPr>
          <w:rFonts w:cs="Segoe UI"/>
          <w:color w:val="auto"/>
          <w:szCs w:val="16"/>
          <w:lang w:eastAsia="en-AU"/>
        </w:rPr>
        <w:t xml:space="preserve">Andrews, G., Slade, T (2001). Interpreting scores on the Kessler Psychological Distress Scale (k10). </w:t>
      </w:r>
      <w:r w:rsidRPr="008E77F0">
        <w:rPr>
          <w:rFonts w:cs="Segoe UI"/>
          <w:bCs/>
          <w:i/>
          <w:color w:val="auto"/>
          <w:szCs w:val="16"/>
          <w:lang w:eastAsia="en-AU"/>
        </w:rPr>
        <w:t>Australian and New Zealand Journal of Public Health</w:t>
      </w:r>
      <w:r w:rsidRPr="008E77F0">
        <w:rPr>
          <w:rFonts w:cs="Segoe UI"/>
          <w:bCs/>
          <w:color w:val="auto"/>
          <w:szCs w:val="16"/>
          <w:lang w:eastAsia="en-AU"/>
        </w:rPr>
        <w:t xml:space="preserve">, 25, </w:t>
      </w:r>
      <w:r w:rsidRPr="008E77F0">
        <w:rPr>
          <w:rFonts w:cs="Segoe UI"/>
          <w:color w:val="auto"/>
          <w:szCs w:val="16"/>
          <w:lang w:eastAsia="en-AU"/>
        </w:rPr>
        <w:t>494-497.</w:t>
      </w:r>
    </w:p>
  </w:footnote>
  <w:footnote w:id="13">
    <w:p w14:paraId="2EBE3376" w14:textId="77777777" w:rsidR="00906B1F" w:rsidRPr="007C2C9B" w:rsidRDefault="00906B1F" w:rsidP="00204D69">
      <w:pPr>
        <w:pStyle w:val="FootnoteText"/>
        <w:rPr>
          <w:lang w:val="en-AU"/>
        </w:rPr>
      </w:pPr>
      <w:r>
        <w:rPr>
          <w:rStyle w:val="FootnoteReference"/>
        </w:rPr>
        <w:footnoteRef/>
      </w:r>
      <w:r>
        <w:t xml:space="preserve"> </w:t>
      </w:r>
      <w:r>
        <w:rPr>
          <w:lang w:val="en-AU"/>
        </w:rPr>
        <w:t>Ibid. Cape York Welfare Reform Evaluation, p 133.</w:t>
      </w:r>
    </w:p>
  </w:footnote>
  <w:footnote w:id="14">
    <w:p w14:paraId="2EBE3377" w14:textId="77777777" w:rsidR="00906B1F" w:rsidRPr="007C197D" w:rsidRDefault="00906B1F" w:rsidP="00204D69">
      <w:pPr>
        <w:pStyle w:val="FootnoteText"/>
        <w:rPr>
          <w:lang w:val="en-AU"/>
        </w:rPr>
      </w:pPr>
      <w:r>
        <w:rPr>
          <w:rStyle w:val="FootnoteReference"/>
        </w:rPr>
        <w:footnoteRef/>
      </w:r>
      <w:r>
        <w:t xml:space="preserve"> </w:t>
      </w:r>
      <w:r>
        <w:rPr>
          <w:lang w:val="en-AU"/>
        </w:rPr>
        <w:t>Ibid. The Cape York Welfare Reform Evaluation  - page 128,129</w:t>
      </w:r>
    </w:p>
  </w:footnote>
  <w:footnote w:id="15">
    <w:p w14:paraId="2EBE3378" w14:textId="77777777" w:rsidR="00906B1F" w:rsidRPr="00E31D4D" w:rsidRDefault="00906B1F" w:rsidP="00204D69">
      <w:pPr>
        <w:pStyle w:val="FootnoteText"/>
        <w:rPr>
          <w:lang w:val="en-AU"/>
        </w:rPr>
      </w:pPr>
      <w:r>
        <w:rPr>
          <w:rStyle w:val="FootnoteReference"/>
        </w:rPr>
        <w:footnoteRef/>
      </w:r>
      <w:r>
        <w:t xml:space="preserve"> </w:t>
      </w:r>
      <w:r w:rsidRPr="00E31D4D">
        <w:rPr>
          <w:i/>
          <w:lang w:val="en-AU"/>
        </w:rPr>
        <w:t xml:space="preserve">Queensland Government Annual Bulletin for Queensland’s Discrete Indigenous </w:t>
      </w:r>
      <w:r>
        <w:rPr>
          <w:i/>
          <w:lang w:val="en-AU"/>
        </w:rPr>
        <w:t>Community’s</w:t>
      </w:r>
      <w:r w:rsidRPr="00E31D4D">
        <w:rPr>
          <w:i/>
          <w:lang w:val="en-AU"/>
        </w:rPr>
        <w:t>: 2011/12</w:t>
      </w:r>
      <w:r>
        <w:rPr>
          <w:i/>
          <w:lang w:val="en-AU"/>
        </w:rPr>
        <w:t xml:space="preserve">. </w:t>
      </w:r>
      <w:r w:rsidRPr="00E31D4D">
        <w:rPr>
          <w:lang w:val="en-AU"/>
        </w:rPr>
        <w:t>Source of data Table 1.</w:t>
      </w:r>
    </w:p>
  </w:footnote>
  <w:footnote w:id="16">
    <w:p w14:paraId="2EBE3379" w14:textId="77777777" w:rsidR="00906B1F" w:rsidRDefault="00906B1F" w:rsidP="00C27F05">
      <w:pPr>
        <w:pStyle w:val="FootnoteText"/>
      </w:pPr>
      <w:r>
        <w:rPr>
          <w:rStyle w:val="FootnoteReference"/>
        </w:rPr>
        <w:footnoteRef/>
      </w:r>
      <w:r>
        <w:t xml:space="preserve"> AIHW 2011, </w:t>
      </w:r>
      <w:r w:rsidRPr="00F37A22">
        <w:rPr>
          <w:i/>
        </w:rPr>
        <w:t>Socio-economic context of Indigenous health</w:t>
      </w:r>
      <w:r>
        <w:t>, Australian Institute of Health and Welfare, accessed 8</w:t>
      </w:r>
      <w:r w:rsidRPr="00F37A22">
        <w:rPr>
          <w:vertAlign w:val="superscript"/>
        </w:rPr>
        <w:t>th</w:t>
      </w:r>
      <w:r>
        <w:t xml:space="preserve"> February 2012, &lt;</w:t>
      </w:r>
      <w:r w:rsidRPr="00813B7C">
        <w:t>http://www.aihw.gov.au/socio-economic-context-of-indigenous-health/</w:t>
      </w:r>
      <w:r>
        <w:t>&gt;</w:t>
      </w:r>
    </w:p>
  </w:footnote>
  <w:footnote w:id="17">
    <w:p w14:paraId="2EBE337A" w14:textId="77777777" w:rsidR="00906B1F" w:rsidRDefault="00906B1F" w:rsidP="00C27F05">
      <w:pPr>
        <w:pStyle w:val="FootnoteText"/>
      </w:pPr>
      <w:r>
        <w:rPr>
          <w:rStyle w:val="FootnoteReference"/>
        </w:rPr>
        <w:footnoteRef/>
      </w:r>
      <w:r w:rsidRPr="00973CCE">
        <w:rPr>
          <w:szCs w:val="16"/>
        </w:rPr>
        <w:t>Kelly, K., Dudgeon, P., Gee, G. &amp;</w:t>
      </w:r>
      <w:r>
        <w:rPr>
          <w:szCs w:val="16"/>
        </w:rPr>
        <w:t xml:space="preserve"> </w:t>
      </w:r>
      <w:r w:rsidRPr="00973CCE">
        <w:rPr>
          <w:szCs w:val="16"/>
        </w:rPr>
        <w:t xml:space="preserve">Glaskin, B. 2009, </w:t>
      </w:r>
      <w:r w:rsidRPr="00973CCE">
        <w:rPr>
          <w:i/>
          <w:szCs w:val="16"/>
        </w:rPr>
        <w:t>Living on the Edge: Social and Emotional Wellbeing and Risk and Protective Factors for Serious Psychological Distress among Aboriginal and Torres Strait Islander People</w:t>
      </w:r>
      <w:r w:rsidRPr="00973CCE">
        <w:rPr>
          <w:szCs w:val="16"/>
        </w:rPr>
        <w:t>, Discussion Paper No. 10, Cooperative Research Centre for Aboriginal Health, Darwin.</w:t>
      </w:r>
    </w:p>
  </w:footnote>
  <w:footnote w:id="18">
    <w:p w14:paraId="2EBE337B" w14:textId="77777777" w:rsidR="00906B1F" w:rsidRDefault="00906B1F" w:rsidP="00C27F05">
      <w:pPr>
        <w:pStyle w:val="FootnoteText"/>
      </w:pPr>
      <w:r>
        <w:rPr>
          <w:rStyle w:val="FootnoteReference"/>
        </w:rPr>
        <w:footnoteRef/>
      </w:r>
      <w:r>
        <w:t>Garvey, D 2008, Review of the social and emotional wellbeing in Indigenous Australian peoples – considerations, challenges and opportunities. Retrieved 9</w:t>
      </w:r>
      <w:r w:rsidRPr="005F7F19">
        <w:rPr>
          <w:vertAlign w:val="superscript"/>
        </w:rPr>
        <w:t>th</w:t>
      </w:r>
      <w:r>
        <w:t xml:space="preserve"> February from http://www.healthinfonet.ecu.edu.au/sewb_review</w:t>
      </w:r>
    </w:p>
  </w:footnote>
  <w:footnote w:id="19">
    <w:p w14:paraId="2EBE337C" w14:textId="77777777" w:rsidR="00906B1F" w:rsidRPr="00306489" w:rsidRDefault="00906B1F" w:rsidP="00C27F05">
      <w:pPr>
        <w:pStyle w:val="FootnoteText"/>
        <w:rPr>
          <w:lang w:val="en-AU"/>
        </w:rPr>
      </w:pPr>
      <w:r>
        <w:rPr>
          <w:rStyle w:val="FootnoteReference"/>
        </w:rPr>
        <w:footnoteRef/>
      </w:r>
      <w:r>
        <w:t xml:space="preserve"> </w:t>
      </w:r>
      <w:r>
        <w:rPr>
          <w:lang w:val="en-AU"/>
        </w:rPr>
        <w:t>Apunipima Cape York Health Council. Background document: Embedding a social and emotional well-being approach across Apunipima’s family and community centred primary health care model (2014)</w:t>
      </w:r>
    </w:p>
  </w:footnote>
  <w:footnote w:id="20">
    <w:p w14:paraId="2EBE337D" w14:textId="77777777" w:rsidR="00906B1F" w:rsidRPr="00221612" w:rsidRDefault="00906B1F" w:rsidP="00C27F05">
      <w:pPr>
        <w:pStyle w:val="FootnoteText"/>
        <w:rPr>
          <w:lang w:val="en-AU"/>
        </w:rPr>
      </w:pPr>
      <w:r>
        <w:rPr>
          <w:rStyle w:val="FootnoteReference"/>
        </w:rPr>
        <w:footnoteRef/>
      </w:r>
      <w:r>
        <w:t xml:space="preserve"> </w:t>
      </w:r>
      <w:r>
        <w:rPr>
          <w:lang w:val="en-AU"/>
        </w:rPr>
        <w:t>Silburn, S., Nutton, G.,Arney,F., &amp; Moss, B. The first five years: starting early. Topical paper commissioned for public consultation on the Northern Territory Early Childhood Plan. (2011)</w:t>
      </w:r>
    </w:p>
  </w:footnote>
  <w:footnote w:id="21">
    <w:p w14:paraId="2EBE337E" w14:textId="77777777" w:rsidR="00906B1F" w:rsidRPr="00221612" w:rsidRDefault="00906B1F" w:rsidP="00C27F05">
      <w:pPr>
        <w:pStyle w:val="FootnoteText"/>
        <w:rPr>
          <w:lang w:val="en-AU"/>
        </w:rPr>
      </w:pPr>
      <w:r>
        <w:rPr>
          <w:rStyle w:val="FootnoteReference"/>
        </w:rPr>
        <w:footnoteRef/>
      </w:r>
      <w:r>
        <w:t xml:space="preserve"> </w:t>
      </w:r>
      <w:r>
        <w:rPr>
          <w:lang w:val="en-AU"/>
        </w:rPr>
        <w:t>Hunter, E. Indicators of psychoses or psychoses as indicators: the relationship between Indigenous social disadvantage and serious mental illness. Australasian Psychiatry (2012)</w:t>
      </w:r>
    </w:p>
  </w:footnote>
  <w:footnote w:id="22">
    <w:p w14:paraId="2EBE337F" w14:textId="77777777" w:rsidR="00906B1F" w:rsidRPr="00B32A45" w:rsidRDefault="00906B1F" w:rsidP="00C27F05">
      <w:pPr>
        <w:pStyle w:val="FootnoteText"/>
        <w:rPr>
          <w:lang w:val="en-AU"/>
        </w:rPr>
      </w:pPr>
      <w:r>
        <w:rPr>
          <w:rStyle w:val="FootnoteReference"/>
        </w:rPr>
        <w:footnoteRef/>
      </w:r>
      <w:r>
        <w:t xml:space="preserve"> </w:t>
      </w:r>
      <w:r w:rsidRPr="00B32A45">
        <w:t>The Cape York Welfa</w:t>
      </w:r>
      <w:r>
        <w:t>re Reform Evaluation  - page</w:t>
      </w:r>
      <w:r>
        <w:rPr>
          <w:lang w:val="en-AU"/>
        </w:rPr>
        <w:t xml:space="preserve"> 2,3</w:t>
      </w:r>
    </w:p>
  </w:footnote>
  <w:footnote w:id="23">
    <w:p w14:paraId="2EBE3380" w14:textId="77777777" w:rsidR="00906B1F" w:rsidRPr="00350793" w:rsidRDefault="00906B1F" w:rsidP="00C27F05">
      <w:pPr>
        <w:pStyle w:val="FootnoteText"/>
        <w:rPr>
          <w:lang w:val="en-AU"/>
        </w:rPr>
      </w:pPr>
      <w:r>
        <w:rPr>
          <w:rStyle w:val="FootnoteReference"/>
        </w:rPr>
        <w:footnoteRef/>
      </w:r>
      <w:r>
        <w:t xml:space="preserve"> </w:t>
      </w:r>
      <w:r w:rsidRPr="00350793">
        <w:rPr>
          <w:lang w:val="en-US"/>
        </w:rPr>
        <w:t xml:space="preserve">COAG Reform Council, </w:t>
      </w:r>
      <w:r w:rsidRPr="00350793">
        <w:rPr>
          <w:i/>
          <w:lang w:val="en-US"/>
        </w:rPr>
        <w:t>Indigenous Reform 2011-12: Comparing performance across Australia</w:t>
      </w:r>
      <w:r w:rsidRPr="00350793">
        <w:rPr>
          <w:lang w:val="en-US"/>
        </w:rPr>
        <w:t>, 2013, p 14</w:t>
      </w:r>
    </w:p>
  </w:footnote>
  <w:footnote w:id="24">
    <w:p w14:paraId="2EBE3381" w14:textId="77777777" w:rsidR="00906B1F" w:rsidRPr="00350793" w:rsidRDefault="00906B1F" w:rsidP="00C27F05">
      <w:pPr>
        <w:pStyle w:val="FootnoteText"/>
        <w:rPr>
          <w:lang w:val="en-AU"/>
        </w:rPr>
      </w:pPr>
      <w:r>
        <w:rPr>
          <w:rStyle w:val="FootnoteReference"/>
        </w:rPr>
        <w:footnoteRef/>
      </w:r>
      <w:r>
        <w:t xml:space="preserve"> </w:t>
      </w:r>
      <w:r w:rsidRPr="00350793">
        <w:t>Australian Bureau of Statistics, Life Tables for Aboriginal and Torres Strait Islander Australians, 2010-2012, (cat. no. 3302.0.55.003), 2013</w:t>
      </w:r>
    </w:p>
  </w:footnote>
  <w:footnote w:id="25">
    <w:p w14:paraId="2EBE3382" w14:textId="77777777" w:rsidR="00906B1F" w:rsidRPr="00350793" w:rsidRDefault="00906B1F" w:rsidP="00C27F05">
      <w:pPr>
        <w:pStyle w:val="FootnoteText"/>
        <w:rPr>
          <w:lang w:val="en-AU"/>
        </w:rPr>
      </w:pPr>
      <w:r>
        <w:rPr>
          <w:rStyle w:val="FootnoteReference"/>
        </w:rPr>
        <w:footnoteRef/>
      </w:r>
      <w:r>
        <w:t xml:space="preserve"> </w:t>
      </w:r>
      <w:r w:rsidRPr="00350793">
        <w:t>Australian Bureau of Statistics, Australian Aboriginal and Torres Strait Islander Health Survey: First Results, Australia, 2012-13 (cat. no. 4727.0.55.001), 2013</w:t>
      </w:r>
    </w:p>
  </w:footnote>
  <w:footnote w:id="26">
    <w:p w14:paraId="2EBE3383" w14:textId="77777777" w:rsidR="00906B1F" w:rsidRPr="00D848CA" w:rsidRDefault="00906B1F">
      <w:pPr>
        <w:pStyle w:val="FootnoteText"/>
        <w:rPr>
          <w:lang w:val="en-AU"/>
        </w:rPr>
      </w:pPr>
      <w:r>
        <w:rPr>
          <w:rStyle w:val="FootnoteReference"/>
        </w:rPr>
        <w:footnoteRef/>
      </w:r>
      <w:r>
        <w:t xml:space="preserve"> </w:t>
      </w:r>
      <w:r>
        <w:rPr>
          <w:lang w:val="en-AU"/>
        </w:rPr>
        <w:t>C</w:t>
      </w:r>
      <w:r>
        <w:t xml:space="preserve">lose the </w:t>
      </w:r>
      <w:r>
        <w:rPr>
          <w:lang w:val="en-AU"/>
        </w:rPr>
        <w:t>G</w:t>
      </w:r>
      <w:r>
        <w:t>ap. Progress and priorities report 2014</w:t>
      </w:r>
      <w:r>
        <w:rPr>
          <w:lang w:val="en-AU"/>
        </w:rPr>
        <w:t>. The Close the Gap Campaign Steering Committee.</w:t>
      </w:r>
    </w:p>
  </w:footnote>
  <w:footnote w:id="27">
    <w:p w14:paraId="2EBE3384" w14:textId="77777777" w:rsidR="00906B1F" w:rsidRPr="003D1141" w:rsidRDefault="00906B1F">
      <w:pPr>
        <w:pStyle w:val="FootnoteText"/>
        <w:rPr>
          <w:lang w:val="en-AU"/>
        </w:rPr>
      </w:pPr>
      <w:r>
        <w:rPr>
          <w:rStyle w:val="FootnoteReference"/>
        </w:rPr>
        <w:footnoteRef/>
      </w:r>
      <w:r>
        <w:t xml:space="preserve"> </w:t>
      </w:r>
      <w:r>
        <w:rPr>
          <w:lang w:val="en-AU"/>
        </w:rPr>
        <w:t xml:space="preserve">Ibid. </w:t>
      </w:r>
    </w:p>
  </w:footnote>
  <w:footnote w:id="28">
    <w:p w14:paraId="2EBE3385" w14:textId="77777777" w:rsidR="00906B1F" w:rsidRPr="00F325F6" w:rsidRDefault="00906B1F">
      <w:pPr>
        <w:pStyle w:val="FootnoteText"/>
        <w:rPr>
          <w:lang w:val="en-AU"/>
        </w:rPr>
      </w:pPr>
      <w:r>
        <w:rPr>
          <w:rStyle w:val="FootnoteReference"/>
        </w:rPr>
        <w:footnoteRef/>
      </w:r>
      <w:r>
        <w:t xml:space="preserve"> </w:t>
      </w:r>
      <w:r>
        <w:rPr>
          <w:lang w:val="en-AU"/>
        </w:rPr>
        <w:t>Ibid.</w:t>
      </w:r>
    </w:p>
  </w:footnote>
  <w:footnote w:id="29">
    <w:p w14:paraId="2EBE3386" w14:textId="77777777" w:rsidR="00906B1F" w:rsidRPr="00EC332A" w:rsidRDefault="00906B1F" w:rsidP="00204D69">
      <w:pPr>
        <w:pStyle w:val="FootnoteText"/>
        <w:ind w:left="142" w:hanging="142"/>
        <w:rPr>
          <w:lang w:val="en-AU"/>
        </w:rPr>
      </w:pPr>
      <w:r>
        <w:rPr>
          <w:rStyle w:val="FootnoteReference"/>
        </w:rPr>
        <w:footnoteRef/>
      </w:r>
      <w:r>
        <w:t xml:space="preserve"> </w:t>
      </w:r>
      <w:r>
        <w:rPr>
          <w:lang w:val="en-AU"/>
        </w:rPr>
        <w:t>NADA (Network of alcohol and other drug agencies). Review of Screening, Assessment and Outcome Measures for Drug and Alcohol Settings. 2009</w:t>
      </w:r>
    </w:p>
  </w:footnote>
  <w:footnote w:id="30">
    <w:p w14:paraId="2EBE3387" w14:textId="77777777" w:rsidR="00906B1F" w:rsidRPr="00280D7B" w:rsidRDefault="00906B1F">
      <w:pPr>
        <w:pStyle w:val="FootnoteText"/>
        <w:rPr>
          <w:lang w:val="en-AU"/>
        </w:rPr>
      </w:pPr>
      <w:r>
        <w:rPr>
          <w:rStyle w:val="FootnoteReference"/>
        </w:rPr>
        <w:footnoteRef/>
      </w:r>
      <w:r>
        <w:t xml:space="preserve"> </w:t>
      </w:r>
      <w:r>
        <w:rPr>
          <w:lang w:val="en-AU"/>
        </w:rPr>
        <w:t>Ibid.</w:t>
      </w:r>
    </w:p>
  </w:footnote>
  <w:footnote w:id="31">
    <w:p w14:paraId="2EBE3388" w14:textId="77777777" w:rsidR="00906B1F" w:rsidRPr="00280D7B" w:rsidRDefault="00906B1F">
      <w:pPr>
        <w:pStyle w:val="FootnoteText"/>
        <w:rPr>
          <w:lang w:val="en-AU"/>
        </w:rPr>
      </w:pPr>
      <w:r>
        <w:rPr>
          <w:rStyle w:val="FootnoteReference"/>
        </w:rPr>
        <w:footnoteRef/>
      </w:r>
      <w:r>
        <w:t xml:space="preserve"> </w:t>
      </w:r>
      <w:r>
        <w:rPr>
          <w:lang w:val="en-AU"/>
        </w:rPr>
        <w:t xml:space="preserve">Royal Australian College of General Practitioners. </w:t>
      </w:r>
      <w:r w:rsidRPr="00280D7B">
        <w:rPr>
          <w:lang w:val="en-AU"/>
        </w:rPr>
        <w:t>Guidelines for preventive activities in general practice 8th edition</w:t>
      </w:r>
      <w:r>
        <w:rPr>
          <w:lang w:val="en-AU"/>
        </w:rPr>
        <w:t xml:space="preserve">. </w:t>
      </w:r>
      <w:r w:rsidRPr="00280D7B">
        <w:rPr>
          <w:lang w:val="en-AU"/>
        </w:rPr>
        <w:t>http://www.racgp.org.au/your-practice/guidelines/redbook/appendices/appendix-3-audit-c/</w:t>
      </w:r>
    </w:p>
  </w:footnote>
  <w:footnote w:id="32">
    <w:p w14:paraId="2EBE3389" w14:textId="77777777" w:rsidR="00906B1F" w:rsidRPr="006D529B" w:rsidRDefault="00906B1F" w:rsidP="006D529B">
      <w:pPr>
        <w:pStyle w:val="FootnoteText"/>
        <w:rPr>
          <w:lang w:val="en-AU"/>
        </w:rPr>
      </w:pPr>
      <w:r>
        <w:rPr>
          <w:rStyle w:val="FootnoteReference"/>
        </w:rPr>
        <w:footnoteRef/>
      </w:r>
      <w:r>
        <w:t xml:space="preserve"> </w:t>
      </w:r>
      <w:r w:rsidRPr="006D529B">
        <w:rPr>
          <w:lang w:val="en-AU"/>
        </w:rPr>
        <w:t>Australian Institute of Health and Welfare 2009. Measuring the so</w:t>
      </w:r>
      <w:r>
        <w:rPr>
          <w:lang w:val="en-AU"/>
        </w:rPr>
        <w:t xml:space="preserve">cial and emotional wellbeing of </w:t>
      </w:r>
      <w:r w:rsidRPr="006D529B">
        <w:rPr>
          <w:lang w:val="en-AU"/>
        </w:rPr>
        <w:t xml:space="preserve">Aboriginal and Torres Strait Islander peoples. Cat. no. IHW 24. </w:t>
      </w:r>
    </w:p>
  </w:footnote>
  <w:footnote w:id="33">
    <w:p w14:paraId="2EBE338A" w14:textId="77777777" w:rsidR="00906B1F" w:rsidRPr="006D529B" w:rsidRDefault="00906B1F">
      <w:pPr>
        <w:pStyle w:val="FootnoteText"/>
        <w:rPr>
          <w:lang w:val="en-AU"/>
        </w:rPr>
      </w:pPr>
      <w:r>
        <w:rPr>
          <w:rStyle w:val="FootnoteReference"/>
        </w:rPr>
        <w:footnoteRef/>
      </w:r>
      <w:r>
        <w:t xml:space="preserve"> </w:t>
      </w:r>
      <w:r w:rsidRPr="00144D18">
        <w:t xml:space="preserve">Australian Bureau of Statistics </w:t>
      </w:r>
      <w:r>
        <w:rPr>
          <w:lang w:val="en-AU"/>
        </w:rPr>
        <w:t>.</w:t>
      </w:r>
      <w:r w:rsidRPr="006D529B">
        <w:rPr>
          <w:lang w:val="en-AU"/>
        </w:rPr>
        <w:t>4720.0 - National Aboriginal and Torres Strait Islander Social Survey: Users' Guide, 2008</w:t>
      </w:r>
      <w:r>
        <w:rPr>
          <w:lang w:val="en-AU"/>
        </w:rPr>
        <w:t xml:space="preserve">. </w:t>
      </w:r>
    </w:p>
  </w:footnote>
  <w:footnote w:id="34">
    <w:p w14:paraId="2EBE338B" w14:textId="77777777" w:rsidR="00906B1F" w:rsidRPr="00144D18" w:rsidRDefault="00906B1F">
      <w:pPr>
        <w:pStyle w:val="FootnoteText"/>
        <w:rPr>
          <w:lang w:val="en-AU"/>
        </w:rPr>
      </w:pPr>
      <w:r>
        <w:rPr>
          <w:rStyle w:val="FootnoteReference"/>
        </w:rPr>
        <w:footnoteRef/>
      </w:r>
      <w:r>
        <w:t xml:space="preserve"> </w:t>
      </w:r>
      <w:r w:rsidRPr="00144D18">
        <w:t>Australian Bureau of Statistics, Australian Aboriginal and Torres Strait Islander Health Survey: First Results, Australia, 2012-13 (cat. no. 4727.0.55.001), 2013</w:t>
      </w:r>
    </w:p>
  </w:footnote>
  <w:footnote w:id="35">
    <w:p w14:paraId="2EBE338C" w14:textId="77777777" w:rsidR="00906B1F" w:rsidRPr="00F95481" w:rsidRDefault="00906B1F" w:rsidP="00204D69">
      <w:pPr>
        <w:pStyle w:val="FootnoteText"/>
        <w:rPr>
          <w:lang w:val="en-AU"/>
        </w:rPr>
      </w:pPr>
      <w:r>
        <w:rPr>
          <w:rStyle w:val="FootnoteReference"/>
        </w:rPr>
        <w:footnoteRef/>
      </w:r>
      <w:r>
        <w:t xml:space="preserve"> </w:t>
      </w:r>
      <w:r>
        <w:rPr>
          <w:lang w:val="en-AU"/>
        </w:rPr>
        <w:t>Op cit.  NADA</w:t>
      </w:r>
    </w:p>
  </w:footnote>
  <w:footnote w:id="36">
    <w:p w14:paraId="2EBE338D" w14:textId="77777777" w:rsidR="00906B1F" w:rsidRPr="000120CC" w:rsidRDefault="00906B1F">
      <w:pPr>
        <w:pStyle w:val="FootnoteText"/>
        <w:rPr>
          <w:lang w:val="en-AU"/>
        </w:rPr>
      </w:pPr>
      <w:r>
        <w:rPr>
          <w:rStyle w:val="FootnoteReference"/>
        </w:rPr>
        <w:footnoteRef/>
      </w:r>
      <w:r>
        <w:t xml:space="preserve"> Funders and the service provider have utilised reasons for presentation to help understand who is using the well-being centre and why. Whilst this is a reasonable proxy, it has now been agreed that diagnosed assessment issue will be collected on an ongoing basis. This limited data availability has not impacted upon capacity to undertake the evaluation.</w:t>
      </w:r>
    </w:p>
  </w:footnote>
  <w:footnote w:id="37">
    <w:p w14:paraId="2EBE338E" w14:textId="77777777" w:rsidR="00906B1F" w:rsidRDefault="00906B1F" w:rsidP="00204D69">
      <w:pPr>
        <w:pStyle w:val="FootnoteText"/>
        <w:tabs>
          <w:tab w:val="left" w:pos="284"/>
        </w:tabs>
        <w:ind w:left="284" w:hanging="284"/>
      </w:pPr>
      <w:r>
        <w:rPr>
          <w:rStyle w:val="FootnoteReference"/>
        </w:rPr>
        <w:footnoteRef/>
      </w:r>
      <w:r>
        <w:rPr>
          <w:szCs w:val="16"/>
          <w:lang w:val="en-AU"/>
        </w:rPr>
        <w:t xml:space="preserve"> </w:t>
      </w:r>
      <w:r>
        <w:rPr>
          <w:szCs w:val="16"/>
          <w:lang w:val="en-AU"/>
        </w:rPr>
        <w:tab/>
      </w:r>
      <w:r w:rsidRPr="00973CCE">
        <w:rPr>
          <w:szCs w:val="16"/>
        </w:rPr>
        <w:t>Kelly, K., Dudgeon, P., Gee, G. &amp;</w:t>
      </w:r>
      <w:r>
        <w:rPr>
          <w:szCs w:val="16"/>
        </w:rPr>
        <w:t xml:space="preserve"> </w:t>
      </w:r>
      <w:r w:rsidRPr="00973CCE">
        <w:rPr>
          <w:szCs w:val="16"/>
        </w:rPr>
        <w:t xml:space="preserve">Glaskin, B. 2009, </w:t>
      </w:r>
      <w:r w:rsidRPr="00973CCE">
        <w:rPr>
          <w:i/>
          <w:szCs w:val="16"/>
        </w:rPr>
        <w:t>Living on the Edge: Social and Emotional Wellbeing and Risk and Protective Factors for Serious Psychological Distress among Aboriginal and Torres Strait Islander People</w:t>
      </w:r>
      <w:r w:rsidRPr="00973CCE">
        <w:rPr>
          <w:szCs w:val="16"/>
        </w:rPr>
        <w:t>, Discussion Paper No. 10, Cooperative Research Centre for Aboriginal Health, Darwin.</w:t>
      </w:r>
    </w:p>
  </w:footnote>
  <w:footnote w:id="38">
    <w:p w14:paraId="2EBE338F" w14:textId="77777777" w:rsidR="00906B1F" w:rsidRPr="00C73A78" w:rsidRDefault="00906B1F" w:rsidP="004D6348">
      <w:pPr>
        <w:pStyle w:val="FootnoteText"/>
        <w:rPr>
          <w:lang w:val="en-AU"/>
        </w:rPr>
      </w:pPr>
      <w:r>
        <w:rPr>
          <w:rStyle w:val="FootnoteReference"/>
        </w:rPr>
        <w:footnoteRef/>
      </w:r>
      <w:r>
        <w:t xml:space="preserve"> </w:t>
      </w:r>
      <w:r>
        <w:rPr>
          <w:lang w:val="en-AU"/>
        </w:rPr>
        <w:t>World Health Organisation and World Organisation of Family Doctors. Integrating mental health into primary care: the global perspective. World Health Organisation, Department of Mental Health And Substance Abuse, Geneva. (2008).</w:t>
      </w:r>
    </w:p>
  </w:footnote>
  <w:footnote w:id="39">
    <w:p w14:paraId="2EBE3390" w14:textId="77777777" w:rsidR="00906B1F" w:rsidRPr="00092B3B" w:rsidRDefault="00906B1F" w:rsidP="00204D69">
      <w:pPr>
        <w:pStyle w:val="FootnoteText"/>
        <w:rPr>
          <w:lang w:val="en-AU"/>
        </w:rPr>
      </w:pPr>
      <w:r>
        <w:rPr>
          <w:rStyle w:val="FootnoteReference"/>
        </w:rPr>
        <w:footnoteRef/>
      </w:r>
      <w:r>
        <w:t xml:space="preserve"> </w:t>
      </w:r>
      <w:r>
        <w:rPr>
          <w:lang w:val="en-AU"/>
        </w:rPr>
        <w:t xml:space="preserve">Smith TB </w:t>
      </w:r>
      <w:r w:rsidRPr="00092B3B">
        <w:rPr>
          <w:i/>
          <w:lang w:val="en-AU"/>
        </w:rPr>
        <w:t>et al.</w:t>
      </w:r>
      <w:r>
        <w:rPr>
          <w:i/>
          <w:lang w:val="en-AU"/>
        </w:rPr>
        <w:t xml:space="preserve"> Culture. </w:t>
      </w:r>
      <w:r>
        <w:rPr>
          <w:lang w:val="en-AU"/>
        </w:rPr>
        <w:t>Journal of Clinical P</w:t>
      </w:r>
      <w:r w:rsidRPr="00092B3B">
        <w:rPr>
          <w:lang w:val="en-AU"/>
        </w:rPr>
        <w:t>sychology:</w:t>
      </w:r>
      <w:r>
        <w:rPr>
          <w:lang w:val="en-AU"/>
        </w:rPr>
        <w:t xml:space="preserve"> In S</w:t>
      </w:r>
      <w:r w:rsidRPr="00092B3B">
        <w:rPr>
          <w:lang w:val="en-AU"/>
        </w:rPr>
        <w:t>ession</w:t>
      </w:r>
      <w:r>
        <w:rPr>
          <w:lang w:val="en-AU"/>
        </w:rPr>
        <w:t xml:space="preserve"> 2011; 67(2):166-175 2011.</w:t>
      </w:r>
    </w:p>
  </w:footnote>
  <w:footnote w:id="40">
    <w:p w14:paraId="2EBE3391" w14:textId="77777777" w:rsidR="00906B1F" w:rsidRPr="000A370C" w:rsidRDefault="00906B1F" w:rsidP="00204D69">
      <w:pPr>
        <w:pStyle w:val="FootnoteText"/>
        <w:tabs>
          <w:tab w:val="left" w:pos="284"/>
        </w:tabs>
        <w:ind w:left="284" w:hanging="284"/>
        <w:rPr>
          <w:lang w:val="en-AU"/>
        </w:rPr>
      </w:pPr>
      <w:r>
        <w:rPr>
          <w:rStyle w:val="FootnoteReference"/>
        </w:rPr>
        <w:footnoteRef/>
      </w:r>
      <w:r>
        <w:t xml:space="preserve"> </w:t>
      </w:r>
      <w:r>
        <w:rPr>
          <w:lang w:val="en-AU"/>
        </w:rPr>
        <w:tab/>
        <w:t>RFDS Capacity Building and Workforce Development. Project Four. DoHA Six Monthly Report January – June 2013.</w:t>
      </w:r>
    </w:p>
  </w:footnote>
  <w:footnote w:id="41">
    <w:p w14:paraId="2EBE3392" w14:textId="77777777" w:rsidR="00906B1F" w:rsidRPr="00683F7A" w:rsidRDefault="00906B1F">
      <w:pPr>
        <w:pStyle w:val="FootnoteText"/>
        <w:rPr>
          <w:lang w:val="en-AU"/>
        </w:rPr>
      </w:pPr>
      <w:r>
        <w:rPr>
          <w:rStyle w:val="FootnoteReference"/>
        </w:rPr>
        <w:footnoteRef/>
      </w:r>
      <w:r>
        <w:t xml:space="preserve"> </w:t>
      </w:r>
      <w:r>
        <w:rPr>
          <w:lang w:val="en-AU"/>
        </w:rPr>
        <w:t>DoH Activity Five. Single Desk Officer Trial Six Monthly Report. June – December 2013. RFDS Queensland.</w:t>
      </w:r>
    </w:p>
  </w:footnote>
  <w:footnote w:id="42">
    <w:p w14:paraId="2EBE3393" w14:textId="77777777" w:rsidR="00906B1F" w:rsidRPr="002221A6" w:rsidRDefault="00906B1F" w:rsidP="00D57E5B">
      <w:pPr>
        <w:pStyle w:val="FootnoteText"/>
        <w:rPr>
          <w:lang w:val="en-AU"/>
        </w:rPr>
      </w:pPr>
      <w:r>
        <w:rPr>
          <w:rStyle w:val="FootnoteReference"/>
        </w:rPr>
        <w:footnoteRef/>
      </w:r>
      <w:r>
        <w:t xml:space="preserve"> </w:t>
      </w:r>
      <w:r>
        <w:rPr>
          <w:lang w:val="en-AU"/>
        </w:rPr>
        <w:t>Ibid. Cape York Welfare Reform Evaluation, p 133</w:t>
      </w:r>
    </w:p>
  </w:footnote>
  <w:footnote w:id="43">
    <w:p w14:paraId="2EBE3394" w14:textId="77777777" w:rsidR="00906B1F" w:rsidRPr="00F45714" w:rsidRDefault="00906B1F">
      <w:pPr>
        <w:pStyle w:val="FootnoteText"/>
        <w:rPr>
          <w:lang w:val="en-AU"/>
        </w:rPr>
      </w:pPr>
      <w:r>
        <w:rPr>
          <w:rStyle w:val="FootnoteReference"/>
        </w:rPr>
        <w:footnoteRef/>
      </w:r>
      <w:r>
        <w:t xml:space="preserve"> </w:t>
      </w:r>
      <w:r>
        <w:rPr>
          <w:lang w:val="en-AU"/>
        </w:rPr>
        <w:t>Bowes, J., Grace, R. Review of early childhood parenting, education and health intervention programs for Indigenous children and families in Australia. Issues paper number eight produced for the Closing the Clap Clearinghouse. February 2014.</w:t>
      </w:r>
    </w:p>
  </w:footnote>
  <w:footnote w:id="44">
    <w:p w14:paraId="2EBE3395" w14:textId="77777777" w:rsidR="00906B1F" w:rsidRPr="00EC332A" w:rsidRDefault="00906B1F" w:rsidP="00AD0398">
      <w:pPr>
        <w:pStyle w:val="FootnoteText"/>
        <w:ind w:left="142" w:hanging="142"/>
        <w:rPr>
          <w:lang w:val="en-AU"/>
        </w:rPr>
      </w:pPr>
      <w:r>
        <w:rPr>
          <w:rStyle w:val="FootnoteReference"/>
        </w:rPr>
        <w:footnoteRef/>
      </w:r>
      <w:r>
        <w:t xml:space="preserve"> </w:t>
      </w:r>
      <w:r>
        <w:rPr>
          <w:lang w:val="en-AU"/>
        </w:rPr>
        <w:t>NADA (Network of alcohol and other drug agencies). Review of Screening, Assessment and Outcome Measures for Drug and Alcohol Settings. 2009</w:t>
      </w:r>
    </w:p>
  </w:footnote>
  <w:footnote w:id="45">
    <w:p w14:paraId="2EBE3396" w14:textId="77777777" w:rsidR="00906B1F" w:rsidRPr="00F95481" w:rsidRDefault="00906B1F" w:rsidP="00AD0398">
      <w:pPr>
        <w:pStyle w:val="FootnoteText"/>
        <w:rPr>
          <w:lang w:val="en-AU"/>
        </w:rPr>
      </w:pPr>
      <w:r>
        <w:rPr>
          <w:rStyle w:val="FootnoteReference"/>
        </w:rPr>
        <w:footnoteRef/>
      </w:r>
      <w:r>
        <w:t xml:space="preserve"> </w:t>
      </w:r>
      <w:r>
        <w:rPr>
          <w:lang w:val="en-AU"/>
        </w:rPr>
        <w:t>Ibid.</w:t>
      </w:r>
    </w:p>
  </w:footnote>
  <w:footnote w:id="46">
    <w:p w14:paraId="2EBE3397" w14:textId="77777777" w:rsidR="00906B1F" w:rsidRPr="00C252D3" w:rsidRDefault="00906B1F" w:rsidP="001A0490">
      <w:pPr>
        <w:pStyle w:val="FootnoteText"/>
        <w:rPr>
          <w:lang w:val="en-AU"/>
        </w:rPr>
      </w:pPr>
      <w:r>
        <w:rPr>
          <w:rStyle w:val="FootnoteReference"/>
        </w:rPr>
        <w:footnoteRef/>
      </w:r>
      <w:r>
        <w:t xml:space="preserve"> </w:t>
      </w:r>
      <w:r>
        <w:rPr>
          <w:lang w:val="en-AU"/>
        </w:rPr>
        <w:t>Apunipima Cape York Health Council. Background document: Embedding a social and emotional well-being approach across Apunipima’s family and community centred primary health care model (2014)</w:t>
      </w:r>
    </w:p>
  </w:footnote>
  <w:footnote w:id="47">
    <w:p w14:paraId="2EBE3398" w14:textId="77777777" w:rsidR="00906B1F" w:rsidRPr="007D1ACD" w:rsidRDefault="00906B1F" w:rsidP="001A0490">
      <w:pPr>
        <w:pStyle w:val="FootnoteText"/>
        <w:rPr>
          <w:lang w:val="en-AU"/>
        </w:rPr>
      </w:pPr>
      <w:r>
        <w:rPr>
          <w:rStyle w:val="FootnoteReference"/>
        </w:rPr>
        <w:footnoteRef/>
      </w:r>
      <w:r>
        <w:t xml:space="preserve"> </w:t>
      </w:r>
      <w:r w:rsidRPr="007D1ACD">
        <w:rPr>
          <w:lang w:val="en-AU"/>
        </w:rPr>
        <w:t>World Health Organisation and World Organisation of Family Doctors. Integrating mental health into primary care: the global perspective. World Health Organisation, Department of Mental Health And S</w:t>
      </w:r>
      <w:r>
        <w:rPr>
          <w:lang w:val="en-AU"/>
        </w:rPr>
        <w:t>ubstance Abuse, Geneva. (2008).</w:t>
      </w:r>
    </w:p>
  </w:footnote>
  <w:footnote w:id="48">
    <w:p w14:paraId="2EBE3399" w14:textId="77777777" w:rsidR="00906B1F" w:rsidRPr="00315170" w:rsidRDefault="00906B1F">
      <w:pPr>
        <w:pStyle w:val="FootnoteText"/>
        <w:rPr>
          <w:lang w:val="en-AU"/>
        </w:rPr>
      </w:pPr>
      <w:r>
        <w:rPr>
          <w:rStyle w:val="FootnoteReference"/>
        </w:rPr>
        <w:footnoteRef/>
      </w:r>
      <w:r>
        <w:t xml:space="preserve"> </w:t>
      </w:r>
      <w:r>
        <w:rPr>
          <w:lang w:val="en-AU"/>
        </w:rPr>
        <w:t>Holland,C., Dudgeon,P., and Milroy,H. Supplementary paper to A Contributing Life: the 2012 National Report Card on Mental Health and Suicide Prevention prepared for the National Mental Health Commission (2013)</w:t>
      </w:r>
    </w:p>
  </w:footnote>
  <w:footnote w:id="49">
    <w:p w14:paraId="2EBE339A" w14:textId="77777777" w:rsidR="00906B1F" w:rsidRPr="00182B2E" w:rsidRDefault="00906B1F">
      <w:pPr>
        <w:pStyle w:val="FootnoteText"/>
        <w:rPr>
          <w:lang w:val="en-AU"/>
        </w:rPr>
      </w:pPr>
      <w:r>
        <w:rPr>
          <w:rStyle w:val="FootnoteReference"/>
        </w:rPr>
        <w:footnoteRef/>
      </w:r>
      <w:r>
        <w:t xml:space="preserve"> </w:t>
      </w:r>
      <w:r>
        <w:rPr>
          <w:lang w:val="en-AU"/>
        </w:rPr>
        <w:t xml:space="preserve">Op cit, Apunipima Health Council (2014) and Aboriginal Medical Service Alliance of the Northern Territory (revised 2011). </w:t>
      </w:r>
      <w:r w:rsidRPr="00182B2E">
        <w:rPr>
          <w:i/>
          <w:lang w:val="en-AU"/>
        </w:rPr>
        <w:t>A model for integrating alcohol and other drugs, community mental health and primary healthcare in Aboriginal Medical Services in the Northern Territory</w:t>
      </w:r>
      <w:r>
        <w:rPr>
          <w:lang w:val="en-AU"/>
        </w:rPr>
        <w:t>. Unpublished.</w:t>
      </w:r>
    </w:p>
  </w:footnote>
  <w:footnote w:id="50">
    <w:p w14:paraId="2EBE339B" w14:textId="77777777" w:rsidR="00906B1F" w:rsidRPr="00262D09" w:rsidRDefault="00906B1F">
      <w:pPr>
        <w:pStyle w:val="FootnoteText"/>
        <w:rPr>
          <w:lang w:val="en-AU"/>
        </w:rPr>
      </w:pPr>
      <w:r>
        <w:rPr>
          <w:rStyle w:val="FootnoteReference"/>
        </w:rPr>
        <w:footnoteRef/>
      </w:r>
      <w:r>
        <w:rPr>
          <w:lang w:val="en-AU"/>
        </w:rPr>
        <w:t xml:space="preserve"> viewed at </w:t>
      </w:r>
      <w:r w:rsidRPr="00262D09">
        <w:t>http://www.wurli.org.au/index.htm</w:t>
      </w:r>
    </w:p>
  </w:footnote>
  <w:footnote w:id="51">
    <w:p w14:paraId="2EBE339C" w14:textId="77777777" w:rsidR="00906B1F" w:rsidRPr="0047637E" w:rsidRDefault="00906B1F" w:rsidP="0047637E">
      <w:pPr>
        <w:rPr>
          <w:sz w:val="16"/>
          <w:szCs w:val="20"/>
          <w:lang w:eastAsia="x-none"/>
        </w:rPr>
      </w:pPr>
      <w:r>
        <w:rPr>
          <w:rStyle w:val="FootnoteReference"/>
        </w:rPr>
        <w:footnoteRef/>
      </w:r>
      <w:r>
        <w:t xml:space="preserve"> </w:t>
      </w:r>
      <w:r w:rsidRPr="00E11E45">
        <w:rPr>
          <w:sz w:val="16"/>
          <w:szCs w:val="20"/>
          <w:lang w:val="x-none" w:eastAsia="x-none"/>
        </w:rPr>
        <w:t xml:space="preserve">The current </w:t>
      </w:r>
      <w:r>
        <w:rPr>
          <w:i/>
          <w:sz w:val="16"/>
          <w:szCs w:val="20"/>
          <w:lang w:val="x-none" w:eastAsia="x-none"/>
        </w:rPr>
        <w:t>Social and emotional well</w:t>
      </w:r>
      <w:r w:rsidRPr="00E11E45">
        <w:rPr>
          <w:i/>
          <w:sz w:val="16"/>
          <w:szCs w:val="20"/>
          <w:lang w:val="x-none" w:eastAsia="x-none"/>
        </w:rPr>
        <w:t>being framework: a national strategic framework for Aboriginal and Torres Strait Islander peoples' mental healt</w:t>
      </w:r>
      <w:r>
        <w:rPr>
          <w:i/>
          <w:sz w:val="16"/>
          <w:szCs w:val="20"/>
          <w:lang w:val="x-none" w:eastAsia="x-none"/>
        </w:rPr>
        <w:t>h and social and emotional well</w:t>
      </w:r>
      <w:r w:rsidRPr="00E11E45">
        <w:rPr>
          <w:i/>
          <w:sz w:val="16"/>
          <w:szCs w:val="20"/>
          <w:lang w:val="x-none" w:eastAsia="x-none"/>
        </w:rPr>
        <w:t>being</w:t>
      </w:r>
      <w:r w:rsidRPr="00E11E45">
        <w:rPr>
          <w:sz w:val="16"/>
          <w:szCs w:val="20"/>
          <w:lang w:val="x-none" w:eastAsia="x-none"/>
        </w:rPr>
        <w:t xml:space="preserve"> was intended to cover the period 2004-2009. </w:t>
      </w:r>
      <w:r>
        <w:rPr>
          <w:sz w:val="16"/>
          <w:szCs w:val="20"/>
          <w:lang w:eastAsia="x-none"/>
        </w:rPr>
        <w:t>“</w:t>
      </w:r>
      <w:r w:rsidRPr="00E11E45">
        <w:rPr>
          <w:sz w:val="16"/>
          <w:szCs w:val="20"/>
          <w:lang w:val="x-none" w:eastAsia="x-none"/>
        </w:rPr>
        <w:t xml:space="preserve">It is now three years </w:t>
      </w:r>
      <w:r w:rsidRPr="006675E8">
        <w:rPr>
          <w:sz w:val="16"/>
          <w:szCs w:val="20"/>
          <w:lang w:val="x-none" w:eastAsia="x-none"/>
        </w:rPr>
        <w:t>since the framework’s nominal end-date and the Australian Health Ministers’ Conference has decided that the framework should be revised and updated to reflect the contemporary experiences of Aboriginal and Torres Strait Islander people and communities</w:t>
      </w:r>
      <w:r w:rsidRPr="006675E8">
        <w:rPr>
          <w:sz w:val="16"/>
          <w:szCs w:val="20"/>
          <w:lang w:eastAsia="x-none"/>
        </w:rPr>
        <w:t>”</w:t>
      </w:r>
      <w:r w:rsidRPr="006675E8">
        <w:rPr>
          <w:sz w:val="16"/>
          <w:szCs w:val="20"/>
          <w:lang w:val="x-none" w:eastAsia="x-none"/>
        </w:rPr>
        <w:t>.</w:t>
      </w:r>
      <w:r w:rsidRPr="006675E8">
        <w:rPr>
          <w:sz w:val="16"/>
          <w:szCs w:val="20"/>
          <w:lang w:eastAsia="x-none"/>
        </w:rPr>
        <w:t xml:space="preserve"> </w:t>
      </w:r>
      <w:hyperlink r:id="rId1" w:history="1">
        <w:r w:rsidRPr="006675E8">
          <w:rPr>
            <w:rStyle w:val="Hyperlink"/>
            <w:sz w:val="16"/>
            <w:szCs w:val="20"/>
            <w:lang w:eastAsia="x-none"/>
          </w:rPr>
          <w:t>https://www.health.gov.au/internet/main/publishing.nsf/Content/indig-sew-frame04</w:t>
        </w:r>
      </w:hyperlink>
      <w:r>
        <w:rPr>
          <w:sz w:val="16"/>
          <w:szCs w:val="20"/>
          <w:lang w:eastAsia="x-none"/>
        </w:rPr>
        <w:t xml:space="preserve"> </w:t>
      </w:r>
    </w:p>
  </w:footnote>
  <w:footnote w:id="52">
    <w:p w14:paraId="2EBE339D" w14:textId="77777777" w:rsidR="00906B1F" w:rsidRPr="008570DC" w:rsidRDefault="00906B1F" w:rsidP="00C35DB3">
      <w:pPr>
        <w:pStyle w:val="FootnoteText"/>
        <w:rPr>
          <w:lang w:val="en-AU"/>
        </w:rPr>
      </w:pPr>
      <w:r>
        <w:rPr>
          <w:rStyle w:val="FootnoteReference"/>
        </w:rPr>
        <w:footnoteRef/>
      </w:r>
      <w:r>
        <w:t xml:space="preserve"> </w:t>
      </w:r>
      <w:r>
        <w:rPr>
          <w:lang w:val="en-AU"/>
        </w:rPr>
        <w:t>C</w:t>
      </w:r>
      <w:r>
        <w:t xml:space="preserve">lose the </w:t>
      </w:r>
      <w:r>
        <w:rPr>
          <w:lang w:val="en-AU"/>
        </w:rPr>
        <w:t>G</w:t>
      </w:r>
      <w:r>
        <w:t xml:space="preserve">ap </w:t>
      </w:r>
      <w:r>
        <w:rPr>
          <w:lang w:val="en-AU"/>
        </w:rPr>
        <w:t>P</w:t>
      </w:r>
      <w:r>
        <w:t>rogress and Priorities Report</w:t>
      </w:r>
      <w:r>
        <w:rPr>
          <w:lang w:val="en-AU"/>
        </w:rPr>
        <w:t>.</w:t>
      </w:r>
      <w:r>
        <w:t xml:space="preserve"> </w:t>
      </w:r>
      <w:r w:rsidRPr="00BC3800">
        <w:rPr>
          <w:rFonts w:eastAsia="Times New Roman" w:cs="Calibri"/>
          <w:lang w:val="en-AU" w:eastAsia="en-AU"/>
        </w:rPr>
        <w:t>Close the Gap Campaign Steering Committee for Indigenous Health Equality, 2014</w:t>
      </w:r>
    </w:p>
  </w:footnote>
  <w:footnote w:id="53">
    <w:p w14:paraId="2EBE339E" w14:textId="77777777" w:rsidR="00906B1F" w:rsidRPr="00F538C9" w:rsidRDefault="00906B1F">
      <w:pPr>
        <w:pStyle w:val="FootnoteText"/>
        <w:rPr>
          <w:lang w:val="en-AU"/>
        </w:rPr>
      </w:pPr>
      <w:r>
        <w:rPr>
          <w:rStyle w:val="FootnoteReference"/>
        </w:rPr>
        <w:footnoteRef/>
      </w:r>
      <w:r>
        <w:t xml:space="preserve"> </w:t>
      </w:r>
      <w:r>
        <w:rPr>
          <w:lang w:val="en-AU"/>
        </w:rPr>
        <w:t>Op cit. , Holland C. (2013)</w:t>
      </w:r>
    </w:p>
  </w:footnote>
  <w:footnote w:id="54">
    <w:p w14:paraId="2EBE339F" w14:textId="77777777" w:rsidR="00906B1F" w:rsidRPr="003668A1" w:rsidRDefault="00906B1F">
      <w:pPr>
        <w:pStyle w:val="FootnoteText"/>
        <w:rPr>
          <w:i/>
          <w:lang w:val="en-AU"/>
        </w:rPr>
      </w:pPr>
      <w:r>
        <w:rPr>
          <w:rStyle w:val="FootnoteReference"/>
        </w:rPr>
        <w:footnoteRef/>
      </w:r>
      <w:r>
        <w:t xml:space="preserve"> </w:t>
      </w:r>
      <w:r>
        <w:rPr>
          <w:lang w:val="en-AU"/>
        </w:rPr>
        <w:t xml:space="preserve">Griew,R.,Tilton,E. and Cox,N. </w:t>
      </w:r>
      <w:r w:rsidRPr="003668A1">
        <w:rPr>
          <w:i/>
          <w:lang w:val="en-AU"/>
        </w:rPr>
        <w:t>The link between primary health care and health outcomes for Aboriginal and Torres Strait Islander Australians.</w:t>
      </w:r>
      <w:r>
        <w:rPr>
          <w:i/>
          <w:lang w:val="en-AU"/>
        </w:rPr>
        <w:t xml:space="preserve"> (2008)</w:t>
      </w:r>
    </w:p>
  </w:footnote>
  <w:footnote w:id="55">
    <w:p w14:paraId="2EBE33A0" w14:textId="77777777" w:rsidR="00906B1F" w:rsidRPr="00D255BF" w:rsidRDefault="00906B1F" w:rsidP="00952CAE">
      <w:pPr>
        <w:pStyle w:val="FootnoteText"/>
        <w:rPr>
          <w:color w:val="auto"/>
          <w:szCs w:val="16"/>
          <w:lang w:val="en-AU"/>
        </w:rPr>
      </w:pPr>
      <w:r w:rsidRPr="00D255BF">
        <w:rPr>
          <w:rStyle w:val="FootnoteReference"/>
          <w:szCs w:val="16"/>
        </w:rPr>
        <w:footnoteRef/>
      </w:r>
      <w:r w:rsidRPr="00D255BF">
        <w:rPr>
          <w:szCs w:val="16"/>
        </w:rPr>
        <w:t xml:space="preserve"> </w:t>
      </w:r>
      <w:r w:rsidRPr="00D255BF">
        <w:rPr>
          <w:color w:val="auto"/>
          <w:szCs w:val="16"/>
          <w:lang w:val="en" w:eastAsia="en-US"/>
        </w:rPr>
        <w:t xml:space="preserve">Lew Daly (2010-01-08). </w:t>
      </w:r>
      <w:hyperlink r:id="rId2" w:history="1">
        <w:r w:rsidRPr="00D255BF">
          <w:rPr>
            <w:color w:val="auto"/>
            <w:szCs w:val="16"/>
            <w:u w:val="single"/>
            <w:lang w:val="en" w:eastAsia="en-US"/>
          </w:rPr>
          <w:t>"God's Economy"</w:t>
        </w:r>
      </w:hyperlink>
      <w:r w:rsidRPr="00D255BF">
        <w:rPr>
          <w:color w:val="auto"/>
          <w:szCs w:val="16"/>
          <w:lang w:val="en" w:eastAsia="en-US"/>
        </w:rPr>
        <w:t xml:space="preserve">. </w:t>
      </w:r>
      <w:hyperlink r:id="rId3" w:tooltip="The Financial Times" w:history="1">
        <w:r w:rsidRPr="00D255BF">
          <w:rPr>
            <w:color w:val="auto"/>
            <w:szCs w:val="16"/>
            <w:u w:val="single"/>
            <w:lang w:val="en" w:eastAsia="en-US"/>
          </w:rPr>
          <w:t>The Financial Times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E3357" w14:textId="77777777" w:rsidR="00906B1F" w:rsidRDefault="00906B1F" w:rsidP="00433F05">
    <w:pPr>
      <w:pStyle w:val="Header"/>
      <w:ind w:left="-1418"/>
    </w:pPr>
    <w:r>
      <w:rPr>
        <w:noProof/>
        <w:lang w:eastAsia="en-AU"/>
      </w:rPr>
      <w:drawing>
        <wp:inline distT="0" distB="0" distL="0" distR="0" wp14:anchorId="2EBE3360" wp14:editId="2EBE3361">
          <wp:extent cx="2297430" cy="2243455"/>
          <wp:effectExtent l="0" t="0" r="7620" b="4445"/>
          <wp:docPr id="13"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7430" cy="22434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E335B" w14:textId="77777777" w:rsidR="00906B1F" w:rsidRPr="00235DA1" w:rsidRDefault="00906B1F" w:rsidP="002D7FE7">
    <w:pPr>
      <w:pStyle w:val="HOIHeader"/>
      <w:rPr>
        <w:lang w:val="en-AU"/>
      </w:rPr>
    </w:pPr>
    <w:r>
      <w:t xml:space="preserve">The Department of </w:t>
    </w:r>
    <w:r>
      <w:rPr>
        <w:lang w:val="en-AU"/>
      </w:rPr>
      <w:t>H</w:t>
    </w:r>
    <w:r>
      <w:t>ealth</w:t>
    </w:r>
    <w:r>
      <w:rPr>
        <w:b w:val="0"/>
        <w:lang w:val="en-AU"/>
      </w:rPr>
      <w:drawing>
        <wp:anchor distT="0" distB="0" distL="114300" distR="114300" simplePos="0" relativeHeight="251656192" behindDoc="0" locked="0" layoutInCell="1" allowOverlap="1" wp14:anchorId="2EBE3366" wp14:editId="2EBE3367">
          <wp:simplePos x="0" y="0"/>
          <wp:positionH relativeFrom="margin">
            <wp:align>right</wp:align>
          </wp:positionH>
          <wp:positionV relativeFrom="paragraph">
            <wp:posOffset>-19685</wp:posOffset>
          </wp:positionV>
          <wp:extent cx="1272540" cy="396240"/>
          <wp:effectExtent l="0" t="0" r="3810" b="3810"/>
          <wp:wrapNone/>
          <wp:docPr id="29"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335C" w14:textId="77777777" w:rsidR="00906B1F" w:rsidRPr="0055326D" w:rsidRDefault="00906B1F" w:rsidP="0055326D">
    <w:pPr>
      <w:rPr>
        <w:b/>
        <w:noProof/>
        <w:color w:val="114B8C"/>
        <w:sz w:val="18"/>
        <w:szCs w:val="20"/>
        <w:lang w:val="x-none" w:eastAsia="en-AU"/>
      </w:rPr>
    </w:pPr>
    <w:r w:rsidRPr="0055326D">
      <w:rPr>
        <w:b/>
        <w:noProof/>
        <w:color w:val="114B8C"/>
        <w:sz w:val="18"/>
        <w:szCs w:val="20"/>
        <w:lang w:val="x-none" w:eastAsia="en-AU"/>
      </w:rPr>
      <w:t>Evaluation of the Cape York Wellbeing Centres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3630"/>
    <w:multiLevelType w:val="hybridMultilevel"/>
    <w:tmpl w:val="3026811E"/>
    <w:lvl w:ilvl="0" w:tplc="112C3B7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F26D56"/>
    <w:multiLevelType w:val="multilevel"/>
    <w:tmpl w:val="736E9EA4"/>
    <w:numStyleLink w:val="HoiBullets"/>
  </w:abstractNum>
  <w:abstractNum w:abstractNumId="2">
    <w:nsid w:val="086D76F3"/>
    <w:multiLevelType w:val="hybridMultilevel"/>
    <w:tmpl w:val="5282AED0"/>
    <w:lvl w:ilvl="0" w:tplc="112C3B70">
      <w:start w:val="1"/>
      <w:numFmt w:val="bullet"/>
      <w:lvlText w:val=""/>
      <w:lvlJc w:val="left"/>
      <w:pPr>
        <w:ind w:left="360" w:hanging="360"/>
      </w:pPr>
      <w:rPr>
        <w:rFonts w:ascii="Symbol" w:hAnsi="Symbol" w:hint="default"/>
        <w:color w:val="1F497D"/>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B4749C"/>
    <w:multiLevelType w:val="hybridMultilevel"/>
    <w:tmpl w:val="8B803B0C"/>
    <w:lvl w:ilvl="0" w:tplc="112C3B7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DAE79A0"/>
    <w:multiLevelType w:val="hybridMultilevel"/>
    <w:tmpl w:val="AB42A9A6"/>
    <w:lvl w:ilvl="0" w:tplc="112C3B70">
      <w:start w:val="1"/>
      <w:numFmt w:val="bullet"/>
      <w:lvlText w:val=""/>
      <w:lvlJc w:val="left"/>
      <w:pPr>
        <w:ind w:left="360" w:hanging="360"/>
      </w:pPr>
      <w:rPr>
        <w:rFonts w:ascii="Symbol" w:hAnsi="Symbol" w:hint="default"/>
        <w:color w:val="1F497D"/>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DFF3338"/>
    <w:multiLevelType w:val="multilevel"/>
    <w:tmpl w:val="CE644F7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val="0"/>
        <w:caps w:val="0"/>
        <w:strike w:val="0"/>
        <w:dstrike w:val="0"/>
        <w:vanish w:val="0"/>
        <w:color w:val="365F91"/>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07745E1"/>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84" w:hanging="504"/>
      </w:pPr>
      <w:rPr>
        <w:rFonts w:hint="default"/>
        <w:i w:val="0"/>
        <w:iCs w:val="0"/>
        <w:caps w:val="0"/>
        <w:strike w:val="0"/>
        <w:dstrike w:val="0"/>
        <w:vanish w:val="0"/>
        <w:color w:val="365F91"/>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E45CC4"/>
    <w:multiLevelType w:val="hybridMultilevel"/>
    <w:tmpl w:val="0694CB3E"/>
    <w:lvl w:ilvl="0" w:tplc="112C3B70">
      <w:start w:val="1"/>
      <w:numFmt w:val="bullet"/>
      <w:lvlText w:val=""/>
      <w:lvlJc w:val="left"/>
      <w:pPr>
        <w:ind w:left="720" w:hanging="360"/>
      </w:pPr>
      <w:rPr>
        <w:rFonts w:ascii="Symbol" w:hAnsi="Symbol"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1048A7"/>
    <w:multiLevelType w:val="hybridMultilevel"/>
    <w:tmpl w:val="05B40318"/>
    <w:lvl w:ilvl="0" w:tplc="112C3B70">
      <w:start w:val="1"/>
      <w:numFmt w:val="bullet"/>
      <w:lvlText w:val=""/>
      <w:lvlJc w:val="left"/>
      <w:pPr>
        <w:ind w:left="360" w:hanging="360"/>
      </w:pPr>
      <w:rPr>
        <w:rFonts w:ascii="Symbol" w:hAnsi="Symbol" w:hint="default"/>
        <w:color w:val="1F497D"/>
      </w:rPr>
    </w:lvl>
    <w:lvl w:ilvl="1" w:tplc="28883E5A">
      <w:start w:val="1"/>
      <w:numFmt w:val="bullet"/>
      <w:lvlText w:val=""/>
      <w:lvlJc w:val="left"/>
      <w:pPr>
        <w:ind w:left="1080" w:hanging="360"/>
      </w:pPr>
      <w:rPr>
        <w:rFonts w:ascii="Symbol" w:hAnsi="Symbol" w:hint="default"/>
        <w:color w:val="1F497D" w:themeColor="text2"/>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7524D20"/>
    <w:multiLevelType w:val="hybridMultilevel"/>
    <w:tmpl w:val="30A45C86"/>
    <w:lvl w:ilvl="0" w:tplc="112C3B70">
      <w:start w:val="1"/>
      <w:numFmt w:val="bullet"/>
      <w:lvlText w:val=""/>
      <w:lvlJc w:val="left"/>
      <w:pPr>
        <w:ind w:left="360" w:hanging="360"/>
      </w:pPr>
      <w:rPr>
        <w:rFonts w:ascii="Symbol" w:hAnsi="Symbol" w:hint="default"/>
        <w:color w:val="1F497D"/>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7CC1153"/>
    <w:multiLevelType w:val="multilevel"/>
    <w:tmpl w:val="736E9EA4"/>
    <w:numStyleLink w:val="HoiBullets"/>
  </w:abstractNum>
  <w:abstractNum w:abstractNumId="11">
    <w:nsid w:val="1A5A21FF"/>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iCs w:val="0"/>
        <w:caps w:val="0"/>
        <w:strike w:val="0"/>
        <w:dstrike w:val="0"/>
        <w:noProof w:val="0"/>
        <w:vanish w:val="0"/>
        <w:color w:val="365F91"/>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1A7E16B6"/>
    <w:multiLevelType w:val="multilevel"/>
    <w:tmpl w:val="1A660B54"/>
    <w:lvl w:ilvl="0">
      <w:start w:val="1"/>
      <w:numFmt w:val="bullet"/>
      <w:pStyle w:val="Bullet1"/>
      <w:lvlText w:val=""/>
      <w:lvlJc w:val="left"/>
      <w:pPr>
        <w:ind w:left="360" w:hanging="360"/>
      </w:pPr>
      <w:rPr>
        <w:rFonts w:ascii="Symbol" w:hAnsi="Symbol" w:hint="default"/>
        <w:color w:val="114B8C"/>
      </w:rPr>
    </w:lvl>
    <w:lvl w:ilvl="1">
      <w:start w:val="1"/>
      <w:numFmt w:val="bullet"/>
      <w:lvlText w:val="○"/>
      <w:lvlJc w:val="left"/>
      <w:pPr>
        <w:ind w:left="1985" w:hanging="567"/>
      </w:pPr>
      <w:rPr>
        <w:rFonts w:ascii="Arial" w:hAnsi="Arial" w:hint="default"/>
      </w:rPr>
    </w:lvl>
    <w:lvl w:ilvl="2">
      <w:start w:val="1"/>
      <w:numFmt w:val="bullet"/>
      <w:lvlText w:val=""/>
      <w:lvlJc w:val="left"/>
      <w:pPr>
        <w:ind w:left="2552" w:hanging="567"/>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AAB45BE"/>
    <w:multiLevelType w:val="multilevel"/>
    <w:tmpl w:val="736E9EA4"/>
    <w:numStyleLink w:val="HoiBullets"/>
  </w:abstractNum>
  <w:abstractNum w:abstractNumId="14">
    <w:nsid w:val="24395116"/>
    <w:multiLevelType w:val="multilevel"/>
    <w:tmpl w:val="736E9EA4"/>
    <w:numStyleLink w:val="HoiBullets"/>
  </w:abstractNum>
  <w:abstractNum w:abstractNumId="15">
    <w:nsid w:val="292C2BD1"/>
    <w:multiLevelType w:val="multilevel"/>
    <w:tmpl w:val="736E9EA4"/>
    <w:numStyleLink w:val="HoiBullets"/>
  </w:abstractNum>
  <w:abstractNum w:abstractNumId="16">
    <w:nsid w:val="2D4611A7"/>
    <w:multiLevelType w:val="hybridMultilevel"/>
    <w:tmpl w:val="0FE04E8E"/>
    <w:lvl w:ilvl="0" w:tplc="112C3B70">
      <w:start w:val="1"/>
      <w:numFmt w:val="bullet"/>
      <w:lvlText w:val=""/>
      <w:lvlJc w:val="left"/>
      <w:pPr>
        <w:ind w:left="360" w:hanging="360"/>
      </w:pPr>
      <w:rPr>
        <w:rFonts w:ascii="Symbol" w:hAnsi="Symbol" w:hint="default"/>
        <w:color w:val="1F497D"/>
      </w:rPr>
    </w:lvl>
    <w:lvl w:ilvl="1" w:tplc="0C090003">
      <w:start w:val="1"/>
      <w:numFmt w:val="bullet"/>
      <w:lvlText w:val="o"/>
      <w:lvlJc w:val="left"/>
      <w:pPr>
        <w:ind w:left="1080" w:hanging="360"/>
      </w:pPr>
      <w:rPr>
        <w:rFonts w:ascii="Courier New" w:hAnsi="Courier New" w:cs="Courier New" w:hint="default"/>
      </w:rPr>
    </w:lvl>
    <w:lvl w:ilvl="2" w:tplc="28D6EDB6">
      <w:start w:val="1"/>
      <w:numFmt w:val="bullet"/>
      <w:lvlText w:val="o"/>
      <w:lvlJc w:val="left"/>
      <w:pPr>
        <w:ind w:left="1800" w:hanging="360"/>
      </w:pPr>
      <w:rPr>
        <w:rFonts w:ascii="Courier New" w:hAnsi="Courier New" w:cs="Courier New" w:hint="default"/>
        <w:color w:val="1F497D" w:themeColor="text2"/>
      </w:rPr>
    </w:lvl>
    <w:lvl w:ilvl="3" w:tplc="0C090003">
      <w:start w:val="1"/>
      <w:numFmt w:val="bullet"/>
      <w:lvlText w:val="o"/>
      <w:lvlJc w:val="left"/>
      <w:pPr>
        <w:ind w:left="2520" w:hanging="360"/>
      </w:pPr>
      <w:rPr>
        <w:rFonts w:ascii="Courier New" w:hAnsi="Courier New" w:cs="Courier New"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803980"/>
    <w:multiLevelType w:val="hybridMultilevel"/>
    <w:tmpl w:val="65108A6A"/>
    <w:lvl w:ilvl="0" w:tplc="28883E5A">
      <w:start w:val="1"/>
      <w:numFmt w:val="bullet"/>
      <w:lvlText w:val=""/>
      <w:lvlJc w:val="left"/>
      <w:pPr>
        <w:ind w:left="720" w:hanging="360"/>
      </w:pPr>
      <w:rPr>
        <w:rFonts w:ascii="Symbol" w:hAnsi="Symbol" w:hint="default"/>
        <w:color w:val="1F497D" w:themeColor="text2"/>
      </w:rPr>
    </w:lvl>
    <w:lvl w:ilvl="1" w:tplc="28883E5A">
      <w:start w:val="1"/>
      <w:numFmt w:val="bullet"/>
      <w:lvlText w:val=""/>
      <w:lvlJc w:val="left"/>
      <w:pPr>
        <w:ind w:left="1440" w:hanging="360"/>
      </w:pPr>
      <w:rPr>
        <w:rFonts w:ascii="Symbol" w:hAnsi="Symbol" w:hint="default"/>
        <w:color w:val="1F497D" w:themeColor="text2"/>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9137BE"/>
    <w:multiLevelType w:val="multilevel"/>
    <w:tmpl w:val="736E9EA4"/>
    <w:numStyleLink w:val="HoiBullets"/>
  </w:abstractNum>
  <w:abstractNum w:abstractNumId="19">
    <w:nsid w:val="30D0468B"/>
    <w:multiLevelType w:val="hybridMultilevel"/>
    <w:tmpl w:val="FCBE9B1A"/>
    <w:lvl w:ilvl="0" w:tplc="112C3B70">
      <w:start w:val="1"/>
      <w:numFmt w:val="bullet"/>
      <w:lvlText w:val=""/>
      <w:lvlJc w:val="left"/>
      <w:pPr>
        <w:ind w:left="720" w:hanging="360"/>
      </w:pPr>
      <w:rPr>
        <w:rFonts w:ascii="Symbol" w:hAnsi="Symbol" w:hint="default"/>
        <w:color w:val="1F497D"/>
      </w:rPr>
    </w:lvl>
    <w:lvl w:ilvl="1" w:tplc="0C090003">
      <w:numFmt w:val="bullet"/>
      <w:lvlText w:val="•"/>
      <w:lvlJc w:val="left"/>
      <w:pPr>
        <w:ind w:left="1440" w:hanging="360"/>
      </w:pPr>
      <w:rPr>
        <w:rFonts w:ascii="SymbolMT" w:eastAsia="Times New Roman"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BB45D2"/>
    <w:multiLevelType w:val="hybridMultilevel"/>
    <w:tmpl w:val="A94EC156"/>
    <w:lvl w:ilvl="0" w:tplc="112C3B7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4986503"/>
    <w:multiLevelType w:val="singleLevel"/>
    <w:tmpl w:val="29A02A9A"/>
    <w:lvl w:ilvl="0">
      <w:start w:val="1"/>
      <w:numFmt w:val="decimal"/>
      <w:lvlText w:val="%1."/>
      <w:lvlJc w:val="left"/>
      <w:pPr>
        <w:ind w:left="360" w:hanging="360"/>
      </w:pPr>
      <w:rPr>
        <w:rFonts w:hint="default"/>
        <w:i w:val="0"/>
        <w:color w:val="1F497D"/>
      </w:rPr>
    </w:lvl>
  </w:abstractNum>
  <w:abstractNum w:abstractNumId="22">
    <w:nsid w:val="36E94A9C"/>
    <w:multiLevelType w:val="hybridMultilevel"/>
    <w:tmpl w:val="F4AE408C"/>
    <w:lvl w:ilvl="0" w:tplc="112C3B70">
      <w:start w:val="1"/>
      <w:numFmt w:val="bullet"/>
      <w:lvlText w:val=""/>
      <w:lvlJc w:val="left"/>
      <w:pPr>
        <w:ind w:left="720" w:hanging="360"/>
      </w:pPr>
      <w:rPr>
        <w:rFonts w:ascii="Symbol" w:hAnsi="Symbol" w:hint="default"/>
        <w:color w:val="1F49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E57232"/>
    <w:multiLevelType w:val="hybridMultilevel"/>
    <w:tmpl w:val="85BC0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BAC69B8"/>
    <w:multiLevelType w:val="hybridMultilevel"/>
    <w:tmpl w:val="2D0C916A"/>
    <w:lvl w:ilvl="0" w:tplc="112C3B70">
      <w:start w:val="1"/>
      <w:numFmt w:val="bullet"/>
      <w:lvlText w:val=""/>
      <w:lvlJc w:val="left"/>
      <w:pPr>
        <w:ind w:left="360" w:hanging="360"/>
      </w:pPr>
      <w:rPr>
        <w:rFonts w:ascii="Symbol" w:hAnsi="Symbol" w:hint="default"/>
        <w:color w:val="1F49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35E272E"/>
    <w:multiLevelType w:val="multilevel"/>
    <w:tmpl w:val="7BF85C3A"/>
    <w:lvl w:ilvl="0">
      <w:start w:val="1"/>
      <w:numFmt w:val="bullet"/>
      <w:lvlText w:val=""/>
      <w:lvlJc w:val="left"/>
      <w:pPr>
        <w:ind w:left="360" w:hanging="360"/>
      </w:pPr>
      <w:rPr>
        <w:rFonts w:ascii="Symbol" w:hAnsi="Symbol" w:hint="default"/>
        <w:color w:val="1F497D"/>
      </w:rPr>
    </w:lvl>
    <w:lvl w:ilvl="1">
      <w:start w:val="1"/>
      <w:numFmt w:val="bullet"/>
      <w:lvlText w:val=""/>
      <w:lvlJc w:val="left"/>
      <w:pPr>
        <w:ind w:left="720" w:hanging="360"/>
      </w:pPr>
      <w:rPr>
        <w:rFonts w:ascii="Symbol" w:hAnsi="Symbol" w:hint="default"/>
        <w:color w:val="1F497D" w:themeColor="text2"/>
      </w:rPr>
    </w:lvl>
    <w:lvl w:ilvl="2">
      <w:start w:val="1"/>
      <w:numFmt w:val="bullet"/>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5DE28B1"/>
    <w:multiLevelType w:val="hybridMultilevel"/>
    <w:tmpl w:val="D3A63006"/>
    <w:lvl w:ilvl="0" w:tplc="112C3B70">
      <w:start w:val="1"/>
      <w:numFmt w:val="bullet"/>
      <w:lvlText w:val=""/>
      <w:lvlJc w:val="left"/>
      <w:pPr>
        <w:ind w:left="360" w:hanging="360"/>
      </w:pPr>
      <w:rPr>
        <w:rFonts w:ascii="Symbol" w:hAnsi="Symbol" w:hint="default"/>
        <w:color w:val="1F497D"/>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9795F78"/>
    <w:multiLevelType w:val="multilevel"/>
    <w:tmpl w:val="736E9EA4"/>
    <w:numStyleLink w:val="HoiBullets"/>
  </w:abstractNum>
  <w:abstractNum w:abstractNumId="28">
    <w:nsid w:val="4CF22014"/>
    <w:multiLevelType w:val="hybridMultilevel"/>
    <w:tmpl w:val="A0127F16"/>
    <w:lvl w:ilvl="0" w:tplc="112C3B70">
      <w:start w:val="1"/>
      <w:numFmt w:val="bullet"/>
      <w:lvlText w:val=""/>
      <w:lvlJc w:val="left"/>
      <w:pPr>
        <w:ind w:left="360" w:hanging="360"/>
      </w:pPr>
      <w:rPr>
        <w:rFonts w:ascii="Symbol" w:hAnsi="Symbol" w:hint="default"/>
        <w:color w:val="1F49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3175A68"/>
    <w:multiLevelType w:val="multilevel"/>
    <w:tmpl w:val="736E9EA4"/>
    <w:styleLink w:val="HoiBullets"/>
    <w:lvl w:ilvl="0">
      <w:start w:val="1"/>
      <w:numFmt w:val="bullet"/>
      <w:pStyle w:val="List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0795B24"/>
    <w:multiLevelType w:val="multilevel"/>
    <w:tmpl w:val="736E9EA4"/>
    <w:numStyleLink w:val="HoiBullets"/>
  </w:abstractNum>
  <w:abstractNum w:abstractNumId="32">
    <w:nsid w:val="64927B26"/>
    <w:multiLevelType w:val="hybridMultilevel"/>
    <w:tmpl w:val="6E089CBE"/>
    <w:lvl w:ilvl="0" w:tplc="112C3B7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58609FD"/>
    <w:multiLevelType w:val="hybridMultilevel"/>
    <w:tmpl w:val="D81662F4"/>
    <w:lvl w:ilvl="0" w:tplc="112C3B70">
      <w:start w:val="1"/>
      <w:numFmt w:val="bullet"/>
      <w:lvlText w:val=""/>
      <w:lvlJc w:val="left"/>
      <w:pPr>
        <w:ind w:left="360" w:hanging="360"/>
      </w:pPr>
      <w:rPr>
        <w:rFonts w:ascii="Symbol" w:hAnsi="Symbol" w:hint="default"/>
        <w:color w:val="1F497D"/>
      </w:rPr>
    </w:lvl>
    <w:lvl w:ilvl="1" w:tplc="28883E5A">
      <w:start w:val="1"/>
      <w:numFmt w:val="bullet"/>
      <w:lvlText w:val=""/>
      <w:lvlJc w:val="left"/>
      <w:pPr>
        <w:ind w:left="1080" w:hanging="360"/>
      </w:pPr>
      <w:rPr>
        <w:rFonts w:ascii="Symbol" w:hAnsi="Symbol" w:hint="default"/>
        <w:color w:val="1F497D" w:themeColor="text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7E631F9"/>
    <w:multiLevelType w:val="hybridMultilevel"/>
    <w:tmpl w:val="DF4E6110"/>
    <w:lvl w:ilvl="0" w:tplc="A0B493E4">
      <w:start w:val="1"/>
      <w:numFmt w:val="decimal"/>
      <w:lvlText w:val="%1."/>
      <w:lvlJc w:val="left"/>
      <w:pPr>
        <w:ind w:left="360" w:hanging="360"/>
      </w:pPr>
      <w:rPr>
        <w:b w:val="0"/>
        <w:color w:val="1F497D" w:themeColor="tex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6CE848C6"/>
    <w:multiLevelType w:val="multilevel"/>
    <w:tmpl w:val="CDCEDEBA"/>
    <w:styleLink w:val="HoiBullets1"/>
    <w:lvl w:ilvl="0">
      <w:start w:val="1"/>
      <w:numFmt w:val="decimal"/>
      <w:pStyle w:val="ES1"/>
      <w:lvlText w:val="E.%1"/>
      <w:lvlJc w:val="left"/>
      <w:pPr>
        <w:tabs>
          <w:tab w:val="num" w:pos="737"/>
        </w:tabs>
        <w:ind w:left="720" w:hanging="720"/>
      </w:pPr>
      <w:rPr>
        <w:rFonts w:hint="default"/>
      </w:rPr>
    </w:lvl>
    <w:lvl w:ilvl="1">
      <w:start w:val="1"/>
      <w:numFmt w:val="decimal"/>
      <w:pStyle w:val="ES2"/>
      <w:lvlText w:val="E.%1.%2"/>
      <w:lvlJc w:val="left"/>
      <w:pPr>
        <w:ind w:left="737" w:hanging="737"/>
      </w:pPr>
      <w:rPr>
        <w:rFonts w:cs="Times New Roman"/>
        <w:i w:val="0"/>
        <w:iCs w:val="0"/>
        <w: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D911B62"/>
    <w:multiLevelType w:val="hybridMultilevel"/>
    <w:tmpl w:val="BF18B128"/>
    <w:lvl w:ilvl="0" w:tplc="112C3B7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0F10AB1"/>
    <w:multiLevelType w:val="hybridMultilevel"/>
    <w:tmpl w:val="AB6019F2"/>
    <w:lvl w:ilvl="0" w:tplc="112C3B70">
      <w:start w:val="1"/>
      <w:numFmt w:val="bullet"/>
      <w:lvlText w:val=""/>
      <w:lvlJc w:val="left"/>
      <w:pPr>
        <w:ind w:left="360" w:hanging="360"/>
      </w:pPr>
      <w:rPr>
        <w:rFonts w:ascii="Symbol" w:hAnsi="Symbol" w:hint="default"/>
        <w:color w:val="1F49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3735306"/>
    <w:multiLevelType w:val="hybridMultilevel"/>
    <w:tmpl w:val="DF4E6110"/>
    <w:lvl w:ilvl="0" w:tplc="A0B493E4">
      <w:start w:val="1"/>
      <w:numFmt w:val="decimal"/>
      <w:lvlText w:val="%1."/>
      <w:lvlJc w:val="left"/>
      <w:pPr>
        <w:ind w:left="360" w:hanging="360"/>
      </w:pPr>
      <w:rPr>
        <w:b w:val="0"/>
        <w:color w:val="1F497D" w:themeColor="tex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3B6669F"/>
    <w:multiLevelType w:val="hybridMultilevel"/>
    <w:tmpl w:val="589E2938"/>
    <w:lvl w:ilvl="0" w:tplc="112C3B70">
      <w:start w:val="1"/>
      <w:numFmt w:val="bullet"/>
      <w:lvlText w:val=""/>
      <w:lvlJc w:val="left"/>
      <w:pPr>
        <w:ind w:left="360" w:hanging="360"/>
      </w:pPr>
      <w:rPr>
        <w:rFonts w:ascii="Symbol" w:hAnsi="Symbol" w:hint="default"/>
        <w:color w:val="1F49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3CB148B"/>
    <w:multiLevelType w:val="hybridMultilevel"/>
    <w:tmpl w:val="8E6C6CA8"/>
    <w:lvl w:ilvl="0" w:tplc="112C3B70">
      <w:start w:val="1"/>
      <w:numFmt w:val="bullet"/>
      <w:lvlText w:val=""/>
      <w:lvlJc w:val="left"/>
      <w:pPr>
        <w:ind w:left="360" w:hanging="360"/>
      </w:pPr>
      <w:rPr>
        <w:rFonts w:ascii="Symbol" w:hAnsi="Symbol" w:hint="default"/>
        <w:color w:val="1F497D"/>
      </w:rPr>
    </w:lvl>
    <w:lvl w:ilvl="1" w:tplc="28883E5A">
      <w:start w:val="1"/>
      <w:numFmt w:val="bullet"/>
      <w:lvlText w:val=""/>
      <w:lvlJc w:val="left"/>
      <w:pPr>
        <w:ind w:left="1080" w:hanging="360"/>
      </w:pPr>
      <w:rPr>
        <w:rFonts w:ascii="Symbol" w:hAnsi="Symbol" w:hint="default"/>
        <w:color w:val="1F497D" w:themeColor="text2"/>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D0467C3"/>
    <w:multiLevelType w:val="multilevel"/>
    <w:tmpl w:val="736E9EA4"/>
    <w:numStyleLink w:val="HoiBullets"/>
  </w:abstractNum>
  <w:abstractNum w:abstractNumId="42">
    <w:nsid w:val="7DDB1FD9"/>
    <w:multiLevelType w:val="multilevel"/>
    <w:tmpl w:val="736E9EA4"/>
    <w:numStyleLink w:val="HoiBullets"/>
  </w:abstractNum>
  <w:abstractNum w:abstractNumId="43">
    <w:nsid w:val="7E4A43D2"/>
    <w:multiLevelType w:val="hybridMultilevel"/>
    <w:tmpl w:val="1428973A"/>
    <w:lvl w:ilvl="0" w:tplc="112C3B70">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lvlOverride w:ilvl="1">
      <w:lvl w:ilvl="1">
        <w:start w:val="1"/>
        <w:numFmt w:val="decimal"/>
        <w:pStyle w:val="ES2"/>
        <w:lvlText w:val="E.%1.%2"/>
        <w:lvlJc w:val="left"/>
        <w:pPr>
          <w:ind w:left="737" w:hanging="737"/>
        </w:pPr>
        <w:rPr>
          <w:rFonts w:cs="Times New Roman"/>
          <w:i w:val="0"/>
          <w:iCs w:val="0"/>
          <w:caps w:val="0"/>
          <w:strike w:val="0"/>
          <w:dstrike w:val="0"/>
          <w:noProof w:val="0"/>
          <w:vanish w:val="0"/>
          <w:color w:val="365F91"/>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2">
    <w:abstractNumId w:val="29"/>
  </w:num>
  <w:num w:numId="3">
    <w:abstractNumId w:val="30"/>
  </w:num>
  <w:num w:numId="4">
    <w:abstractNumId w:val="21"/>
  </w:num>
  <w:num w:numId="5">
    <w:abstractNumId w:val="41"/>
  </w:num>
  <w:num w:numId="6">
    <w:abstractNumId w:val="19"/>
  </w:num>
  <w:num w:numId="7">
    <w:abstractNumId w:val="12"/>
  </w:num>
  <w:num w:numId="8">
    <w:abstractNumId w:val="1"/>
  </w:num>
  <w:num w:numId="9">
    <w:abstractNumId w:val="10"/>
  </w:num>
  <w:num w:numId="10">
    <w:abstractNumId w:val="42"/>
  </w:num>
  <w:num w:numId="11">
    <w:abstractNumId w:val="27"/>
  </w:num>
  <w:num w:numId="12">
    <w:abstractNumId w:val="14"/>
  </w:num>
  <w:num w:numId="13">
    <w:abstractNumId w:val="2"/>
  </w:num>
  <w:num w:numId="14">
    <w:abstractNumId w:val="39"/>
  </w:num>
  <w:num w:numId="15">
    <w:abstractNumId w:val="3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3"/>
  </w:num>
  <w:num w:numId="20">
    <w:abstractNumId w:val="32"/>
  </w:num>
  <w:num w:numId="21">
    <w:abstractNumId w:val="3"/>
  </w:num>
  <w:num w:numId="22">
    <w:abstractNumId w:val="7"/>
  </w:num>
  <w:num w:numId="23">
    <w:abstractNumId w:val="36"/>
  </w:num>
  <w:num w:numId="24">
    <w:abstractNumId w:val="24"/>
  </w:num>
  <w:num w:numId="25">
    <w:abstractNumId w:val="26"/>
  </w:num>
  <w:num w:numId="26">
    <w:abstractNumId w:val="9"/>
  </w:num>
  <w:num w:numId="27">
    <w:abstractNumId w:val="13"/>
  </w:num>
  <w:num w:numId="28">
    <w:abstractNumId w:val="4"/>
  </w:num>
  <w:num w:numId="29">
    <w:abstractNumId w:val="37"/>
  </w:num>
  <w:num w:numId="30">
    <w:abstractNumId w:val="22"/>
  </w:num>
  <w:num w:numId="31">
    <w:abstractNumId w:val="18"/>
  </w:num>
  <w:num w:numId="32">
    <w:abstractNumId w:val="0"/>
  </w:num>
  <w:num w:numId="33">
    <w:abstractNumId w:val="33"/>
  </w:num>
  <w:num w:numId="34">
    <w:abstractNumId w:val="17"/>
  </w:num>
  <w:num w:numId="35">
    <w:abstractNumId w:val="25"/>
  </w:num>
  <w:num w:numId="36">
    <w:abstractNumId w:val="40"/>
  </w:num>
  <w:num w:numId="37">
    <w:abstractNumId w:val="16"/>
  </w:num>
  <w:num w:numId="38">
    <w:abstractNumId w:val="8"/>
  </w:num>
  <w:num w:numId="39">
    <w:abstractNumId w:val="38"/>
  </w:num>
  <w:num w:numId="40">
    <w:abstractNumId w:val="20"/>
  </w:num>
  <w:num w:numId="41">
    <w:abstractNumId w:val="23"/>
  </w:num>
  <w:num w:numId="42">
    <w:abstractNumId w:val="31"/>
  </w:num>
  <w:num w:numId="43">
    <w:abstractNumId w:val="28"/>
  </w:num>
  <w:num w:numId="44">
    <w:abstractNumId w:val="34"/>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 w:numId="47">
    <w:abstractNumId w:val="6"/>
  </w:num>
  <w:num w:numId="48">
    <w:abstractNumId w:val="11"/>
  </w:num>
  <w:num w:numId="49">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11"/>
  </w:num>
  <w:num w:numId="5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68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44F"/>
    <w:rsid w:val="00000A4D"/>
    <w:rsid w:val="00001085"/>
    <w:rsid w:val="000016B2"/>
    <w:rsid w:val="00001BDB"/>
    <w:rsid w:val="00001EF1"/>
    <w:rsid w:val="00002AF0"/>
    <w:rsid w:val="00003619"/>
    <w:rsid w:val="0000433A"/>
    <w:rsid w:val="00005CAD"/>
    <w:rsid w:val="00005F3E"/>
    <w:rsid w:val="00007264"/>
    <w:rsid w:val="0000787D"/>
    <w:rsid w:val="000108A5"/>
    <w:rsid w:val="00012090"/>
    <w:rsid w:val="000120CC"/>
    <w:rsid w:val="00013BBE"/>
    <w:rsid w:val="00013D7F"/>
    <w:rsid w:val="00014465"/>
    <w:rsid w:val="00014499"/>
    <w:rsid w:val="00014BD4"/>
    <w:rsid w:val="0001560D"/>
    <w:rsid w:val="00016A06"/>
    <w:rsid w:val="00016DC4"/>
    <w:rsid w:val="00017D0F"/>
    <w:rsid w:val="0002116F"/>
    <w:rsid w:val="00021477"/>
    <w:rsid w:val="0002246B"/>
    <w:rsid w:val="000227FD"/>
    <w:rsid w:val="000229EF"/>
    <w:rsid w:val="00022A29"/>
    <w:rsid w:val="000255DF"/>
    <w:rsid w:val="000261E6"/>
    <w:rsid w:val="00026CCF"/>
    <w:rsid w:val="00026E9E"/>
    <w:rsid w:val="00027005"/>
    <w:rsid w:val="000303F7"/>
    <w:rsid w:val="00031CB8"/>
    <w:rsid w:val="000328B2"/>
    <w:rsid w:val="00032DD2"/>
    <w:rsid w:val="0003336E"/>
    <w:rsid w:val="00033376"/>
    <w:rsid w:val="0003416C"/>
    <w:rsid w:val="00034306"/>
    <w:rsid w:val="000343A9"/>
    <w:rsid w:val="00035FC3"/>
    <w:rsid w:val="000361AD"/>
    <w:rsid w:val="0003637B"/>
    <w:rsid w:val="000400E2"/>
    <w:rsid w:val="00041240"/>
    <w:rsid w:val="0004156C"/>
    <w:rsid w:val="00041B0A"/>
    <w:rsid w:val="00043F21"/>
    <w:rsid w:val="000440ED"/>
    <w:rsid w:val="0004570B"/>
    <w:rsid w:val="0004692B"/>
    <w:rsid w:val="00047FD8"/>
    <w:rsid w:val="000502A0"/>
    <w:rsid w:val="00050346"/>
    <w:rsid w:val="00050EE3"/>
    <w:rsid w:val="00051A49"/>
    <w:rsid w:val="00051FFC"/>
    <w:rsid w:val="0005223E"/>
    <w:rsid w:val="00052D44"/>
    <w:rsid w:val="000535E0"/>
    <w:rsid w:val="00053794"/>
    <w:rsid w:val="00053E3D"/>
    <w:rsid w:val="00054B05"/>
    <w:rsid w:val="00054F55"/>
    <w:rsid w:val="00055324"/>
    <w:rsid w:val="0005594F"/>
    <w:rsid w:val="00056502"/>
    <w:rsid w:val="000572A0"/>
    <w:rsid w:val="000601A8"/>
    <w:rsid w:val="00060EEF"/>
    <w:rsid w:val="00061677"/>
    <w:rsid w:val="00061B6E"/>
    <w:rsid w:val="00062394"/>
    <w:rsid w:val="000634E8"/>
    <w:rsid w:val="000642F9"/>
    <w:rsid w:val="00064370"/>
    <w:rsid w:val="00064C3A"/>
    <w:rsid w:val="0006594B"/>
    <w:rsid w:val="00066852"/>
    <w:rsid w:val="00066A32"/>
    <w:rsid w:val="00066D86"/>
    <w:rsid w:val="000702B3"/>
    <w:rsid w:val="000705BA"/>
    <w:rsid w:val="0007222E"/>
    <w:rsid w:val="00073CA5"/>
    <w:rsid w:val="00074010"/>
    <w:rsid w:val="000745B1"/>
    <w:rsid w:val="000764B2"/>
    <w:rsid w:val="00076D4A"/>
    <w:rsid w:val="000774D3"/>
    <w:rsid w:val="000779D3"/>
    <w:rsid w:val="0008019B"/>
    <w:rsid w:val="00080397"/>
    <w:rsid w:val="00080A01"/>
    <w:rsid w:val="00082A72"/>
    <w:rsid w:val="00083C00"/>
    <w:rsid w:val="00083D9B"/>
    <w:rsid w:val="00084908"/>
    <w:rsid w:val="000871BA"/>
    <w:rsid w:val="0009037F"/>
    <w:rsid w:val="000908CC"/>
    <w:rsid w:val="00091327"/>
    <w:rsid w:val="00091D99"/>
    <w:rsid w:val="00092703"/>
    <w:rsid w:val="00092A21"/>
    <w:rsid w:val="00092B3B"/>
    <w:rsid w:val="00092D7C"/>
    <w:rsid w:val="0009306C"/>
    <w:rsid w:val="00093766"/>
    <w:rsid w:val="00093B92"/>
    <w:rsid w:val="00093C3F"/>
    <w:rsid w:val="00093DDA"/>
    <w:rsid w:val="00093ED6"/>
    <w:rsid w:val="00094653"/>
    <w:rsid w:val="000957AF"/>
    <w:rsid w:val="0009590A"/>
    <w:rsid w:val="00095C39"/>
    <w:rsid w:val="00096329"/>
    <w:rsid w:val="0009749C"/>
    <w:rsid w:val="00097730"/>
    <w:rsid w:val="000A0E4C"/>
    <w:rsid w:val="000A1665"/>
    <w:rsid w:val="000A259F"/>
    <w:rsid w:val="000A370C"/>
    <w:rsid w:val="000A64F1"/>
    <w:rsid w:val="000A7426"/>
    <w:rsid w:val="000B00C5"/>
    <w:rsid w:val="000B0F40"/>
    <w:rsid w:val="000B1CBE"/>
    <w:rsid w:val="000B2836"/>
    <w:rsid w:val="000B35A7"/>
    <w:rsid w:val="000B455D"/>
    <w:rsid w:val="000B50D5"/>
    <w:rsid w:val="000B527D"/>
    <w:rsid w:val="000B5348"/>
    <w:rsid w:val="000B54C2"/>
    <w:rsid w:val="000B5C52"/>
    <w:rsid w:val="000B65C2"/>
    <w:rsid w:val="000B676D"/>
    <w:rsid w:val="000B69C3"/>
    <w:rsid w:val="000B70F6"/>
    <w:rsid w:val="000B7622"/>
    <w:rsid w:val="000C0014"/>
    <w:rsid w:val="000C029D"/>
    <w:rsid w:val="000C09A0"/>
    <w:rsid w:val="000C2546"/>
    <w:rsid w:val="000C365A"/>
    <w:rsid w:val="000C4221"/>
    <w:rsid w:val="000C4693"/>
    <w:rsid w:val="000C4952"/>
    <w:rsid w:val="000C717F"/>
    <w:rsid w:val="000C761E"/>
    <w:rsid w:val="000D2154"/>
    <w:rsid w:val="000D2353"/>
    <w:rsid w:val="000D243A"/>
    <w:rsid w:val="000D2A8A"/>
    <w:rsid w:val="000D2AF7"/>
    <w:rsid w:val="000D36C4"/>
    <w:rsid w:val="000D5BAF"/>
    <w:rsid w:val="000D5CBD"/>
    <w:rsid w:val="000D64D1"/>
    <w:rsid w:val="000D6FB9"/>
    <w:rsid w:val="000D753C"/>
    <w:rsid w:val="000E0D81"/>
    <w:rsid w:val="000E154F"/>
    <w:rsid w:val="000E229E"/>
    <w:rsid w:val="000E3856"/>
    <w:rsid w:val="000E42B0"/>
    <w:rsid w:val="000E43CD"/>
    <w:rsid w:val="000E4C96"/>
    <w:rsid w:val="000E501F"/>
    <w:rsid w:val="000E5A19"/>
    <w:rsid w:val="000E6D8E"/>
    <w:rsid w:val="000E75DF"/>
    <w:rsid w:val="000E768C"/>
    <w:rsid w:val="000E7BB6"/>
    <w:rsid w:val="000F03FA"/>
    <w:rsid w:val="000F08B6"/>
    <w:rsid w:val="000F1AD3"/>
    <w:rsid w:val="000F455C"/>
    <w:rsid w:val="000F4E90"/>
    <w:rsid w:val="000F63A7"/>
    <w:rsid w:val="000F64A7"/>
    <w:rsid w:val="000F6866"/>
    <w:rsid w:val="000F6AD3"/>
    <w:rsid w:val="00100114"/>
    <w:rsid w:val="001006C6"/>
    <w:rsid w:val="001017E2"/>
    <w:rsid w:val="00101D3F"/>
    <w:rsid w:val="001031CE"/>
    <w:rsid w:val="00103437"/>
    <w:rsid w:val="001041D9"/>
    <w:rsid w:val="0010427D"/>
    <w:rsid w:val="00104462"/>
    <w:rsid w:val="00104D1F"/>
    <w:rsid w:val="00104E9C"/>
    <w:rsid w:val="0010561B"/>
    <w:rsid w:val="00105EB4"/>
    <w:rsid w:val="00111F2C"/>
    <w:rsid w:val="001135F6"/>
    <w:rsid w:val="00113970"/>
    <w:rsid w:val="00115520"/>
    <w:rsid w:val="00116AF3"/>
    <w:rsid w:val="00116EB4"/>
    <w:rsid w:val="00120D6E"/>
    <w:rsid w:val="001212B1"/>
    <w:rsid w:val="001221DF"/>
    <w:rsid w:val="00123640"/>
    <w:rsid w:val="00123830"/>
    <w:rsid w:val="00124814"/>
    <w:rsid w:val="00125488"/>
    <w:rsid w:val="001259B1"/>
    <w:rsid w:val="001266AE"/>
    <w:rsid w:val="00126A30"/>
    <w:rsid w:val="00126E7F"/>
    <w:rsid w:val="00130224"/>
    <w:rsid w:val="0013195B"/>
    <w:rsid w:val="00131C45"/>
    <w:rsid w:val="001332C5"/>
    <w:rsid w:val="00133ACC"/>
    <w:rsid w:val="00133CFB"/>
    <w:rsid w:val="00135BE9"/>
    <w:rsid w:val="00140ED0"/>
    <w:rsid w:val="001413E1"/>
    <w:rsid w:val="00141BF3"/>
    <w:rsid w:val="0014382A"/>
    <w:rsid w:val="001443D9"/>
    <w:rsid w:val="00144D18"/>
    <w:rsid w:val="001453CA"/>
    <w:rsid w:val="0014565C"/>
    <w:rsid w:val="00146E7F"/>
    <w:rsid w:val="0015064E"/>
    <w:rsid w:val="0015323D"/>
    <w:rsid w:val="00153FF9"/>
    <w:rsid w:val="00154213"/>
    <w:rsid w:val="0015488F"/>
    <w:rsid w:val="00155174"/>
    <w:rsid w:val="00155444"/>
    <w:rsid w:val="001559B2"/>
    <w:rsid w:val="001572F8"/>
    <w:rsid w:val="00157E69"/>
    <w:rsid w:val="00160A93"/>
    <w:rsid w:val="0016375F"/>
    <w:rsid w:val="0016389E"/>
    <w:rsid w:val="001638A1"/>
    <w:rsid w:val="001647D5"/>
    <w:rsid w:val="0016497D"/>
    <w:rsid w:val="00165391"/>
    <w:rsid w:val="00165526"/>
    <w:rsid w:val="00166CDF"/>
    <w:rsid w:val="00167AA2"/>
    <w:rsid w:val="00171460"/>
    <w:rsid w:val="00171D85"/>
    <w:rsid w:val="00172ADE"/>
    <w:rsid w:val="0017361B"/>
    <w:rsid w:val="00173C2E"/>
    <w:rsid w:val="00174D75"/>
    <w:rsid w:val="00180695"/>
    <w:rsid w:val="001806D6"/>
    <w:rsid w:val="00181590"/>
    <w:rsid w:val="00181C3E"/>
    <w:rsid w:val="00181E3F"/>
    <w:rsid w:val="001823AA"/>
    <w:rsid w:val="00182B2E"/>
    <w:rsid w:val="00183380"/>
    <w:rsid w:val="00183543"/>
    <w:rsid w:val="00183A23"/>
    <w:rsid w:val="00183BF2"/>
    <w:rsid w:val="00184011"/>
    <w:rsid w:val="00186394"/>
    <w:rsid w:val="0018693A"/>
    <w:rsid w:val="00190C4D"/>
    <w:rsid w:val="00193CA9"/>
    <w:rsid w:val="00194967"/>
    <w:rsid w:val="00195D94"/>
    <w:rsid w:val="00196D30"/>
    <w:rsid w:val="0019798F"/>
    <w:rsid w:val="00197B5E"/>
    <w:rsid w:val="001A0026"/>
    <w:rsid w:val="001A0490"/>
    <w:rsid w:val="001A1356"/>
    <w:rsid w:val="001A232A"/>
    <w:rsid w:val="001A2B6A"/>
    <w:rsid w:val="001A30FD"/>
    <w:rsid w:val="001A3392"/>
    <w:rsid w:val="001A3615"/>
    <w:rsid w:val="001A3B39"/>
    <w:rsid w:val="001A40AE"/>
    <w:rsid w:val="001A4850"/>
    <w:rsid w:val="001A4A12"/>
    <w:rsid w:val="001A54A4"/>
    <w:rsid w:val="001A6CA4"/>
    <w:rsid w:val="001A7784"/>
    <w:rsid w:val="001A7F92"/>
    <w:rsid w:val="001B0110"/>
    <w:rsid w:val="001B0303"/>
    <w:rsid w:val="001B1EA0"/>
    <w:rsid w:val="001B2DC6"/>
    <w:rsid w:val="001B3161"/>
    <w:rsid w:val="001B3552"/>
    <w:rsid w:val="001B396C"/>
    <w:rsid w:val="001B3DF2"/>
    <w:rsid w:val="001B4249"/>
    <w:rsid w:val="001B66BA"/>
    <w:rsid w:val="001B6B7A"/>
    <w:rsid w:val="001C0B68"/>
    <w:rsid w:val="001C15A3"/>
    <w:rsid w:val="001C2050"/>
    <w:rsid w:val="001C39A9"/>
    <w:rsid w:val="001C62FA"/>
    <w:rsid w:val="001C69DF"/>
    <w:rsid w:val="001C6EE6"/>
    <w:rsid w:val="001C6F0D"/>
    <w:rsid w:val="001C70F4"/>
    <w:rsid w:val="001C7C40"/>
    <w:rsid w:val="001C7E01"/>
    <w:rsid w:val="001D0208"/>
    <w:rsid w:val="001D06E7"/>
    <w:rsid w:val="001D0B56"/>
    <w:rsid w:val="001D13BD"/>
    <w:rsid w:val="001D2C95"/>
    <w:rsid w:val="001D4E5F"/>
    <w:rsid w:val="001D4F14"/>
    <w:rsid w:val="001D5ED3"/>
    <w:rsid w:val="001D724C"/>
    <w:rsid w:val="001E04BD"/>
    <w:rsid w:val="001E0572"/>
    <w:rsid w:val="001E06B8"/>
    <w:rsid w:val="001E0A25"/>
    <w:rsid w:val="001E14E1"/>
    <w:rsid w:val="001E1A3D"/>
    <w:rsid w:val="001E690F"/>
    <w:rsid w:val="001E6E68"/>
    <w:rsid w:val="001E6E9B"/>
    <w:rsid w:val="001E71F0"/>
    <w:rsid w:val="001E7E9B"/>
    <w:rsid w:val="001F00C9"/>
    <w:rsid w:val="001F18C5"/>
    <w:rsid w:val="001F1C46"/>
    <w:rsid w:val="001F29FD"/>
    <w:rsid w:val="001F4F29"/>
    <w:rsid w:val="0020008A"/>
    <w:rsid w:val="00200167"/>
    <w:rsid w:val="0020093A"/>
    <w:rsid w:val="002028FE"/>
    <w:rsid w:val="00203AEF"/>
    <w:rsid w:val="00204D69"/>
    <w:rsid w:val="002054A9"/>
    <w:rsid w:val="0020600C"/>
    <w:rsid w:val="00207233"/>
    <w:rsid w:val="00207F62"/>
    <w:rsid w:val="00210024"/>
    <w:rsid w:val="00211C99"/>
    <w:rsid w:val="0021373C"/>
    <w:rsid w:val="002139D0"/>
    <w:rsid w:val="00213BAA"/>
    <w:rsid w:val="00215ADC"/>
    <w:rsid w:val="00215D5D"/>
    <w:rsid w:val="0021653A"/>
    <w:rsid w:val="00216707"/>
    <w:rsid w:val="00216CBB"/>
    <w:rsid w:val="00217860"/>
    <w:rsid w:val="00221612"/>
    <w:rsid w:val="00222005"/>
    <w:rsid w:val="002221A6"/>
    <w:rsid w:val="002221AB"/>
    <w:rsid w:val="002226FE"/>
    <w:rsid w:val="00222D17"/>
    <w:rsid w:val="002235CF"/>
    <w:rsid w:val="0022542D"/>
    <w:rsid w:val="00225C1D"/>
    <w:rsid w:val="00225EA0"/>
    <w:rsid w:val="00226247"/>
    <w:rsid w:val="00226BD3"/>
    <w:rsid w:val="00227806"/>
    <w:rsid w:val="00231A15"/>
    <w:rsid w:val="00231E10"/>
    <w:rsid w:val="0023222A"/>
    <w:rsid w:val="0023269A"/>
    <w:rsid w:val="00232A54"/>
    <w:rsid w:val="00232C9D"/>
    <w:rsid w:val="00233742"/>
    <w:rsid w:val="00233B92"/>
    <w:rsid w:val="00233D2B"/>
    <w:rsid w:val="00233FED"/>
    <w:rsid w:val="0023446E"/>
    <w:rsid w:val="00234509"/>
    <w:rsid w:val="00235159"/>
    <w:rsid w:val="00235998"/>
    <w:rsid w:val="00235DA1"/>
    <w:rsid w:val="00236B93"/>
    <w:rsid w:val="00236D2E"/>
    <w:rsid w:val="00237D95"/>
    <w:rsid w:val="00242141"/>
    <w:rsid w:val="002427AE"/>
    <w:rsid w:val="00243198"/>
    <w:rsid w:val="002432D2"/>
    <w:rsid w:val="002438DC"/>
    <w:rsid w:val="0024422B"/>
    <w:rsid w:val="00244722"/>
    <w:rsid w:val="00246AF7"/>
    <w:rsid w:val="002500C9"/>
    <w:rsid w:val="002503C3"/>
    <w:rsid w:val="002535B9"/>
    <w:rsid w:val="002538A3"/>
    <w:rsid w:val="002547D3"/>
    <w:rsid w:val="002549C6"/>
    <w:rsid w:val="00254A0F"/>
    <w:rsid w:val="002563C7"/>
    <w:rsid w:val="00256B93"/>
    <w:rsid w:val="00257321"/>
    <w:rsid w:val="00257B73"/>
    <w:rsid w:val="002613F7"/>
    <w:rsid w:val="00261D46"/>
    <w:rsid w:val="002625AC"/>
    <w:rsid w:val="00262AD3"/>
    <w:rsid w:val="00262D09"/>
    <w:rsid w:val="00264B95"/>
    <w:rsid w:val="00266EBF"/>
    <w:rsid w:val="002700E4"/>
    <w:rsid w:val="00270427"/>
    <w:rsid w:val="002704C7"/>
    <w:rsid w:val="00270BF5"/>
    <w:rsid w:val="00270F04"/>
    <w:rsid w:val="0027101F"/>
    <w:rsid w:val="00271548"/>
    <w:rsid w:val="00272004"/>
    <w:rsid w:val="002720A7"/>
    <w:rsid w:val="00272437"/>
    <w:rsid w:val="00272CCF"/>
    <w:rsid w:val="002733DD"/>
    <w:rsid w:val="00276A6F"/>
    <w:rsid w:val="00276C6D"/>
    <w:rsid w:val="00277512"/>
    <w:rsid w:val="00277638"/>
    <w:rsid w:val="00280D7B"/>
    <w:rsid w:val="00282A2F"/>
    <w:rsid w:val="0028394C"/>
    <w:rsid w:val="00284B34"/>
    <w:rsid w:val="00285A97"/>
    <w:rsid w:val="00287468"/>
    <w:rsid w:val="0029134F"/>
    <w:rsid w:val="00291A60"/>
    <w:rsid w:val="00291F8E"/>
    <w:rsid w:val="00292EA8"/>
    <w:rsid w:val="00292F67"/>
    <w:rsid w:val="002953BE"/>
    <w:rsid w:val="00295E1E"/>
    <w:rsid w:val="00295EBA"/>
    <w:rsid w:val="00296E2B"/>
    <w:rsid w:val="00297901"/>
    <w:rsid w:val="00297E4D"/>
    <w:rsid w:val="002A06F6"/>
    <w:rsid w:val="002A0C81"/>
    <w:rsid w:val="002A217B"/>
    <w:rsid w:val="002A2437"/>
    <w:rsid w:val="002A575D"/>
    <w:rsid w:val="002A768F"/>
    <w:rsid w:val="002B08CA"/>
    <w:rsid w:val="002B1031"/>
    <w:rsid w:val="002B1428"/>
    <w:rsid w:val="002B1D8C"/>
    <w:rsid w:val="002B2220"/>
    <w:rsid w:val="002B474C"/>
    <w:rsid w:val="002B4B6C"/>
    <w:rsid w:val="002B5E0F"/>
    <w:rsid w:val="002B7FCF"/>
    <w:rsid w:val="002C1C7B"/>
    <w:rsid w:val="002C252B"/>
    <w:rsid w:val="002C3027"/>
    <w:rsid w:val="002C4349"/>
    <w:rsid w:val="002C4CCE"/>
    <w:rsid w:val="002C5D11"/>
    <w:rsid w:val="002C6154"/>
    <w:rsid w:val="002C686E"/>
    <w:rsid w:val="002C6AEF"/>
    <w:rsid w:val="002D0773"/>
    <w:rsid w:val="002D0B81"/>
    <w:rsid w:val="002D3E92"/>
    <w:rsid w:val="002D436E"/>
    <w:rsid w:val="002D44C7"/>
    <w:rsid w:val="002D5CCF"/>
    <w:rsid w:val="002D795A"/>
    <w:rsid w:val="002D7FE7"/>
    <w:rsid w:val="002E0E8C"/>
    <w:rsid w:val="002E158A"/>
    <w:rsid w:val="002E2373"/>
    <w:rsid w:val="002E3C6E"/>
    <w:rsid w:val="002E464A"/>
    <w:rsid w:val="002E707A"/>
    <w:rsid w:val="002E756C"/>
    <w:rsid w:val="002E7F18"/>
    <w:rsid w:val="002F022C"/>
    <w:rsid w:val="002F03D3"/>
    <w:rsid w:val="002F03DE"/>
    <w:rsid w:val="002F07F0"/>
    <w:rsid w:val="002F1D35"/>
    <w:rsid w:val="002F31E4"/>
    <w:rsid w:val="002F36C4"/>
    <w:rsid w:val="002F46AE"/>
    <w:rsid w:val="002F46F4"/>
    <w:rsid w:val="002F502D"/>
    <w:rsid w:val="002F5107"/>
    <w:rsid w:val="002F52AB"/>
    <w:rsid w:val="002F5717"/>
    <w:rsid w:val="002F5E92"/>
    <w:rsid w:val="00300715"/>
    <w:rsid w:val="00301200"/>
    <w:rsid w:val="003014A5"/>
    <w:rsid w:val="0030184A"/>
    <w:rsid w:val="0030211D"/>
    <w:rsid w:val="00302C2A"/>
    <w:rsid w:val="00302C7C"/>
    <w:rsid w:val="00303602"/>
    <w:rsid w:val="00304419"/>
    <w:rsid w:val="00304712"/>
    <w:rsid w:val="00304766"/>
    <w:rsid w:val="00304A68"/>
    <w:rsid w:val="00305495"/>
    <w:rsid w:val="00306489"/>
    <w:rsid w:val="0031150A"/>
    <w:rsid w:val="003119F2"/>
    <w:rsid w:val="00311E59"/>
    <w:rsid w:val="00312279"/>
    <w:rsid w:val="003142E6"/>
    <w:rsid w:val="003144BE"/>
    <w:rsid w:val="003149D9"/>
    <w:rsid w:val="00315170"/>
    <w:rsid w:val="00315B8D"/>
    <w:rsid w:val="00316670"/>
    <w:rsid w:val="00316C25"/>
    <w:rsid w:val="00317F68"/>
    <w:rsid w:val="00320575"/>
    <w:rsid w:val="00321666"/>
    <w:rsid w:val="003218B1"/>
    <w:rsid w:val="00321E9D"/>
    <w:rsid w:val="00322342"/>
    <w:rsid w:val="00322C0B"/>
    <w:rsid w:val="0032353B"/>
    <w:rsid w:val="003240E6"/>
    <w:rsid w:val="0032524F"/>
    <w:rsid w:val="003265BD"/>
    <w:rsid w:val="00327274"/>
    <w:rsid w:val="00327344"/>
    <w:rsid w:val="00331BBF"/>
    <w:rsid w:val="003330A0"/>
    <w:rsid w:val="00336E19"/>
    <w:rsid w:val="00337154"/>
    <w:rsid w:val="0033729E"/>
    <w:rsid w:val="003376DF"/>
    <w:rsid w:val="003377C3"/>
    <w:rsid w:val="00341208"/>
    <w:rsid w:val="003412AC"/>
    <w:rsid w:val="0034376F"/>
    <w:rsid w:val="00343C00"/>
    <w:rsid w:val="00345F28"/>
    <w:rsid w:val="00346568"/>
    <w:rsid w:val="00346818"/>
    <w:rsid w:val="0034786C"/>
    <w:rsid w:val="00350793"/>
    <w:rsid w:val="00352AFA"/>
    <w:rsid w:val="00353B9F"/>
    <w:rsid w:val="003542A1"/>
    <w:rsid w:val="003543D6"/>
    <w:rsid w:val="003545C6"/>
    <w:rsid w:val="00354EDE"/>
    <w:rsid w:val="00355340"/>
    <w:rsid w:val="003567A2"/>
    <w:rsid w:val="00356DAB"/>
    <w:rsid w:val="003571EC"/>
    <w:rsid w:val="00357549"/>
    <w:rsid w:val="0035761C"/>
    <w:rsid w:val="00357754"/>
    <w:rsid w:val="00360CBE"/>
    <w:rsid w:val="00361893"/>
    <w:rsid w:val="00361EDA"/>
    <w:rsid w:val="0036348F"/>
    <w:rsid w:val="00363D6E"/>
    <w:rsid w:val="0036409C"/>
    <w:rsid w:val="00365371"/>
    <w:rsid w:val="00366303"/>
    <w:rsid w:val="003668A1"/>
    <w:rsid w:val="003700C7"/>
    <w:rsid w:val="003701D3"/>
    <w:rsid w:val="0037075B"/>
    <w:rsid w:val="00370CA9"/>
    <w:rsid w:val="003721C3"/>
    <w:rsid w:val="003742C7"/>
    <w:rsid w:val="00374420"/>
    <w:rsid w:val="0037553F"/>
    <w:rsid w:val="00375C5C"/>
    <w:rsid w:val="003765A6"/>
    <w:rsid w:val="00377FC2"/>
    <w:rsid w:val="003804A7"/>
    <w:rsid w:val="0038172F"/>
    <w:rsid w:val="003819E1"/>
    <w:rsid w:val="003840E2"/>
    <w:rsid w:val="00386257"/>
    <w:rsid w:val="00387956"/>
    <w:rsid w:val="00390166"/>
    <w:rsid w:val="003916A6"/>
    <w:rsid w:val="00391832"/>
    <w:rsid w:val="003923A8"/>
    <w:rsid w:val="00393608"/>
    <w:rsid w:val="00393796"/>
    <w:rsid w:val="00393DFE"/>
    <w:rsid w:val="00393FC1"/>
    <w:rsid w:val="00394F54"/>
    <w:rsid w:val="00395055"/>
    <w:rsid w:val="0039616C"/>
    <w:rsid w:val="00396DB4"/>
    <w:rsid w:val="003979E9"/>
    <w:rsid w:val="00397D00"/>
    <w:rsid w:val="003A1955"/>
    <w:rsid w:val="003A204C"/>
    <w:rsid w:val="003A20A6"/>
    <w:rsid w:val="003A28D9"/>
    <w:rsid w:val="003A2AE5"/>
    <w:rsid w:val="003A2B65"/>
    <w:rsid w:val="003A4238"/>
    <w:rsid w:val="003A5EF3"/>
    <w:rsid w:val="003A79BD"/>
    <w:rsid w:val="003B01E1"/>
    <w:rsid w:val="003B1B51"/>
    <w:rsid w:val="003B1F2F"/>
    <w:rsid w:val="003B2254"/>
    <w:rsid w:val="003B3B79"/>
    <w:rsid w:val="003B4CC1"/>
    <w:rsid w:val="003B5029"/>
    <w:rsid w:val="003B595F"/>
    <w:rsid w:val="003B5992"/>
    <w:rsid w:val="003B59C7"/>
    <w:rsid w:val="003C1B6E"/>
    <w:rsid w:val="003C2515"/>
    <w:rsid w:val="003C3A34"/>
    <w:rsid w:val="003C3D25"/>
    <w:rsid w:val="003C60A4"/>
    <w:rsid w:val="003C6554"/>
    <w:rsid w:val="003C73E6"/>
    <w:rsid w:val="003D02F1"/>
    <w:rsid w:val="003D1141"/>
    <w:rsid w:val="003D11C9"/>
    <w:rsid w:val="003D2887"/>
    <w:rsid w:val="003D2971"/>
    <w:rsid w:val="003D40D7"/>
    <w:rsid w:val="003D583B"/>
    <w:rsid w:val="003D5E95"/>
    <w:rsid w:val="003D685C"/>
    <w:rsid w:val="003D7916"/>
    <w:rsid w:val="003E1082"/>
    <w:rsid w:val="003E1FB5"/>
    <w:rsid w:val="003E3B0B"/>
    <w:rsid w:val="003E3E83"/>
    <w:rsid w:val="003E5807"/>
    <w:rsid w:val="003E6550"/>
    <w:rsid w:val="003E6A6C"/>
    <w:rsid w:val="003E6CF3"/>
    <w:rsid w:val="003F040D"/>
    <w:rsid w:val="003F1F5A"/>
    <w:rsid w:val="003F21B3"/>
    <w:rsid w:val="003F34C8"/>
    <w:rsid w:val="003F3589"/>
    <w:rsid w:val="003F3683"/>
    <w:rsid w:val="003F49F0"/>
    <w:rsid w:val="003F4B8B"/>
    <w:rsid w:val="003F5061"/>
    <w:rsid w:val="003F50F4"/>
    <w:rsid w:val="003F5284"/>
    <w:rsid w:val="003F5C7A"/>
    <w:rsid w:val="003F6E39"/>
    <w:rsid w:val="003F73F4"/>
    <w:rsid w:val="003F7F25"/>
    <w:rsid w:val="004002BC"/>
    <w:rsid w:val="0040053F"/>
    <w:rsid w:val="00401050"/>
    <w:rsid w:val="00401375"/>
    <w:rsid w:val="004017FA"/>
    <w:rsid w:val="00402C5F"/>
    <w:rsid w:val="00404E55"/>
    <w:rsid w:val="00405141"/>
    <w:rsid w:val="00405619"/>
    <w:rsid w:val="004059FE"/>
    <w:rsid w:val="00406CDE"/>
    <w:rsid w:val="00410179"/>
    <w:rsid w:val="00411ADD"/>
    <w:rsid w:val="00412142"/>
    <w:rsid w:val="00412CB7"/>
    <w:rsid w:val="00413CFF"/>
    <w:rsid w:val="00416FE1"/>
    <w:rsid w:val="00417312"/>
    <w:rsid w:val="00417421"/>
    <w:rsid w:val="00420935"/>
    <w:rsid w:val="00421A40"/>
    <w:rsid w:val="00421FAD"/>
    <w:rsid w:val="00422B87"/>
    <w:rsid w:val="00423005"/>
    <w:rsid w:val="00423671"/>
    <w:rsid w:val="0042415D"/>
    <w:rsid w:val="00425258"/>
    <w:rsid w:val="004262C3"/>
    <w:rsid w:val="004303DE"/>
    <w:rsid w:val="00431804"/>
    <w:rsid w:val="00431AE6"/>
    <w:rsid w:val="004324EB"/>
    <w:rsid w:val="00432C2C"/>
    <w:rsid w:val="00433F05"/>
    <w:rsid w:val="00434F8C"/>
    <w:rsid w:val="00436296"/>
    <w:rsid w:val="00436675"/>
    <w:rsid w:val="00436854"/>
    <w:rsid w:val="004408AC"/>
    <w:rsid w:val="00442094"/>
    <w:rsid w:val="004420B7"/>
    <w:rsid w:val="00442658"/>
    <w:rsid w:val="00444182"/>
    <w:rsid w:val="00444D1A"/>
    <w:rsid w:val="004460C7"/>
    <w:rsid w:val="00446237"/>
    <w:rsid w:val="00446962"/>
    <w:rsid w:val="00446D48"/>
    <w:rsid w:val="00446DA6"/>
    <w:rsid w:val="00447AF8"/>
    <w:rsid w:val="00447E79"/>
    <w:rsid w:val="004507C1"/>
    <w:rsid w:val="004510F7"/>
    <w:rsid w:val="004522D0"/>
    <w:rsid w:val="00452820"/>
    <w:rsid w:val="004544D4"/>
    <w:rsid w:val="0045496C"/>
    <w:rsid w:val="004566CE"/>
    <w:rsid w:val="00456B15"/>
    <w:rsid w:val="00456DF3"/>
    <w:rsid w:val="00460273"/>
    <w:rsid w:val="00461C4B"/>
    <w:rsid w:val="00461F35"/>
    <w:rsid w:val="0046245D"/>
    <w:rsid w:val="0046261B"/>
    <w:rsid w:val="0046288D"/>
    <w:rsid w:val="00462B0F"/>
    <w:rsid w:val="00462CFA"/>
    <w:rsid w:val="0046315A"/>
    <w:rsid w:val="00463E2D"/>
    <w:rsid w:val="004640F1"/>
    <w:rsid w:val="004652DC"/>
    <w:rsid w:val="00465979"/>
    <w:rsid w:val="00466855"/>
    <w:rsid w:val="00472210"/>
    <w:rsid w:val="00474299"/>
    <w:rsid w:val="00474842"/>
    <w:rsid w:val="00475F6F"/>
    <w:rsid w:val="0047637E"/>
    <w:rsid w:val="0047761B"/>
    <w:rsid w:val="00477D40"/>
    <w:rsid w:val="00477FF3"/>
    <w:rsid w:val="004802B8"/>
    <w:rsid w:val="0048144F"/>
    <w:rsid w:val="00483CA7"/>
    <w:rsid w:val="00483F2B"/>
    <w:rsid w:val="00484CD6"/>
    <w:rsid w:val="0048533D"/>
    <w:rsid w:val="004855F1"/>
    <w:rsid w:val="00485FAF"/>
    <w:rsid w:val="00486CD5"/>
    <w:rsid w:val="00486D64"/>
    <w:rsid w:val="00487537"/>
    <w:rsid w:val="0049099A"/>
    <w:rsid w:val="00490D22"/>
    <w:rsid w:val="00490D57"/>
    <w:rsid w:val="00491340"/>
    <w:rsid w:val="0049158C"/>
    <w:rsid w:val="00491811"/>
    <w:rsid w:val="00492070"/>
    <w:rsid w:val="00492F91"/>
    <w:rsid w:val="00493956"/>
    <w:rsid w:val="00495570"/>
    <w:rsid w:val="004971BA"/>
    <w:rsid w:val="004979CF"/>
    <w:rsid w:val="004A441B"/>
    <w:rsid w:val="004A4585"/>
    <w:rsid w:val="004A4EAC"/>
    <w:rsid w:val="004A50D1"/>
    <w:rsid w:val="004A59A2"/>
    <w:rsid w:val="004A5AE1"/>
    <w:rsid w:val="004A7682"/>
    <w:rsid w:val="004B1033"/>
    <w:rsid w:val="004B1472"/>
    <w:rsid w:val="004B1618"/>
    <w:rsid w:val="004B1D80"/>
    <w:rsid w:val="004B2149"/>
    <w:rsid w:val="004B4054"/>
    <w:rsid w:val="004B40A1"/>
    <w:rsid w:val="004B4D86"/>
    <w:rsid w:val="004B6CD5"/>
    <w:rsid w:val="004B6E34"/>
    <w:rsid w:val="004B6FF2"/>
    <w:rsid w:val="004C0D76"/>
    <w:rsid w:val="004C0EF5"/>
    <w:rsid w:val="004C1FD0"/>
    <w:rsid w:val="004C2F2C"/>
    <w:rsid w:val="004C36F5"/>
    <w:rsid w:val="004C48D7"/>
    <w:rsid w:val="004C5724"/>
    <w:rsid w:val="004C57D1"/>
    <w:rsid w:val="004C5B72"/>
    <w:rsid w:val="004C7412"/>
    <w:rsid w:val="004D07BB"/>
    <w:rsid w:val="004D10B5"/>
    <w:rsid w:val="004D1203"/>
    <w:rsid w:val="004D37B6"/>
    <w:rsid w:val="004D3946"/>
    <w:rsid w:val="004D428D"/>
    <w:rsid w:val="004D5208"/>
    <w:rsid w:val="004D5256"/>
    <w:rsid w:val="004D6241"/>
    <w:rsid w:val="004D6271"/>
    <w:rsid w:val="004D6348"/>
    <w:rsid w:val="004D683C"/>
    <w:rsid w:val="004D69F2"/>
    <w:rsid w:val="004D6DA5"/>
    <w:rsid w:val="004E0796"/>
    <w:rsid w:val="004E183A"/>
    <w:rsid w:val="004E4904"/>
    <w:rsid w:val="004E500B"/>
    <w:rsid w:val="004E56FA"/>
    <w:rsid w:val="004E6683"/>
    <w:rsid w:val="004E7175"/>
    <w:rsid w:val="004F100F"/>
    <w:rsid w:val="004F18D6"/>
    <w:rsid w:val="004F2046"/>
    <w:rsid w:val="004F34FC"/>
    <w:rsid w:val="004F5730"/>
    <w:rsid w:val="004F61DA"/>
    <w:rsid w:val="004F7F29"/>
    <w:rsid w:val="0050358A"/>
    <w:rsid w:val="005046B1"/>
    <w:rsid w:val="005048ED"/>
    <w:rsid w:val="00504F78"/>
    <w:rsid w:val="00505873"/>
    <w:rsid w:val="00505D6E"/>
    <w:rsid w:val="00506CB7"/>
    <w:rsid w:val="00506F8B"/>
    <w:rsid w:val="00507F23"/>
    <w:rsid w:val="00510C54"/>
    <w:rsid w:val="00511F72"/>
    <w:rsid w:val="005123F3"/>
    <w:rsid w:val="00512BD7"/>
    <w:rsid w:val="0051325C"/>
    <w:rsid w:val="005138EA"/>
    <w:rsid w:val="0051467E"/>
    <w:rsid w:val="005148C4"/>
    <w:rsid w:val="00516AA5"/>
    <w:rsid w:val="00520C39"/>
    <w:rsid w:val="00520CA2"/>
    <w:rsid w:val="00522AF4"/>
    <w:rsid w:val="00522B6B"/>
    <w:rsid w:val="00523475"/>
    <w:rsid w:val="00523D5D"/>
    <w:rsid w:val="00524AFD"/>
    <w:rsid w:val="00525190"/>
    <w:rsid w:val="0052619F"/>
    <w:rsid w:val="0052622D"/>
    <w:rsid w:val="00527A1B"/>
    <w:rsid w:val="00530184"/>
    <w:rsid w:val="0053019D"/>
    <w:rsid w:val="005307FD"/>
    <w:rsid w:val="00531ABF"/>
    <w:rsid w:val="00531E11"/>
    <w:rsid w:val="00531EE0"/>
    <w:rsid w:val="00533DDE"/>
    <w:rsid w:val="005356F4"/>
    <w:rsid w:val="00535921"/>
    <w:rsid w:val="00536E77"/>
    <w:rsid w:val="00537501"/>
    <w:rsid w:val="00541528"/>
    <w:rsid w:val="00541CAC"/>
    <w:rsid w:val="00541E99"/>
    <w:rsid w:val="00542916"/>
    <w:rsid w:val="00542F71"/>
    <w:rsid w:val="00543070"/>
    <w:rsid w:val="005434D7"/>
    <w:rsid w:val="00544C07"/>
    <w:rsid w:val="00545AC2"/>
    <w:rsid w:val="005460D2"/>
    <w:rsid w:val="005463D3"/>
    <w:rsid w:val="00546CCA"/>
    <w:rsid w:val="005470A7"/>
    <w:rsid w:val="00550151"/>
    <w:rsid w:val="00550500"/>
    <w:rsid w:val="0055056A"/>
    <w:rsid w:val="00551403"/>
    <w:rsid w:val="00552526"/>
    <w:rsid w:val="00552BD8"/>
    <w:rsid w:val="00552CE2"/>
    <w:rsid w:val="0055326D"/>
    <w:rsid w:val="005537A3"/>
    <w:rsid w:val="00554A41"/>
    <w:rsid w:val="005565A9"/>
    <w:rsid w:val="0055691C"/>
    <w:rsid w:val="00556AF1"/>
    <w:rsid w:val="00556E1C"/>
    <w:rsid w:val="00557769"/>
    <w:rsid w:val="00557C73"/>
    <w:rsid w:val="00560212"/>
    <w:rsid w:val="00560A1C"/>
    <w:rsid w:val="00560B40"/>
    <w:rsid w:val="005640AC"/>
    <w:rsid w:val="00564440"/>
    <w:rsid w:val="00564460"/>
    <w:rsid w:val="00564CB2"/>
    <w:rsid w:val="005672D9"/>
    <w:rsid w:val="005718F9"/>
    <w:rsid w:val="00571986"/>
    <w:rsid w:val="00571F84"/>
    <w:rsid w:val="00572D1F"/>
    <w:rsid w:val="00573AB1"/>
    <w:rsid w:val="00575A63"/>
    <w:rsid w:val="00576DBB"/>
    <w:rsid w:val="00580142"/>
    <w:rsid w:val="005809F1"/>
    <w:rsid w:val="00580F82"/>
    <w:rsid w:val="00581858"/>
    <w:rsid w:val="00581AAF"/>
    <w:rsid w:val="00582292"/>
    <w:rsid w:val="0058308B"/>
    <w:rsid w:val="00583CD5"/>
    <w:rsid w:val="00583D0B"/>
    <w:rsid w:val="00584415"/>
    <w:rsid w:val="005847A4"/>
    <w:rsid w:val="00584FEB"/>
    <w:rsid w:val="00585A85"/>
    <w:rsid w:val="005875D5"/>
    <w:rsid w:val="00587EA8"/>
    <w:rsid w:val="005902C6"/>
    <w:rsid w:val="00590367"/>
    <w:rsid w:val="00590BD2"/>
    <w:rsid w:val="00590E2A"/>
    <w:rsid w:val="00591FA8"/>
    <w:rsid w:val="00592BD7"/>
    <w:rsid w:val="00593B0C"/>
    <w:rsid w:val="00593FE0"/>
    <w:rsid w:val="00594FD8"/>
    <w:rsid w:val="00596509"/>
    <w:rsid w:val="00596E63"/>
    <w:rsid w:val="005A03B7"/>
    <w:rsid w:val="005A04EF"/>
    <w:rsid w:val="005A34F8"/>
    <w:rsid w:val="005A5BB1"/>
    <w:rsid w:val="005A5D97"/>
    <w:rsid w:val="005A67A0"/>
    <w:rsid w:val="005A6879"/>
    <w:rsid w:val="005A7AED"/>
    <w:rsid w:val="005B02F5"/>
    <w:rsid w:val="005B099E"/>
    <w:rsid w:val="005B3914"/>
    <w:rsid w:val="005B3FAC"/>
    <w:rsid w:val="005B43AE"/>
    <w:rsid w:val="005B478B"/>
    <w:rsid w:val="005B5834"/>
    <w:rsid w:val="005B5910"/>
    <w:rsid w:val="005B5CA5"/>
    <w:rsid w:val="005B720F"/>
    <w:rsid w:val="005B7508"/>
    <w:rsid w:val="005C118B"/>
    <w:rsid w:val="005C2F08"/>
    <w:rsid w:val="005C50CC"/>
    <w:rsid w:val="005C6266"/>
    <w:rsid w:val="005C66F0"/>
    <w:rsid w:val="005D03C5"/>
    <w:rsid w:val="005D0D19"/>
    <w:rsid w:val="005D1938"/>
    <w:rsid w:val="005D281A"/>
    <w:rsid w:val="005D2E6B"/>
    <w:rsid w:val="005D33B0"/>
    <w:rsid w:val="005D3434"/>
    <w:rsid w:val="005D3AA8"/>
    <w:rsid w:val="005D458C"/>
    <w:rsid w:val="005D4F8D"/>
    <w:rsid w:val="005D52EE"/>
    <w:rsid w:val="005D5E28"/>
    <w:rsid w:val="005D642F"/>
    <w:rsid w:val="005D6F4E"/>
    <w:rsid w:val="005D72CC"/>
    <w:rsid w:val="005D7A63"/>
    <w:rsid w:val="005E03A4"/>
    <w:rsid w:val="005E0905"/>
    <w:rsid w:val="005E0D1E"/>
    <w:rsid w:val="005E316B"/>
    <w:rsid w:val="005E379F"/>
    <w:rsid w:val="005E3E42"/>
    <w:rsid w:val="005E4961"/>
    <w:rsid w:val="005E4CE9"/>
    <w:rsid w:val="005E4FC0"/>
    <w:rsid w:val="005E537F"/>
    <w:rsid w:val="005E5BDA"/>
    <w:rsid w:val="005E5E13"/>
    <w:rsid w:val="005E63DF"/>
    <w:rsid w:val="005F0CC0"/>
    <w:rsid w:val="005F3AE9"/>
    <w:rsid w:val="005F4756"/>
    <w:rsid w:val="005F475D"/>
    <w:rsid w:val="005F4E99"/>
    <w:rsid w:val="005F504E"/>
    <w:rsid w:val="005F6E83"/>
    <w:rsid w:val="005F7511"/>
    <w:rsid w:val="005F789A"/>
    <w:rsid w:val="00600E80"/>
    <w:rsid w:val="00602086"/>
    <w:rsid w:val="0060216B"/>
    <w:rsid w:val="0060272A"/>
    <w:rsid w:val="00602B53"/>
    <w:rsid w:val="00604115"/>
    <w:rsid w:val="006054CD"/>
    <w:rsid w:val="0060554F"/>
    <w:rsid w:val="0060560F"/>
    <w:rsid w:val="00605694"/>
    <w:rsid w:val="00606702"/>
    <w:rsid w:val="006075B8"/>
    <w:rsid w:val="00610239"/>
    <w:rsid w:val="00611658"/>
    <w:rsid w:val="00611D04"/>
    <w:rsid w:val="00612D8A"/>
    <w:rsid w:val="006136B3"/>
    <w:rsid w:val="00613784"/>
    <w:rsid w:val="006155AD"/>
    <w:rsid w:val="00616F52"/>
    <w:rsid w:val="00617B12"/>
    <w:rsid w:val="0062030C"/>
    <w:rsid w:val="00620355"/>
    <w:rsid w:val="00620A88"/>
    <w:rsid w:val="00621051"/>
    <w:rsid w:val="00621D49"/>
    <w:rsid w:val="00622498"/>
    <w:rsid w:val="00624639"/>
    <w:rsid w:val="00624871"/>
    <w:rsid w:val="00624EFB"/>
    <w:rsid w:val="0062575B"/>
    <w:rsid w:val="00627798"/>
    <w:rsid w:val="0063034E"/>
    <w:rsid w:val="00630FC7"/>
    <w:rsid w:val="00631F4F"/>
    <w:rsid w:val="00632BB6"/>
    <w:rsid w:val="00634694"/>
    <w:rsid w:val="006349FC"/>
    <w:rsid w:val="006358C4"/>
    <w:rsid w:val="00636C65"/>
    <w:rsid w:val="00637060"/>
    <w:rsid w:val="00637788"/>
    <w:rsid w:val="00637B96"/>
    <w:rsid w:val="006418F3"/>
    <w:rsid w:val="00641B7F"/>
    <w:rsid w:val="006424C6"/>
    <w:rsid w:val="0064292A"/>
    <w:rsid w:val="00643274"/>
    <w:rsid w:val="00643CFA"/>
    <w:rsid w:val="00644D61"/>
    <w:rsid w:val="00645227"/>
    <w:rsid w:val="00645F24"/>
    <w:rsid w:val="006466AD"/>
    <w:rsid w:val="00647192"/>
    <w:rsid w:val="00647BB6"/>
    <w:rsid w:val="00647E48"/>
    <w:rsid w:val="00650196"/>
    <w:rsid w:val="00650C89"/>
    <w:rsid w:val="006518E4"/>
    <w:rsid w:val="00652261"/>
    <w:rsid w:val="0065326D"/>
    <w:rsid w:val="00653EDA"/>
    <w:rsid w:val="006540A8"/>
    <w:rsid w:val="00654DF1"/>
    <w:rsid w:val="00656A38"/>
    <w:rsid w:val="00656C00"/>
    <w:rsid w:val="00656E1F"/>
    <w:rsid w:val="006627E0"/>
    <w:rsid w:val="00662862"/>
    <w:rsid w:val="00663050"/>
    <w:rsid w:val="006637BC"/>
    <w:rsid w:val="006645F5"/>
    <w:rsid w:val="00664AA8"/>
    <w:rsid w:val="00664DD2"/>
    <w:rsid w:val="006656BB"/>
    <w:rsid w:val="00667125"/>
    <w:rsid w:val="006675E8"/>
    <w:rsid w:val="00667E2D"/>
    <w:rsid w:val="00670D80"/>
    <w:rsid w:val="006717E6"/>
    <w:rsid w:val="00671E29"/>
    <w:rsid w:val="00672890"/>
    <w:rsid w:val="00672E53"/>
    <w:rsid w:val="00673136"/>
    <w:rsid w:val="006756FE"/>
    <w:rsid w:val="006757FE"/>
    <w:rsid w:val="00675C66"/>
    <w:rsid w:val="0067605C"/>
    <w:rsid w:val="00677422"/>
    <w:rsid w:val="00681692"/>
    <w:rsid w:val="006823C5"/>
    <w:rsid w:val="00682E62"/>
    <w:rsid w:val="0068353D"/>
    <w:rsid w:val="00683DEF"/>
    <w:rsid w:val="00683F7A"/>
    <w:rsid w:val="0068444A"/>
    <w:rsid w:val="006846A4"/>
    <w:rsid w:val="006858A5"/>
    <w:rsid w:val="0068632C"/>
    <w:rsid w:val="00686608"/>
    <w:rsid w:val="0068692A"/>
    <w:rsid w:val="00686D08"/>
    <w:rsid w:val="00686E5B"/>
    <w:rsid w:val="00690341"/>
    <w:rsid w:val="00691FF5"/>
    <w:rsid w:val="00692B32"/>
    <w:rsid w:val="00693DA5"/>
    <w:rsid w:val="00693F94"/>
    <w:rsid w:val="00695D51"/>
    <w:rsid w:val="006A0025"/>
    <w:rsid w:val="006A085D"/>
    <w:rsid w:val="006A2333"/>
    <w:rsid w:val="006A3FF1"/>
    <w:rsid w:val="006A44F4"/>
    <w:rsid w:val="006A45E2"/>
    <w:rsid w:val="006A53F9"/>
    <w:rsid w:val="006A55F3"/>
    <w:rsid w:val="006A5E15"/>
    <w:rsid w:val="006A7CDF"/>
    <w:rsid w:val="006B00F8"/>
    <w:rsid w:val="006B0BCE"/>
    <w:rsid w:val="006B0E5E"/>
    <w:rsid w:val="006B1474"/>
    <w:rsid w:val="006B1ED1"/>
    <w:rsid w:val="006B2A23"/>
    <w:rsid w:val="006B39D6"/>
    <w:rsid w:val="006B3BF3"/>
    <w:rsid w:val="006B47A4"/>
    <w:rsid w:val="006B4B97"/>
    <w:rsid w:val="006B4C1F"/>
    <w:rsid w:val="006B4F70"/>
    <w:rsid w:val="006B4FE3"/>
    <w:rsid w:val="006B51A8"/>
    <w:rsid w:val="006B555F"/>
    <w:rsid w:val="006B5BBC"/>
    <w:rsid w:val="006B5FD6"/>
    <w:rsid w:val="006B5FDC"/>
    <w:rsid w:val="006B75C8"/>
    <w:rsid w:val="006C09E4"/>
    <w:rsid w:val="006C1BCF"/>
    <w:rsid w:val="006C3B98"/>
    <w:rsid w:val="006C41CC"/>
    <w:rsid w:val="006C4C8C"/>
    <w:rsid w:val="006C5978"/>
    <w:rsid w:val="006C67D0"/>
    <w:rsid w:val="006C7366"/>
    <w:rsid w:val="006D08A2"/>
    <w:rsid w:val="006D0C05"/>
    <w:rsid w:val="006D0F4A"/>
    <w:rsid w:val="006D16F0"/>
    <w:rsid w:val="006D18C9"/>
    <w:rsid w:val="006D1FC6"/>
    <w:rsid w:val="006D24F4"/>
    <w:rsid w:val="006D2C95"/>
    <w:rsid w:val="006D3087"/>
    <w:rsid w:val="006D390B"/>
    <w:rsid w:val="006D46E6"/>
    <w:rsid w:val="006D529B"/>
    <w:rsid w:val="006D54D1"/>
    <w:rsid w:val="006D55E4"/>
    <w:rsid w:val="006D621B"/>
    <w:rsid w:val="006D6B69"/>
    <w:rsid w:val="006D7D8A"/>
    <w:rsid w:val="006E0E62"/>
    <w:rsid w:val="006E13C8"/>
    <w:rsid w:val="006E1AAB"/>
    <w:rsid w:val="006E1EBC"/>
    <w:rsid w:val="006E2DC1"/>
    <w:rsid w:val="006E3ABB"/>
    <w:rsid w:val="006E45D9"/>
    <w:rsid w:val="006E4F32"/>
    <w:rsid w:val="006E4F76"/>
    <w:rsid w:val="006E62CD"/>
    <w:rsid w:val="006E6465"/>
    <w:rsid w:val="006E6E35"/>
    <w:rsid w:val="006F13CF"/>
    <w:rsid w:val="006F28F3"/>
    <w:rsid w:val="006F345C"/>
    <w:rsid w:val="006F419C"/>
    <w:rsid w:val="006F470A"/>
    <w:rsid w:val="006F4E24"/>
    <w:rsid w:val="006F67AC"/>
    <w:rsid w:val="006F6B36"/>
    <w:rsid w:val="0070037B"/>
    <w:rsid w:val="00700802"/>
    <w:rsid w:val="0070137A"/>
    <w:rsid w:val="007023BB"/>
    <w:rsid w:val="00702669"/>
    <w:rsid w:val="00702884"/>
    <w:rsid w:val="00703459"/>
    <w:rsid w:val="00705783"/>
    <w:rsid w:val="00706ACD"/>
    <w:rsid w:val="00706DF8"/>
    <w:rsid w:val="0070757F"/>
    <w:rsid w:val="00710C89"/>
    <w:rsid w:val="00710F4C"/>
    <w:rsid w:val="00711397"/>
    <w:rsid w:val="0071174D"/>
    <w:rsid w:val="007122A8"/>
    <w:rsid w:val="007125E8"/>
    <w:rsid w:val="007132F2"/>
    <w:rsid w:val="00713848"/>
    <w:rsid w:val="00713CE5"/>
    <w:rsid w:val="00715163"/>
    <w:rsid w:val="0071520A"/>
    <w:rsid w:val="0071562A"/>
    <w:rsid w:val="00715958"/>
    <w:rsid w:val="00721951"/>
    <w:rsid w:val="00721E7F"/>
    <w:rsid w:val="00721FC4"/>
    <w:rsid w:val="00722B3F"/>
    <w:rsid w:val="00723479"/>
    <w:rsid w:val="007241FA"/>
    <w:rsid w:val="00725290"/>
    <w:rsid w:val="007253AA"/>
    <w:rsid w:val="00726C2F"/>
    <w:rsid w:val="0072729C"/>
    <w:rsid w:val="00727F99"/>
    <w:rsid w:val="00730C76"/>
    <w:rsid w:val="00731F5B"/>
    <w:rsid w:val="00732A24"/>
    <w:rsid w:val="00732F27"/>
    <w:rsid w:val="007330C4"/>
    <w:rsid w:val="00733981"/>
    <w:rsid w:val="00733A0E"/>
    <w:rsid w:val="0073433F"/>
    <w:rsid w:val="0073472E"/>
    <w:rsid w:val="0073476F"/>
    <w:rsid w:val="00735934"/>
    <w:rsid w:val="00735B5B"/>
    <w:rsid w:val="00740579"/>
    <w:rsid w:val="00741714"/>
    <w:rsid w:val="0074283C"/>
    <w:rsid w:val="007444E0"/>
    <w:rsid w:val="0074554D"/>
    <w:rsid w:val="00745DAF"/>
    <w:rsid w:val="0074605B"/>
    <w:rsid w:val="00750342"/>
    <w:rsid w:val="007516BA"/>
    <w:rsid w:val="00751B26"/>
    <w:rsid w:val="00751DBC"/>
    <w:rsid w:val="00751E1C"/>
    <w:rsid w:val="00752559"/>
    <w:rsid w:val="0075286B"/>
    <w:rsid w:val="00752CB2"/>
    <w:rsid w:val="00752FA3"/>
    <w:rsid w:val="007541B8"/>
    <w:rsid w:val="00755836"/>
    <w:rsid w:val="00755FB2"/>
    <w:rsid w:val="0075690F"/>
    <w:rsid w:val="007571A8"/>
    <w:rsid w:val="00757AD1"/>
    <w:rsid w:val="00757F9D"/>
    <w:rsid w:val="00760AB1"/>
    <w:rsid w:val="0076138D"/>
    <w:rsid w:val="007620CE"/>
    <w:rsid w:val="00762888"/>
    <w:rsid w:val="00764500"/>
    <w:rsid w:val="00764AC3"/>
    <w:rsid w:val="007661E2"/>
    <w:rsid w:val="00766877"/>
    <w:rsid w:val="0076763A"/>
    <w:rsid w:val="0077043D"/>
    <w:rsid w:val="0077237F"/>
    <w:rsid w:val="007728DE"/>
    <w:rsid w:val="00772C7C"/>
    <w:rsid w:val="00773170"/>
    <w:rsid w:val="00775040"/>
    <w:rsid w:val="007757BB"/>
    <w:rsid w:val="00775BD2"/>
    <w:rsid w:val="00775DDF"/>
    <w:rsid w:val="00775EE1"/>
    <w:rsid w:val="00776722"/>
    <w:rsid w:val="00776D1B"/>
    <w:rsid w:val="007779CF"/>
    <w:rsid w:val="00777F0C"/>
    <w:rsid w:val="00782511"/>
    <w:rsid w:val="00782556"/>
    <w:rsid w:val="0078298A"/>
    <w:rsid w:val="00782B7E"/>
    <w:rsid w:val="00783116"/>
    <w:rsid w:val="00783649"/>
    <w:rsid w:val="00785749"/>
    <w:rsid w:val="00785B10"/>
    <w:rsid w:val="00787237"/>
    <w:rsid w:val="007874AE"/>
    <w:rsid w:val="007874FC"/>
    <w:rsid w:val="00790113"/>
    <w:rsid w:val="00791768"/>
    <w:rsid w:val="0079253A"/>
    <w:rsid w:val="00792611"/>
    <w:rsid w:val="00792ABB"/>
    <w:rsid w:val="00792C1A"/>
    <w:rsid w:val="0079428A"/>
    <w:rsid w:val="007943EF"/>
    <w:rsid w:val="007950C1"/>
    <w:rsid w:val="00795D1F"/>
    <w:rsid w:val="007963A7"/>
    <w:rsid w:val="00796AAD"/>
    <w:rsid w:val="00796D8C"/>
    <w:rsid w:val="0079717D"/>
    <w:rsid w:val="00797AAF"/>
    <w:rsid w:val="007A0214"/>
    <w:rsid w:val="007A05D2"/>
    <w:rsid w:val="007A08D8"/>
    <w:rsid w:val="007A2CEF"/>
    <w:rsid w:val="007A2E2F"/>
    <w:rsid w:val="007A3476"/>
    <w:rsid w:val="007A4CB3"/>
    <w:rsid w:val="007A5FC3"/>
    <w:rsid w:val="007A62D6"/>
    <w:rsid w:val="007A66D5"/>
    <w:rsid w:val="007A7EA1"/>
    <w:rsid w:val="007B0514"/>
    <w:rsid w:val="007B05B5"/>
    <w:rsid w:val="007B0C6B"/>
    <w:rsid w:val="007B0F42"/>
    <w:rsid w:val="007B2A64"/>
    <w:rsid w:val="007B426B"/>
    <w:rsid w:val="007B47CF"/>
    <w:rsid w:val="007B64C5"/>
    <w:rsid w:val="007B754F"/>
    <w:rsid w:val="007B7A69"/>
    <w:rsid w:val="007C01AB"/>
    <w:rsid w:val="007C0F2B"/>
    <w:rsid w:val="007C127B"/>
    <w:rsid w:val="007C12CB"/>
    <w:rsid w:val="007C197D"/>
    <w:rsid w:val="007C21B0"/>
    <w:rsid w:val="007C2539"/>
    <w:rsid w:val="007C2653"/>
    <w:rsid w:val="007C2C9B"/>
    <w:rsid w:val="007C2E0F"/>
    <w:rsid w:val="007C33CD"/>
    <w:rsid w:val="007C578C"/>
    <w:rsid w:val="007C5AB0"/>
    <w:rsid w:val="007C6616"/>
    <w:rsid w:val="007D0318"/>
    <w:rsid w:val="007D0B3A"/>
    <w:rsid w:val="007D1028"/>
    <w:rsid w:val="007D1ACD"/>
    <w:rsid w:val="007D25DE"/>
    <w:rsid w:val="007D334C"/>
    <w:rsid w:val="007D35B6"/>
    <w:rsid w:val="007D42DB"/>
    <w:rsid w:val="007D438F"/>
    <w:rsid w:val="007D607D"/>
    <w:rsid w:val="007D65D2"/>
    <w:rsid w:val="007D7533"/>
    <w:rsid w:val="007E03FF"/>
    <w:rsid w:val="007E0702"/>
    <w:rsid w:val="007E0C96"/>
    <w:rsid w:val="007E168F"/>
    <w:rsid w:val="007E2E1F"/>
    <w:rsid w:val="007E2E6D"/>
    <w:rsid w:val="007E3132"/>
    <w:rsid w:val="007E3EB5"/>
    <w:rsid w:val="007E4A02"/>
    <w:rsid w:val="007E5664"/>
    <w:rsid w:val="007F0353"/>
    <w:rsid w:val="007F3468"/>
    <w:rsid w:val="007F3ADB"/>
    <w:rsid w:val="007F41E8"/>
    <w:rsid w:val="007F4843"/>
    <w:rsid w:val="007F5628"/>
    <w:rsid w:val="007F56A1"/>
    <w:rsid w:val="007F5AB7"/>
    <w:rsid w:val="00800428"/>
    <w:rsid w:val="0080065B"/>
    <w:rsid w:val="00801C93"/>
    <w:rsid w:val="008033B6"/>
    <w:rsid w:val="00805174"/>
    <w:rsid w:val="008061DE"/>
    <w:rsid w:val="00806F9E"/>
    <w:rsid w:val="00807624"/>
    <w:rsid w:val="008109EA"/>
    <w:rsid w:val="00810F86"/>
    <w:rsid w:val="00811F20"/>
    <w:rsid w:val="00812293"/>
    <w:rsid w:val="00813E00"/>
    <w:rsid w:val="00814060"/>
    <w:rsid w:val="008160D6"/>
    <w:rsid w:val="00816256"/>
    <w:rsid w:val="0081657B"/>
    <w:rsid w:val="00817819"/>
    <w:rsid w:val="008179BF"/>
    <w:rsid w:val="008229D4"/>
    <w:rsid w:val="008247A2"/>
    <w:rsid w:val="00824D14"/>
    <w:rsid w:val="008252DA"/>
    <w:rsid w:val="00825383"/>
    <w:rsid w:val="00826E2D"/>
    <w:rsid w:val="0082703E"/>
    <w:rsid w:val="00827932"/>
    <w:rsid w:val="008304CD"/>
    <w:rsid w:val="00830B55"/>
    <w:rsid w:val="008310B2"/>
    <w:rsid w:val="0083131E"/>
    <w:rsid w:val="0083205E"/>
    <w:rsid w:val="00832BA7"/>
    <w:rsid w:val="00833E11"/>
    <w:rsid w:val="0083469D"/>
    <w:rsid w:val="00834785"/>
    <w:rsid w:val="00834C7D"/>
    <w:rsid w:val="00834F5A"/>
    <w:rsid w:val="00835320"/>
    <w:rsid w:val="008353DB"/>
    <w:rsid w:val="0083588E"/>
    <w:rsid w:val="0083681A"/>
    <w:rsid w:val="00836DC5"/>
    <w:rsid w:val="00836F95"/>
    <w:rsid w:val="00837121"/>
    <w:rsid w:val="00837248"/>
    <w:rsid w:val="00837665"/>
    <w:rsid w:val="00840465"/>
    <w:rsid w:val="008410CD"/>
    <w:rsid w:val="00841B23"/>
    <w:rsid w:val="0084210A"/>
    <w:rsid w:val="0084289E"/>
    <w:rsid w:val="00842F31"/>
    <w:rsid w:val="00844326"/>
    <w:rsid w:val="00844A53"/>
    <w:rsid w:val="00844D47"/>
    <w:rsid w:val="008477FA"/>
    <w:rsid w:val="00847C47"/>
    <w:rsid w:val="00847CD0"/>
    <w:rsid w:val="00850121"/>
    <w:rsid w:val="00850AE4"/>
    <w:rsid w:val="00850BF6"/>
    <w:rsid w:val="00850DF5"/>
    <w:rsid w:val="00851EEC"/>
    <w:rsid w:val="00852312"/>
    <w:rsid w:val="00856469"/>
    <w:rsid w:val="008569DD"/>
    <w:rsid w:val="008570DC"/>
    <w:rsid w:val="008572BE"/>
    <w:rsid w:val="008573EE"/>
    <w:rsid w:val="00857992"/>
    <w:rsid w:val="00857A46"/>
    <w:rsid w:val="00860A0C"/>
    <w:rsid w:val="008619B1"/>
    <w:rsid w:val="00862694"/>
    <w:rsid w:val="00862AEA"/>
    <w:rsid w:val="008638C6"/>
    <w:rsid w:val="00863B6A"/>
    <w:rsid w:val="00865FC4"/>
    <w:rsid w:val="008665D2"/>
    <w:rsid w:val="008666F9"/>
    <w:rsid w:val="00866B41"/>
    <w:rsid w:val="00867023"/>
    <w:rsid w:val="00867120"/>
    <w:rsid w:val="00867B11"/>
    <w:rsid w:val="00870364"/>
    <w:rsid w:val="0087091A"/>
    <w:rsid w:val="00870BBF"/>
    <w:rsid w:val="0087185A"/>
    <w:rsid w:val="00873E0C"/>
    <w:rsid w:val="00874094"/>
    <w:rsid w:val="00874187"/>
    <w:rsid w:val="008742A7"/>
    <w:rsid w:val="008757CB"/>
    <w:rsid w:val="008758E7"/>
    <w:rsid w:val="00875F79"/>
    <w:rsid w:val="0087708F"/>
    <w:rsid w:val="008808BE"/>
    <w:rsid w:val="00880ED4"/>
    <w:rsid w:val="00881705"/>
    <w:rsid w:val="008819A5"/>
    <w:rsid w:val="00882275"/>
    <w:rsid w:val="00884016"/>
    <w:rsid w:val="008846C3"/>
    <w:rsid w:val="00884E75"/>
    <w:rsid w:val="008867E8"/>
    <w:rsid w:val="008869AE"/>
    <w:rsid w:val="008871C7"/>
    <w:rsid w:val="00887466"/>
    <w:rsid w:val="00887ADD"/>
    <w:rsid w:val="00890083"/>
    <w:rsid w:val="0089098E"/>
    <w:rsid w:val="00891A57"/>
    <w:rsid w:val="008934FD"/>
    <w:rsid w:val="00893C42"/>
    <w:rsid w:val="00894AF1"/>
    <w:rsid w:val="00894FCA"/>
    <w:rsid w:val="00894FEB"/>
    <w:rsid w:val="00896099"/>
    <w:rsid w:val="00896FF3"/>
    <w:rsid w:val="008975A1"/>
    <w:rsid w:val="008976B1"/>
    <w:rsid w:val="00897B29"/>
    <w:rsid w:val="00897E58"/>
    <w:rsid w:val="008A36C1"/>
    <w:rsid w:val="008A3EB9"/>
    <w:rsid w:val="008A482A"/>
    <w:rsid w:val="008A4C8F"/>
    <w:rsid w:val="008A6F42"/>
    <w:rsid w:val="008A71C7"/>
    <w:rsid w:val="008A7B2A"/>
    <w:rsid w:val="008A7EDF"/>
    <w:rsid w:val="008A7FB4"/>
    <w:rsid w:val="008B067A"/>
    <w:rsid w:val="008B0B4B"/>
    <w:rsid w:val="008B2646"/>
    <w:rsid w:val="008B27C4"/>
    <w:rsid w:val="008B2810"/>
    <w:rsid w:val="008B3838"/>
    <w:rsid w:val="008B53F9"/>
    <w:rsid w:val="008B6D73"/>
    <w:rsid w:val="008B6E4D"/>
    <w:rsid w:val="008C027C"/>
    <w:rsid w:val="008C0520"/>
    <w:rsid w:val="008C0A92"/>
    <w:rsid w:val="008C0FB5"/>
    <w:rsid w:val="008C2303"/>
    <w:rsid w:val="008C2596"/>
    <w:rsid w:val="008C33DA"/>
    <w:rsid w:val="008C3839"/>
    <w:rsid w:val="008C3B11"/>
    <w:rsid w:val="008C4E35"/>
    <w:rsid w:val="008C4E9B"/>
    <w:rsid w:val="008C4FF1"/>
    <w:rsid w:val="008C54C1"/>
    <w:rsid w:val="008C5687"/>
    <w:rsid w:val="008C6B27"/>
    <w:rsid w:val="008C7D38"/>
    <w:rsid w:val="008C7D8E"/>
    <w:rsid w:val="008C7E0A"/>
    <w:rsid w:val="008D2E0C"/>
    <w:rsid w:val="008D3245"/>
    <w:rsid w:val="008D379B"/>
    <w:rsid w:val="008D4ADC"/>
    <w:rsid w:val="008D52B1"/>
    <w:rsid w:val="008D63C7"/>
    <w:rsid w:val="008E0089"/>
    <w:rsid w:val="008E030C"/>
    <w:rsid w:val="008E06E3"/>
    <w:rsid w:val="008E0B2E"/>
    <w:rsid w:val="008E1428"/>
    <w:rsid w:val="008E25EE"/>
    <w:rsid w:val="008E357A"/>
    <w:rsid w:val="008E3878"/>
    <w:rsid w:val="008E4F11"/>
    <w:rsid w:val="008E5358"/>
    <w:rsid w:val="008E5ABB"/>
    <w:rsid w:val="008E77F0"/>
    <w:rsid w:val="008F09D5"/>
    <w:rsid w:val="008F0EFB"/>
    <w:rsid w:val="008F12A5"/>
    <w:rsid w:val="008F1FD8"/>
    <w:rsid w:val="008F42A2"/>
    <w:rsid w:val="008F54CA"/>
    <w:rsid w:val="008F55CB"/>
    <w:rsid w:val="008F5E9B"/>
    <w:rsid w:val="008F5EE2"/>
    <w:rsid w:val="008F61FA"/>
    <w:rsid w:val="008F677F"/>
    <w:rsid w:val="008F6D7A"/>
    <w:rsid w:val="008F7FC9"/>
    <w:rsid w:val="0090015A"/>
    <w:rsid w:val="0090122D"/>
    <w:rsid w:val="00901893"/>
    <w:rsid w:val="00903F1A"/>
    <w:rsid w:val="009064A1"/>
    <w:rsid w:val="00906B1F"/>
    <w:rsid w:val="00906C78"/>
    <w:rsid w:val="00906D68"/>
    <w:rsid w:val="0090735E"/>
    <w:rsid w:val="00910C53"/>
    <w:rsid w:val="00911138"/>
    <w:rsid w:val="00914FB7"/>
    <w:rsid w:val="00915B59"/>
    <w:rsid w:val="00916441"/>
    <w:rsid w:val="009164BA"/>
    <w:rsid w:val="00917C2C"/>
    <w:rsid w:val="009201CC"/>
    <w:rsid w:val="009212D9"/>
    <w:rsid w:val="00921ADB"/>
    <w:rsid w:val="00923381"/>
    <w:rsid w:val="00923A61"/>
    <w:rsid w:val="00923DB6"/>
    <w:rsid w:val="0092441E"/>
    <w:rsid w:val="00924CA4"/>
    <w:rsid w:val="00925F1F"/>
    <w:rsid w:val="00926C5F"/>
    <w:rsid w:val="00926D79"/>
    <w:rsid w:val="009276AB"/>
    <w:rsid w:val="009300FC"/>
    <w:rsid w:val="00932492"/>
    <w:rsid w:val="009325E5"/>
    <w:rsid w:val="00934B2A"/>
    <w:rsid w:val="00934EAA"/>
    <w:rsid w:val="00936BDF"/>
    <w:rsid w:val="009438BB"/>
    <w:rsid w:val="00943CC6"/>
    <w:rsid w:val="00943DF2"/>
    <w:rsid w:val="0094573C"/>
    <w:rsid w:val="009477D6"/>
    <w:rsid w:val="00950102"/>
    <w:rsid w:val="00950FFC"/>
    <w:rsid w:val="00951269"/>
    <w:rsid w:val="00951985"/>
    <w:rsid w:val="00951DB2"/>
    <w:rsid w:val="009528AA"/>
    <w:rsid w:val="00952CAE"/>
    <w:rsid w:val="009536C6"/>
    <w:rsid w:val="00954916"/>
    <w:rsid w:val="009549B5"/>
    <w:rsid w:val="00954F3E"/>
    <w:rsid w:val="00955331"/>
    <w:rsid w:val="0095534C"/>
    <w:rsid w:val="00955919"/>
    <w:rsid w:val="00957C36"/>
    <w:rsid w:val="0096025A"/>
    <w:rsid w:val="0096057E"/>
    <w:rsid w:val="009621D0"/>
    <w:rsid w:val="009624E5"/>
    <w:rsid w:val="009638FA"/>
    <w:rsid w:val="009652CB"/>
    <w:rsid w:val="00966D33"/>
    <w:rsid w:val="0096768B"/>
    <w:rsid w:val="00967E2D"/>
    <w:rsid w:val="00970759"/>
    <w:rsid w:val="0097084C"/>
    <w:rsid w:val="00971282"/>
    <w:rsid w:val="009712C3"/>
    <w:rsid w:val="00971C1D"/>
    <w:rsid w:val="009729A7"/>
    <w:rsid w:val="00972A1D"/>
    <w:rsid w:val="00973C02"/>
    <w:rsid w:val="00973E6E"/>
    <w:rsid w:val="009742E9"/>
    <w:rsid w:val="00975F5C"/>
    <w:rsid w:val="009768E9"/>
    <w:rsid w:val="009770C9"/>
    <w:rsid w:val="0097790C"/>
    <w:rsid w:val="00977AA5"/>
    <w:rsid w:val="00977FBE"/>
    <w:rsid w:val="00981877"/>
    <w:rsid w:val="0098190F"/>
    <w:rsid w:val="009823F4"/>
    <w:rsid w:val="00982FA0"/>
    <w:rsid w:val="0098506D"/>
    <w:rsid w:val="0098529E"/>
    <w:rsid w:val="00987CD5"/>
    <w:rsid w:val="0099072B"/>
    <w:rsid w:val="009915CC"/>
    <w:rsid w:val="00991F0C"/>
    <w:rsid w:val="00992587"/>
    <w:rsid w:val="00992AC2"/>
    <w:rsid w:val="00992F4B"/>
    <w:rsid w:val="00995725"/>
    <w:rsid w:val="009960E6"/>
    <w:rsid w:val="009966CE"/>
    <w:rsid w:val="00996815"/>
    <w:rsid w:val="00996C08"/>
    <w:rsid w:val="00997F50"/>
    <w:rsid w:val="009A049E"/>
    <w:rsid w:val="009A0C9D"/>
    <w:rsid w:val="009A19EB"/>
    <w:rsid w:val="009A349C"/>
    <w:rsid w:val="009A3A34"/>
    <w:rsid w:val="009A474F"/>
    <w:rsid w:val="009A58BB"/>
    <w:rsid w:val="009A5B69"/>
    <w:rsid w:val="009A67B4"/>
    <w:rsid w:val="009A7669"/>
    <w:rsid w:val="009A76C6"/>
    <w:rsid w:val="009B0A3E"/>
    <w:rsid w:val="009B0A9B"/>
    <w:rsid w:val="009B19DD"/>
    <w:rsid w:val="009B25D5"/>
    <w:rsid w:val="009B3007"/>
    <w:rsid w:val="009B4DDD"/>
    <w:rsid w:val="009B4E74"/>
    <w:rsid w:val="009B5F5E"/>
    <w:rsid w:val="009B6489"/>
    <w:rsid w:val="009B68AE"/>
    <w:rsid w:val="009B721D"/>
    <w:rsid w:val="009C01CA"/>
    <w:rsid w:val="009C2DDD"/>
    <w:rsid w:val="009C3D2B"/>
    <w:rsid w:val="009C4F26"/>
    <w:rsid w:val="009C6771"/>
    <w:rsid w:val="009C6A8E"/>
    <w:rsid w:val="009C76E7"/>
    <w:rsid w:val="009D01C1"/>
    <w:rsid w:val="009D0363"/>
    <w:rsid w:val="009D0A47"/>
    <w:rsid w:val="009D0D39"/>
    <w:rsid w:val="009D159A"/>
    <w:rsid w:val="009D1E83"/>
    <w:rsid w:val="009D247B"/>
    <w:rsid w:val="009D3059"/>
    <w:rsid w:val="009D3331"/>
    <w:rsid w:val="009D4D58"/>
    <w:rsid w:val="009D56DC"/>
    <w:rsid w:val="009D5822"/>
    <w:rsid w:val="009D5FF5"/>
    <w:rsid w:val="009D6846"/>
    <w:rsid w:val="009D6D35"/>
    <w:rsid w:val="009D779D"/>
    <w:rsid w:val="009D78D4"/>
    <w:rsid w:val="009D798D"/>
    <w:rsid w:val="009D7C64"/>
    <w:rsid w:val="009E04BA"/>
    <w:rsid w:val="009E0A90"/>
    <w:rsid w:val="009E3968"/>
    <w:rsid w:val="009E55C7"/>
    <w:rsid w:val="009E55F2"/>
    <w:rsid w:val="009E5886"/>
    <w:rsid w:val="009E5D5B"/>
    <w:rsid w:val="009E7A1B"/>
    <w:rsid w:val="009F07EB"/>
    <w:rsid w:val="009F1CFC"/>
    <w:rsid w:val="009F30CF"/>
    <w:rsid w:val="009F390F"/>
    <w:rsid w:val="009F45F5"/>
    <w:rsid w:val="009F4DBF"/>
    <w:rsid w:val="009F5004"/>
    <w:rsid w:val="009F52FA"/>
    <w:rsid w:val="009F56BD"/>
    <w:rsid w:val="009F6C2A"/>
    <w:rsid w:val="009F7259"/>
    <w:rsid w:val="009F74EB"/>
    <w:rsid w:val="00A022CD"/>
    <w:rsid w:val="00A03B12"/>
    <w:rsid w:val="00A040CC"/>
    <w:rsid w:val="00A06DA9"/>
    <w:rsid w:val="00A071A2"/>
    <w:rsid w:val="00A076D3"/>
    <w:rsid w:val="00A10576"/>
    <w:rsid w:val="00A10E4D"/>
    <w:rsid w:val="00A11764"/>
    <w:rsid w:val="00A11A12"/>
    <w:rsid w:val="00A11A56"/>
    <w:rsid w:val="00A12529"/>
    <w:rsid w:val="00A13AA6"/>
    <w:rsid w:val="00A14452"/>
    <w:rsid w:val="00A15D6B"/>
    <w:rsid w:val="00A17C6D"/>
    <w:rsid w:val="00A17CA1"/>
    <w:rsid w:val="00A206BC"/>
    <w:rsid w:val="00A20C78"/>
    <w:rsid w:val="00A24589"/>
    <w:rsid w:val="00A252A5"/>
    <w:rsid w:val="00A2673C"/>
    <w:rsid w:val="00A27D50"/>
    <w:rsid w:val="00A3088D"/>
    <w:rsid w:val="00A31330"/>
    <w:rsid w:val="00A313DA"/>
    <w:rsid w:val="00A31834"/>
    <w:rsid w:val="00A323CB"/>
    <w:rsid w:val="00A3309C"/>
    <w:rsid w:val="00A33A3F"/>
    <w:rsid w:val="00A33B9B"/>
    <w:rsid w:val="00A3478C"/>
    <w:rsid w:val="00A34C0E"/>
    <w:rsid w:val="00A34EDF"/>
    <w:rsid w:val="00A356B9"/>
    <w:rsid w:val="00A36D5A"/>
    <w:rsid w:val="00A3716C"/>
    <w:rsid w:val="00A400F4"/>
    <w:rsid w:val="00A40649"/>
    <w:rsid w:val="00A4095F"/>
    <w:rsid w:val="00A41105"/>
    <w:rsid w:val="00A4139D"/>
    <w:rsid w:val="00A4289F"/>
    <w:rsid w:val="00A43034"/>
    <w:rsid w:val="00A431BF"/>
    <w:rsid w:val="00A43556"/>
    <w:rsid w:val="00A436C0"/>
    <w:rsid w:val="00A44905"/>
    <w:rsid w:val="00A44E52"/>
    <w:rsid w:val="00A45B46"/>
    <w:rsid w:val="00A460DE"/>
    <w:rsid w:val="00A47B20"/>
    <w:rsid w:val="00A50CF3"/>
    <w:rsid w:val="00A51A0F"/>
    <w:rsid w:val="00A534EC"/>
    <w:rsid w:val="00A5368E"/>
    <w:rsid w:val="00A5383A"/>
    <w:rsid w:val="00A55E10"/>
    <w:rsid w:val="00A564A2"/>
    <w:rsid w:val="00A57AE0"/>
    <w:rsid w:val="00A605E7"/>
    <w:rsid w:val="00A60B38"/>
    <w:rsid w:val="00A62DF4"/>
    <w:rsid w:val="00A62E7A"/>
    <w:rsid w:val="00A63919"/>
    <w:rsid w:val="00A6409B"/>
    <w:rsid w:val="00A6460B"/>
    <w:rsid w:val="00A6547B"/>
    <w:rsid w:val="00A660C0"/>
    <w:rsid w:val="00A66908"/>
    <w:rsid w:val="00A6706B"/>
    <w:rsid w:val="00A71D5B"/>
    <w:rsid w:val="00A72198"/>
    <w:rsid w:val="00A7386C"/>
    <w:rsid w:val="00A73A82"/>
    <w:rsid w:val="00A7440D"/>
    <w:rsid w:val="00A7560E"/>
    <w:rsid w:val="00A75739"/>
    <w:rsid w:val="00A76997"/>
    <w:rsid w:val="00A7743F"/>
    <w:rsid w:val="00A77970"/>
    <w:rsid w:val="00A77A73"/>
    <w:rsid w:val="00A80D78"/>
    <w:rsid w:val="00A8104E"/>
    <w:rsid w:val="00A81C5B"/>
    <w:rsid w:val="00A82644"/>
    <w:rsid w:val="00A850F5"/>
    <w:rsid w:val="00A8544F"/>
    <w:rsid w:val="00A8546D"/>
    <w:rsid w:val="00A8579E"/>
    <w:rsid w:val="00A85930"/>
    <w:rsid w:val="00A85CF5"/>
    <w:rsid w:val="00A86294"/>
    <w:rsid w:val="00A873CD"/>
    <w:rsid w:val="00A905A3"/>
    <w:rsid w:val="00A90955"/>
    <w:rsid w:val="00A90E74"/>
    <w:rsid w:val="00A9110F"/>
    <w:rsid w:val="00A917A1"/>
    <w:rsid w:val="00A92491"/>
    <w:rsid w:val="00A9293C"/>
    <w:rsid w:val="00A93B61"/>
    <w:rsid w:val="00A93C46"/>
    <w:rsid w:val="00A943E3"/>
    <w:rsid w:val="00A95476"/>
    <w:rsid w:val="00A9550C"/>
    <w:rsid w:val="00A96078"/>
    <w:rsid w:val="00A970D8"/>
    <w:rsid w:val="00A973A4"/>
    <w:rsid w:val="00A97BAA"/>
    <w:rsid w:val="00A97DF6"/>
    <w:rsid w:val="00AA0578"/>
    <w:rsid w:val="00AA0C28"/>
    <w:rsid w:val="00AA0D6D"/>
    <w:rsid w:val="00AA19D2"/>
    <w:rsid w:val="00AA3E7B"/>
    <w:rsid w:val="00AA51AE"/>
    <w:rsid w:val="00AA6F12"/>
    <w:rsid w:val="00AA7311"/>
    <w:rsid w:val="00AA76C7"/>
    <w:rsid w:val="00AA7DC9"/>
    <w:rsid w:val="00AA7FBB"/>
    <w:rsid w:val="00AB13AC"/>
    <w:rsid w:val="00AB2532"/>
    <w:rsid w:val="00AB30FC"/>
    <w:rsid w:val="00AB6D41"/>
    <w:rsid w:val="00AB76F4"/>
    <w:rsid w:val="00AB791F"/>
    <w:rsid w:val="00AB79BE"/>
    <w:rsid w:val="00AC170A"/>
    <w:rsid w:val="00AC1D93"/>
    <w:rsid w:val="00AC249C"/>
    <w:rsid w:val="00AC2D86"/>
    <w:rsid w:val="00AC5DA5"/>
    <w:rsid w:val="00AD00AE"/>
    <w:rsid w:val="00AD0398"/>
    <w:rsid w:val="00AD1629"/>
    <w:rsid w:val="00AD1866"/>
    <w:rsid w:val="00AD2A14"/>
    <w:rsid w:val="00AD477D"/>
    <w:rsid w:val="00AD4D47"/>
    <w:rsid w:val="00AD53C4"/>
    <w:rsid w:val="00AD59C0"/>
    <w:rsid w:val="00AD7604"/>
    <w:rsid w:val="00AD7B80"/>
    <w:rsid w:val="00AE0F24"/>
    <w:rsid w:val="00AE2A9F"/>
    <w:rsid w:val="00AE2D2A"/>
    <w:rsid w:val="00AE3983"/>
    <w:rsid w:val="00AE3E7F"/>
    <w:rsid w:val="00AE3FBF"/>
    <w:rsid w:val="00AE4A2D"/>
    <w:rsid w:val="00AE5CF7"/>
    <w:rsid w:val="00AE5E71"/>
    <w:rsid w:val="00AE6B9F"/>
    <w:rsid w:val="00AE70A6"/>
    <w:rsid w:val="00AF09A9"/>
    <w:rsid w:val="00AF0CED"/>
    <w:rsid w:val="00AF2698"/>
    <w:rsid w:val="00AF2F68"/>
    <w:rsid w:val="00AF3112"/>
    <w:rsid w:val="00AF4EE2"/>
    <w:rsid w:val="00AF7396"/>
    <w:rsid w:val="00B00757"/>
    <w:rsid w:val="00B00D7E"/>
    <w:rsid w:val="00B00E15"/>
    <w:rsid w:val="00B0149C"/>
    <w:rsid w:val="00B02002"/>
    <w:rsid w:val="00B02A0D"/>
    <w:rsid w:val="00B031D1"/>
    <w:rsid w:val="00B0489B"/>
    <w:rsid w:val="00B05A95"/>
    <w:rsid w:val="00B06197"/>
    <w:rsid w:val="00B06DC9"/>
    <w:rsid w:val="00B0781C"/>
    <w:rsid w:val="00B07E09"/>
    <w:rsid w:val="00B10062"/>
    <w:rsid w:val="00B10153"/>
    <w:rsid w:val="00B10681"/>
    <w:rsid w:val="00B109EA"/>
    <w:rsid w:val="00B12063"/>
    <w:rsid w:val="00B125FB"/>
    <w:rsid w:val="00B12889"/>
    <w:rsid w:val="00B14302"/>
    <w:rsid w:val="00B14D28"/>
    <w:rsid w:val="00B16535"/>
    <w:rsid w:val="00B203E9"/>
    <w:rsid w:val="00B24B8B"/>
    <w:rsid w:val="00B25638"/>
    <w:rsid w:val="00B26126"/>
    <w:rsid w:val="00B26629"/>
    <w:rsid w:val="00B278B5"/>
    <w:rsid w:val="00B27940"/>
    <w:rsid w:val="00B27B14"/>
    <w:rsid w:val="00B27DD0"/>
    <w:rsid w:val="00B3009C"/>
    <w:rsid w:val="00B305F3"/>
    <w:rsid w:val="00B31C5A"/>
    <w:rsid w:val="00B31FCC"/>
    <w:rsid w:val="00B32A45"/>
    <w:rsid w:val="00B334FC"/>
    <w:rsid w:val="00B3366F"/>
    <w:rsid w:val="00B35D6D"/>
    <w:rsid w:val="00B4185B"/>
    <w:rsid w:val="00B427E0"/>
    <w:rsid w:val="00B43566"/>
    <w:rsid w:val="00B43940"/>
    <w:rsid w:val="00B44002"/>
    <w:rsid w:val="00B44282"/>
    <w:rsid w:val="00B446AD"/>
    <w:rsid w:val="00B448AB"/>
    <w:rsid w:val="00B4530D"/>
    <w:rsid w:val="00B4570A"/>
    <w:rsid w:val="00B45F6B"/>
    <w:rsid w:val="00B46886"/>
    <w:rsid w:val="00B46907"/>
    <w:rsid w:val="00B474B1"/>
    <w:rsid w:val="00B5186E"/>
    <w:rsid w:val="00B51A29"/>
    <w:rsid w:val="00B5285C"/>
    <w:rsid w:val="00B52DA7"/>
    <w:rsid w:val="00B5373B"/>
    <w:rsid w:val="00B55008"/>
    <w:rsid w:val="00B55439"/>
    <w:rsid w:val="00B556D4"/>
    <w:rsid w:val="00B56D9A"/>
    <w:rsid w:val="00B56F10"/>
    <w:rsid w:val="00B56F60"/>
    <w:rsid w:val="00B57529"/>
    <w:rsid w:val="00B60723"/>
    <w:rsid w:val="00B60867"/>
    <w:rsid w:val="00B6173F"/>
    <w:rsid w:val="00B61C6F"/>
    <w:rsid w:val="00B61D8B"/>
    <w:rsid w:val="00B631DC"/>
    <w:rsid w:val="00B65267"/>
    <w:rsid w:val="00B653E6"/>
    <w:rsid w:val="00B66732"/>
    <w:rsid w:val="00B66939"/>
    <w:rsid w:val="00B70244"/>
    <w:rsid w:val="00B706E1"/>
    <w:rsid w:val="00B7160E"/>
    <w:rsid w:val="00B71BE9"/>
    <w:rsid w:val="00B7244F"/>
    <w:rsid w:val="00B726A5"/>
    <w:rsid w:val="00B72A72"/>
    <w:rsid w:val="00B737B8"/>
    <w:rsid w:val="00B73E42"/>
    <w:rsid w:val="00B741B4"/>
    <w:rsid w:val="00B74407"/>
    <w:rsid w:val="00B76F0F"/>
    <w:rsid w:val="00B807AC"/>
    <w:rsid w:val="00B81A9F"/>
    <w:rsid w:val="00B82D0E"/>
    <w:rsid w:val="00B831DD"/>
    <w:rsid w:val="00B83E14"/>
    <w:rsid w:val="00B84540"/>
    <w:rsid w:val="00B849A4"/>
    <w:rsid w:val="00B8665D"/>
    <w:rsid w:val="00B86E8A"/>
    <w:rsid w:val="00B87C14"/>
    <w:rsid w:val="00B91937"/>
    <w:rsid w:val="00B922B2"/>
    <w:rsid w:val="00B93249"/>
    <w:rsid w:val="00B93EEC"/>
    <w:rsid w:val="00B95569"/>
    <w:rsid w:val="00B956D2"/>
    <w:rsid w:val="00B95BA1"/>
    <w:rsid w:val="00B960F3"/>
    <w:rsid w:val="00B97C83"/>
    <w:rsid w:val="00BA0422"/>
    <w:rsid w:val="00BA1EF8"/>
    <w:rsid w:val="00BA2C85"/>
    <w:rsid w:val="00BA2DFC"/>
    <w:rsid w:val="00BA40AA"/>
    <w:rsid w:val="00BA4911"/>
    <w:rsid w:val="00BA4940"/>
    <w:rsid w:val="00BA4CBA"/>
    <w:rsid w:val="00BA4FA5"/>
    <w:rsid w:val="00BA5152"/>
    <w:rsid w:val="00BA58CB"/>
    <w:rsid w:val="00BA5C1D"/>
    <w:rsid w:val="00BA60A9"/>
    <w:rsid w:val="00BA657D"/>
    <w:rsid w:val="00BA6DB4"/>
    <w:rsid w:val="00BA7121"/>
    <w:rsid w:val="00BA7189"/>
    <w:rsid w:val="00BA7767"/>
    <w:rsid w:val="00BA7A81"/>
    <w:rsid w:val="00BA7BB4"/>
    <w:rsid w:val="00BB05B5"/>
    <w:rsid w:val="00BB1E43"/>
    <w:rsid w:val="00BB2142"/>
    <w:rsid w:val="00BB2149"/>
    <w:rsid w:val="00BB2DE4"/>
    <w:rsid w:val="00BB2F49"/>
    <w:rsid w:val="00BB50F0"/>
    <w:rsid w:val="00BB60E9"/>
    <w:rsid w:val="00BB70D2"/>
    <w:rsid w:val="00BB7972"/>
    <w:rsid w:val="00BB7A0A"/>
    <w:rsid w:val="00BB7B5F"/>
    <w:rsid w:val="00BB7F86"/>
    <w:rsid w:val="00BC0A26"/>
    <w:rsid w:val="00BC0EAC"/>
    <w:rsid w:val="00BC1244"/>
    <w:rsid w:val="00BC15EE"/>
    <w:rsid w:val="00BC2462"/>
    <w:rsid w:val="00BC2A67"/>
    <w:rsid w:val="00BC407D"/>
    <w:rsid w:val="00BC4289"/>
    <w:rsid w:val="00BC4324"/>
    <w:rsid w:val="00BC4B6A"/>
    <w:rsid w:val="00BD0C6D"/>
    <w:rsid w:val="00BD168C"/>
    <w:rsid w:val="00BD25DB"/>
    <w:rsid w:val="00BD28CB"/>
    <w:rsid w:val="00BD33DF"/>
    <w:rsid w:val="00BD4B9E"/>
    <w:rsid w:val="00BD4D2E"/>
    <w:rsid w:val="00BD6015"/>
    <w:rsid w:val="00BD661F"/>
    <w:rsid w:val="00BD6A41"/>
    <w:rsid w:val="00BD7A7C"/>
    <w:rsid w:val="00BE13D2"/>
    <w:rsid w:val="00BE289A"/>
    <w:rsid w:val="00BE4A83"/>
    <w:rsid w:val="00BE52FA"/>
    <w:rsid w:val="00BE5421"/>
    <w:rsid w:val="00BE6409"/>
    <w:rsid w:val="00BE696A"/>
    <w:rsid w:val="00BE712E"/>
    <w:rsid w:val="00BF1070"/>
    <w:rsid w:val="00BF130E"/>
    <w:rsid w:val="00BF2825"/>
    <w:rsid w:val="00BF2A1E"/>
    <w:rsid w:val="00BF2CAA"/>
    <w:rsid w:val="00BF2FB5"/>
    <w:rsid w:val="00BF3402"/>
    <w:rsid w:val="00BF472F"/>
    <w:rsid w:val="00BF49C5"/>
    <w:rsid w:val="00BF5C7E"/>
    <w:rsid w:val="00BF5E5E"/>
    <w:rsid w:val="00BF600B"/>
    <w:rsid w:val="00BF6342"/>
    <w:rsid w:val="00BF64DF"/>
    <w:rsid w:val="00BF765F"/>
    <w:rsid w:val="00BF7B0E"/>
    <w:rsid w:val="00C01078"/>
    <w:rsid w:val="00C01C87"/>
    <w:rsid w:val="00C042C5"/>
    <w:rsid w:val="00C05254"/>
    <w:rsid w:val="00C055EB"/>
    <w:rsid w:val="00C05F5B"/>
    <w:rsid w:val="00C06018"/>
    <w:rsid w:val="00C06E1C"/>
    <w:rsid w:val="00C07027"/>
    <w:rsid w:val="00C07783"/>
    <w:rsid w:val="00C109CB"/>
    <w:rsid w:val="00C10D32"/>
    <w:rsid w:val="00C1158D"/>
    <w:rsid w:val="00C12042"/>
    <w:rsid w:val="00C12561"/>
    <w:rsid w:val="00C132B1"/>
    <w:rsid w:val="00C13D91"/>
    <w:rsid w:val="00C142F6"/>
    <w:rsid w:val="00C1673A"/>
    <w:rsid w:val="00C16BB5"/>
    <w:rsid w:val="00C20E49"/>
    <w:rsid w:val="00C224E8"/>
    <w:rsid w:val="00C23094"/>
    <w:rsid w:val="00C235B0"/>
    <w:rsid w:val="00C250F9"/>
    <w:rsid w:val="00C252D3"/>
    <w:rsid w:val="00C2644F"/>
    <w:rsid w:val="00C27F05"/>
    <w:rsid w:val="00C307FA"/>
    <w:rsid w:val="00C30998"/>
    <w:rsid w:val="00C315BC"/>
    <w:rsid w:val="00C31BE6"/>
    <w:rsid w:val="00C347A2"/>
    <w:rsid w:val="00C34CA9"/>
    <w:rsid w:val="00C34FDA"/>
    <w:rsid w:val="00C354B1"/>
    <w:rsid w:val="00C358A4"/>
    <w:rsid w:val="00C35DB3"/>
    <w:rsid w:val="00C3630C"/>
    <w:rsid w:val="00C37EF8"/>
    <w:rsid w:val="00C402C7"/>
    <w:rsid w:val="00C406C6"/>
    <w:rsid w:val="00C40FC0"/>
    <w:rsid w:val="00C41681"/>
    <w:rsid w:val="00C41EEF"/>
    <w:rsid w:val="00C42B1E"/>
    <w:rsid w:val="00C43161"/>
    <w:rsid w:val="00C43239"/>
    <w:rsid w:val="00C44626"/>
    <w:rsid w:val="00C44916"/>
    <w:rsid w:val="00C4493A"/>
    <w:rsid w:val="00C47BCE"/>
    <w:rsid w:val="00C50AF3"/>
    <w:rsid w:val="00C50C36"/>
    <w:rsid w:val="00C50E84"/>
    <w:rsid w:val="00C50EE1"/>
    <w:rsid w:val="00C513ED"/>
    <w:rsid w:val="00C54820"/>
    <w:rsid w:val="00C56822"/>
    <w:rsid w:val="00C56947"/>
    <w:rsid w:val="00C56A45"/>
    <w:rsid w:val="00C56D5D"/>
    <w:rsid w:val="00C56FF7"/>
    <w:rsid w:val="00C570D5"/>
    <w:rsid w:val="00C57663"/>
    <w:rsid w:val="00C57743"/>
    <w:rsid w:val="00C57E2A"/>
    <w:rsid w:val="00C605AB"/>
    <w:rsid w:val="00C61158"/>
    <w:rsid w:val="00C61923"/>
    <w:rsid w:val="00C61C8C"/>
    <w:rsid w:val="00C623C5"/>
    <w:rsid w:val="00C62FBE"/>
    <w:rsid w:val="00C6352F"/>
    <w:rsid w:val="00C666F1"/>
    <w:rsid w:val="00C66721"/>
    <w:rsid w:val="00C70CDC"/>
    <w:rsid w:val="00C70D94"/>
    <w:rsid w:val="00C71547"/>
    <w:rsid w:val="00C7221E"/>
    <w:rsid w:val="00C7232A"/>
    <w:rsid w:val="00C726A2"/>
    <w:rsid w:val="00C73A78"/>
    <w:rsid w:val="00C7417C"/>
    <w:rsid w:val="00C74202"/>
    <w:rsid w:val="00C74D33"/>
    <w:rsid w:val="00C75767"/>
    <w:rsid w:val="00C76912"/>
    <w:rsid w:val="00C77093"/>
    <w:rsid w:val="00C801D1"/>
    <w:rsid w:val="00C80B04"/>
    <w:rsid w:val="00C80B26"/>
    <w:rsid w:val="00C8149E"/>
    <w:rsid w:val="00C83376"/>
    <w:rsid w:val="00C843BD"/>
    <w:rsid w:val="00C84E0B"/>
    <w:rsid w:val="00C85AE1"/>
    <w:rsid w:val="00C86398"/>
    <w:rsid w:val="00C8643E"/>
    <w:rsid w:val="00C916A6"/>
    <w:rsid w:val="00C919DB"/>
    <w:rsid w:val="00C929B3"/>
    <w:rsid w:val="00C9496C"/>
    <w:rsid w:val="00C94F40"/>
    <w:rsid w:val="00CA176B"/>
    <w:rsid w:val="00CA5EF7"/>
    <w:rsid w:val="00CB0A20"/>
    <w:rsid w:val="00CB14DE"/>
    <w:rsid w:val="00CB203E"/>
    <w:rsid w:val="00CB32DC"/>
    <w:rsid w:val="00CB46EB"/>
    <w:rsid w:val="00CB6617"/>
    <w:rsid w:val="00CB6E41"/>
    <w:rsid w:val="00CB700A"/>
    <w:rsid w:val="00CB735C"/>
    <w:rsid w:val="00CC1F6D"/>
    <w:rsid w:val="00CC1FC0"/>
    <w:rsid w:val="00CC268D"/>
    <w:rsid w:val="00CC350A"/>
    <w:rsid w:val="00CC4169"/>
    <w:rsid w:val="00CC6060"/>
    <w:rsid w:val="00CC6B42"/>
    <w:rsid w:val="00CC7264"/>
    <w:rsid w:val="00CC7897"/>
    <w:rsid w:val="00CC7DBB"/>
    <w:rsid w:val="00CD1B6E"/>
    <w:rsid w:val="00CD1DBC"/>
    <w:rsid w:val="00CD1EAF"/>
    <w:rsid w:val="00CD2863"/>
    <w:rsid w:val="00CD34FD"/>
    <w:rsid w:val="00CD38FE"/>
    <w:rsid w:val="00CD51F6"/>
    <w:rsid w:val="00CD5E23"/>
    <w:rsid w:val="00CD5EA9"/>
    <w:rsid w:val="00CD74DB"/>
    <w:rsid w:val="00CE04E7"/>
    <w:rsid w:val="00CE1152"/>
    <w:rsid w:val="00CE26E9"/>
    <w:rsid w:val="00CE3D97"/>
    <w:rsid w:val="00CE43AD"/>
    <w:rsid w:val="00CE5063"/>
    <w:rsid w:val="00CE58D6"/>
    <w:rsid w:val="00CE61A0"/>
    <w:rsid w:val="00CE6A60"/>
    <w:rsid w:val="00CE75C2"/>
    <w:rsid w:val="00CE77C1"/>
    <w:rsid w:val="00CE7D62"/>
    <w:rsid w:val="00CF05C5"/>
    <w:rsid w:val="00CF149C"/>
    <w:rsid w:val="00CF153C"/>
    <w:rsid w:val="00CF218E"/>
    <w:rsid w:val="00CF34E8"/>
    <w:rsid w:val="00CF5446"/>
    <w:rsid w:val="00CF5459"/>
    <w:rsid w:val="00CF7AF6"/>
    <w:rsid w:val="00D00409"/>
    <w:rsid w:val="00D00D47"/>
    <w:rsid w:val="00D00E0F"/>
    <w:rsid w:val="00D00F6C"/>
    <w:rsid w:val="00D02B14"/>
    <w:rsid w:val="00D03DCA"/>
    <w:rsid w:val="00D04901"/>
    <w:rsid w:val="00D04B96"/>
    <w:rsid w:val="00D0737E"/>
    <w:rsid w:val="00D07427"/>
    <w:rsid w:val="00D0753D"/>
    <w:rsid w:val="00D1281E"/>
    <w:rsid w:val="00D12BC9"/>
    <w:rsid w:val="00D147E4"/>
    <w:rsid w:val="00D15666"/>
    <w:rsid w:val="00D15863"/>
    <w:rsid w:val="00D16244"/>
    <w:rsid w:val="00D2381C"/>
    <w:rsid w:val="00D2507F"/>
    <w:rsid w:val="00D255BF"/>
    <w:rsid w:val="00D25908"/>
    <w:rsid w:val="00D26A93"/>
    <w:rsid w:val="00D2728E"/>
    <w:rsid w:val="00D276FB"/>
    <w:rsid w:val="00D30B29"/>
    <w:rsid w:val="00D32379"/>
    <w:rsid w:val="00D32D20"/>
    <w:rsid w:val="00D3676C"/>
    <w:rsid w:val="00D36ABC"/>
    <w:rsid w:val="00D37D69"/>
    <w:rsid w:val="00D406FE"/>
    <w:rsid w:val="00D40FA5"/>
    <w:rsid w:val="00D41528"/>
    <w:rsid w:val="00D42BF3"/>
    <w:rsid w:val="00D42CDD"/>
    <w:rsid w:val="00D43BB1"/>
    <w:rsid w:val="00D43EF3"/>
    <w:rsid w:val="00D44F51"/>
    <w:rsid w:val="00D45BDA"/>
    <w:rsid w:val="00D46084"/>
    <w:rsid w:val="00D46C3E"/>
    <w:rsid w:val="00D5111C"/>
    <w:rsid w:val="00D51CE0"/>
    <w:rsid w:val="00D5246F"/>
    <w:rsid w:val="00D54A09"/>
    <w:rsid w:val="00D57127"/>
    <w:rsid w:val="00D57C46"/>
    <w:rsid w:val="00D57E5B"/>
    <w:rsid w:val="00D616C1"/>
    <w:rsid w:val="00D66526"/>
    <w:rsid w:val="00D714F8"/>
    <w:rsid w:val="00D71C17"/>
    <w:rsid w:val="00D7229B"/>
    <w:rsid w:val="00D728FC"/>
    <w:rsid w:val="00D72C72"/>
    <w:rsid w:val="00D74B8A"/>
    <w:rsid w:val="00D74EF9"/>
    <w:rsid w:val="00D759C2"/>
    <w:rsid w:val="00D75DA5"/>
    <w:rsid w:val="00D76CC5"/>
    <w:rsid w:val="00D76F95"/>
    <w:rsid w:val="00D77B22"/>
    <w:rsid w:val="00D77FD2"/>
    <w:rsid w:val="00D80D9D"/>
    <w:rsid w:val="00D8122C"/>
    <w:rsid w:val="00D8162E"/>
    <w:rsid w:val="00D82146"/>
    <w:rsid w:val="00D82C88"/>
    <w:rsid w:val="00D83136"/>
    <w:rsid w:val="00D8369E"/>
    <w:rsid w:val="00D837F1"/>
    <w:rsid w:val="00D8386C"/>
    <w:rsid w:val="00D848CA"/>
    <w:rsid w:val="00D84996"/>
    <w:rsid w:val="00D862A5"/>
    <w:rsid w:val="00D8681E"/>
    <w:rsid w:val="00D874AE"/>
    <w:rsid w:val="00D90C9F"/>
    <w:rsid w:val="00D91E19"/>
    <w:rsid w:val="00D91F50"/>
    <w:rsid w:val="00D91F90"/>
    <w:rsid w:val="00D92CAA"/>
    <w:rsid w:val="00D94BD4"/>
    <w:rsid w:val="00D95A2F"/>
    <w:rsid w:val="00D95FB3"/>
    <w:rsid w:val="00D97629"/>
    <w:rsid w:val="00DA094E"/>
    <w:rsid w:val="00DA25A7"/>
    <w:rsid w:val="00DA38E8"/>
    <w:rsid w:val="00DA441F"/>
    <w:rsid w:val="00DA496C"/>
    <w:rsid w:val="00DA5CD4"/>
    <w:rsid w:val="00DA5D3F"/>
    <w:rsid w:val="00DA65EE"/>
    <w:rsid w:val="00DA6C25"/>
    <w:rsid w:val="00DB0A73"/>
    <w:rsid w:val="00DB0BC1"/>
    <w:rsid w:val="00DB20B2"/>
    <w:rsid w:val="00DB2D67"/>
    <w:rsid w:val="00DB2ED2"/>
    <w:rsid w:val="00DB3E03"/>
    <w:rsid w:val="00DB4E4F"/>
    <w:rsid w:val="00DB529B"/>
    <w:rsid w:val="00DB6EEA"/>
    <w:rsid w:val="00DC0FE1"/>
    <w:rsid w:val="00DC110A"/>
    <w:rsid w:val="00DC186D"/>
    <w:rsid w:val="00DC299A"/>
    <w:rsid w:val="00DC2CB9"/>
    <w:rsid w:val="00DC2E42"/>
    <w:rsid w:val="00DC36CE"/>
    <w:rsid w:val="00DC3AE9"/>
    <w:rsid w:val="00DC4B15"/>
    <w:rsid w:val="00DC56D0"/>
    <w:rsid w:val="00DC67D0"/>
    <w:rsid w:val="00DC6833"/>
    <w:rsid w:val="00DC6BF0"/>
    <w:rsid w:val="00DC75AB"/>
    <w:rsid w:val="00DC7899"/>
    <w:rsid w:val="00DC7EEB"/>
    <w:rsid w:val="00DD0120"/>
    <w:rsid w:val="00DD4833"/>
    <w:rsid w:val="00DD5400"/>
    <w:rsid w:val="00DD71C7"/>
    <w:rsid w:val="00DD72E5"/>
    <w:rsid w:val="00DE047C"/>
    <w:rsid w:val="00DE16AA"/>
    <w:rsid w:val="00DE1A31"/>
    <w:rsid w:val="00DE1DFD"/>
    <w:rsid w:val="00DE2015"/>
    <w:rsid w:val="00DE2C79"/>
    <w:rsid w:val="00DE4500"/>
    <w:rsid w:val="00DE4A7F"/>
    <w:rsid w:val="00DE4C09"/>
    <w:rsid w:val="00DE5B31"/>
    <w:rsid w:val="00DE5F7E"/>
    <w:rsid w:val="00DE6918"/>
    <w:rsid w:val="00DE6D7E"/>
    <w:rsid w:val="00DE7353"/>
    <w:rsid w:val="00DF152D"/>
    <w:rsid w:val="00DF3170"/>
    <w:rsid w:val="00DF321D"/>
    <w:rsid w:val="00DF3566"/>
    <w:rsid w:val="00DF3B31"/>
    <w:rsid w:val="00DF3B4D"/>
    <w:rsid w:val="00DF4A28"/>
    <w:rsid w:val="00DF5522"/>
    <w:rsid w:val="00DF664A"/>
    <w:rsid w:val="00DF6A43"/>
    <w:rsid w:val="00DF6D00"/>
    <w:rsid w:val="00DF72F8"/>
    <w:rsid w:val="00E00A36"/>
    <w:rsid w:val="00E00C18"/>
    <w:rsid w:val="00E0130A"/>
    <w:rsid w:val="00E01EC2"/>
    <w:rsid w:val="00E026A4"/>
    <w:rsid w:val="00E027C4"/>
    <w:rsid w:val="00E02C2F"/>
    <w:rsid w:val="00E03089"/>
    <w:rsid w:val="00E03255"/>
    <w:rsid w:val="00E038FB"/>
    <w:rsid w:val="00E03A19"/>
    <w:rsid w:val="00E03BFA"/>
    <w:rsid w:val="00E03E48"/>
    <w:rsid w:val="00E04071"/>
    <w:rsid w:val="00E04B19"/>
    <w:rsid w:val="00E0538B"/>
    <w:rsid w:val="00E05E4E"/>
    <w:rsid w:val="00E07BD7"/>
    <w:rsid w:val="00E07D56"/>
    <w:rsid w:val="00E11B58"/>
    <w:rsid w:val="00E11BDB"/>
    <w:rsid w:val="00E11E45"/>
    <w:rsid w:val="00E125B1"/>
    <w:rsid w:val="00E1297E"/>
    <w:rsid w:val="00E13240"/>
    <w:rsid w:val="00E13DDB"/>
    <w:rsid w:val="00E1524D"/>
    <w:rsid w:val="00E160CB"/>
    <w:rsid w:val="00E165B5"/>
    <w:rsid w:val="00E16720"/>
    <w:rsid w:val="00E17338"/>
    <w:rsid w:val="00E173B2"/>
    <w:rsid w:val="00E17454"/>
    <w:rsid w:val="00E17A07"/>
    <w:rsid w:val="00E2055C"/>
    <w:rsid w:val="00E2080A"/>
    <w:rsid w:val="00E21F0E"/>
    <w:rsid w:val="00E23693"/>
    <w:rsid w:val="00E2453A"/>
    <w:rsid w:val="00E2646E"/>
    <w:rsid w:val="00E26E4B"/>
    <w:rsid w:val="00E27AF7"/>
    <w:rsid w:val="00E27B44"/>
    <w:rsid w:val="00E30EB7"/>
    <w:rsid w:val="00E31D4D"/>
    <w:rsid w:val="00E32BEF"/>
    <w:rsid w:val="00E33303"/>
    <w:rsid w:val="00E33CDD"/>
    <w:rsid w:val="00E34990"/>
    <w:rsid w:val="00E3544C"/>
    <w:rsid w:val="00E36633"/>
    <w:rsid w:val="00E36E44"/>
    <w:rsid w:val="00E36EF3"/>
    <w:rsid w:val="00E4003A"/>
    <w:rsid w:val="00E401D1"/>
    <w:rsid w:val="00E404FB"/>
    <w:rsid w:val="00E40E03"/>
    <w:rsid w:val="00E41C73"/>
    <w:rsid w:val="00E43FA6"/>
    <w:rsid w:val="00E461F0"/>
    <w:rsid w:val="00E47907"/>
    <w:rsid w:val="00E501E4"/>
    <w:rsid w:val="00E52B16"/>
    <w:rsid w:val="00E5334E"/>
    <w:rsid w:val="00E54DD6"/>
    <w:rsid w:val="00E54EFB"/>
    <w:rsid w:val="00E567B0"/>
    <w:rsid w:val="00E57472"/>
    <w:rsid w:val="00E57633"/>
    <w:rsid w:val="00E57AF2"/>
    <w:rsid w:val="00E57FC3"/>
    <w:rsid w:val="00E61D71"/>
    <w:rsid w:val="00E61DE6"/>
    <w:rsid w:val="00E6252E"/>
    <w:rsid w:val="00E63391"/>
    <w:rsid w:val="00E64861"/>
    <w:rsid w:val="00E64895"/>
    <w:rsid w:val="00E65234"/>
    <w:rsid w:val="00E656D0"/>
    <w:rsid w:val="00E65EE7"/>
    <w:rsid w:val="00E65F73"/>
    <w:rsid w:val="00E66270"/>
    <w:rsid w:val="00E67216"/>
    <w:rsid w:val="00E675D1"/>
    <w:rsid w:val="00E67601"/>
    <w:rsid w:val="00E676E7"/>
    <w:rsid w:val="00E7011D"/>
    <w:rsid w:val="00E71B5D"/>
    <w:rsid w:val="00E71CF6"/>
    <w:rsid w:val="00E7389B"/>
    <w:rsid w:val="00E741F5"/>
    <w:rsid w:val="00E7577B"/>
    <w:rsid w:val="00E75DD4"/>
    <w:rsid w:val="00E7642B"/>
    <w:rsid w:val="00E76F4C"/>
    <w:rsid w:val="00E77485"/>
    <w:rsid w:val="00E77A0C"/>
    <w:rsid w:val="00E806AE"/>
    <w:rsid w:val="00E81BC5"/>
    <w:rsid w:val="00E84AB3"/>
    <w:rsid w:val="00E84C78"/>
    <w:rsid w:val="00E84C9D"/>
    <w:rsid w:val="00E85366"/>
    <w:rsid w:val="00E85774"/>
    <w:rsid w:val="00E85B76"/>
    <w:rsid w:val="00E86B26"/>
    <w:rsid w:val="00E87131"/>
    <w:rsid w:val="00E90478"/>
    <w:rsid w:val="00E90F07"/>
    <w:rsid w:val="00E93281"/>
    <w:rsid w:val="00E9330F"/>
    <w:rsid w:val="00E93D28"/>
    <w:rsid w:val="00E9431F"/>
    <w:rsid w:val="00E949ED"/>
    <w:rsid w:val="00E9578C"/>
    <w:rsid w:val="00E97A50"/>
    <w:rsid w:val="00EA04DA"/>
    <w:rsid w:val="00EA10D8"/>
    <w:rsid w:val="00EA10F6"/>
    <w:rsid w:val="00EA2845"/>
    <w:rsid w:val="00EA2C7D"/>
    <w:rsid w:val="00EA38B8"/>
    <w:rsid w:val="00EA560E"/>
    <w:rsid w:val="00EA5A64"/>
    <w:rsid w:val="00EA6169"/>
    <w:rsid w:val="00EA65A7"/>
    <w:rsid w:val="00EA6667"/>
    <w:rsid w:val="00EA67AF"/>
    <w:rsid w:val="00EB27FB"/>
    <w:rsid w:val="00EB5374"/>
    <w:rsid w:val="00EB6ADE"/>
    <w:rsid w:val="00EB71AC"/>
    <w:rsid w:val="00EB77AB"/>
    <w:rsid w:val="00EB7983"/>
    <w:rsid w:val="00EB7D47"/>
    <w:rsid w:val="00EB7E62"/>
    <w:rsid w:val="00EC00AB"/>
    <w:rsid w:val="00EC2E62"/>
    <w:rsid w:val="00EC332A"/>
    <w:rsid w:val="00EC40DF"/>
    <w:rsid w:val="00EC7C51"/>
    <w:rsid w:val="00ED090F"/>
    <w:rsid w:val="00ED0AF2"/>
    <w:rsid w:val="00ED2FFC"/>
    <w:rsid w:val="00ED354F"/>
    <w:rsid w:val="00ED403F"/>
    <w:rsid w:val="00ED5FAC"/>
    <w:rsid w:val="00ED65D7"/>
    <w:rsid w:val="00ED6DDF"/>
    <w:rsid w:val="00ED7FF7"/>
    <w:rsid w:val="00EE13C5"/>
    <w:rsid w:val="00EE28D7"/>
    <w:rsid w:val="00EE3568"/>
    <w:rsid w:val="00EE3B0E"/>
    <w:rsid w:val="00EE3BDF"/>
    <w:rsid w:val="00EE4659"/>
    <w:rsid w:val="00EE6E86"/>
    <w:rsid w:val="00EE7473"/>
    <w:rsid w:val="00EF03D7"/>
    <w:rsid w:val="00EF185C"/>
    <w:rsid w:val="00EF32C0"/>
    <w:rsid w:val="00EF3856"/>
    <w:rsid w:val="00EF49FB"/>
    <w:rsid w:val="00EF5F55"/>
    <w:rsid w:val="00EF6B37"/>
    <w:rsid w:val="00EF78C4"/>
    <w:rsid w:val="00F01DCE"/>
    <w:rsid w:val="00F031C2"/>
    <w:rsid w:val="00F041A0"/>
    <w:rsid w:val="00F04F12"/>
    <w:rsid w:val="00F050E6"/>
    <w:rsid w:val="00F058DB"/>
    <w:rsid w:val="00F05DD1"/>
    <w:rsid w:val="00F0653C"/>
    <w:rsid w:val="00F06D2F"/>
    <w:rsid w:val="00F07415"/>
    <w:rsid w:val="00F0797F"/>
    <w:rsid w:val="00F14753"/>
    <w:rsid w:val="00F14A0E"/>
    <w:rsid w:val="00F15023"/>
    <w:rsid w:val="00F15246"/>
    <w:rsid w:val="00F16895"/>
    <w:rsid w:val="00F16D9C"/>
    <w:rsid w:val="00F17091"/>
    <w:rsid w:val="00F20C71"/>
    <w:rsid w:val="00F21032"/>
    <w:rsid w:val="00F21306"/>
    <w:rsid w:val="00F237BB"/>
    <w:rsid w:val="00F23DFC"/>
    <w:rsid w:val="00F23E13"/>
    <w:rsid w:val="00F24D53"/>
    <w:rsid w:val="00F24F61"/>
    <w:rsid w:val="00F261EE"/>
    <w:rsid w:val="00F263A7"/>
    <w:rsid w:val="00F2660B"/>
    <w:rsid w:val="00F2663B"/>
    <w:rsid w:val="00F274F2"/>
    <w:rsid w:val="00F30445"/>
    <w:rsid w:val="00F30715"/>
    <w:rsid w:val="00F30746"/>
    <w:rsid w:val="00F30AF7"/>
    <w:rsid w:val="00F30C6C"/>
    <w:rsid w:val="00F31806"/>
    <w:rsid w:val="00F31BC7"/>
    <w:rsid w:val="00F325F6"/>
    <w:rsid w:val="00F32780"/>
    <w:rsid w:val="00F32A30"/>
    <w:rsid w:val="00F33D6B"/>
    <w:rsid w:val="00F3428C"/>
    <w:rsid w:val="00F34DAD"/>
    <w:rsid w:val="00F35B24"/>
    <w:rsid w:val="00F35B80"/>
    <w:rsid w:val="00F374C8"/>
    <w:rsid w:val="00F40697"/>
    <w:rsid w:val="00F41943"/>
    <w:rsid w:val="00F42515"/>
    <w:rsid w:val="00F42A49"/>
    <w:rsid w:val="00F43AB0"/>
    <w:rsid w:val="00F43D6B"/>
    <w:rsid w:val="00F43FF9"/>
    <w:rsid w:val="00F44A23"/>
    <w:rsid w:val="00F44D1E"/>
    <w:rsid w:val="00F454E7"/>
    <w:rsid w:val="00F45714"/>
    <w:rsid w:val="00F45A0D"/>
    <w:rsid w:val="00F46218"/>
    <w:rsid w:val="00F4763B"/>
    <w:rsid w:val="00F50B2B"/>
    <w:rsid w:val="00F53499"/>
    <w:rsid w:val="00F53670"/>
    <w:rsid w:val="00F538C9"/>
    <w:rsid w:val="00F539CB"/>
    <w:rsid w:val="00F53E66"/>
    <w:rsid w:val="00F554D2"/>
    <w:rsid w:val="00F5599F"/>
    <w:rsid w:val="00F574DC"/>
    <w:rsid w:val="00F61126"/>
    <w:rsid w:val="00F62429"/>
    <w:rsid w:val="00F6386C"/>
    <w:rsid w:val="00F648C6"/>
    <w:rsid w:val="00F660CA"/>
    <w:rsid w:val="00F661A4"/>
    <w:rsid w:val="00F661C9"/>
    <w:rsid w:val="00F66542"/>
    <w:rsid w:val="00F669B2"/>
    <w:rsid w:val="00F66BDA"/>
    <w:rsid w:val="00F672E1"/>
    <w:rsid w:val="00F702DF"/>
    <w:rsid w:val="00F704E6"/>
    <w:rsid w:val="00F70A01"/>
    <w:rsid w:val="00F70C85"/>
    <w:rsid w:val="00F7231A"/>
    <w:rsid w:val="00F72AA1"/>
    <w:rsid w:val="00F73811"/>
    <w:rsid w:val="00F73896"/>
    <w:rsid w:val="00F73C59"/>
    <w:rsid w:val="00F73D6D"/>
    <w:rsid w:val="00F73EEE"/>
    <w:rsid w:val="00F740AE"/>
    <w:rsid w:val="00F767D6"/>
    <w:rsid w:val="00F77702"/>
    <w:rsid w:val="00F80B7F"/>
    <w:rsid w:val="00F814B5"/>
    <w:rsid w:val="00F82338"/>
    <w:rsid w:val="00F8293B"/>
    <w:rsid w:val="00F833F5"/>
    <w:rsid w:val="00F83DE5"/>
    <w:rsid w:val="00F83F25"/>
    <w:rsid w:val="00F84F94"/>
    <w:rsid w:val="00F85484"/>
    <w:rsid w:val="00F86280"/>
    <w:rsid w:val="00F87484"/>
    <w:rsid w:val="00F87C4B"/>
    <w:rsid w:val="00F90EFD"/>
    <w:rsid w:val="00F92A4D"/>
    <w:rsid w:val="00F93235"/>
    <w:rsid w:val="00F947A1"/>
    <w:rsid w:val="00F95481"/>
    <w:rsid w:val="00F9614E"/>
    <w:rsid w:val="00F9756F"/>
    <w:rsid w:val="00F9765D"/>
    <w:rsid w:val="00FA03F2"/>
    <w:rsid w:val="00FA0ADD"/>
    <w:rsid w:val="00FA115D"/>
    <w:rsid w:val="00FA16A3"/>
    <w:rsid w:val="00FA19BA"/>
    <w:rsid w:val="00FA509A"/>
    <w:rsid w:val="00FA6786"/>
    <w:rsid w:val="00FA70D9"/>
    <w:rsid w:val="00FA78D8"/>
    <w:rsid w:val="00FB076D"/>
    <w:rsid w:val="00FB1721"/>
    <w:rsid w:val="00FB3A05"/>
    <w:rsid w:val="00FB4A1D"/>
    <w:rsid w:val="00FB6103"/>
    <w:rsid w:val="00FB6E23"/>
    <w:rsid w:val="00FB76B2"/>
    <w:rsid w:val="00FB7D2B"/>
    <w:rsid w:val="00FC072B"/>
    <w:rsid w:val="00FC0D46"/>
    <w:rsid w:val="00FC1536"/>
    <w:rsid w:val="00FC16D9"/>
    <w:rsid w:val="00FC2428"/>
    <w:rsid w:val="00FC4B16"/>
    <w:rsid w:val="00FC4EA8"/>
    <w:rsid w:val="00FC57A9"/>
    <w:rsid w:val="00FC61A9"/>
    <w:rsid w:val="00FC660D"/>
    <w:rsid w:val="00FC679A"/>
    <w:rsid w:val="00FD180F"/>
    <w:rsid w:val="00FD28CD"/>
    <w:rsid w:val="00FD300D"/>
    <w:rsid w:val="00FD4772"/>
    <w:rsid w:val="00FD4C20"/>
    <w:rsid w:val="00FD5485"/>
    <w:rsid w:val="00FD5D18"/>
    <w:rsid w:val="00FD74CC"/>
    <w:rsid w:val="00FE0D81"/>
    <w:rsid w:val="00FE2793"/>
    <w:rsid w:val="00FE28A4"/>
    <w:rsid w:val="00FE2BCF"/>
    <w:rsid w:val="00FE3126"/>
    <w:rsid w:val="00FE4C29"/>
    <w:rsid w:val="00FE4E52"/>
    <w:rsid w:val="00FE5D8A"/>
    <w:rsid w:val="00FE65EF"/>
    <w:rsid w:val="00FE73A7"/>
    <w:rsid w:val="00FF0CF1"/>
    <w:rsid w:val="00FF0FCA"/>
    <w:rsid w:val="00FF142F"/>
    <w:rsid w:val="00FF23BF"/>
    <w:rsid w:val="00FF2F39"/>
    <w:rsid w:val="00FF333A"/>
    <w:rsid w:val="00FF36F1"/>
    <w:rsid w:val="00FF37EE"/>
    <w:rsid w:val="00FF3E4C"/>
    <w:rsid w:val="00FF5316"/>
    <w:rsid w:val="00FF5F1B"/>
    <w:rsid w:val="00FF73A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BE2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Calibri" w:hAnsi="Segoe U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Bullet" w:qFormat="1"/>
    <w:lsdException w:name="List Bullet 2" w:qFormat="1"/>
    <w:lsdException w:name="List Bullet 3" w:qFormat="1"/>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28A4"/>
    <w:pPr>
      <w:spacing w:after="240"/>
      <w:jc w:val="both"/>
    </w:pPr>
    <w:rPr>
      <w:color w:val="000000"/>
      <w:szCs w:val="40"/>
      <w:lang w:eastAsia="en-US"/>
    </w:rPr>
  </w:style>
  <w:style w:type="paragraph" w:styleId="Heading1">
    <w:name w:val="heading 1"/>
    <w:next w:val="Normal"/>
    <w:link w:val="Heading1Char"/>
    <w:qFormat/>
    <w:rsid w:val="00CE04E7"/>
    <w:pPr>
      <w:numPr>
        <w:numId w:val="48"/>
      </w:numPr>
      <w:jc w:val="right"/>
      <w:outlineLvl w:val="0"/>
    </w:pPr>
    <w:rPr>
      <w:b/>
      <w:smallCaps/>
      <w:color w:val="3471B8"/>
      <w:sz w:val="44"/>
      <w:szCs w:val="40"/>
      <w:lang w:eastAsia="en-US"/>
    </w:rPr>
  </w:style>
  <w:style w:type="paragraph" w:styleId="Heading2">
    <w:name w:val="heading 2"/>
    <w:basedOn w:val="Normal"/>
    <w:next w:val="Normal"/>
    <w:link w:val="Heading2Char"/>
    <w:qFormat/>
    <w:rsid w:val="000C09A0"/>
    <w:pPr>
      <w:keepNext/>
      <w:numPr>
        <w:ilvl w:val="1"/>
        <w:numId w:val="48"/>
      </w:numPr>
      <w:tabs>
        <w:tab w:val="left" w:pos="851"/>
      </w:tabs>
      <w:spacing w:before="360"/>
      <w:jc w:val="left"/>
      <w:outlineLvl w:val="1"/>
    </w:pPr>
    <w:rPr>
      <w:rFonts w:eastAsia="Times New Roman"/>
      <w:b/>
      <w:bCs/>
      <w:iCs/>
      <w:smallCaps/>
      <w:color w:val="365F91"/>
      <w:spacing w:val="20"/>
      <w:sz w:val="26"/>
      <w:szCs w:val="28"/>
      <w:lang w:val="x-none" w:eastAsia="x-none"/>
    </w:rPr>
  </w:style>
  <w:style w:type="paragraph" w:styleId="Heading3">
    <w:name w:val="heading 3"/>
    <w:basedOn w:val="Normal"/>
    <w:next w:val="Normal"/>
    <w:link w:val="Heading3Char"/>
    <w:autoRedefine/>
    <w:qFormat/>
    <w:rsid w:val="00433F05"/>
    <w:pPr>
      <w:keepNext/>
      <w:numPr>
        <w:ilvl w:val="2"/>
        <w:numId w:val="48"/>
      </w:numPr>
      <w:tabs>
        <w:tab w:val="left" w:pos="851"/>
      </w:tabs>
      <w:spacing w:before="240" w:after="120"/>
      <w:jc w:val="left"/>
      <w:outlineLvl w:val="2"/>
    </w:pPr>
    <w:rPr>
      <w:rFonts w:eastAsia="Times New Roman"/>
      <w:b/>
      <w:bCs/>
      <w:smallCaps/>
      <w:color w:val="365F91"/>
      <w:spacing w:val="20"/>
      <w:sz w:val="22"/>
      <w:szCs w:val="24"/>
      <w:lang w:val="x-none" w:eastAsia="x-none"/>
    </w:rPr>
  </w:style>
  <w:style w:type="paragraph" w:styleId="Heading4">
    <w:name w:val="heading 4"/>
    <w:basedOn w:val="Normal"/>
    <w:next w:val="Normal"/>
    <w:link w:val="Heading4Char"/>
    <w:autoRedefine/>
    <w:qFormat/>
    <w:rsid w:val="00FF37EE"/>
    <w:pPr>
      <w:keepNext/>
      <w:keepLines/>
      <w:tabs>
        <w:tab w:val="left" w:pos="851"/>
      </w:tabs>
      <w:spacing w:before="240" w:after="60"/>
      <w:ind w:left="862" w:hanging="862"/>
      <w:outlineLvl w:val="3"/>
    </w:pPr>
    <w:rPr>
      <w:rFonts w:eastAsia="Times New Roman"/>
      <w:b/>
      <w:bCs/>
      <w:smallCaps/>
      <w:color w:val="365F91"/>
      <w:spacing w:val="20"/>
      <w:sz w:val="21"/>
      <w:szCs w:val="21"/>
      <w:lang w:val="x-none" w:eastAsia="x-none"/>
    </w:rPr>
  </w:style>
  <w:style w:type="paragraph" w:styleId="Heading5">
    <w:name w:val="heading 5"/>
    <w:basedOn w:val="Normal"/>
    <w:next w:val="Normal"/>
    <w:link w:val="Heading5Char"/>
    <w:autoRedefine/>
    <w:qFormat/>
    <w:rsid w:val="00D276FB"/>
    <w:pPr>
      <w:numPr>
        <w:ilvl w:val="4"/>
        <w:numId w:val="48"/>
      </w:numPr>
      <w:spacing w:before="120" w:after="120"/>
      <w:outlineLvl w:val="4"/>
    </w:pPr>
    <w:rPr>
      <w:rFonts w:eastAsia="Times New Roman"/>
      <w:b/>
      <w:bCs/>
      <w:iCs/>
      <w:color w:val="1F497D" w:themeColor="text2"/>
      <w:spacing w:val="20"/>
      <w:szCs w:val="20"/>
      <w:lang w:val="x-none" w:eastAsia="x-none"/>
    </w:rPr>
  </w:style>
  <w:style w:type="paragraph" w:styleId="Heading6">
    <w:name w:val="heading 6"/>
    <w:basedOn w:val="Normal"/>
    <w:next w:val="Normal"/>
    <w:link w:val="Heading6Char"/>
    <w:autoRedefine/>
    <w:qFormat/>
    <w:rsid w:val="00B7244F"/>
    <w:pPr>
      <w:numPr>
        <w:ilvl w:val="5"/>
        <w:numId w:val="48"/>
      </w:numPr>
      <w:outlineLvl w:val="5"/>
    </w:pPr>
    <w:rPr>
      <w:b/>
      <w:i/>
      <w:sz w:val="22"/>
      <w:szCs w:val="20"/>
      <w:lang w:val="x-none" w:eastAsia="x-none"/>
    </w:rPr>
  </w:style>
  <w:style w:type="paragraph" w:styleId="Heading7">
    <w:name w:val="heading 7"/>
    <w:basedOn w:val="Normal"/>
    <w:next w:val="Normal"/>
    <w:link w:val="Heading7Char"/>
    <w:uiPriority w:val="9"/>
    <w:semiHidden/>
    <w:unhideWhenUsed/>
    <w:qFormat/>
    <w:rsid w:val="00357754"/>
    <w:pPr>
      <w:keepNext/>
      <w:keepLines/>
      <w:numPr>
        <w:ilvl w:val="6"/>
        <w:numId w:val="48"/>
      </w:numPr>
      <w:spacing w:before="200" w:after="0"/>
      <w:outlineLvl w:val="6"/>
    </w:pPr>
    <w:rPr>
      <w:rFonts w:ascii="Cambria" w:eastAsia="Times New Roman" w:hAnsi="Cambria"/>
      <w:i/>
      <w:iCs/>
      <w:color w:val="404040"/>
      <w:sz w:val="22"/>
      <w:szCs w:val="20"/>
      <w:lang w:val="x-none" w:eastAsia="x-none"/>
    </w:rPr>
  </w:style>
  <w:style w:type="paragraph" w:styleId="Heading8">
    <w:name w:val="heading 8"/>
    <w:basedOn w:val="Normal"/>
    <w:next w:val="Normal"/>
    <w:link w:val="Heading8Char"/>
    <w:uiPriority w:val="9"/>
    <w:semiHidden/>
    <w:unhideWhenUsed/>
    <w:qFormat/>
    <w:rsid w:val="00357754"/>
    <w:pPr>
      <w:keepNext/>
      <w:keepLines/>
      <w:numPr>
        <w:ilvl w:val="7"/>
        <w:numId w:val="48"/>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semiHidden/>
    <w:unhideWhenUsed/>
    <w:qFormat/>
    <w:rsid w:val="00357754"/>
    <w:pPr>
      <w:keepNext/>
      <w:keepLines/>
      <w:numPr>
        <w:ilvl w:val="8"/>
        <w:numId w:val="48"/>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F455C"/>
    <w:rPr>
      <w:color w:val="808080"/>
    </w:rPr>
  </w:style>
  <w:style w:type="paragraph" w:styleId="BalloonText">
    <w:name w:val="Balloon Text"/>
    <w:basedOn w:val="Normal"/>
    <w:link w:val="BalloonTextChar"/>
    <w:uiPriority w:val="99"/>
    <w:semiHidden/>
    <w:unhideWhenUsed/>
    <w:rsid w:val="000F455C"/>
    <w:pPr>
      <w:spacing w:after="0"/>
    </w:pPr>
    <w:rPr>
      <w:rFonts w:ascii="Tahoma" w:hAnsi="Tahoma"/>
      <w:color w:val="auto"/>
      <w:sz w:val="16"/>
      <w:szCs w:val="16"/>
      <w:lang w:val="x-none" w:eastAsia="x-none"/>
    </w:rPr>
  </w:style>
  <w:style w:type="character" w:customStyle="1" w:styleId="BalloonTextChar">
    <w:name w:val="Balloon Text Char"/>
    <w:link w:val="BalloonText"/>
    <w:uiPriority w:val="99"/>
    <w:semiHidden/>
    <w:rsid w:val="000F455C"/>
    <w:rPr>
      <w:rFonts w:ascii="Tahoma" w:hAnsi="Tahoma" w:cs="Tahoma"/>
      <w:sz w:val="16"/>
      <w:szCs w:val="16"/>
    </w:rPr>
  </w:style>
  <w:style w:type="table" w:styleId="TableGrid">
    <w:name w:val="Table Grid"/>
    <w:basedOn w:val="TableNormal"/>
    <w:uiPriority w:val="59"/>
    <w:rsid w:val="00BA7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D44C7"/>
    <w:pPr>
      <w:tabs>
        <w:tab w:val="center" w:pos="4513"/>
        <w:tab w:val="right" w:pos="9026"/>
      </w:tabs>
      <w:spacing w:after="0"/>
    </w:pPr>
  </w:style>
  <w:style w:type="character" w:customStyle="1" w:styleId="FooterChar">
    <w:name w:val="Footer Char"/>
    <w:basedOn w:val="DefaultParagraphFont"/>
    <w:link w:val="Footer"/>
    <w:uiPriority w:val="99"/>
    <w:rsid w:val="002D44C7"/>
  </w:style>
  <w:style w:type="paragraph" w:styleId="Header">
    <w:name w:val="header"/>
    <w:basedOn w:val="Normal"/>
    <w:link w:val="HeaderChar"/>
    <w:uiPriority w:val="99"/>
    <w:unhideWhenUsed/>
    <w:rsid w:val="002D44C7"/>
    <w:pPr>
      <w:tabs>
        <w:tab w:val="center" w:pos="4513"/>
        <w:tab w:val="right" w:pos="9026"/>
      </w:tabs>
      <w:spacing w:after="0"/>
    </w:pPr>
  </w:style>
  <w:style w:type="character" w:customStyle="1" w:styleId="HeaderChar">
    <w:name w:val="Header Char"/>
    <w:basedOn w:val="DefaultParagraphFont"/>
    <w:link w:val="Header"/>
    <w:uiPriority w:val="99"/>
    <w:rsid w:val="002D44C7"/>
  </w:style>
  <w:style w:type="paragraph" w:styleId="TOC1">
    <w:name w:val="toc 1"/>
    <w:basedOn w:val="Normal"/>
    <w:next w:val="Normal"/>
    <w:autoRedefine/>
    <w:uiPriority w:val="39"/>
    <w:rsid w:val="00CE04E7"/>
    <w:pPr>
      <w:keepNext/>
      <w:tabs>
        <w:tab w:val="right" w:leader="dot" w:pos="9072"/>
      </w:tabs>
      <w:spacing w:before="240" w:after="120"/>
      <w:ind w:left="851" w:right="851" w:hanging="851"/>
    </w:pPr>
    <w:rPr>
      <w:rFonts w:eastAsia="Times New Roman" w:cs="Segoe UI"/>
      <w:b/>
      <w:smallCaps/>
      <w:noProof/>
      <w:color w:val="3471B8"/>
      <w:spacing w:val="20"/>
      <w:szCs w:val="22"/>
    </w:rPr>
  </w:style>
  <w:style w:type="paragraph" w:styleId="TOC2">
    <w:name w:val="toc 2"/>
    <w:basedOn w:val="Normal"/>
    <w:next w:val="Normal"/>
    <w:autoRedefine/>
    <w:uiPriority w:val="39"/>
    <w:rsid w:val="001A232A"/>
    <w:pPr>
      <w:tabs>
        <w:tab w:val="left" w:pos="851"/>
        <w:tab w:val="right" w:leader="dot" w:pos="9072"/>
      </w:tabs>
      <w:spacing w:before="120" w:after="120"/>
      <w:ind w:left="567" w:right="851" w:hanging="567"/>
    </w:pPr>
    <w:rPr>
      <w:rFonts w:eastAsia="Times New Roman" w:cs="Segoe UI"/>
      <w:noProof/>
      <w:color w:val="auto"/>
      <w:szCs w:val="22"/>
    </w:rPr>
  </w:style>
  <w:style w:type="paragraph" w:styleId="TOC3">
    <w:name w:val="toc 3"/>
    <w:basedOn w:val="Normal"/>
    <w:next w:val="Normal"/>
    <w:autoRedefine/>
    <w:uiPriority w:val="39"/>
    <w:rsid w:val="00D71C17"/>
    <w:pPr>
      <w:tabs>
        <w:tab w:val="left" w:pos="851"/>
        <w:tab w:val="right" w:leader="dot" w:pos="9072"/>
      </w:tabs>
      <w:spacing w:before="120" w:after="120"/>
      <w:ind w:left="1247" w:right="851" w:hanging="680"/>
    </w:pPr>
    <w:rPr>
      <w:rFonts w:eastAsia="Times New Roman"/>
      <w:color w:val="auto"/>
      <w:szCs w:val="24"/>
    </w:rPr>
  </w:style>
  <w:style w:type="paragraph" w:styleId="TOC4">
    <w:name w:val="toc 4"/>
    <w:basedOn w:val="Normal"/>
    <w:next w:val="Normal"/>
    <w:autoRedefine/>
    <w:uiPriority w:val="39"/>
    <w:rsid w:val="000F08B6"/>
    <w:pPr>
      <w:tabs>
        <w:tab w:val="right" w:leader="dot" w:pos="9072"/>
      </w:tabs>
      <w:spacing w:before="20" w:after="20"/>
    </w:pPr>
    <w:rPr>
      <w:rFonts w:eastAsia="Times New Roman" w:cs="Segoe UI"/>
      <w:color w:val="auto"/>
      <w:szCs w:val="19"/>
    </w:rPr>
  </w:style>
  <w:style w:type="character" w:customStyle="1" w:styleId="Heading1Char">
    <w:name w:val="Heading 1 Char"/>
    <w:link w:val="Heading1"/>
    <w:rsid w:val="00CE04E7"/>
    <w:rPr>
      <w:b/>
      <w:smallCaps/>
      <w:color w:val="3471B8"/>
      <w:sz w:val="44"/>
      <w:szCs w:val="40"/>
      <w:lang w:eastAsia="en-US"/>
    </w:rPr>
  </w:style>
  <w:style w:type="character" w:customStyle="1" w:styleId="Heading2Char">
    <w:name w:val="Heading 2 Char"/>
    <w:link w:val="Heading2"/>
    <w:rsid w:val="000C09A0"/>
    <w:rPr>
      <w:rFonts w:eastAsia="Times New Roman"/>
      <w:b/>
      <w:bCs/>
      <w:iCs/>
      <w:smallCaps/>
      <w:color w:val="365F91"/>
      <w:spacing w:val="20"/>
      <w:sz w:val="26"/>
      <w:szCs w:val="28"/>
      <w:lang w:val="x-none" w:eastAsia="x-none"/>
    </w:rPr>
  </w:style>
  <w:style w:type="character" w:customStyle="1" w:styleId="Heading3Char">
    <w:name w:val="Heading 3 Char"/>
    <w:link w:val="Heading3"/>
    <w:rsid w:val="00433F05"/>
    <w:rPr>
      <w:rFonts w:eastAsia="Times New Roman"/>
      <w:b/>
      <w:bCs/>
      <w:smallCaps/>
      <w:color w:val="365F91"/>
      <w:spacing w:val="20"/>
      <w:sz w:val="22"/>
      <w:szCs w:val="24"/>
      <w:lang w:val="x-none" w:eastAsia="x-none"/>
    </w:rPr>
  </w:style>
  <w:style w:type="character" w:customStyle="1" w:styleId="Heading4Char">
    <w:name w:val="Heading 4 Char"/>
    <w:link w:val="Heading4"/>
    <w:rsid w:val="00FF37EE"/>
    <w:rPr>
      <w:rFonts w:eastAsia="Times New Roman"/>
      <w:b/>
      <w:bCs/>
      <w:smallCaps/>
      <w:color w:val="365F91"/>
      <w:spacing w:val="20"/>
      <w:sz w:val="21"/>
      <w:szCs w:val="21"/>
      <w:lang w:val="x-none" w:eastAsia="x-none"/>
    </w:rPr>
  </w:style>
  <w:style w:type="character" w:customStyle="1" w:styleId="Heading5Char">
    <w:name w:val="Heading 5 Char"/>
    <w:link w:val="Heading5"/>
    <w:rsid w:val="00D276FB"/>
    <w:rPr>
      <w:rFonts w:eastAsia="Times New Roman"/>
      <w:b/>
      <w:bCs/>
      <w:iCs/>
      <w:color w:val="1F497D" w:themeColor="text2"/>
      <w:spacing w:val="20"/>
      <w:lang w:val="x-none" w:eastAsia="x-none"/>
    </w:rPr>
  </w:style>
  <w:style w:type="character" w:customStyle="1" w:styleId="Heading6Char">
    <w:name w:val="Heading 6 Char"/>
    <w:link w:val="Heading6"/>
    <w:rsid w:val="00B7244F"/>
    <w:rPr>
      <w:b/>
      <w:i/>
      <w:color w:val="000000"/>
      <w:sz w:val="22"/>
      <w:lang w:val="x-none" w:eastAsia="x-none"/>
    </w:rPr>
  </w:style>
  <w:style w:type="paragraph" w:customStyle="1" w:styleId="ES1">
    <w:name w:val="ES 1"/>
    <w:basedOn w:val="Heading2"/>
    <w:next w:val="Normal"/>
    <w:qFormat/>
    <w:rsid w:val="002535B9"/>
    <w:pPr>
      <w:numPr>
        <w:ilvl w:val="0"/>
        <w:numId w:val="1"/>
      </w:numPr>
      <w:tabs>
        <w:tab w:val="num" w:pos="851"/>
      </w:tabs>
      <w:spacing w:before="240" w:after="120"/>
      <w:ind w:left="851" w:hanging="851"/>
    </w:pPr>
  </w:style>
  <w:style w:type="paragraph" w:customStyle="1" w:styleId="ES2">
    <w:name w:val="ES 2"/>
    <w:basedOn w:val="Heading3"/>
    <w:next w:val="Normal"/>
    <w:autoRedefine/>
    <w:qFormat/>
    <w:rsid w:val="00022A29"/>
    <w:pPr>
      <w:numPr>
        <w:ilvl w:val="1"/>
        <w:numId w:val="1"/>
      </w:numPr>
      <w:tabs>
        <w:tab w:val="clear" w:pos="851"/>
      </w:tabs>
      <w:spacing w:after="60"/>
      <w:ind w:left="851" w:hanging="851"/>
    </w:pPr>
  </w:style>
  <w:style w:type="paragraph" w:customStyle="1" w:styleId="DateFrontPage">
    <w:name w:val="Date Front Page"/>
    <w:basedOn w:val="Normal"/>
    <w:next w:val="Normal"/>
    <w:rsid w:val="000F08B6"/>
    <w:pPr>
      <w:spacing w:before="120" w:after="120"/>
      <w:jc w:val="left"/>
    </w:pPr>
    <w:rPr>
      <w:rFonts w:eastAsia="Times New Roman"/>
      <w:color w:val="auto"/>
      <w:szCs w:val="24"/>
    </w:rPr>
  </w:style>
  <w:style w:type="paragraph" w:customStyle="1" w:styleId="FrontPageReportTitle">
    <w:name w:val="Front Page Report Title"/>
    <w:basedOn w:val="Normal"/>
    <w:next w:val="Normal"/>
    <w:qFormat/>
    <w:rsid w:val="00F42A49"/>
    <w:pPr>
      <w:numPr>
        <w:ilvl w:val="1"/>
      </w:numPr>
      <w:spacing w:before="1920"/>
      <w:jc w:val="left"/>
    </w:pPr>
    <w:rPr>
      <w:rFonts w:eastAsia="Times New Roman" w:cs="Segoe UI"/>
      <w:b/>
      <w:iCs/>
      <w:smallCaps/>
      <w:color w:val="365F91" w:themeColor="accent1" w:themeShade="BF"/>
      <w:spacing w:val="15"/>
      <w:sz w:val="40"/>
    </w:rPr>
  </w:style>
  <w:style w:type="paragraph" w:styleId="TableofFigures">
    <w:name w:val="table of figures"/>
    <w:basedOn w:val="Normal"/>
    <w:next w:val="Normal"/>
    <w:uiPriority w:val="99"/>
    <w:unhideWhenUsed/>
    <w:rsid w:val="00A72198"/>
    <w:pPr>
      <w:spacing w:after="0"/>
    </w:pPr>
  </w:style>
  <w:style w:type="paragraph" w:customStyle="1" w:styleId="TableText">
    <w:name w:val="Table Text"/>
    <w:basedOn w:val="TableTitle"/>
    <w:link w:val="TableTextChar"/>
    <w:qFormat/>
    <w:rsid w:val="00BE4A83"/>
    <w:pPr>
      <w:framePr w:wrap="around"/>
      <w:jc w:val="left"/>
    </w:pPr>
    <w:rPr>
      <w:b w:val="0"/>
      <w:sz w:val="18"/>
      <w:szCs w:val="20"/>
      <w:lang w:eastAsia="x-none"/>
    </w:rPr>
  </w:style>
  <w:style w:type="character" w:customStyle="1" w:styleId="TableTextChar">
    <w:name w:val="Table Text Char"/>
    <w:link w:val="TableText"/>
    <w:locked/>
    <w:rsid w:val="00BE4A83"/>
    <w:rPr>
      <w:color w:val="000000"/>
      <w:sz w:val="18"/>
      <w:lang w:val="x-none" w:eastAsia="x-none"/>
    </w:rPr>
  </w:style>
  <w:style w:type="paragraph" w:customStyle="1" w:styleId="TableTitle">
    <w:name w:val="Table Title"/>
    <w:basedOn w:val="ListBullet"/>
    <w:link w:val="TableTitleChar"/>
    <w:qFormat/>
    <w:rsid w:val="004F61DA"/>
    <w:pPr>
      <w:framePr w:hSpace="181" w:wrap="around" w:vAnchor="text" w:hAnchor="text" w:y="1"/>
      <w:numPr>
        <w:numId w:val="0"/>
      </w:numPr>
      <w:spacing w:before="120"/>
      <w:suppressOverlap/>
      <w:jc w:val="center"/>
    </w:pPr>
    <w:rPr>
      <w:b/>
      <w:lang w:val="x-none"/>
    </w:rPr>
  </w:style>
  <w:style w:type="paragraph" w:customStyle="1" w:styleId="ChLetter">
    <w:name w:val="Ch Letter"/>
    <w:qFormat/>
    <w:rsid w:val="00B14D28"/>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365F91" w:themeFill="accent1" w:themeFillShade="BF"/>
      <w:ind w:left="7938"/>
    </w:pPr>
    <w:rPr>
      <w:b/>
      <w:smallCaps/>
      <w:color w:val="FFFFFF" w:themeColor="background1"/>
      <w:sz w:val="96"/>
      <w:szCs w:val="40"/>
      <w:lang w:eastAsia="en-US"/>
    </w:rPr>
  </w:style>
  <w:style w:type="paragraph" w:customStyle="1" w:styleId="ContentsPgTitles">
    <w:name w:val="Contents Pg Titles"/>
    <w:basedOn w:val="Normal"/>
    <w:next w:val="Normal"/>
    <w:autoRedefine/>
    <w:qFormat/>
    <w:rsid w:val="00E03BFA"/>
    <w:pPr>
      <w:jc w:val="right"/>
    </w:pPr>
    <w:rPr>
      <w:b/>
      <w:smallCaps/>
      <w:color w:val="3471B8"/>
      <w:sz w:val="35"/>
      <w:szCs w:val="35"/>
    </w:rPr>
  </w:style>
  <w:style w:type="paragraph" w:customStyle="1" w:styleId="AppendixPgHeading">
    <w:name w:val="Appendix Pg Heading"/>
    <w:basedOn w:val="ContentsPgTitles"/>
    <w:next w:val="Normal"/>
    <w:qFormat/>
    <w:rsid w:val="00531EE0"/>
  </w:style>
  <w:style w:type="paragraph" w:customStyle="1" w:styleId="FrontPgReportType">
    <w:name w:val="Front Pg Report Type"/>
    <w:basedOn w:val="Normal"/>
    <w:qFormat/>
    <w:rsid w:val="00080397"/>
    <w:pPr>
      <w:jc w:val="center"/>
    </w:pPr>
    <w:rPr>
      <w:caps/>
      <w:color w:val="365F91"/>
      <w:sz w:val="36"/>
    </w:rPr>
  </w:style>
  <w:style w:type="paragraph" w:customStyle="1" w:styleId="FrontPgDate">
    <w:name w:val="Front Pg Date"/>
    <w:basedOn w:val="Normal"/>
    <w:qFormat/>
    <w:rsid w:val="000871BA"/>
    <w:pPr>
      <w:jc w:val="center"/>
    </w:pPr>
    <w:rPr>
      <w:smallCaps/>
      <w:color w:val="365F91"/>
      <w:sz w:val="40"/>
    </w:rPr>
  </w:style>
  <w:style w:type="paragraph" w:customStyle="1" w:styleId="FrontPgClientName">
    <w:name w:val="Front Pg Client Name"/>
    <w:basedOn w:val="Normal"/>
    <w:qFormat/>
    <w:rsid w:val="00E03BFA"/>
    <w:pPr>
      <w:jc w:val="center"/>
    </w:pPr>
    <w:rPr>
      <w:b/>
      <w:smallCaps/>
      <w:color w:val="3671B8"/>
      <w:sz w:val="52"/>
      <w:szCs w:val="52"/>
    </w:rPr>
  </w:style>
  <w:style w:type="paragraph" w:customStyle="1" w:styleId="FrontPgHOI">
    <w:name w:val="Front Pg HOI"/>
    <w:basedOn w:val="Normal"/>
    <w:qFormat/>
    <w:rsid w:val="00080397"/>
    <w:pPr>
      <w:spacing w:before="120" w:after="120"/>
      <w:jc w:val="right"/>
    </w:pPr>
    <w:rPr>
      <w:rFonts w:eastAsia="Times New Roman" w:cs="Segoe UI"/>
      <w:color w:val="365F91"/>
      <w:sz w:val="36"/>
      <w:szCs w:val="28"/>
    </w:rPr>
  </w:style>
  <w:style w:type="paragraph" w:customStyle="1" w:styleId="FrontPgHOIaddress">
    <w:name w:val="Front Pg HOI address"/>
    <w:basedOn w:val="Normal"/>
    <w:qFormat/>
    <w:rsid w:val="00581AAF"/>
    <w:pPr>
      <w:spacing w:after="0"/>
      <w:jc w:val="right"/>
    </w:pPr>
    <w:rPr>
      <w:rFonts w:eastAsia="Times New Roman" w:cs="Segoe UI"/>
      <w:color w:val="365F91"/>
      <w:sz w:val="14"/>
      <w:szCs w:val="14"/>
    </w:rPr>
  </w:style>
  <w:style w:type="paragraph" w:styleId="ListParagraph">
    <w:name w:val="List Paragraph"/>
    <w:basedOn w:val="Normal"/>
    <w:link w:val="ListParagraphChar"/>
    <w:uiPriority w:val="34"/>
    <w:qFormat/>
    <w:rsid w:val="00C570D5"/>
    <w:pPr>
      <w:spacing w:after="120"/>
    </w:pPr>
  </w:style>
  <w:style w:type="character" w:styleId="Hyperlink">
    <w:name w:val="Hyperlink"/>
    <w:uiPriority w:val="99"/>
    <w:unhideWhenUsed/>
    <w:rsid w:val="00E03BFA"/>
    <w:rPr>
      <w:color w:val="3471B8"/>
      <w:u w:val="single"/>
    </w:rPr>
  </w:style>
  <w:style w:type="table" w:customStyle="1" w:styleId="HOI">
    <w:name w:val="HOI"/>
    <w:basedOn w:val="TableNormal"/>
    <w:uiPriority w:val="99"/>
    <w:rsid w:val="0040137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Col">
      <w:rPr>
        <w:rFonts w:ascii="Tahoma" w:hAnsi="Tahoma"/>
        <w:sz w:val="22"/>
      </w:rPr>
      <w:tblPr/>
      <w:tcPr>
        <w:shd w:val="clear" w:color="auto" w:fill="B8CCE4"/>
      </w:tcPr>
    </w:tblStylePr>
    <w:tblStylePr w:type="lastCol">
      <w:rPr>
        <w:rFonts w:ascii="Tahoma" w:hAnsi="Tahoma"/>
        <w:sz w:val="22"/>
      </w:rPr>
      <w:tblPr/>
      <w:tcPr>
        <w:shd w:val="clear" w:color="auto" w:fill="D9D9D9"/>
      </w:tcPr>
    </w:tblStylePr>
    <w:tblStylePr w:type="band2Vert">
      <w:tblPr/>
      <w:tcPr>
        <w:tcBorders>
          <w:top w:val="nil"/>
          <w:left w:val="nil"/>
          <w:bottom w:val="nil"/>
          <w:right w:val="nil"/>
          <w:insideH w:val="nil"/>
          <w:insideV w:val="nil"/>
          <w:tl2br w:val="nil"/>
          <w:tr2bl w:val="nil"/>
        </w:tcBorders>
        <w:shd w:val="clear" w:color="auto" w:fill="D9D9D9"/>
      </w:tcPr>
    </w:tblStylePr>
    <w:tblStylePr w:type="band1Horz">
      <w:tblPr/>
      <w:tcPr>
        <w:shd w:val="clear" w:color="auto" w:fill="D9D9D9"/>
      </w:tcPr>
    </w:tblStylePr>
    <w:tblStylePr w:type="band2Horz">
      <w:pPr>
        <w:jc w:val="left"/>
      </w:pPr>
      <w:tblPr/>
      <w:tcPr>
        <w:shd w:val="clear" w:color="auto" w:fill="D9D9D9"/>
      </w:tcPr>
    </w:tblStylePr>
  </w:style>
  <w:style w:type="paragraph" w:styleId="Quote">
    <w:name w:val="Quote"/>
    <w:basedOn w:val="Normal"/>
    <w:next w:val="Normal"/>
    <w:link w:val="QuoteChar"/>
    <w:uiPriority w:val="29"/>
    <w:qFormat/>
    <w:rsid w:val="00F86280"/>
    <w:rPr>
      <w:i/>
      <w:iCs/>
      <w:sz w:val="22"/>
      <w:szCs w:val="20"/>
      <w:lang w:val="x-none" w:eastAsia="x-none"/>
    </w:rPr>
  </w:style>
  <w:style w:type="character" w:customStyle="1" w:styleId="QuoteChar">
    <w:name w:val="Quote Char"/>
    <w:link w:val="Quote"/>
    <w:uiPriority w:val="29"/>
    <w:rsid w:val="00F86280"/>
    <w:rPr>
      <w:i/>
      <w:iCs/>
      <w:smallCaps w:val="0"/>
      <w:color w:val="000000"/>
      <w:sz w:val="22"/>
    </w:rPr>
  </w:style>
  <w:style w:type="paragraph" w:customStyle="1" w:styleId="Notes">
    <w:name w:val="Notes"/>
    <w:basedOn w:val="Normal"/>
    <w:next w:val="Normal"/>
    <w:qFormat/>
    <w:rsid w:val="00F86280"/>
    <w:rPr>
      <w:sz w:val="18"/>
      <w:szCs w:val="18"/>
    </w:rPr>
  </w:style>
  <w:style w:type="paragraph" w:styleId="FootnoteText">
    <w:name w:val="footnote text"/>
    <w:basedOn w:val="Normal"/>
    <w:link w:val="FootnoteTextChar"/>
    <w:uiPriority w:val="99"/>
    <w:unhideWhenUsed/>
    <w:rsid w:val="002D7FE7"/>
    <w:pPr>
      <w:spacing w:after="0"/>
    </w:pPr>
    <w:rPr>
      <w:sz w:val="16"/>
      <w:szCs w:val="20"/>
      <w:lang w:val="x-none" w:eastAsia="x-none"/>
    </w:rPr>
  </w:style>
  <w:style w:type="character" w:customStyle="1" w:styleId="FootnoteTextChar">
    <w:name w:val="Footnote Text Char"/>
    <w:link w:val="FootnoteText"/>
    <w:uiPriority w:val="99"/>
    <w:rsid w:val="002D7FE7"/>
    <w:rPr>
      <w:color w:val="000000"/>
      <w:sz w:val="16"/>
      <w:szCs w:val="20"/>
    </w:rPr>
  </w:style>
  <w:style w:type="character" w:styleId="FootnoteReference">
    <w:name w:val="footnote reference"/>
    <w:uiPriority w:val="99"/>
    <w:unhideWhenUsed/>
    <w:rsid w:val="00DF6A43"/>
    <w:rPr>
      <w:vertAlign w:val="superscript"/>
    </w:rPr>
  </w:style>
  <w:style w:type="paragraph" w:styleId="BlockText">
    <w:name w:val="Block Text"/>
    <w:basedOn w:val="Normal"/>
    <w:uiPriority w:val="99"/>
    <w:unhideWhenUsed/>
    <w:qFormat/>
    <w:rsid w:val="00B31FCC"/>
    <w:pPr>
      <w:pBdr>
        <w:top w:val="single" w:sz="4" w:space="10" w:color="auto"/>
        <w:left w:val="single" w:sz="4" w:space="10" w:color="auto"/>
        <w:bottom w:val="single" w:sz="4" w:space="10" w:color="auto"/>
        <w:right w:val="single" w:sz="4" w:space="10" w:color="auto"/>
      </w:pBdr>
      <w:shd w:val="clear" w:color="auto" w:fill="DBE5F1"/>
      <w:ind w:left="284" w:right="284"/>
    </w:pPr>
    <w:rPr>
      <w:rFonts w:eastAsia="Times New Roman"/>
      <w:iCs/>
      <w:color w:val="auto"/>
    </w:rPr>
  </w:style>
  <w:style w:type="table" w:customStyle="1" w:styleId="Hoi2">
    <w:name w:val="Hoi 2"/>
    <w:basedOn w:val="TableGrid"/>
    <w:uiPriority w:val="99"/>
    <w:rsid w:val="00EA5A64"/>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ahoma" w:hAnsi="Tahoma"/>
        <w:sz w:val="20"/>
      </w:rPr>
      <w:tblPr/>
      <w:tcPr>
        <w:shd w:val="clear" w:color="auto" w:fill="B8CCE4"/>
      </w:tcPr>
    </w:tblStylePr>
  </w:style>
  <w:style w:type="paragraph" w:customStyle="1" w:styleId="Tabledecimal">
    <w:name w:val="Table decimal"/>
    <w:basedOn w:val="Normal"/>
    <w:qFormat/>
    <w:rsid w:val="0071174D"/>
    <w:pPr>
      <w:tabs>
        <w:tab w:val="decimal" w:pos="1081"/>
      </w:tabs>
      <w:spacing w:before="60"/>
    </w:pPr>
  </w:style>
  <w:style w:type="paragraph" w:customStyle="1" w:styleId="FrontPageCopyType">
    <w:name w:val="Front Page Copy Type"/>
    <w:basedOn w:val="Normal"/>
    <w:qFormat/>
    <w:rsid w:val="00E03BFA"/>
    <w:pPr>
      <w:jc w:val="center"/>
    </w:pPr>
    <w:rPr>
      <w:b/>
      <w:caps/>
      <w:color w:val="3471B8"/>
      <w:sz w:val="40"/>
    </w:rPr>
  </w:style>
  <w:style w:type="paragraph" w:styleId="Caption">
    <w:name w:val="caption"/>
    <w:aliases w:val="Figure Caption"/>
    <w:basedOn w:val="Normal"/>
    <w:next w:val="Normal"/>
    <w:uiPriority w:val="35"/>
    <w:unhideWhenUsed/>
    <w:qFormat/>
    <w:rsid w:val="002D7FE7"/>
    <w:pPr>
      <w:keepNext/>
      <w:spacing w:before="120" w:after="120"/>
      <w:jc w:val="center"/>
    </w:pPr>
    <w:rPr>
      <w:b/>
      <w:bCs/>
      <w:color w:val="3471B8"/>
      <w:szCs w:val="18"/>
    </w:rPr>
  </w:style>
  <w:style w:type="character" w:customStyle="1" w:styleId="Heading7Char">
    <w:name w:val="Heading 7 Char"/>
    <w:link w:val="Heading7"/>
    <w:uiPriority w:val="9"/>
    <w:semiHidden/>
    <w:rsid w:val="00357754"/>
    <w:rPr>
      <w:rFonts w:ascii="Cambria" w:eastAsia="Times New Roman" w:hAnsi="Cambria"/>
      <w:i/>
      <w:iCs/>
      <w:color w:val="404040"/>
      <w:sz w:val="22"/>
      <w:lang w:val="x-none" w:eastAsia="x-none"/>
    </w:rPr>
  </w:style>
  <w:style w:type="character" w:customStyle="1" w:styleId="Heading8Char">
    <w:name w:val="Heading 8 Char"/>
    <w:link w:val="Heading8"/>
    <w:uiPriority w:val="9"/>
    <w:semiHidden/>
    <w:rsid w:val="00357754"/>
    <w:rPr>
      <w:rFonts w:ascii="Cambria" w:eastAsia="Times New Roman" w:hAnsi="Cambria"/>
      <w:color w:val="404040"/>
      <w:lang w:val="x-none" w:eastAsia="x-none"/>
    </w:rPr>
  </w:style>
  <w:style w:type="character" w:customStyle="1" w:styleId="Heading9Char">
    <w:name w:val="Heading 9 Char"/>
    <w:link w:val="Heading9"/>
    <w:uiPriority w:val="9"/>
    <w:semiHidden/>
    <w:rsid w:val="00357754"/>
    <w:rPr>
      <w:rFonts w:ascii="Cambria" w:eastAsia="Times New Roman" w:hAnsi="Cambria"/>
      <w:i/>
      <w:iCs/>
      <w:color w:val="404040"/>
      <w:lang w:val="x-none" w:eastAsia="x-none"/>
    </w:rPr>
  </w:style>
  <w:style w:type="paragraph" w:customStyle="1" w:styleId="SectionHeading">
    <w:name w:val="Section Heading"/>
    <w:basedOn w:val="Normal"/>
    <w:next w:val="Normal"/>
    <w:autoRedefine/>
    <w:qFormat/>
    <w:rsid w:val="00BD25DB"/>
    <w:pPr>
      <w:jc w:val="right"/>
    </w:pPr>
    <w:rPr>
      <w:b/>
      <w:smallCaps/>
      <w:color w:val="3471B8"/>
      <w:sz w:val="44"/>
    </w:rPr>
  </w:style>
  <w:style w:type="paragraph" w:customStyle="1" w:styleId="FrontAddress">
    <w:name w:val="Front Address"/>
    <w:basedOn w:val="Normal"/>
    <w:rsid w:val="002C4CCE"/>
    <w:pPr>
      <w:spacing w:after="0"/>
      <w:jc w:val="center"/>
    </w:pPr>
    <w:rPr>
      <w:rFonts w:ascii="Arial Narrow" w:hAnsi="Arial Narrow"/>
      <w:color w:val="auto"/>
      <w:sz w:val="16"/>
      <w:szCs w:val="16"/>
    </w:rPr>
  </w:style>
  <w:style w:type="numbering" w:customStyle="1" w:styleId="HoiBullets">
    <w:name w:val="Hoi Bullets"/>
    <w:uiPriority w:val="99"/>
    <w:rsid w:val="00C570D5"/>
    <w:pPr>
      <w:numPr>
        <w:numId w:val="3"/>
      </w:numPr>
    </w:pPr>
  </w:style>
  <w:style w:type="table" w:customStyle="1" w:styleId="LightList1">
    <w:name w:val="Light List1"/>
    <w:basedOn w:val="TableNormal"/>
    <w:uiPriority w:val="61"/>
    <w:rsid w:val="00992F4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List1">
    <w:name w:val="Table List 1"/>
    <w:basedOn w:val="TableNormal"/>
    <w:uiPriority w:val="99"/>
    <w:semiHidden/>
    <w:unhideWhenUsed/>
    <w:rsid w:val="00A20C78"/>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C916A6"/>
    <w:pPr>
      <w:spacing w:after="0"/>
    </w:pPr>
    <w:rPr>
      <w:rFonts w:ascii="Tahoma" w:hAnsi="Tahoma"/>
      <w:sz w:val="16"/>
      <w:szCs w:val="16"/>
      <w:lang w:val="x-none" w:eastAsia="x-none"/>
    </w:rPr>
  </w:style>
  <w:style w:type="character" w:customStyle="1" w:styleId="DocumentMapChar">
    <w:name w:val="Document Map Char"/>
    <w:link w:val="DocumentMap"/>
    <w:uiPriority w:val="99"/>
    <w:semiHidden/>
    <w:rsid w:val="00C916A6"/>
    <w:rPr>
      <w:rFonts w:ascii="Tahoma" w:hAnsi="Tahoma" w:cs="Tahoma"/>
      <w:smallCaps w:val="0"/>
      <w:color w:val="000000"/>
      <w:sz w:val="16"/>
      <w:szCs w:val="16"/>
    </w:rPr>
  </w:style>
  <w:style w:type="paragraph" w:styleId="ListNumber">
    <w:name w:val="List Number"/>
    <w:basedOn w:val="Normal"/>
    <w:uiPriority w:val="99"/>
    <w:unhideWhenUsed/>
    <w:rsid w:val="00C570D5"/>
    <w:pPr>
      <w:numPr>
        <w:numId w:val="2"/>
      </w:numPr>
      <w:spacing w:after="120"/>
      <w:ind w:left="357" w:hanging="357"/>
    </w:pPr>
  </w:style>
  <w:style w:type="paragraph" w:styleId="ListNumber2">
    <w:name w:val="List Number 2"/>
    <w:basedOn w:val="Normal"/>
    <w:uiPriority w:val="99"/>
    <w:unhideWhenUsed/>
    <w:rsid w:val="00C570D5"/>
    <w:pPr>
      <w:numPr>
        <w:ilvl w:val="1"/>
        <w:numId w:val="2"/>
      </w:numPr>
      <w:spacing w:after="120"/>
      <w:ind w:left="714" w:hanging="357"/>
    </w:pPr>
  </w:style>
  <w:style w:type="paragraph" w:styleId="ListNumber3">
    <w:name w:val="List Number 3"/>
    <w:basedOn w:val="Normal"/>
    <w:uiPriority w:val="99"/>
    <w:unhideWhenUsed/>
    <w:rsid w:val="00C570D5"/>
    <w:pPr>
      <w:numPr>
        <w:ilvl w:val="2"/>
        <w:numId w:val="2"/>
      </w:numPr>
      <w:spacing w:after="120"/>
      <w:ind w:left="1077" w:hanging="357"/>
    </w:pPr>
  </w:style>
  <w:style w:type="paragraph" w:styleId="ListBullet">
    <w:name w:val="List Bullet"/>
    <w:aliases w:val="lb,List Bullet Standard,List Bullet Char1,***"/>
    <w:basedOn w:val="Normal"/>
    <w:uiPriority w:val="99"/>
    <w:unhideWhenUsed/>
    <w:qFormat/>
    <w:rsid w:val="00C570D5"/>
    <w:pPr>
      <w:numPr>
        <w:numId w:val="18"/>
      </w:numPr>
      <w:spacing w:after="120"/>
    </w:pPr>
  </w:style>
  <w:style w:type="paragraph" w:styleId="ListBullet2">
    <w:name w:val="List Bullet 2"/>
    <w:basedOn w:val="Normal"/>
    <w:uiPriority w:val="99"/>
    <w:unhideWhenUsed/>
    <w:qFormat/>
    <w:rsid w:val="00C570D5"/>
    <w:pPr>
      <w:numPr>
        <w:ilvl w:val="1"/>
        <w:numId w:val="18"/>
      </w:numPr>
      <w:spacing w:after="120"/>
    </w:pPr>
  </w:style>
  <w:style w:type="paragraph" w:styleId="ListBullet3">
    <w:name w:val="List Bullet 3"/>
    <w:basedOn w:val="Normal"/>
    <w:uiPriority w:val="99"/>
    <w:unhideWhenUsed/>
    <w:qFormat/>
    <w:rsid w:val="00C570D5"/>
    <w:pPr>
      <w:numPr>
        <w:ilvl w:val="2"/>
        <w:numId w:val="18"/>
      </w:numPr>
      <w:spacing w:after="120"/>
    </w:pPr>
  </w:style>
  <w:style w:type="paragraph" w:customStyle="1" w:styleId="FrontHOIaddress">
    <w:name w:val="*Front HOI address"/>
    <w:basedOn w:val="Normal"/>
    <w:qFormat/>
    <w:rsid w:val="000B50D5"/>
    <w:pPr>
      <w:spacing w:before="120" w:after="0"/>
      <w:jc w:val="left"/>
    </w:pPr>
    <w:rPr>
      <w:rFonts w:eastAsia="Times New Roman" w:cs="Segoe UI"/>
      <w:color w:val="114B8C"/>
      <w:sz w:val="14"/>
      <w:szCs w:val="14"/>
    </w:rPr>
  </w:style>
  <w:style w:type="paragraph" w:customStyle="1" w:styleId="Header0">
    <w:name w:val="*Header"/>
    <w:basedOn w:val="Normal"/>
    <w:next w:val="Normal"/>
    <w:link w:val="HeaderChar0"/>
    <w:rsid w:val="00CF5446"/>
    <w:pPr>
      <w:keepNext/>
      <w:pBdr>
        <w:bottom w:val="single" w:sz="8" w:space="1" w:color="114B8C"/>
      </w:pBdr>
      <w:spacing w:before="120"/>
      <w:jc w:val="left"/>
    </w:pPr>
    <w:rPr>
      <w:b/>
      <w:color w:val="114B8C"/>
      <w:sz w:val="18"/>
      <w:szCs w:val="24"/>
      <w:lang w:val="x-none"/>
    </w:rPr>
  </w:style>
  <w:style w:type="paragraph" w:customStyle="1" w:styleId="TableCaption">
    <w:name w:val="Table Caption"/>
    <w:basedOn w:val="Normal"/>
    <w:next w:val="Normal"/>
    <w:link w:val="TableCaptionChar"/>
    <w:rsid w:val="00322C0B"/>
    <w:pPr>
      <w:keepNext/>
      <w:spacing w:before="240"/>
      <w:jc w:val="center"/>
    </w:pPr>
    <w:rPr>
      <w:rFonts w:ascii="Century Gothic" w:eastAsia="Times New Roman" w:hAnsi="Century Gothic"/>
      <w:b/>
      <w:color w:val="auto"/>
      <w:sz w:val="19"/>
      <w:szCs w:val="20"/>
      <w:lang w:val="x-none" w:eastAsia="x-none"/>
    </w:rPr>
  </w:style>
  <w:style w:type="character" w:customStyle="1" w:styleId="TableCaptionChar">
    <w:name w:val="Table Caption Char"/>
    <w:link w:val="TableCaption"/>
    <w:rsid w:val="00322C0B"/>
    <w:rPr>
      <w:rFonts w:ascii="Century Gothic" w:eastAsia="Times New Roman" w:hAnsi="Century Gothic" w:cs="Times New Roman"/>
      <w:b/>
      <w:smallCaps w:val="0"/>
      <w:color w:val="auto"/>
      <w:sz w:val="19"/>
      <w:szCs w:val="20"/>
    </w:rPr>
  </w:style>
  <w:style w:type="paragraph" w:customStyle="1" w:styleId="TableCaption0">
    <w:name w:val="TableCaption"/>
    <w:basedOn w:val="TableCaption"/>
    <w:link w:val="TableCaptionChar0"/>
    <w:qFormat/>
    <w:rsid w:val="00366303"/>
    <w:pPr>
      <w:spacing w:after="120"/>
    </w:pPr>
    <w:rPr>
      <w:rFonts w:ascii="Segoe UI" w:hAnsi="Segoe UI"/>
      <w:color w:val="365F91"/>
      <w:sz w:val="20"/>
    </w:rPr>
  </w:style>
  <w:style w:type="character" w:customStyle="1" w:styleId="TableCaptionChar0">
    <w:name w:val="TableCaption Char"/>
    <w:link w:val="TableCaption0"/>
    <w:rsid w:val="00366303"/>
    <w:rPr>
      <w:rFonts w:eastAsia="Times New Roman" w:cs="Segoe UI"/>
      <w:b/>
      <w:color w:val="365F91"/>
      <w:lang w:val="x-none" w:eastAsia="x-none"/>
    </w:rPr>
  </w:style>
  <w:style w:type="paragraph" w:customStyle="1" w:styleId="HOIFooter">
    <w:name w:val="HOI Footer"/>
    <w:basedOn w:val="Normal"/>
    <w:link w:val="HOIFooterChar"/>
    <w:qFormat/>
    <w:rsid w:val="00507F23"/>
    <w:pPr>
      <w:pBdr>
        <w:top w:val="single" w:sz="12" w:space="1" w:color="114B8C"/>
      </w:pBdr>
      <w:tabs>
        <w:tab w:val="right" w:pos="8222"/>
      </w:tabs>
      <w:spacing w:after="0"/>
    </w:pPr>
    <w:rPr>
      <w:rFonts w:eastAsia="Times New Roman"/>
      <w:color w:val="365F91"/>
      <w:sz w:val="18"/>
      <w:szCs w:val="20"/>
      <w:lang w:val="x-none"/>
    </w:rPr>
  </w:style>
  <w:style w:type="paragraph" w:customStyle="1" w:styleId="HOIHeader">
    <w:name w:val="HOI Header"/>
    <w:next w:val="Normal"/>
    <w:link w:val="HOIHeaderChar"/>
    <w:qFormat/>
    <w:rsid w:val="0055326D"/>
    <w:pPr>
      <w:spacing w:after="60"/>
    </w:pPr>
    <w:rPr>
      <w:b/>
      <w:noProof/>
      <w:color w:val="114B8C"/>
      <w:sz w:val="18"/>
      <w:lang w:val="x-none"/>
    </w:rPr>
  </w:style>
  <w:style w:type="character" w:customStyle="1" w:styleId="HOIFooterChar">
    <w:name w:val="HOI Footer Char"/>
    <w:link w:val="HOIFooter"/>
    <w:rsid w:val="00507F23"/>
    <w:rPr>
      <w:rFonts w:eastAsia="Times New Roman"/>
      <w:color w:val="365F91"/>
      <w:sz w:val="18"/>
      <w:lang w:eastAsia="en-US"/>
    </w:rPr>
  </w:style>
  <w:style w:type="paragraph" w:customStyle="1" w:styleId="NumberedList">
    <w:name w:val="Numbered List"/>
    <w:basedOn w:val="Normal"/>
    <w:link w:val="NumberedListChar"/>
    <w:qFormat/>
    <w:rsid w:val="00ED6DDF"/>
    <w:pPr>
      <w:spacing w:before="60" w:after="60"/>
    </w:pPr>
    <w:rPr>
      <w:rFonts w:eastAsia="Times New Roman"/>
      <w:color w:val="auto"/>
      <w:sz w:val="22"/>
      <w:szCs w:val="24"/>
      <w:lang w:val="x-none"/>
    </w:rPr>
  </w:style>
  <w:style w:type="character" w:customStyle="1" w:styleId="HeaderChar0">
    <w:name w:val="*Header Char"/>
    <w:link w:val="Header0"/>
    <w:rsid w:val="00CF5446"/>
    <w:rPr>
      <w:b/>
      <w:color w:val="114B8C"/>
      <w:sz w:val="18"/>
      <w:szCs w:val="24"/>
      <w:lang w:eastAsia="en-US"/>
    </w:rPr>
  </w:style>
  <w:style w:type="character" w:customStyle="1" w:styleId="HOIHeaderChar">
    <w:name w:val="HOI Header Char"/>
    <w:basedOn w:val="HeaderChar0"/>
    <w:link w:val="HOIHeader"/>
    <w:rsid w:val="0055326D"/>
    <w:rPr>
      <w:b/>
      <w:noProof/>
      <w:color w:val="114B8C"/>
      <w:sz w:val="18"/>
      <w:szCs w:val="24"/>
      <w:lang w:val="x-none" w:eastAsia="en-US"/>
    </w:rPr>
  </w:style>
  <w:style w:type="character" w:customStyle="1" w:styleId="NumberedListChar">
    <w:name w:val="Numbered List Char"/>
    <w:link w:val="NumberedList"/>
    <w:rsid w:val="00ED6DDF"/>
    <w:rPr>
      <w:rFonts w:eastAsia="Times New Roman"/>
      <w:sz w:val="22"/>
      <w:szCs w:val="24"/>
      <w:lang w:eastAsia="en-US"/>
    </w:rPr>
  </w:style>
  <w:style w:type="character" w:customStyle="1" w:styleId="TableTitleChar">
    <w:name w:val="Table Title Char"/>
    <w:link w:val="TableTitle"/>
    <w:rsid w:val="001135F6"/>
    <w:rPr>
      <w:b/>
      <w:color w:val="000000"/>
      <w:szCs w:val="40"/>
      <w:lang w:eastAsia="en-US"/>
    </w:rPr>
  </w:style>
  <w:style w:type="paragraph" w:customStyle="1" w:styleId="Default">
    <w:name w:val="Default"/>
    <w:rsid w:val="00836F95"/>
    <w:pPr>
      <w:autoSpaceDE w:val="0"/>
      <w:autoSpaceDN w:val="0"/>
      <w:adjustRightInd w:val="0"/>
    </w:pPr>
    <w:rPr>
      <w:rFonts w:ascii="Calibri" w:eastAsia="Times New Roman" w:hAnsi="Calibri" w:cs="Calibri"/>
      <w:color w:val="000000"/>
      <w:sz w:val="24"/>
      <w:szCs w:val="24"/>
    </w:rPr>
  </w:style>
  <w:style w:type="paragraph" w:customStyle="1" w:styleId="Bullet1">
    <w:name w:val="*Bullet 1"/>
    <w:basedOn w:val="Normal"/>
    <w:link w:val="Bullet1Char"/>
    <w:qFormat/>
    <w:rsid w:val="00034306"/>
    <w:pPr>
      <w:numPr>
        <w:numId w:val="7"/>
      </w:numPr>
      <w:spacing w:before="120" w:after="120"/>
    </w:pPr>
    <w:rPr>
      <w:rFonts w:eastAsia="Times New Roman"/>
      <w:color w:val="auto"/>
      <w:szCs w:val="20"/>
      <w:lang w:val="x-none"/>
    </w:rPr>
  </w:style>
  <w:style w:type="character" w:customStyle="1" w:styleId="Bullet1Char">
    <w:name w:val="*Bullet 1 Char"/>
    <w:link w:val="Bullet1"/>
    <w:locked/>
    <w:rsid w:val="00034306"/>
    <w:rPr>
      <w:rFonts w:eastAsia="Times New Roman"/>
      <w:lang w:val="x-none" w:eastAsia="en-US"/>
    </w:rPr>
  </w:style>
  <w:style w:type="paragraph" w:customStyle="1" w:styleId="TableHeading">
    <w:name w:val="*Table Heading"/>
    <w:qFormat/>
    <w:rsid w:val="00363D6E"/>
    <w:pPr>
      <w:spacing w:before="60" w:after="60"/>
      <w:ind w:left="57" w:right="57"/>
      <w:jc w:val="center"/>
    </w:pPr>
    <w:rPr>
      <w:rFonts w:eastAsia="Times New Roman"/>
      <w:b/>
      <w:lang w:eastAsia="en-US"/>
    </w:rPr>
  </w:style>
  <w:style w:type="paragraph" w:customStyle="1" w:styleId="TableText0">
    <w:name w:val="*Table Text"/>
    <w:qFormat/>
    <w:rsid w:val="00363D6E"/>
    <w:pPr>
      <w:spacing w:before="60" w:after="60"/>
      <w:ind w:left="57" w:right="57"/>
    </w:pPr>
    <w:rPr>
      <w:rFonts w:eastAsia="Times New Roman"/>
      <w:sz w:val="18"/>
      <w:lang w:eastAsia="en-US"/>
    </w:rPr>
  </w:style>
  <w:style w:type="character" w:styleId="Strong">
    <w:name w:val="Strong"/>
    <w:uiPriority w:val="22"/>
    <w:qFormat/>
    <w:rsid w:val="0020008A"/>
    <w:rPr>
      <w:b/>
      <w:bCs/>
    </w:rPr>
  </w:style>
  <w:style w:type="character" w:styleId="CommentReference">
    <w:name w:val="annotation reference"/>
    <w:uiPriority w:val="99"/>
    <w:semiHidden/>
    <w:unhideWhenUsed/>
    <w:rsid w:val="003A2B65"/>
    <w:rPr>
      <w:sz w:val="16"/>
      <w:szCs w:val="16"/>
    </w:rPr>
  </w:style>
  <w:style w:type="paragraph" w:styleId="CommentText">
    <w:name w:val="annotation text"/>
    <w:basedOn w:val="Normal"/>
    <w:link w:val="CommentTextChar"/>
    <w:uiPriority w:val="99"/>
    <w:unhideWhenUsed/>
    <w:rsid w:val="003A2B65"/>
    <w:rPr>
      <w:szCs w:val="20"/>
      <w:lang w:val="x-none"/>
    </w:rPr>
  </w:style>
  <w:style w:type="character" w:customStyle="1" w:styleId="CommentTextChar">
    <w:name w:val="Comment Text Char"/>
    <w:link w:val="CommentText"/>
    <w:uiPriority w:val="99"/>
    <w:rsid w:val="003A2B65"/>
    <w:rPr>
      <w:color w:val="000000"/>
      <w:lang w:eastAsia="en-US"/>
    </w:rPr>
  </w:style>
  <w:style w:type="paragraph" w:styleId="CommentSubject">
    <w:name w:val="annotation subject"/>
    <w:basedOn w:val="CommentText"/>
    <w:next w:val="CommentText"/>
    <w:link w:val="CommentSubjectChar"/>
    <w:uiPriority w:val="99"/>
    <w:semiHidden/>
    <w:unhideWhenUsed/>
    <w:rsid w:val="003A2B65"/>
    <w:rPr>
      <w:b/>
      <w:bCs/>
    </w:rPr>
  </w:style>
  <w:style w:type="character" w:customStyle="1" w:styleId="CommentSubjectChar">
    <w:name w:val="Comment Subject Char"/>
    <w:link w:val="CommentSubject"/>
    <w:uiPriority w:val="99"/>
    <w:semiHidden/>
    <w:rsid w:val="003A2B65"/>
    <w:rPr>
      <w:b/>
      <w:bCs/>
      <w:color w:val="000000"/>
      <w:lang w:eastAsia="en-US"/>
    </w:rPr>
  </w:style>
  <w:style w:type="numbering" w:customStyle="1" w:styleId="HoiBullets1">
    <w:name w:val="Hoi Bullets1"/>
    <w:rsid w:val="000601A8"/>
    <w:pPr>
      <w:numPr>
        <w:numId w:val="15"/>
      </w:numPr>
    </w:pPr>
  </w:style>
  <w:style w:type="paragraph" w:customStyle="1" w:styleId="Style2">
    <w:name w:val="Style2"/>
    <w:basedOn w:val="Normal"/>
    <w:qFormat/>
    <w:rsid w:val="00764500"/>
    <w:pPr>
      <w:tabs>
        <w:tab w:val="left" w:pos="851"/>
      </w:tabs>
      <w:spacing w:before="60" w:after="60"/>
      <w:ind w:left="851" w:hanging="502"/>
    </w:pPr>
    <w:rPr>
      <w:rFonts w:eastAsia="Times New Roman"/>
      <w:color w:val="auto"/>
      <w:szCs w:val="20"/>
      <w:lang w:val="x-none"/>
    </w:rPr>
  </w:style>
  <w:style w:type="numbering" w:customStyle="1" w:styleId="HoiBullets3">
    <w:name w:val="Hoi Bullets3"/>
    <w:uiPriority w:val="99"/>
    <w:rsid w:val="00E54DD6"/>
  </w:style>
  <w:style w:type="numbering" w:customStyle="1" w:styleId="HoiBullets2">
    <w:name w:val="Hoi Bullets2"/>
    <w:uiPriority w:val="99"/>
    <w:rsid w:val="00C84E0B"/>
  </w:style>
  <w:style w:type="numbering" w:customStyle="1" w:styleId="HoiBullets31">
    <w:name w:val="Hoi Bullets31"/>
    <w:uiPriority w:val="99"/>
    <w:rsid w:val="00C84E0B"/>
  </w:style>
  <w:style w:type="numbering" w:customStyle="1" w:styleId="HoiBullets5">
    <w:name w:val="Hoi Bullets5"/>
    <w:uiPriority w:val="99"/>
    <w:rsid w:val="00227806"/>
  </w:style>
  <w:style w:type="numbering" w:customStyle="1" w:styleId="HoiBullets4">
    <w:name w:val="Hoi Bullets4"/>
    <w:uiPriority w:val="99"/>
    <w:rsid w:val="00977FBE"/>
  </w:style>
  <w:style w:type="character" w:customStyle="1" w:styleId="A5">
    <w:name w:val="A5"/>
    <w:uiPriority w:val="99"/>
    <w:rsid w:val="00350793"/>
    <w:rPr>
      <w:b/>
      <w:bCs/>
      <w:i/>
      <w:iCs/>
      <w:color w:val="000000"/>
      <w:sz w:val="18"/>
      <w:szCs w:val="18"/>
    </w:rPr>
  </w:style>
  <w:style w:type="paragraph" w:styleId="EndnoteText">
    <w:name w:val="endnote text"/>
    <w:basedOn w:val="Normal"/>
    <w:link w:val="EndnoteTextChar"/>
    <w:semiHidden/>
    <w:rsid w:val="0038172F"/>
    <w:pPr>
      <w:spacing w:after="0"/>
      <w:jc w:val="left"/>
    </w:pPr>
    <w:rPr>
      <w:rFonts w:ascii="Arial" w:eastAsia="Times New Roman" w:hAnsi="Arial"/>
      <w:color w:val="auto"/>
      <w:szCs w:val="20"/>
      <w:lang w:eastAsia="en-AU"/>
    </w:rPr>
  </w:style>
  <w:style w:type="character" w:customStyle="1" w:styleId="EndnoteTextChar">
    <w:name w:val="Endnote Text Char"/>
    <w:basedOn w:val="DefaultParagraphFont"/>
    <w:link w:val="EndnoteText"/>
    <w:semiHidden/>
    <w:rsid w:val="0038172F"/>
    <w:rPr>
      <w:rFonts w:ascii="Arial" w:eastAsia="Times New Roman" w:hAnsi="Arial"/>
    </w:rPr>
  </w:style>
  <w:style w:type="character" w:styleId="EndnoteReference">
    <w:name w:val="endnote reference"/>
    <w:semiHidden/>
    <w:rsid w:val="0038172F"/>
    <w:rPr>
      <w:rFonts w:ascii="Arial" w:hAnsi="Arial"/>
      <w:sz w:val="20"/>
      <w:vertAlign w:val="superscript"/>
    </w:rPr>
  </w:style>
  <w:style w:type="paragraph" w:customStyle="1" w:styleId="Tablecaption1">
    <w:name w:val="Table caption"/>
    <w:basedOn w:val="Caption"/>
    <w:link w:val="TablecaptionChar1"/>
    <w:qFormat/>
    <w:rsid w:val="003B2254"/>
    <w:rPr>
      <w:lang w:val="x-none"/>
    </w:rPr>
  </w:style>
  <w:style w:type="character" w:customStyle="1" w:styleId="TablecaptionChar1">
    <w:name w:val="Table caption Char"/>
    <w:link w:val="Tablecaption1"/>
    <w:rsid w:val="003B2254"/>
    <w:rPr>
      <w:b/>
      <w:bCs/>
      <w:color w:val="3471B8"/>
      <w:szCs w:val="18"/>
      <w:lang w:val="x-none" w:eastAsia="en-US"/>
    </w:rPr>
  </w:style>
  <w:style w:type="paragraph" w:styleId="Revision">
    <w:name w:val="Revision"/>
    <w:hidden/>
    <w:uiPriority w:val="99"/>
    <w:semiHidden/>
    <w:rsid w:val="00D255BF"/>
    <w:rPr>
      <w:color w:val="000000"/>
      <w:szCs w:val="40"/>
      <w:lang w:eastAsia="en-US"/>
    </w:rPr>
  </w:style>
  <w:style w:type="character" w:customStyle="1" w:styleId="ListParagraphChar">
    <w:name w:val="List Paragraph Char"/>
    <w:basedOn w:val="DefaultParagraphFont"/>
    <w:link w:val="ListParagraph"/>
    <w:uiPriority w:val="34"/>
    <w:rsid w:val="00182B2E"/>
    <w:rPr>
      <w:color w:val="000000"/>
      <w:szCs w:val="40"/>
      <w:lang w:eastAsia="en-US"/>
    </w:rPr>
  </w:style>
  <w:style w:type="paragraph" w:customStyle="1" w:styleId="ChNumbers">
    <w:name w:val="Ch Numbers"/>
    <w:basedOn w:val="Heading1"/>
    <w:qFormat/>
    <w:rsid w:val="008F677F"/>
  </w:style>
  <w:style w:type="paragraph" w:customStyle="1" w:styleId="ES3">
    <w:name w:val="ES 3"/>
    <w:basedOn w:val="Heading3"/>
    <w:next w:val="Normal"/>
    <w:qFormat/>
    <w:rsid w:val="00F90EFD"/>
    <w:pPr>
      <w:numPr>
        <w:ilvl w:val="0"/>
        <w:numId w:val="0"/>
      </w:numPr>
      <w:spacing w:before="0"/>
    </w:pPr>
  </w:style>
  <w:style w:type="paragraph" w:styleId="TOC5">
    <w:name w:val="toc 5"/>
    <w:basedOn w:val="Normal"/>
    <w:next w:val="Normal"/>
    <w:autoRedefine/>
    <w:uiPriority w:val="39"/>
    <w:unhideWhenUsed/>
    <w:rsid w:val="00CE04E7"/>
    <w:pPr>
      <w:spacing w:after="100" w:line="276" w:lineRule="auto"/>
      <w:ind w:left="880"/>
      <w:jc w:val="left"/>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E04E7"/>
    <w:pPr>
      <w:spacing w:after="100" w:line="276" w:lineRule="auto"/>
      <w:ind w:left="1100"/>
      <w:jc w:val="left"/>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E04E7"/>
    <w:pPr>
      <w:spacing w:after="100" w:line="276" w:lineRule="auto"/>
      <w:ind w:left="1320"/>
      <w:jc w:val="left"/>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E04E7"/>
    <w:pPr>
      <w:spacing w:after="100" w:line="276" w:lineRule="auto"/>
      <w:ind w:left="1540"/>
      <w:jc w:val="left"/>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E04E7"/>
    <w:pPr>
      <w:spacing w:after="100" w:line="276" w:lineRule="auto"/>
      <w:ind w:left="1760"/>
      <w:jc w:val="left"/>
    </w:pPr>
    <w:rPr>
      <w:rFonts w:asciiTheme="minorHAnsi" w:eastAsiaTheme="minorEastAsia" w:hAnsiTheme="minorHAnsi" w:cstheme="minorBidi"/>
      <w:color w:val="auto"/>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Calibri" w:hAnsi="Segoe U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Bullet" w:qFormat="1"/>
    <w:lsdException w:name="List Bullet 2" w:qFormat="1"/>
    <w:lsdException w:name="List Bullet 3" w:qFormat="1"/>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28A4"/>
    <w:pPr>
      <w:spacing w:after="240"/>
      <w:jc w:val="both"/>
    </w:pPr>
    <w:rPr>
      <w:color w:val="000000"/>
      <w:szCs w:val="40"/>
      <w:lang w:eastAsia="en-US"/>
    </w:rPr>
  </w:style>
  <w:style w:type="paragraph" w:styleId="Heading1">
    <w:name w:val="heading 1"/>
    <w:next w:val="Normal"/>
    <w:link w:val="Heading1Char"/>
    <w:qFormat/>
    <w:rsid w:val="00CE04E7"/>
    <w:pPr>
      <w:numPr>
        <w:numId w:val="48"/>
      </w:numPr>
      <w:jc w:val="right"/>
      <w:outlineLvl w:val="0"/>
    </w:pPr>
    <w:rPr>
      <w:b/>
      <w:smallCaps/>
      <w:color w:val="3471B8"/>
      <w:sz w:val="44"/>
      <w:szCs w:val="40"/>
      <w:lang w:eastAsia="en-US"/>
    </w:rPr>
  </w:style>
  <w:style w:type="paragraph" w:styleId="Heading2">
    <w:name w:val="heading 2"/>
    <w:basedOn w:val="Normal"/>
    <w:next w:val="Normal"/>
    <w:link w:val="Heading2Char"/>
    <w:qFormat/>
    <w:rsid w:val="000C09A0"/>
    <w:pPr>
      <w:keepNext/>
      <w:numPr>
        <w:ilvl w:val="1"/>
        <w:numId w:val="48"/>
      </w:numPr>
      <w:tabs>
        <w:tab w:val="left" w:pos="851"/>
      </w:tabs>
      <w:spacing w:before="360"/>
      <w:jc w:val="left"/>
      <w:outlineLvl w:val="1"/>
    </w:pPr>
    <w:rPr>
      <w:rFonts w:eastAsia="Times New Roman"/>
      <w:b/>
      <w:bCs/>
      <w:iCs/>
      <w:smallCaps/>
      <w:color w:val="365F91"/>
      <w:spacing w:val="20"/>
      <w:sz w:val="26"/>
      <w:szCs w:val="28"/>
      <w:lang w:val="x-none" w:eastAsia="x-none"/>
    </w:rPr>
  </w:style>
  <w:style w:type="paragraph" w:styleId="Heading3">
    <w:name w:val="heading 3"/>
    <w:basedOn w:val="Normal"/>
    <w:next w:val="Normal"/>
    <w:link w:val="Heading3Char"/>
    <w:autoRedefine/>
    <w:qFormat/>
    <w:rsid w:val="00433F05"/>
    <w:pPr>
      <w:keepNext/>
      <w:numPr>
        <w:ilvl w:val="2"/>
        <w:numId w:val="48"/>
      </w:numPr>
      <w:tabs>
        <w:tab w:val="left" w:pos="851"/>
      </w:tabs>
      <w:spacing w:before="240" w:after="120"/>
      <w:jc w:val="left"/>
      <w:outlineLvl w:val="2"/>
    </w:pPr>
    <w:rPr>
      <w:rFonts w:eastAsia="Times New Roman"/>
      <w:b/>
      <w:bCs/>
      <w:smallCaps/>
      <w:color w:val="365F91"/>
      <w:spacing w:val="20"/>
      <w:sz w:val="22"/>
      <w:szCs w:val="24"/>
      <w:lang w:val="x-none" w:eastAsia="x-none"/>
    </w:rPr>
  </w:style>
  <w:style w:type="paragraph" w:styleId="Heading4">
    <w:name w:val="heading 4"/>
    <w:basedOn w:val="Normal"/>
    <w:next w:val="Normal"/>
    <w:link w:val="Heading4Char"/>
    <w:autoRedefine/>
    <w:qFormat/>
    <w:rsid w:val="00FF37EE"/>
    <w:pPr>
      <w:keepNext/>
      <w:keepLines/>
      <w:tabs>
        <w:tab w:val="left" w:pos="851"/>
      </w:tabs>
      <w:spacing w:before="240" w:after="60"/>
      <w:ind w:left="862" w:hanging="862"/>
      <w:outlineLvl w:val="3"/>
    </w:pPr>
    <w:rPr>
      <w:rFonts w:eastAsia="Times New Roman"/>
      <w:b/>
      <w:bCs/>
      <w:smallCaps/>
      <w:color w:val="365F91"/>
      <w:spacing w:val="20"/>
      <w:sz w:val="21"/>
      <w:szCs w:val="21"/>
      <w:lang w:val="x-none" w:eastAsia="x-none"/>
    </w:rPr>
  </w:style>
  <w:style w:type="paragraph" w:styleId="Heading5">
    <w:name w:val="heading 5"/>
    <w:basedOn w:val="Normal"/>
    <w:next w:val="Normal"/>
    <w:link w:val="Heading5Char"/>
    <w:autoRedefine/>
    <w:qFormat/>
    <w:rsid w:val="00D276FB"/>
    <w:pPr>
      <w:numPr>
        <w:ilvl w:val="4"/>
        <w:numId w:val="48"/>
      </w:numPr>
      <w:spacing w:before="120" w:after="120"/>
      <w:outlineLvl w:val="4"/>
    </w:pPr>
    <w:rPr>
      <w:rFonts w:eastAsia="Times New Roman"/>
      <w:b/>
      <w:bCs/>
      <w:iCs/>
      <w:color w:val="1F497D" w:themeColor="text2"/>
      <w:spacing w:val="20"/>
      <w:szCs w:val="20"/>
      <w:lang w:val="x-none" w:eastAsia="x-none"/>
    </w:rPr>
  </w:style>
  <w:style w:type="paragraph" w:styleId="Heading6">
    <w:name w:val="heading 6"/>
    <w:basedOn w:val="Normal"/>
    <w:next w:val="Normal"/>
    <w:link w:val="Heading6Char"/>
    <w:autoRedefine/>
    <w:qFormat/>
    <w:rsid w:val="00B7244F"/>
    <w:pPr>
      <w:numPr>
        <w:ilvl w:val="5"/>
        <w:numId w:val="48"/>
      </w:numPr>
      <w:outlineLvl w:val="5"/>
    </w:pPr>
    <w:rPr>
      <w:b/>
      <w:i/>
      <w:sz w:val="22"/>
      <w:szCs w:val="20"/>
      <w:lang w:val="x-none" w:eastAsia="x-none"/>
    </w:rPr>
  </w:style>
  <w:style w:type="paragraph" w:styleId="Heading7">
    <w:name w:val="heading 7"/>
    <w:basedOn w:val="Normal"/>
    <w:next w:val="Normal"/>
    <w:link w:val="Heading7Char"/>
    <w:uiPriority w:val="9"/>
    <w:semiHidden/>
    <w:unhideWhenUsed/>
    <w:qFormat/>
    <w:rsid w:val="00357754"/>
    <w:pPr>
      <w:keepNext/>
      <w:keepLines/>
      <w:numPr>
        <w:ilvl w:val="6"/>
        <w:numId w:val="48"/>
      </w:numPr>
      <w:spacing w:before="200" w:after="0"/>
      <w:outlineLvl w:val="6"/>
    </w:pPr>
    <w:rPr>
      <w:rFonts w:ascii="Cambria" w:eastAsia="Times New Roman" w:hAnsi="Cambria"/>
      <w:i/>
      <w:iCs/>
      <w:color w:val="404040"/>
      <w:sz w:val="22"/>
      <w:szCs w:val="20"/>
      <w:lang w:val="x-none" w:eastAsia="x-none"/>
    </w:rPr>
  </w:style>
  <w:style w:type="paragraph" w:styleId="Heading8">
    <w:name w:val="heading 8"/>
    <w:basedOn w:val="Normal"/>
    <w:next w:val="Normal"/>
    <w:link w:val="Heading8Char"/>
    <w:uiPriority w:val="9"/>
    <w:semiHidden/>
    <w:unhideWhenUsed/>
    <w:qFormat/>
    <w:rsid w:val="00357754"/>
    <w:pPr>
      <w:keepNext/>
      <w:keepLines/>
      <w:numPr>
        <w:ilvl w:val="7"/>
        <w:numId w:val="48"/>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semiHidden/>
    <w:unhideWhenUsed/>
    <w:qFormat/>
    <w:rsid w:val="00357754"/>
    <w:pPr>
      <w:keepNext/>
      <w:keepLines/>
      <w:numPr>
        <w:ilvl w:val="8"/>
        <w:numId w:val="48"/>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F455C"/>
    <w:rPr>
      <w:color w:val="808080"/>
    </w:rPr>
  </w:style>
  <w:style w:type="paragraph" w:styleId="BalloonText">
    <w:name w:val="Balloon Text"/>
    <w:basedOn w:val="Normal"/>
    <w:link w:val="BalloonTextChar"/>
    <w:uiPriority w:val="99"/>
    <w:semiHidden/>
    <w:unhideWhenUsed/>
    <w:rsid w:val="000F455C"/>
    <w:pPr>
      <w:spacing w:after="0"/>
    </w:pPr>
    <w:rPr>
      <w:rFonts w:ascii="Tahoma" w:hAnsi="Tahoma"/>
      <w:color w:val="auto"/>
      <w:sz w:val="16"/>
      <w:szCs w:val="16"/>
      <w:lang w:val="x-none" w:eastAsia="x-none"/>
    </w:rPr>
  </w:style>
  <w:style w:type="character" w:customStyle="1" w:styleId="BalloonTextChar">
    <w:name w:val="Balloon Text Char"/>
    <w:link w:val="BalloonText"/>
    <w:uiPriority w:val="99"/>
    <w:semiHidden/>
    <w:rsid w:val="000F455C"/>
    <w:rPr>
      <w:rFonts w:ascii="Tahoma" w:hAnsi="Tahoma" w:cs="Tahoma"/>
      <w:sz w:val="16"/>
      <w:szCs w:val="16"/>
    </w:rPr>
  </w:style>
  <w:style w:type="table" w:styleId="TableGrid">
    <w:name w:val="Table Grid"/>
    <w:basedOn w:val="TableNormal"/>
    <w:uiPriority w:val="59"/>
    <w:rsid w:val="00BA7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D44C7"/>
    <w:pPr>
      <w:tabs>
        <w:tab w:val="center" w:pos="4513"/>
        <w:tab w:val="right" w:pos="9026"/>
      </w:tabs>
      <w:spacing w:after="0"/>
    </w:pPr>
  </w:style>
  <w:style w:type="character" w:customStyle="1" w:styleId="FooterChar">
    <w:name w:val="Footer Char"/>
    <w:basedOn w:val="DefaultParagraphFont"/>
    <w:link w:val="Footer"/>
    <w:uiPriority w:val="99"/>
    <w:rsid w:val="002D44C7"/>
  </w:style>
  <w:style w:type="paragraph" w:styleId="Header">
    <w:name w:val="header"/>
    <w:basedOn w:val="Normal"/>
    <w:link w:val="HeaderChar"/>
    <w:uiPriority w:val="99"/>
    <w:unhideWhenUsed/>
    <w:rsid w:val="002D44C7"/>
    <w:pPr>
      <w:tabs>
        <w:tab w:val="center" w:pos="4513"/>
        <w:tab w:val="right" w:pos="9026"/>
      </w:tabs>
      <w:spacing w:after="0"/>
    </w:pPr>
  </w:style>
  <w:style w:type="character" w:customStyle="1" w:styleId="HeaderChar">
    <w:name w:val="Header Char"/>
    <w:basedOn w:val="DefaultParagraphFont"/>
    <w:link w:val="Header"/>
    <w:uiPriority w:val="99"/>
    <w:rsid w:val="002D44C7"/>
  </w:style>
  <w:style w:type="paragraph" w:styleId="TOC1">
    <w:name w:val="toc 1"/>
    <w:basedOn w:val="Normal"/>
    <w:next w:val="Normal"/>
    <w:autoRedefine/>
    <w:uiPriority w:val="39"/>
    <w:rsid w:val="00CE04E7"/>
    <w:pPr>
      <w:keepNext/>
      <w:tabs>
        <w:tab w:val="right" w:leader="dot" w:pos="9072"/>
      </w:tabs>
      <w:spacing w:before="240" w:after="120"/>
      <w:ind w:left="851" w:right="851" w:hanging="851"/>
    </w:pPr>
    <w:rPr>
      <w:rFonts w:eastAsia="Times New Roman" w:cs="Segoe UI"/>
      <w:b/>
      <w:smallCaps/>
      <w:noProof/>
      <w:color w:val="3471B8"/>
      <w:spacing w:val="20"/>
      <w:szCs w:val="22"/>
    </w:rPr>
  </w:style>
  <w:style w:type="paragraph" w:styleId="TOC2">
    <w:name w:val="toc 2"/>
    <w:basedOn w:val="Normal"/>
    <w:next w:val="Normal"/>
    <w:autoRedefine/>
    <w:uiPriority w:val="39"/>
    <w:rsid w:val="001A232A"/>
    <w:pPr>
      <w:tabs>
        <w:tab w:val="left" w:pos="851"/>
        <w:tab w:val="right" w:leader="dot" w:pos="9072"/>
      </w:tabs>
      <w:spacing w:before="120" w:after="120"/>
      <w:ind w:left="567" w:right="851" w:hanging="567"/>
    </w:pPr>
    <w:rPr>
      <w:rFonts w:eastAsia="Times New Roman" w:cs="Segoe UI"/>
      <w:noProof/>
      <w:color w:val="auto"/>
      <w:szCs w:val="22"/>
    </w:rPr>
  </w:style>
  <w:style w:type="paragraph" w:styleId="TOC3">
    <w:name w:val="toc 3"/>
    <w:basedOn w:val="Normal"/>
    <w:next w:val="Normal"/>
    <w:autoRedefine/>
    <w:uiPriority w:val="39"/>
    <w:rsid w:val="00D71C17"/>
    <w:pPr>
      <w:tabs>
        <w:tab w:val="left" w:pos="851"/>
        <w:tab w:val="right" w:leader="dot" w:pos="9072"/>
      </w:tabs>
      <w:spacing w:before="120" w:after="120"/>
      <w:ind w:left="1247" w:right="851" w:hanging="680"/>
    </w:pPr>
    <w:rPr>
      <w:rFonts w:eastAsia="Times New Roman"/>
      <w:color w:val="auto"/>
      <w:szCs w:val="24"/>
    </w:rPr>
  </w:style>
  <w:style w:type="paragraph" w:styleId="TOC4">
    <w:name w:val="toc 4"/>
    <w:basedOn w:val="Normal"/>
    <w:next w:val="Normal"/>
    <w:autoRedefine/>
    <w:uiPriority w:val="39"/>
    <w:rsid w:val="000F08B6"/>
    <w:pPr>
      <w:tabs>
        <w:tab w:val="right" w:leader="dot" w:pos="9072"/>
      </w:tabs>
      <w:spacing w:before="20" w:after="20"/>
    </w:pPr>
    <w:rPr>
      <w:rFonts w:eastAsia="Times New Roman" w:cs="Segoe UI"/>
      <w:color w:val="auto"/>
      <w:szCs w:val="19"/>
    </w:rPr>
  </w:style>
  <w:style w:type="character" w:customStyle="1" w:styleId="Heading1Char">
    <w:name w:val="Heading 1 Char"/>
    <w:link w:val="Heading1"/>
    <w:rsid w:val="00CE04E7"/>
    <w:rPr>
      <w:b/>
      <w:smallCaps/>
      <w:color w:val="3471B8"/>
      <w:sz w:val="44"/>
      <w:szCs w:val="40"/>
      <w:lang w:eastAsia="en-US"/>
    </w:rPr>
  </w:style>
  <w:style w:type="character" w:customStyle="1" w:styleId="Heading2Char">
    <w:name w:val="Heading 2 Char"/>
    <w:link w:val="Heading2"/>
    <w:rsid w:val="000C09A0"/>
    <w:rPr>
      <w:rFonts w:eastAsia="Times New Roman"/>
      <w:b/>
      <w:bCs/>
      <w:iCs/>
      <w:smallCaps/>
      <w:color w:val="365F91"/>
      <w:spacing w:val="20"/>
      <w:sz w:val="26"/>
      <w:szCs w:val="28"/>
      <w:lang w:val="x-none" w:eastAsia="x-none"/>
    </w:rPr>
  </w:style>
  <w:style w:type="character" w:customStyle="1" w:styleId="Heading3Char">
    <w:name w:val="Heading 3 Char"/>
    <w:link w:val="Heading3"/>
    <w:rsid w:val="00433F05"/>
    <w:rPr>
      <w:rFonts w:eastAsia="Times New Roman"/>
      <w:b/>
      <w:bCs/>
      <w:smallCaps/>
      <w:color w:val="365F91"/>
      <w:spacing w:val="20"/>
      <w:sz w:val="22"/>
      <w:szCs w:val="24"/>
      <w:lang w:val="x-none" w:eastAsia="x-none"/>
    </w:rPr>
  </w:style>
  <w:style w:type="character" w:customStyle="1" w:styleId="Heading4Char">
    <w:name w:val="Heading 4 Char"/>
    <w:link w:val="Heading4"/>
    <w:rsid w:val="00FF37EE"/>
    <w:rPr>
      <w:rFonts w:eastAsia="Times New Roman"/>
      <w:b/>
      <w:bCs/>
      <w:smallCaps/>
      <w:color w:val="365F91"/>
      <w:spacing w:val="20"/>
      <w:sz w:val="21"/>
      <w:szCs w:val="21"/>
      <w:lang w:val="x-none" w:eastAsia="x-none"/>
    </w:rPr>
  </w:style>
  <w:style w:type="character" w:customStyle="1" w:styleId="Heading5Char">
    <w:name w:val="Heading 5 Char"/>
    <w:link w:val="Heading5"/>
    <w:rsid w:val="00D276FB"/>
    <w:rPr>
      <w:rFonts w:eastAsia="Times New Roman"/>
      <w:b/>
      <w:bCs/>
      <w:iCs/>
      <w:color w:val="1F497D" w:themeColor="text2"/>
      <w:spacing w:val="20"/>
      <w:lang w:val="x-none" w:eastAsia="x-none"/>
    </w:rPr>
  </w:style>
  <w:style w:type="character" w:customStyle="1" w:styleId="Heading6Char">
    <w:name w:val="Heading 6 Char"/>
    <w:link w:val="Heading6"/>
    <w:rsid w:val="00B7244F"/>
    <w:rPr>
      <w:b/>
      <w:i/>
      <w:color w:val="000000"/>
      <w:sz w:val="22"/>
      <w:lang w:val="x-none" w:eastAsia="x-none"/>
    </w:rPr>
  </w:style>
  <w:style w:type="paragraph" w:customStyle="1" w:styleId="ES1">
    <w:name w:val="ES 1"/>
    <w:basedOn w:val="Heading2"/>
    <w:next w:val="Normal"/>
    <w:qFormat/>
    <w:rsid w:val="002535B9"/>
    <w:pPr>
      <w:numPr>
        <w:ilvl w:val="0"/>
        <w:numId w:val="1"/>
      </w:numPr>
      <w:tabs>
        <w:tab w:val="num" w:pos="851"/>
      </w:tabs>
      <w:spacing w:before="240" w:after="120"/>
      <w:ind w:left="851" w:hanging="851"/>
    </w:pPr>
  </w:style>
  <w:style w:type="paragraph" w:customStyle="1" w:styleId="ES2">
    <w:name w:val="ES 2"/>
    <w:basedOn w:val="Heading3"/>
    <w:next w:val="Normal"/>
    <w:autoRedefine/>
    <w:qFormat/>
    <w:rsid w:val="00022A29"/>
    <w:pPr>
      <w:numPr>
        <w:ilvl w:val="1"/>
        <w:numId w:val="1"/>
      </w:numPr>
      <w:tabs>
        <w:tab w:val="clear" w:pos="851"/>
      </w:tabs>
      <w:spacing w:after="60"/>
      <w:ind w:left="851" w:hanging="851"/>
    </w:pPr>
  </w:style>
  <w:style w:type="paragraph" w:customStyle="1" w:styleId="DateFrontPage">
    <w:name w:val="Date Front Page"/>
    <w:basedOn w:val="Normal"/>
    <w:next w:val="Normal"/>
    <w:rsid w:val="000F08B6"/>
    <w:pPr>
      <w:spacing w:before="120" w:after="120"/>
      <w:jc w:val="left"/>
    </w:pPr>
    <w:rPr>
      <w:rFonts w:eastAsia="Times New Roman"/>
      <w:color w:val="auto"/>
      <w:szCs w:val="24"/>
    </w:rPr>
  </w:style>
  <w:style w:type="paragraph" w:customStyle="1" w:styleId="FrontPageReportTitle">
    <w:name w:val="Front Page Report Title"/>
    <w:basedOn w:val="Normal"/>
    <w:next w:val="Normal"/>
    <w:qFormat/>
    <w:rsid w:val="00F42A49"/>
    <w:pPr>
      <w:numPr>
        <w:ilvl w:val="1"/>
      </w:numPr>
      <w:spacing w:before="1920"/>
      <w:jc w:val="left"/>
    </w:pPr>
    <w:rPr>
      <w:rFonts w:eastAsia="Times New Roman" w:cs="Segoe UI"/>
      <w:b/>
      <w:iCs/>
      <w:smallCaps/>
      <w:color w:val="365F91" w:themeColor="accent1" w:themeShade="BF"/>
      <w:spacing w:val="15"/>
      <w:sz w:val="40"/>
    </w:rPr>
  </w:style>
  <w:style w:type="paragraph" w:styleId="TableofFigures">
    <w:name w:val="table of figures"/>
    <w:basedOn w:val="Normal"/>
    <w:next w:val="Normal"/>
    <w:uiPriority w:val="99"/>
    <w:unhideWhenUsed/>
    <w:rsid w:val="00A72198"/>
    <w:pPr>
      <w:spacing w:after="0"/>
    </w:pPr>
  </w:style>
  <w:style w:type="paragraph" w:customStyle="1" w:styleId="TableText">
    <w:name w:val="Table Text"/>
    <w:basedOn w:val="TableTitle"/>
    <w:link w:val="TableTextChar"/>
    <w:qFormat/>
    <w:rsid w:val="00BE4A83"/>
    <w:pPr>
      <w:framePr w:wrap="around"/>
      <w:jc w:val="left"/>
    </w:pPr>
    <w:rPr>
      <w:b w:val="0"/>
      <w:sz w:val="18"/>
      <w:szCs w:val="20"/>
      <w:lang w:eastAsia="x-none"/>
    </w:rPr>
  </w:style>
  <w:style w:type="character" w:customStyle="1" w:styleId="TableTextChar">
    <w:name w:val="Table Text Char"/>
    <w:link w:val="TableText"/>
    <w:locked/>
    <w:rsid w:val="00BE4A83"/>
    <w:rPr>
      <w:color w:val="000000"/>
      <w:sz w:val="18"/>
      <w:lang w:val="x-none" w:eastAsia="x-none"/>
    </w:rPr>
  </w:style>
  <w:style w:type="paragraph" w:customStyle="1" w:styleId="TableTitle">
    <w:name w:val="Table Title"/>
    <w:basedOn w:val="ListBullet"/>
    <w:link w:val="TableTitleChar"/>
    <w:qFormat/>
    <w:rsid w:val="004F61DA"/>
    <w:pPr>
      <w:framePr w:hSpace="181" w:wrap="around" w:vAnchor="text" w:hAnchor="text" w:y="1"/>
      <w:numPr>
        <w:numId w:val="0"/>
      </w:numPr>
      <w:spacing w:before="120"/>
      <w:suppressOverlap/>
      <w:jc w:val="center"/>
    </w:pPr>
    <w:rPr>
      <w:b/>
      <w:lang w:val="x-none"/>
    </w:rPr>
  </w:style>
  <w:style w:type="paragraph" w:customStyle="1" w:styleId="ChLetter">
    <w:name w:val="Ch Letter"/>
    <w:qFormat/>
    <w:rsid w:val="00B14D28"/>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365F91" w:themeFill="accent1" w:themeFillShade="BF"/>
      <w:ind w:left="7938"/>
    </w:pPr>
    <w:rPr>
      <w:b/>
      <w:smallCaps/>
      <w:color w:val="FFFFFF" w:themeColor="background1"/>
      <w:sz w:val="96"/>
      <w:szCs w:val="40"/>
      <w:lang w:eastAsia="en-US"/>
    </w:rPr>
  </w:style>
  <w:style w:type="paragraph" w:customStyle="1" w:styleId="ContentsPgTitles">
    <w:name w:val="Contents Pg Titles"/>
    <w:basedOn w:val="Normal"/>
    <w:next w:val="Normal"/>
    <w:autoRedefine/>
    <w:qFormat/>
    <w:rsid w:val="00E03BFA"/>
    <w:pPr>
      <w:jc w:val="right"/>
    </w:pPr>
    <w:rPr>
      <w:b/>
      <w:smallCaps/>
      <w:color w:val="3471B8"/>
      <w:sz w:val="35"/>
      <w:szCs w:val="35"/>
    </w:rPr>
  </w:style>
  <w:style w:type="paragraph" w:customStyle="1" w:styleId="AppendixPgHeading">
    <w:name w:val="Appendix Pg Heading"/>
    <w:basedOn w:val="ContentsPgTitles"/>
    <w:next w:val="Normal"/>
    <w:qFormat/>
    <w:rsid w:val="00531EE0"/>
  </w:style>
  <w:style w:type="paragraph" w:customStyle="1" w:styleId="FrontPgReportType">
    <w:name w:val="Front Pg Report Type"/>
    <w:basedOn w:val="Normal"/>
    <w:qFormat/>
    <w:rsid w:val="00080397"/>
    <w:pPr>
      <w:jc w:val="center"/>
    </w:pPr>
    <w:rPr>
      <w:caps/>
      <w:color w:val="365F91"/>
      <w:sz w:val="36"/>
    </w:rPr>
  </w:style>
  <w:style w:type="paragraph" w:customStyle="1" w:styleId="FrontPgDate">
    <w:name w:val="Front Pg Date"/>
    <w:basedOn w:val="Normal"/>
    <w:qFormat/>
    <w:rsid w:val="000871BA"/>
    <w:pPr>
      <w:jc w:val="center"/>
    </w:pPr>
    <w:rPr>
      <w:smallCaps/>
      <w:color w:val="365F91"/>
      <w:sz w:val="40"/>
    </w:rPr>
  </w:style>
  <w:style w:type="paragraph" w:customStyle="1" w:styleId="FrontPgClientName">
    <w:name w:val="Front Pg Client Name"/>
    <w:basedOn w:val="Normal"/>
    <w:qFormat/>
    <w:rsid w:val="00E03BFA"/>
    <w:pPr>
      <w:jc w:val="center"/>
    </w:pPr>
    <w:rPr>
      <w:b/>
      <w:smallCaps/>
      <w:color w:val="3671B8"/>
      <w:sz w:val="52"/>
      <w:szCs w:val="52"/>
    </w:rPr>
  </w:style>
  <w:style w:type="paragraph" w:customStyle="1" w:styleId="FrontPgHOI">
    <w:name w:val="Front Pg HOI"/>
    <w:basedOn w:val="Normal"/>
    <w:qFormat/>
    <w:rsid w:val="00080397"/>
    <w:pPr>
      <w:spacing w:before="120" w:after="120"/>
      <w:jc w:val="right"/>
    </w:pPr>
    <w:rPr>
      <w:rFonts w:eastAsia="Times New Roman" w:cs="Segoe UI"/>
      <w:color w:val="365F91"/>
      <w:sz w:val="36"/>
      <w:szCs w:val="28"/>
    </w:rPr>
  </w:style>
  <w:style w:type="paragraph" w:customStyle="1" w:styleId="FrontPgHOIaddress">
    <w:name w:val="Front Pg HOI address"/>
    <w:basedOn w:val="Normal"/>
    <w:qFormat/>
    <w:rsid w:val="00581AAF"/>
    <w:pPr>
      <w:spacing w:after="0"/>
      <w:jc w:val="right"/>
    </w:pPr>
    <w:rPr>
      <w:rFonts w:eastAsia="Times New Roman" w:cs="Segoe UI"/>
      <w:color w:val="365F91"/>
      <w:sz w:val="14"/>
      <w:szCs w:val="14"/>
    </w:rPr>
  </w:style>
  <w:style w:type="paragraph" w:styleId="ListParagraph">
    <w:name w:val="List Paragraph"/>
    <w:basedOn w:val="Normal"/>
    <w:link w:val="ListParagraphChar"/>
    <w:uiPriority w:val="34"/>
    <w:qFormat/>
    <w:rsid w:val="00C570D5"/>
    <w:pPr>
      <w:spacing w:after="120"/>
    </w:pPr>
  </w:style>
  <w:style w:type="character" w:styleId="Hyperlink">
    <w:name w:val="Hyperlink"/>
    <w:uiPriority w:val="99"/>
    <w:unhideWhenUsed/>
    <w:rsid w:val="00E03BFA"/>
    <w:rPr>
      <w:color w:val="3471B8"/>
      <w:u w:val="single"/>
    </w:rPr>
  </w:style>
  <w:style w:type="table" w:customStyle="1" w:styleId="HOI">
    <w:name w:val="HOI"/>
    <w:basedOn w:val="TableNormal"/>
    <w:uiPriority w:val="99"/>
    <w:rsid w:val="0040137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Col">
      <w:rPr>
        <w:rFonts w:ascii="Tahoma" w:hAnsi="Tahoma"/>
        <w:sz w:val="22"/>
      </w:rPr>
      <w:tblPr/>
      <w:tcPr>
        <w:shd w:val="clear" w:color="auto" w:fill="B8CCE4"/>
      </w:tcPr>
    </w:tblStylePr>
    <w:tblStylePr w:type="lastCol">
      <w:rPr>
        <w:rFonts w:ascii="Tahoma" w:hAnsi="Tahoma"/>
        <w:sz w:val="22"/>
      </w:rPr>
      <w:tblPr/>
      <w:tcPr>
        <w:shd w:val="clear" w:color="auto" w:fill="D9D9D9"/>
      </w:tcPr>
    </w:tblStylePr>
    <w:tblStylePr w:type="band2Vert">
      <w:tblPr/>
      <w:tcPr>
        <w:tcBorders>
          <w:top w:val="nil"/>
          <w:left w:val="nil"/>
          <w:bottom w:val="nil"/>
          <w:right w:val="nil"/>
          <w:insideH w:val="nil"/>
          <w:insideV w:val="nil"/>
          <w:tl2br w:val="nil"/>
          <w:tr2bl w:val="nil"/>
        </w:tcBorders>
        <w:shd w:val="clear" w:color="auto" w:fill="D9D9D9"/>
      </w:tcPr>
    </w:tblStylePr>
    <w:tblStylePr w:type="band1Horz">
      <w:tblPr/>
      <w:tcPr>
        <w:shd w:val="clear" w:color="auto" w:fill="D9D9D9"/>
      </w:tcPr>
    </w:tblStylePr>
    <w:tblStylePr w:type="band2Horz">
      <w:pPr>
        <w:jc w:val="left"/>
      </w:pPr>
      <w:tblPr/>
      <w:tcPr>
        <w:shd w:val="clear" w:color="auto" w:fill="D9D9D9"/>
      </w:tcPr>
    </w:tblStylePr>
  </w:style>
  <w:style w:type="paragraph" w:styleId="Quote">
    <w:name w:val="Quote"/>
    <w:basedOn w:val="Normal"/>
    <w:next w:val="Normal"/>
    <w:link w:val="QuoteChar"/>
    <w:uiPriority w:val="29"/>
    <w:qFormat/>
    <w:rsid w:val="00F86280"/>
    <w:rPr>
      <w:i/>
      <w:iCs/>
      <w:sz w:val="22"/>
      <w:szCs w:val="20"/>
      <w:lang w:val="x-none" w:eastAsia="x-none"/>
    </w:rPr>
  </w:style>
  <w:style w:type="character" w:customStyle="1" w:styleId="QuoteChar">
    <w:name w:val="Quote Char"/>
    <w:link w:val="Quote"/>
    <w:uiPriority w:val="29"/>
    <w:rsid w:val="00F86280"/>
    <w:rPr>
      <w:i/>
      <w:iCs/>
      <w:smallCaps w:val="0"/>
      <w:color w:val="000000"/>
      <w:sz w:val="22"/>
    </w:rPr>
  </w:style>
  <w:style w:type="paragraph" w:customStyle="1" w:styleId="Notes">
    <w:name w:val="Notes"/>
    <w:basedOn w:val="Normal"/>
    <w:next w:val="Normal"/>
    <w:qFormat/>
    <w:rsid w:val="00F86280"/>
    <w:rPr>
      <w:sz w:val="18"/>
      <w:szCs w:val="18"/>
    </w:rPr>
  </w:style>
  <w:style w:type="paragraph" w:styleId="FootnoteText">
    <w:name w:val="footnote text"/>
    <w:basedOn w:val="Normal"/>
    <w:link w:val="FootnoteTextChar"/>
    <w:uiPriority w:val="99"/>
    <w:unhideWhenUsed/>
    <w:rsid w:val="002D7FE7"/>
    <w:pPr>
      <w:spacing w:after="0"/>
    </w:pPr>
    <w:rPr>
      <w:sz w:val="16"/>
      <w:szCs w:val="20"/>
      <w:lang w:val="x-none" w:eastAsia="x-none"/>
    </w:rPr>
  </w:style>
  <w:style w:type="character" w:customStyle="1" w:styleId="FootnoteTextChar">
    <w:name w:val="Footnote Text Char"/>
    <w:link w:val="FootnoteText"/>
    <w:uiPriority w:val="99"/>
    <w:rsid w:val="002D7FE7"/>
    <w:rPr>
      <w:color w:val="000000"/>
      <w:sz w:val="16"/>
      <w:szCs w:val="20"/>
    </w:rPr>
  </w:style>
  <w:style w:type="character" w:styleId="FootnoteReference">
    <w:name w:val="footnote reference"/>
    <w:uiPriority w:val="99"/>
    <w:unhideWhenUsed/>
    <w:rsid w:val="00DF6A43"/>
    <w:rPr>
      <w:vertAlign w:val="superscript"/>
    </w:rPr>
  </w:style>
  <w:style w:type="paragraph" w:styleId="BlockText">
    <w:name w:val="Block Text"/>
    <w:basedOn w:val="Normal"/>
    <w:uiPriority w:val="99"/>
    <w:unhideWhenUsed/>
    <w:qFormat/>
    <w:rsid w:val="00B31FCC"/>
    <w:pPr>
      <w:pBdr>
        <w:top w:val="single" w:sz="4" w:space="10" w:color="auto"/>
        <w:left w:val="single" w:sz="4" w:space="10" w:color="auto"/>
        <w:bottom w:val="single" w:sz="4" w:space="10" w:color="auto"/>
        <w:right w:val="single" w:sz="4" w:space="10" w:color="auto"/>
      </w:pBdr>
      <w:shd w:val="clear" w:color="auto" w:fill="DBE5F1"/>
      <w:ind w:left="284" w:right="284"/>
    </w:pPr>
    <w:rPr>
      <w:rFonts w:eastAsia="Times New Roman"/>
      <w:iCs/>
      <w:color w:val="auto"/>
    </w:rPr>
  </w:style>
  <w:style w:type="table" w:customStyle="1" w:styleId="Hoi2">
    <w:name w:val="Hoi 2"/>
    <w:basedOn w:val="TableGrid"/>
    <w:uiPriority w:val="99"/>
    <w:rsid w:val="00EA5A64"/>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ahoma" w:hAnsi="Tahoma"/>
        <w:sz w:val="20"/>
      </w:rPr>
      <w:tblPr/>
      <w:tcPr>
        <w:shd w:val="clear" w:color="auto" w:fill="B8CCE4"/>
      </w:tcPr>
    </w:tblStylePr>
  </w:style>
  <w:style w:type="paragraph" w:customStyle="1" w:styleId="Tabledecimal">
    <w:name w:val="Table decimal"/>
    <w:basedOn w:val="Normal"/>
    <w:qFormat/>
    <w:rsid w:val="0071174D"/>
    <w:pPr>
      <w:tabs>
        <w:tab w:val="decimal" w:pos="1081"/>
      </w:tabs>
      <w:spacing w:before="60"/>
    </w:pPr>
  </w:style>
  <w:style w:type="paragraph" w:customStyle="1" w:styleId="FrontPageCopyType">
    <w:name w:val="Front Page Copy Type"/>
    <w:basedOn w:val="Normal"/>
    <w:qFormat/>
    <w:rsid w:val="00E03BFA"/>
    <w:pPr>
      <w:jc w:val="center"/>
    </w:pPr>
    <w:rPr>
      <w:b/>
      <w:caps/>
      <w:color w:val="3471B8"/>
      <w:sz w:val="40"/>
    </w:rPr>
  </w:style>
  <w:style w:type="paragraph" w:styleId="Caption">
    <w:name w:val="caption"/>
    <w:aliases w:val="Figure Caption"/>
    <w:basedOn w:val="Normal"/>
    <w:next w:val="Normal"/>
    <w:uiPriority w:val="35"/>
    <w:unhideWhenUsed/>
    <w:qFormat/>
    <w:rsid w:val="002D7FE7"/>
    <w:pPr>
      <w:keepNext/>
      <w:spacing w:before="120" w:after="120"/>
      <w:jc w:val="center"/>
    </w:pPr>
    <w:rPr>
      <w:b/>
      <w:bCs/>
      <w:color w:val="3471B8"/>
      <w:szCs w:val="18"/>
    </w:rPr>
  </w:style>
  <w:style w:type="character" w:customStyle="1" w:styleId="Heading7Char">
    <w:name w:val="Heading 7 Char"/>
    <w:link w:val="Heading7"/>
    <w:uiPriority w:val="9"/>
    <w:semiHidden/>
    <w:rsid w:val="00357754"/>
    <w:rPr>
      <w:rFonts w:ascii="Cambria" w:eastAsia="Times New Roman" w:hAnsi="Cambria"/>
      <w:i/>
      <w:iCs/>
      <w:color w:val="404040"/>
      <w:sz w:val="22"/>
      <w:lang w:val="x-none" w:eastAsia="x-none"/>
    </w:rPr>
  </w:style>
  <w:style w:type="character" w:customStyle="1" w:styleId="Heading8Char">
    <w:name w:val="Heading 8 Char"/>
    <w:link w:val="Heading8"/>
    <w:uiPriority w:val="9"/>
    <w:semiHidden/>
    <w:rsid w:val="00357754"/>
    <w:rPr>
      <w:rFonts w:ascii="Cambria" w:eastAsia="Times New Roman" w:hAnsi="Cambria"/>
      <w:color w:val="404040"/>
      <w:lang w:val="x-none" w:eastAsia="x-none"/>
    </w:rPr>
  </w:style>
  <w:style w:type="character" w:customStyle="1" w:styleId="Heading9Char">
    <w:name w:val="Heading 9 Char"/>
    <w:link w:val="Heading9"/>
    <w:uiPriority w:val="9"/>
    <w:semiHidden/>
    <w:rsid w:val="00357754"/>
    <w:rPr>
      <w:rFonts w:ascii="Cambria" w:eastAsia="Times New Roman" w:hAnsi="Cambria"/>
      <w:i/>
      <w:iCs/>
      <w:color w:val="404040"/>
      <w:lang w:val="x-none" w:eastAsia="x-none"/>
    </w:rPr>
  </w:style>
  <w:style w:type="paragraph" w:customStyle="1" w:styleId="SectionHeading">
    <w:name w:val="Section Heading"/>
    <w:basedOn w:val="Normal"/>
    <w:next w:val="Normal"/>
    <w:autoRedefine/>
    <w:qFormat/>
    <w:rsid w:val="00BD25DB"/>
    <w:pPr>
      <w:jc w:val="right"/>
    </w:pPr>
    <w:rPr>
      <w:b/>
      <w:smallCaps/>
      <w:color w:val="3471B8"/>
      <w:sz w:val="44"/>
    </w:rPr>
  </w:style>
  <w:style w:type="paragraph" w:customStyle="1" w:styleId="FrontAddress">
    <w:name w:val="Front Address"/>
    <w:basedOn w:val="Normal"/>
    <w:rsid w:val="002C4CCE"/>
    <w:pPr>
      <w:spacing w:after="0"/>
      <w:jc w:val="center"/>
    </w:pPr>
    <w:rPr>
      <w:rFonts w:ascii="Arial Narrow" w:hAnsi="Arial Narrow"/>
      <w:color w:val="auto"/>
      <w:sz w:val="16"/>
      <w:szCs w:val="16"/>
    </w:rPr>
  </w:style>
  <w:style w:type="numbering" w:customStyle="1" w:styleId="HoiBullets">
    <w:name w:val="Hoi Bullets"/>
    <w:uiPriority w:val="99"/>
    <w:rsid w:val="00C570D5"/>
    <w:pPr>
      <w:numPr>
        <w:numId w:val="3"/>
      </w:numPr>
    </w:pPr>
  </w:style>
  <w:style w:type="table" w:customStyle="1" w:styleId="LightList1">
    <w:name w:val="Light List1"/>
    <w:basedOn w:val="TableNormal"/>
    <w:uiPriority w:val="61"/>
    <w:rsid w:val="00992F4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List1">
    <w:name w:val="Table List 1"/>
    <w:basedOn w:val="TableNormal"/>
    <w:uiPriority w:val="99"/>
    <w:semiHidden/>
    <w:unhideWhenUsed/>
    <w:rsid w:val="00A20C78"/>
    <w:pPr>
      <w:spacing w:after="24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C916A6"/>
    <w:pPr>
      <w:spacing w:after="0"/>
    </w:pPr>
    <w:rPr>
      <w:rFonts w:ascii="Tahoma" w:hAnsi="Tahoma"/>
      <w:sz w:val="16"/>
      <w:szCs w:val="16"/>
      <w:lang w:val="x-none" w:eastAsia="x-none"/>
    </w:rPr>
  </w:style>
  <w:style w:type="character" w:customStyle="1" w:styleId="DocumentMapChar">
    <w:name w:val="Document Map Char"/>
    <w:link w:val="DocumentMap"/>
    <w:uiPriority w:val="99"/>
    <w:semiHidden/>
    <w:rsid w:val="00C916A6"/>
    <w:rPr>
      <w:rFonts w:ascii="Tahoma" w:hAnsi="Tahoma" w:cs="Tahoma"/>
      <w:smallCaps w:val="0"/>
      <w:color w:val="000000"/>
      <w:sz w:val="16"/>
      <w:szCs w:val="16"/>
    </w:rPr>
  </w:style>
  <w:style w:type="paragraph" w:styleId="ListNumber">
    <w:name w:val="List Number"/>
    <w:basedOn w:val="Normal"/>
    <w:uiPriority w:val="99"/>
    <w:unhideWhenUsed/>
    <w:rsid w:val="00C570D5"/>
    <w:pPr>
      <w:numPr>
        <w:numId w:val="2"/>
      </w:numPr>
      <w:spacing w:after="120"/>
      <w:ind w:left="357" w:hanging="357"/>
    </w:pPr>
  </w:style>
  <w:style w:type="paragraph" w:styleId="ListNumber2">
    <w:name w:val="List Number 2"/>
    <w:basedOn w:val="Normal"/>
    <w:uiPriority w:val="99"/>
    <w:unhideWhenUsed/>
    <w:rsid w:val="00C570D5"/>
    <w:pPr>
      <w:numPr>
        <w:ilvl w:val="1"/>
        <w:numId w:val="2"/>
      </w:numPr>
      <w:spacing w:after="120"/>
      <w:ind w:left="714" w:hanging="357"/>
    </w:pPr>
  </w:style>
  <w:style w:type="paragraph" w:styleId="ListNumber3">
    <w:name w:val="List Number 3"/>
    <w:basedOn w:val="Normal"/>
    <w:uiPriority w:val="99"/>
    <w:unhideWhenUsed/>
    <w:rsid w:val="00C570D5"/>
    <w:pPr>
      <w:numPr>
        <w:ilvl w:val="2"/>
        <w:numId w:val="2"/>
      </w:numPr>
      <w:spacing w:after="120"/>
      <w:ind w:left="1077" w:hanging="357"/>
    </w:pPr>
  </w:style>
  <w:style w:type="paragraph" w:styleId="ListBullet">
    <w:name w:val="List Bullet"/>
    <w:aliases w:val="lb,List Bullet Standard,List Bullet Char1,***"/>
    <w:basedOn w:val="Normal"/>
    <w:uiPriority w:val="99"/>
    <w:unhideWhenUsed/>
    <w:qFormat/>
    <w:rsid w:val="00C570D5"/>
    <w:pPr>
      <w:numPr>
        <w:numId w:val="18"/>
      </w:numPr>
      <w:spacing w:after="120"/>
    </w:pPr>
  </w:style>
  <w:style w:type="paragraph" w:styleId="ListBullet2">
    <w:name w:val="List Bullet 2"/>
    <w:basedOn w:val="Normal"/>
    <w:uiPriority w:val="99"/>
    <w:unhideWhenUsed/>
    <w:qFormat/>
    <w:rsid w:val="00C570D5"/>
    <w:pPr>
      <w:numPr>
        <w:ilvl w:val="1"/>
        <w:numId w:val="18"/>
      </w:numPr>
      <w:spacing w:after="120"/>
    </w:pPr>
  </w:style>
  <w:style w:type="paragraph" w:styleId="ListBullet3">
    <w:name w:val="List Bullet 3"/>
    <w:basedOn w:val="Normal"/>
    <w:uiPriority w:val="99"/>
    <w:unhideWhenUsed/>
    <w:qFormat/>
    <w:rsid w:val="00C570D5"/>
    <w:pPr>
      <w:numPr>
        <w:ilvl w:val="2"/>
        <w:numId w:val="18"/>
      </w:numPr>
      <w:spacing w:after="120"/>
    </w:pPr>
  </w:style>
  <w:style w:type="paragraph" w:customStyle="1" w:styleId="FrontHOIaddress">
    <w:name w:val="*Front HOI address"/>
    <w:basedOn w:val="Normal"/>
    <w:qFormat/>
    <w:rsid w:val="000B50D5"/>
    <w:pPr>
      <w:spacing w:before="120" w:after="0"/>
      <w:jc w:val="left"/>
    </w:pPr>
    <w:rPr>
      <w:rFonts w:eastAsia="Times New Roman" w:cs="Segoe UI"/>
      <w:color w:val="114B8C"/>
      <w:sz w:val="14"/>
      <w:szCs w:val="14"/>
    </w:rPr>
  </w:style>
  <w:style w:type="paragraph" w:customStyle="1" w:styleId="Header0">
    <w:name w:val="*Header"/>
    <w:basedOn w:val="Normal"/>
    <w:next w:val="Normal"/>
    <w:link w:val="HeaderChar0"/>
    <w:rsid w:val="00CF5446"/>
    <w:pPr>
      <w:keepNext/>
      <w:pBdr>
        <w:bottom w:val="single" w:sz="8" w:space="1" w:color="114B8C"/>
      </w:pBdr>
      <w:spacing w:before="120"/>
      <w:jc w:val="left"/>
    </w:pPr>
    <w:rPr>
      <w:b/>
      <w:color w:val="114B8C"/>
      <w:sz w:val="18"/>
      <w:szCs w:val="24"/>
      <w:lang w:val="x-none"/>
    </w:rPr>
  </w:style>
  <w:style w:type="paragraph" w:customStyle="1" w:styleId="TableCaption">
    <w:name w:val="Table Caption"/>
    <w:basedOn w:val="Normal"/>
    <w:next w:val="Normal"/>
    <w:link w:val="TableCaptionChar"/>
    <w:rsid w:val="00322C0B"/>
    <w:pPr>
      <w:keepNext/>
      <w:spacing w:before="240"/>
      <w:jc w:val="center"/>
    </w:pPr>
    <w:rPr>
      <w:rFonts w:ascii="Century Gothic" w:eastAsia="Times New Roman" w:hAnsi="Century Gothic"/>
      <w:b/>
      <w:color w:val="auto"/>
      <w:sz w:val="19"/>
      <w:szCs w:val="20"/>
      <w:lang w:val="x-none" w:eastAsia="x-none"/>
    </w:rPr>
  </w:style>
  <w:style w:type="character" w:customStyle="1" w:styleId="TableCaptionChar">
    <w:name w:val="Table Caption Char"/>
    <w:link w:val="TableCaption"/>
    <w:rsid w:val="00322C0B"/>
    <w:rPr>
      <w:rFonts w:ascii="Century Gothic" w:eastAsia="Times New Roman" w:hAnsi="Century Gothic" w:cs="Times New Roman"/>
      <w:b/>
      <w:smallCaps w:val="0"/>
      <w:color w:val="auto"/>
      <w:sz w:val="19"/>
      <w:szCs w:val="20"/>
    </w:rPr>
  </w:style>
  <w:style w:type="paragraph" w:customStyle="1" w:styleId="TableCaption0">
    <w:name w:val="TableCaption"/>
    <w:basedOn w:val="TableCaption"/>
    <w:link w:val="TableCaptionChar0"/>
    <w:qFormat/>
    <w:rsid w:val="00366303"/>
    <w:pPr>
      <w:spacing w:after="120"/>
    </w:pPr>
    <w:rPr>
      <w:rFonts w:ascii="Segoe UI" w:hAnsi="Segoe UI"/>
      <w:color w:val="365F91"/>
      <w:sz w:val="20"/>
    </w:rPr>
  </w:style>
  <w:style w:type="character" w:customStyle="1" w:styleId="TableCaptionChar0">
    <w:name w:val="TableCaption Char"/>
    <w:link w:val="TableCaption0"/>
    <w:rsid w:val="00366303"/>
    <w:rPr>
      <w:rFonts w:eastAsia="Times New Roman" w:cs="Segoe UI"/>
      <w:b/>
      <w:color w:val="365F91"/>
      <w:lang w:val="x-none" w:eastAsia="x-none"/>
    </w:rPr>
  </w:style>
  <w:style w:type="paragraph" w:customStyle="1" w:styleId="HOIFooter">
    <w:name w:val="HOI Footer"/>
    <w:basedOn w:val="Normal"/>
    <w:link w:val="HOIFooterChar"/>
    <w:qFormat/>
    <w:rsid w:val="00507F23"/>
    <w:pPr>
      <w:pBdr>
        <w:top w:val="single" w:sz="12" w:space="1" w:color="114B8C"/>
      </w:pBdr>
      <w:tabs>
        <w:tab w:val="right" w:pos="8222"/>
      </w:tabs>
      <w:spacing w:after="0"/>
    </w:pPr>
    <w:rPr>
      <w:rFonts w:eastAsia="Times New Roman"/>
      <w:color w:val="365F91"/>
      <w:sz w:val="18"/>
      <w:szCs w:val="20"/>
      <w:lang w:val="x-none"/>
    </w:rPr>
  </w:style>
  <w:style w:type="paragraph" w:customStyle="1" w:styleId="HOIHeader">
    <w:name w:val="HOI Header"/>
    <w:next w:val="Normal"/>
    <w:link w:val="HOIHeaderChar"/>
    <w:qFormat/>
    <w:rsid w:val="0055326D"/>
    <w:pPr>
      <w:spacing w:after="60"/>
    </w:pPr>
    <w:rPr>
      <w:b/>
      <w:noProof/>
      <w:color w:val="114B8C"/>
      <w:sz w:val="18"/>
      <w:lang w:val="x-none"/>
    </w:rPr>
  </w:style>
  <w:style w:type="character" w:customStyle="1" w:styleId="HOIFooterChar">
    <w:name w:val="HOI Footer Char"/>
    <w:link w:val="HOIFooter"/>
    <w:rsid w:val="00507F23"/>
    <w:rPr>
      <w:rFonts w:eastAsia="Times New Roman"/>
      <w:color w:val="365F91"/>
      <w:sz w:val="18"/>
      <w:lang w:eastAsia="en-US"/>
    </w:rPr>
  </w:style>
  <w:style w:type="paragraph" w:customStyle="1" w:styleId="NumberedList">
    <w:name w:val="Numbered List"/>
    <w:basedOn w:val="Normal"/>
    <w:link w:val="NumberedListChar"/>
    <w:qFormat/>
    <w:rsid w:val="00ED6DDF"/>
    <w:pPr>
      <w:spacing w:before="60" w:after="60"/>
    </w:pPr>
    <w:rPr>
      <w:rFonts w:eastAsia="Times New Roman"/>
      <w:color w:val="auto"/>
      <w:sz w:val="22"/>
      <w:szCs w:val="24"/>
      <w:lang w:val="x-none"/>
    </w:rPr>
  </w:style>
  <w:style w:type="character" w:customStyle="1" w:styleId="HeaderChar0">
    <w:name w:val="*Header Char"/>
    <w:link w:val="Header0"/>
    <w:rsid w:val="00CF5446"/>
    <w:rPr>
      <w:b/>
      <w:color w:val="114B8C"/>
      <w:sz w:val="18"/>
      <w:szCs w:val="24"/>
      <w:lang w:eastAsia="en-US"/>
    </w:rPr>
  </w:style>
  <w:style w:type="character" w:customStyle="1" w:styleId="HOIHeaderChar">
    <w:name w:val="HOI Header Char"/>
    <w:basedOn w:val="HeaderChar0"/>
    <w:link w:val="HOIHeader"/>
    <w:rsid w:val="0055326D"/>
    <w:rPr>
      <w:b/>
      <w:noProof/>
      <w:color w:val="114B8C"/>
      <w:sz w:val="18"/>
      <w:szCs w:val="24"/>
      <w:lang w:val="x-none" w:eastAsia="en-US"/>
    </w:rPr>
  </w:style>
  <w:style w:type="character" w:customStyle="1" w:styleId="NumberedListChar">
    <w:name w:val="Numbered List Char"/>
    <w:link w:val="NumberedList"/>
    <w:rsid w:val="00ED6DDF"/>
    <w:rPr>
      <w:rFonts w:eastAsia="Times New Roman"/>
      <w:sz w:val="22"/>
      <w:szCs w:val="24"/>
      <w:lang w:eastAsia="en-US"/>
    </w:rPr>
  </w:style>
  <w:style w:type="character" w:customStyle="1" w:styleId="TableTitleChar">
    <w:name w:val="Table Title Char"/>
    <w:link w:val="TableTitle"/>
    <w:rsid w:val="001135F6"/>
    <w:rPr>
      <w:b/>
      <w:color w:val="000000"/>
      <w:szCs w:val="40"/>
      <w:lang w:eastAsia="en-US"/>
    </w:rPr>
  </w:style>
  <w:style w:type="paragraph" w:customStyle="1" w:styleId="Default">
    <w:name w:val="Default"/>
    <w:rsid w:val="00836F95"/>
    <w:pPr>
      <w:autoSpaceDE w:val="0"/>
      <w:autoSpaceDN w:val="0"/>
      <w:adjustRightInd w:val="0"/>
    </w:pPr>
    <w:rPr>
      <w:rFonts w:ascii="Calibri" w:eastAsia="Times New Roman" w:hAnsi="Calibri" w:cs="Calibri"/>
      <w:color w:val="000000"/>
      <w:sz w:val="24"/>
      <w:szCs w:val="24"/>
    </w:rPr>
  </w:style>
  <w:style w:type="paragraph" w:customStyle="1" w:styleId="Bullet1">
    <w:name w:val="*Bullet 1"/>
    <w:basedOn w:val="Normal"/>
    <w:link w:val="Bullet1Char"/>
    <w:qFormat/>
    <w:rsid w:val="00034306"/>
    <w:pPr>
      <w:numPr>
        <w:numId w:val="7"/>
      </w:numPr>
      <w:spacing w:before="120" w:after="120"/>
    </w:pPr>
    <w:rPr>
      <w:rFonts w:eastAsia="Times New Roman"/>
      <w:color w:val="auto"/>
      <w:szCs w:val="20"/>
      <w:lang w:val="x-none"/>
    </w:rPr>
  </w:style>
  <w:style w:type="character" w:customStyle="1" w:styleId="Bullet1Char">
    <w:name w:val="*Bullet 1 Char"/>
    <w:link w:val="Bullet1"/>
    <w:locked/>
    <w:rsid w:val="00034306"/>
    <w:rPr>
      <w:rFonts w:eastAsia="Times New Roman"/>
      <w:lang w:val="x-none" w:eastAsia="en-US"/>
    </w:rPr>
  </w:style>
  <w:style w:type="paragraph" w:customStyle="1" w:styleId="TableHeading">
    <w:name w:val="*Table Heading"/>
    <w:qFormat/>
    <w:rsid w:val="00363D6E"/>
    <w:pPr>
      <w:spacing w:before="60" w:after="60"/>
      <w:ind w:left="57" w:right="57"/>
      <w:jc w:val="center"/>
    </w:pPr>
    <w:rPr>
      <w:rFonts w:eastAsia="Times New Roman"/>
      <w:b/>
      <w:lang w:eastAsia="en-US"/>
    </w:rPr>
  </w:style>
  <w:style w:type="paragraph" w:customStyle="1" w:styleId="TableText0">
    <w:name w:val="*Table Text"/>
    <w:qFormat/>
    <w:rsid w:val="00363D6E"/>
    <w:pPr>
      <w:spacing w:before="60" w:after="60"/>
      <w:ind w:left="57" w:right="57"/>
    </w:pPr>
    <w:rPr>
      <w:rFonts w:eastAsia="Times New Roman"/>
      <w:sz w:val="18"/>
      <w:lang w:eastAsia="en-US"/>
    </w:rPr>
  </w:style>
  <w:style w:type="character" w:styleId="Strong">
    <w:name w:val="Strong"/>
    <w:uiPriority w:val="22"/>
    <w:qFormat/>
    <w:rsid w:val="0020008A"/>
    <w:rPr>
      <w:b/>
      <w:bCs/>
    </w:rPr>
  </w:style>
  <w:style w:type="character" w:styleId="CommentReference">
    <w:name w:val="annotation reference"/>
    <w:uiPriority w:val="99"/>
    <w:semiHidden/>
    <w:unhideWhenUsed/>
    <w:rsid w:val="003A2B65"/>
    <w:rPr>
      <w:sz w:val="16"/>
      <w:szCs w:val="16"/>
    </w:rPr>
  </w:style>
  <w:style w:type="paragraph" w:styleId="CommentText">
    <w:name w:val="annotation text"/>
    <w:basedOn w:val="Normal"/>
    <w:link w:val="CommentTextChar"/>
    <w:uiPriority w:val="99"/>
    <w:unhideWhenUsed/>
    <w:rsid w:val="003A2B65"/>
    <w:rPr>
      <w:szCs w:val="20"/>
      <w:lang w:val="x-none"/>
    </w:rPr>
  </w:style>
  <w:style w:type="character" w:customStyle="1" w:styleId="CommentTextChar">
    <w:name w:val="Comment Text Char"/>
    <w:link w:val="CommentText"/>
    <w:uiPriority w:val="99"/>
    <w:rsid w:val="003A2B65"/>
    <w:rPr>
      <w:color w:val="000000"/>
      <w:lang w:eastAsia="en-US"/>
    </w:rPr>
  </w:style>
  <w:style w:type="paragraph" w:styleId="CommentSubject">
    <w:name w:val="annotation subject"/>
    <w:basedOn w:val="CommentText"/>
    <w:next w:val="CommentText"/>
    <w:link w:val="CommentSubjectChar"/>
    <w:uiPriority w:val="99"/>
    <w:semiHidden/>
    <w:unhideWhenUsed/>
    <w:rsid w:val="003A2B65"/>
    <w:rPr>
      <w:b/>
      <w:bCs/>
    </w:rPr>
  </w:style>
  <w:style w:type="character" w:customStyle="1" w:styleId="CommentSubjectChar">
    <w:name w:val="Comment Subject Char"/>
    <w:link w:val="CommentSubject"/>
    <w:uiPriority w:val="99"/>
    <w:semiHidden/>
    <w:rsid w:val="003A2B65"/>
    <w:rPr>
      <w:b/>
      <w:bCs/>
      <w:color w:val="000000"/>
      <w:lang w:eastAsia="en-US"/>
    </w:rPr>
  </w:style>
  <w:style w:type="numbering" w:customStyle="1" w:styleId="HoiBullets1">
    <w:name w:val="Hoi Bullets1"/>
    <w:rsid w:val="000601A8"/>
    <w:pPr>
      <w:numPr>
        <w:numId w:val="15"/>
      </w:numPr>
    </w:pPr>
  </w:style>
  <w:style w:type="paragraph" w:customStyle="1" w:styleId="Style2">
    <w:name w:val="Style2"/>
    <w:basedOn w:val="Normal"/>
    <w:qFormat/>
    <w:rsid w:val="00764500"/>
    <w:pPr>
      <w:tabs>
        <w:tab w:val="left" w:pos="851"/>
      </w:tabs>
      <w:spacing w:before="60" w:after="60"/>
      <w:ind w:left="851" w:hanging="502"/>
    </w:pPr>
    <w:rPr>
      <w:rFonts w:eastAsia="Times New Roman"/>
      <w:color w:val="auto"/>
      <w:szCs w:val="20"/>
      <w:lang w:val="x-none"/>
    </w:rPr>
  </w:style>
  <w:style w:type="numbering" w:customStyle="1" w:styleId="HoiBullets3">
    <w:name w:val="Hoi Bullets3"/>
    <w:uiPriority w:val="99"/>
    <w:rsid w:val="00E54DD6"/>
  </w:style>
  <w:style w:type="numbering" w:customStyle="1" w:styleId="HoiBullets2">
    <w:name w:val="Hoi Bullets2"/>
    <w:uiPriority w:val="99"/>
    <w:rsid w:val="00C84E0B"/>
  </w:style>
  <w:style w:type="numbering" w:customStyle="1" w:styleId="HoiBullets31">
    <w:name w:val="Hoi Bullets31"/>
    <w:uiPriority w:val="99"/>
    <w:rsid w:val="00C84E0B"/>
  </w:style>
  <w:style w:type="numbering" w:customStyle="1" w:styleId="HoiBullets5">
    <w:name w:val="Hoi Bullets5"/>
    <w:uiPriority w:val="99"/>
    <w:rsid w:val="00227806"/>
  </w:style>
  <w:style w:type="numbering" w:customStyle="1" w:styleId="HoiBullets4">
    <w:name w:val="Hoi Bullets4"/>
    <w:uiPriority w:val="99"/>
    <w:rsid w:val="00977FBE"/>
  </w:style>
  <w:style w:type="character" w:customStyle="1" w:styleId="A5">
    <w:name w:val="A5"/>
    <w:uiPriority w:val="99"/>
    <w:rsid w:val="00350793"/>
    <w:rPr>
      <w:b/>
      <w:bCs/>
      <w:i/>
      <w:iCs/>
      <w:color w:val="000000"/>
      <w:sz w:val="18"/>
      <w:szCs w:val="18"/>
    </w:rPr>
  </w:style>
  <w:style w:type="paragraph" w:styleId="EndnoteText">
    <w:name w:val="endnote text"/>
    <w:basedOn w:val="Normal"/>
    <w:link w:val="EndnoteTextChar"/>
    <w:semiHidden/>
    <w:rsid w:val="0038172F"/>
    <w:pPr>
      <w:spacing w:after="0"/>
      <w:jc w:val="left"/>
    </w:pPr>
    <w:rPr>
      <w:rFonts w:ascii="Arial" w:eastAsia="Times New Roman" w:hAnsi="Arial"/>
      <w:color w:val="auto"/>
      <w:szCs w:val="20"/>
      <w:lang w:eastAsia="en-AU"/>
    </w:rPr>
  </w:style>
  <w:style w:type="character" w:customStyle="1" w:styleId="EndnoteTextChar">
    <w:name w:val="Endnote Text Char"/>
    <w:basedOn w:val="DefaultParagraphFont"/>
    <w:link w:val="EndnoteText"/>
    <w:semiHidden/>
    <w:rsid w:val="0038172F"/>
    <w:rPr>
      <w:rFonts w:ascii="Arial" w:eastAsia="Times New Roman" w:hAnsi="Arial"/>
    </w:rPr>
  </w:style>
  <w:style w:type="character" w:styleId="EndnoteReference">
    <w:name w:val="endnote reference"/>
    <w:semiHidden/>
    <w:rsid w:val="0038172F"/>
    <w:rPr>
      <w:rFonts w:ascii="Arial" w:hAnsi="Arial"/>
      <w:sz w:val="20"/>
      <w:vertAlign w:val="superscript"/>
    </w:rPr>
  </w:style>
  <w:style w:type="paragraph" w:customStyle="1" w:styleId="Tablecaption1">
    <w:name w:val="Table caption"/>
    <w:basedOn w:val="Caption"/>
    <w:link w:val="TablecaptionChar1"/>
    <w:qFormat/>
    <w:rsid w:val="003B2254"/>
    <w:rPr>
      <w:lang w:val="x-none"/>
    </w:rPr>
  </w:style>
  <w:style w:type="character" w:customStyle="1" w:styleId="TablecaptionChar1">
    <w:name w:val="Table caption Char"/>
    <w:link w:val="Tablecaption1"/>
    <w:rsid w:val="003B2254"/>
    <w:rPr>
      <w:b/>
      <w:bCs/>
      <w:color w:val="3471B8"/>
      <w:szCs w:val="18"/>
      <w:lang w:val="x-none" w:eastAsia="en-US"/>
    </w:rPr>
  </w:style>
  <w:style w:type="paragraph" w:styleId="Revision">
    <w:name w:val="Revision"/>
    <w:hidden/>
    <w:uiPriority w:val="99"/>
    <w:semiHidden/>
    <w:rsid w:val="00D255BF"/>
    <w:rPr>
      <w:color w:val="000000"/>
      <w:szCs w:val="40"/>
      <w:lang w:eastAsia="en-US"/>
    </w:rPr>
  </w:style>
  <w:style w:type="character" w:customStyle="1" w:styleId="ListParagraphChar">
    <w:name w:val="List Paragraph Char"/>
    <w:basedOn w:val="DefaultParagraphFont"/>
    <w:link w:val="ListParagraph"/>
    <w:uiPriority w:val="34"/>
    <w:rsid w:val="00182B2E"/>
    <w:rPr>
      <w:color w:val="000000"/>
      <w:szCs w:val="40"/>
      <w:lang w:eastAsia="en-US"/>
    </w:rPr>
  </w:style>
  <w:style w:type="paragraph" w:customStyle="1" w:styleId="ChNumbers">
    <w:name w:val="Ch Numbers"/>
    <w:basedOn w:val="Heading1"/>
    <w:qFormat/>
    <w:rsid w:val="008F677F"/>
  </w:style>
  <w:style w:type="paragraph" w:customStyle="1" w:styleId="ES3">
    <w:name w:val="ES 3"/>
    <w:basedOn w:val="Heading3"/>
    <w:next w:val="Normal"/>
    <w:qFormat/>
    <w:rsid w:val="00F90EFD"/>
    <w:pPr>
      <w:numPr>
        <w:ilvl w:val="0"/>
        <w:numId w:val="0"/>
      </w:numPr>
      <w:spacing w:before="0"/>
    </w:pPr>
  </w:style>
  <w:style w:type="paragraph" w:styleId="TOC5">
    <w:name w:val="toc 5"/>
    <w:basedOn w:val="Normal"/>
    <w:next w:val="Normal"/>
    <w:autoRedefine/>
    <w:uiPriority w:val="39"/>
    <w:unhideWhenUsed/>
    <w:rsid w:val="00CE04E7"/>
    <w:pPr>
      <w:spacing w:after="100" w:line="276" w:lineRule="auto"/>
      <w:ind w:left="880"/>
      <w:jc w:val="left"/>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E04E7"/>
    <w:pPr>
      <w:spacing w:after="100" w:line="276" w:lineRule="auto"/>
      <w:ind w:left="1100"/>
      <w:jc w:val="left"/>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E04E7"/>
    <w:pPr>
      <w:spacing w:after="100" w:line="276" w:lineRule="auto"/>
      <w:ind w:left="1320"/>
      <w:jc w:val="left"/>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E04E7"/>
    <w:pPr>
      <w:spacing w:after="100" w:line="276" w:lineRule="auto"/>
      <w:ind w:left="1540"/>
      <w:jc w:val="left"/>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E04E7"/>
    <w:pPr>
      <w:spacing w:after="100" w:line="276" w:lineRule="auto"/>
      <w:ind w:left="1760"/>
      <w:jc w:val="left"/>
    </w:pPr>
    <w:rPr>
      <w:rFonts w:asciiTheme="minorHAnsi" w:eastAsiaTheme="minorEastAsia" w:hAnsiTheme="minorHAnsi" w:cstheme="minorBidi"/>
      <w:color w:val="auto"/>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798">
      <w:bodyDiv w:val="1"/>
      <w:marLeft w:val="0"/>
      <w:marRight w:val="0"/>
      <w:marTop w:val="0"/>
      <w:marBottom w:val="0"/>
      <w:divBdr>
        <w:top w:val="none" w:sz="0" w:space="0" w:color="auto"/>
        <w:left w:val="none" w:sz="0" w:space="0" w:color="auto"/>
        <w:bottom w:val="none" w:sz="0" w:space="0" w:color="auto"/>
        <w:right w:val="none" w:sz="0" w:space="0" w:color="auto"/>
      </w:divBdr>
    </w:div>
    <w:div w:id="19599294">
      <w:bodyDiv w:val="1"/>
      <w:marLeft w:val="0"/>
      <w:marRight w:val="0"/>
      <w:marTop w:val="0"/>
      <w:marBottom w:val="0"/>
      <w:divBdr>
        <w:top w:val="none" w:sz="0" w:space="0" w:color="auto"/>
        <w:left w:val="none" w:sz="0" w:space="0" w:color="auto"/>
        <w:bottom w:val="none" w:sz="0" w:space="0" w:color="auto"/>
        <w:right w:val="none" w:sz="0" w:space="0" w:color="auto"/>
      </w:divBdr>
    </w:div>
    <w:div w:id="25110110">
      <w:bodyDiv w:val="1"/>
      <w:marLeft w:val="0"/>
      <w:marRight w:val="0"/>
      <w:marTop w:val="0"/>
      <w:marBottom w:val="0"/>
      <w:divBdr>
        <w:top w:val="none" w:sz="0" w:space="0" w:color="auto"/>
        <w:left w:val="none" w:sz="0" w:space="0" w:color="auto"/>
        <w:bottom w:val="none" w:sz="0" w:space="0" w:color="auto"/>
        <w:right w:val="none" w:sz="0" w:space="0" w:color="auto"/>
      </w:divBdr>
    </w:div>
    <w:div w:id="138691835">
      <w:bodyDiv w:val="1"/>
      <w:marLeft w:val="0"/>
      <w:marRight w:val="0"/>
      <w:marTop w:val="0"/>
      <w:marBottom w:val="0"/>
      <w:divBdr>
        <w:top w:val="none" w:sz="0" w:space="0" w:color="auto"/>
        <w:left w:val="none" w:sz="0" w:space="0" w:color="auto"/>
        <w:bottom w:val="none" w:sz="0" w:space="0" w:color="auto"/>
        <w:right w:val="none" w:sz="0" w:space="0" w:color="auto"/>
      </w:divBdr>
    </w:div>
    <w:div w:id="147285505">
      <w:bodyDiv w:val="1"/>
      <w:marLeft w:val="0"/>
      <w:marRight w:val="0"/>
      <w:marTop w:val="0"/>
      <w:marBottom w:val="0"/>
      <w:divBdr>
        <w:top w:val="none" w:sz="0" w:space="0" w:color="auto"/>
        <w:left w:val="none" w:sz="0" w:space="0" w:color="auto"/>
        <w:bottom w:val="none" w:sz="0" w:space="0" w:color="auto"/>
        <w:right w:val="none" w:sz="0" w:space="0" w:color="auto"/>
      </w:divBdr>
    </w:div>
    <w:div w:id="175848117">
      <w:bodyDiv w:val="1"/>
      <w:marLeft w:val="0"/>
      <w:marRight w:val="0"/>
      <w:marTop w:val="0"/>
      <w:marBottom w:val="0"/>
      <w:divBdr>
        <w:top w:val="none" w:sz="0" w:space="0" w:color="auto"/>
        <w:left w:val="none" w:sz="0" w:space="0" w:color="auto"/>
        <w:bottom w:val="none" w:sz="0" w:space="0" w:color="auto"/>
        <w:right w:val="none" w:sz="0" w:space="0" w:color="auto"/>
      </w:divBdr>
    </w:div>
    <w:div w:id="176163779">
      <w:bodyDiv w:val="1"/>
      <w:marLeft w:val="0"/>
      <w:marRight w:val="0"/>
      <w:marTop w:val="0"/>
      <w:marBottom w:val="0"/>
      <w:divBdr>
        <w:top w:val="none" w:sz="0" w:space="0" w:color="auto"/>
        <w:left w:val="none" w:sz="0" w:space="0" w:color="auto"/>
        <w:bottom w:val="none" w:sz="0" w:space="0" w:color="auto"/>
        <w:right w:val="none" w:sz="0" w:space="0" w:color="auto"/>
      </w:divBdr>
    </w:div>
    <w:div w:id="182594323">
      <w:bodyDiv w:val="1"/>
      <w:marLeft w:val="0"/>
      <w:marRight w:val="0"/>
      <w:marTop w:val="0"/>
      <w:marBottom w:val="0"/>
      <w:divBdr>
        <w:top w:val="none" w:sz="0" w:space="0" w:color="auto"/>
        <w:left w:val="none" w:sz="0" w:space="0" w:color="auto"/>
        <w:bottom w:val="none" w:sz="0" w:space="0" w:color="auto"/>
        <w:right w:val="none" w:sz="0" w:space="0" w:color="auto"/>
      </w:divBdr>
    </w:div>
    <w:div w:id="189730896">
      <w:bodyDiv w:val="1"/>
      <w:marLeft w:val="0"/>
      <w:marRight w:val="0"/>
      <w:marTop w:val="0"/>
      <w:marBottom w:val="0"/>
      <w:divBdr>
        <w:top w:val="none" w:sz="0" w:space="0" w:color="auto"/>
        <w:left w:val="none" w:sz="0" w:space="0" w:color="auto"/>
        <w:bottom w:val="none" w:sz="0" w:space="0" w:color="auto"/>
        <w:right w:val="none" w:sz="0" w:space="0" w:color="auto"/>
      </w:divBdr>
    </w:div>
    <w:div w:id="210848403">
      <w:bodyDiv w:val="1"/>
      <w:marLeft w:val="0"/>
      <w:marRight w:val="0"/>
      <w:marTop w:val="0"/>
      <w:marBottom w:val="0"/>
      <w:divBdr>
        <w:top w:val="none" w:sz="0" w:space="0" w:color="auto"/>
        <w:left w:val="none" w:sz="0" w:space="0" w:color="auto"/>
        <w:bottom w:val="none" w:sz="0" w:space="0" w:color="auto"/>
        <w:right w:val="none" w:sz="0" w:space="0" w:color="auto"/>
      </w:divBdr>
    </w:div>
    <w:div w:id="284822808">
      <w:bodyDiv w:val="1"/>
      <w:marLeft w:val="0"/>
      <w:marRight w:val="0"/>
      <w:marTop w:val="0"/>
      <w:marBottom w:val="0"/>
      <w:divBdr>
        <w:top w:val="none" w:sz="0" w:space="0" w:color="auto"/>
        <w:left w:val="none" w:sz="0" w:space="0" w:color="auto"/>
        <w:bottom w:val="none" w:sz="0" w:space="0" w:color="auto"/>
        <w:right w:val="none" w:sz="0" w:space="0" w:color="auto"/>
      </w:divBdr>
    </w:div>
    <w:div w:id="344065112">
      <w:bodyDiv w:val="1"/>
      <w:marLeft w:val="0"/>
      <w:marRight w:val="0"/>
      <w:marTop w:val="0"/>
      <w:marBottom w:val="0"/>
      <w:divBdr>
        <w:top w:val="none" w:sz="0" w:space="0" w:color="auto"/>
        <w:left w:val="none" w:sz="0" w:space="0" w:color="auto"/>
        <w:bottom w:val="none" w:sz="0" w:space="0" w:color="auto"/>
        <w:right w:val="none" w:sz="0" w:space="0" w:color="auto"/>
      </w:divBdr>
    </w:div>
    <w:div w:id="347372907">
      <w:bodyDiv w:val="1"/>
      <w:marLeft w:val="0"/>
      <w:marRight w:val="0"/>
      <w:marTop w:val="0"/>
      <w:marBottom w:val="0"/>
      <w:divBdr>
        <w:top w:val="none" w:sz="0" w:space="0" w:color="auto"/>
        <w:left w:val="none" w:sz="0" w:space="0" w:color="auto"/>
        <w:bottom w:val="none" w:sz="0" w:space="0" w:color="auto"/>
        <w:right w:val="none" w:sz="0" w:space="0" w:color="auto"/>
      </w:divBdr>
    </w:div>
    <w:div w:id="367334661">
      <w:bodyDiv w:val="1"/>
      <w:marLeft w:val="0"/>
      <w:marRight w:val="0"/>
      <w:marTop w:val="0"/>
      <w:marBottom w:val="0"/>
      <w:divBdr>
        <w:top w:val="none" w:sz="0" w:space="0" w:color="auto"/>
        <w:left w:val="none" w:sz="0" w:space="0" w:color="auto"/>
        <w:bottom w:val="none" w:sz="0" w:space="0" w:color="auto"/>
        <w:right w:val="none" w:sz="0" w:space="0" w:color="auto"/>
      </w:divBdr>
    </w:div>
    <w:div w:id="375542944">
      <w:bodyDiv w:val="1"/>
      <w:marLeft w:val="0"/>
      <w:marRight w:val="0"/>
      <w:marTop w:val="0"/>
      <w:marBottom w:val="0"/>
      <w:divBdr>
        <w:top w:val="none" w:sz="0" w:space="0" w:color="auto"/>
        <w:left w:val="none" w:sz="0" w:space="0" w:color="auto"/>
        <w:bottom w:val="none" w:sz="0" w:space="0" w:color="auto"/>
        <w:right w:val="none" w:sz="0" w:space="0" w:color="auto"/>
      </w:divBdr>
    </w:div>
    <w:div w:id="408039014">
      <w:bodyDiv w:val="1"/>
      <w:marLeft w:val="0"/>
      <w:marRight w:val="0"/>
      <w:marTop w:val="0"/>
      <w:marBottom w:val="0"/>
      <w:divBdr>
        <w:top w:val="none" w:sz="0" w:space="0" w:color="auto"/>
        <w:left w:val="none" w:sz="0" w:space="0" w:color="auto"/>
        <w:bottom w:val="none" w:sz="0" w:space="0" w:color="auto"/>
        <w:right w:val="none" w:sz="0" w:space="0" w:color="auto"/>
      </w:divBdr>
    </w:div>
    <w:div w:id="413162132">
      <w:bodyDiv w:val="1"/>
      <w:marLeft w:val="0"/>
      <w:marRight w:val="0"/>
      <w:marTop w:val="0"/>
      <w:marBottom w:val="0"/>
      <w:divBdr>
        <w:top w:val="none" w:sz="0" w:space="0" w:color="auto"/>
        <w:left w:val="none" w:sz="0" w:space="0" w:color="auto"/>
        <w:bottom w:val="none" w:sz="0" w:space="0" w:color="auto"/>
        <w:right w:val="none" w:sz="0" w:space="0" w:color="auto"/>
      </w:divBdr>
    </w:div>
    <w:div w:id="453983087">
      <w:bodyDiv w:val="1"/>
      <w:marLeft w:val="0"/>
      <w:marRight w:val="0"/>
      <w:marTop w:val="0"/>
      <w:marBottom w:val="0"/>
      <w:divBdr>
        <w:top w:val="none" w:sz="0" w:space="0" w:color="auto"/>
        <w:left w:val="none" w:sz="0" w:space="0" w:color="auto"/>
        <w:bottom w:val="none" w:sz="0" w:space="0" w:color="auto"/>
        <w:right w:val="none" w:sz="0" w:space="0" w:color="auto"/>
      </w:divBdr>
    </w:div>
    <w:div w:id="457573571">
      <w:bodyDiv w:val="1"/>
      <w:marLeft w:val="0"/>
      <w:marRight w:val="0"/>
      <w:marTop w:val="0"/>
      <w:marBottom w:val="0"/>
      <w:divBdr>
        <w:top w:val="none" w:sz="0" w:space="0" w:color="auto"/>
        <w:left w:val="none" w:sz="0" w:space="0" w:color="auto"/>
        <w:bottom w:val="none" w:sz="0" w:space="0" w:color="auto"/>
        <w:right w:val="none" w:sz="0" w:space="0" w:color="auto"/>
      </w:divBdr>
    </w:div>
    <w:div w:id="484662309">
      <w:bodyDiv w:val="1"/>
      <w:marLeft w:val="0"/>
      <w:marRight w:val="0"/>
      <w:marTop w:val="0"/>
      <w:marBottom w:val="0"/>
      <w:divBdr>
        <w:top w:val="none" w:sz="0" w:space="0" w:color="auto"/>
        <w:left w:val="none" w:sz="0" w:space="0" w:color="auto"/>
        <w:bottom w:val="none" w:sz="0" w:space="0" w:color="auto"/>
        <w:right w:val="none" w:sz="0" w:space="0" w:color="auto"/>
      </w:divBdr>
    </w:div>
    <w:div w:id="511997900">
      <w:bodyDiv w:val="1"/>
      <w:marLeft w:val="0"/>
      <w:marRight w:val="0"/>
      <w:marTop w:val="0"/>
      <w:marBottom w:val="0"/>
      <w:divBdr>
        <w:top w:val="none" w:sz="0" w:space="0" w:color="auto"/>
        <w:left w:val="none" w:sz="0" w:space="0" w:color="auto"/>
        <w:bottom w:val="none" w:sz="0" w:space="0" w:color="auto"/>
        <w:right w:val="none" w:sz="0" w:space="0" w:color="auto"/>
      </w:divBdr>
    </w:div>
    <w:div w:id="517158533">
      <w:bodyDiv w:val="1"/>
      <w:marLeft w:val="0"/>
      <w:marRight w:val="0"/>
      <w:marTop w:val="0"/>
      <w:marBottom w:val="0"/>
      <w:divBdr>
        <w:top w:val="none" w:sz="0" w:space="0" w:color="auto"/>
        <w:left w:val="none" w:sz="0" w:space="0" w:color="auto"/>
        <w:bottom w:val="none" w:sz="0" w:space="0" w:color="auto"/>
        <w:right w:val="none" w:sz="0" w:space="0" w:color="auto"/>
      </w:divBdr>
    </w:div>
    <w:div w:id="580911690">
      <w:bodyDiv w:val="1"/>
      <w:marLeft w:val="0"/>
      <w:marRight w:val="0"/>
      <w:marTop w:val="0"/>
      <w:marBottom w:val="0"/>
      <w:divBdr>
        <w:top w:val="none" w:sz="0" w:space="0" w:color="auto"/>
        <w:left w:val="none" w:sz="0" w:space="0" w:color="auto"/>
        <w:bottom w:val="none" w:sz="0" w:space="0" w:color="auto"/>
        <w:right w:val="none" w:sz="0" w:space="0" w:color="auto"/>
      </w:divBdr>
    </w:div>
    <w:div w:id="629090915">
      <w:bodyDiv w:val="1"/>
      <w:marLeft w:val="0"/>
      <w:marRight w:val="0"/>
      <w:marTop w:val="0"/>
      <w:marBottom w:val="0"/>
      <w:divBdr>
        <w:top w:val="none" w:sz="0" w:space="0" w:color="auto"/>
        <w:left w:val="none" w:sz="0" w:space="0" w:color="auto"/>
        <w:bottom w:val="none" w:sz="0" w:space="0" w:color="auto"/>
        <w:right w:val="none" w:sz="0" w:space="0" w:color="auto"/>
      </w:divBdr>
    </w:div>
    <w:div w:id="732043627">
      <w:bodyDiv w:val="1"/>
      <w:marLeft w:val="0"/>
      <w:marRight w:val="0"/>
      <w:marTop w:val="0"/>
      <w:marBottom w:val="0"/>
      <w:divBdr>
        <w:top w:val="none" w:sz="0" w:space="0" w:color="auto"/>
        <w:left w:val="none" w:sz="0" w:space="0" w:color="auto"/>
        <w:bottom w:val="none" w:sz="0" w:space="0" w:color="auto"/>
        <w:right w:val="none" w:sz="0" w:space="0" w:color="auto"/>
      </w:divBdr>
    </w:div>
    <w:div w:id="794101429">
      <w:bodyDiv w:val="1"/>
      <w:marLeft w:val="0"/>
      <w:marRight w:val="0"/>
      <w:marTop w:val="0"/>
      <w:marBottom w:val="0"/>
      <w:divBdr>
        <w:top w:val="none" w:sz="0" w:space="0" w:color="auto"/>
        <w:left w:val="none" w:sz="0" w:space="0" w:color="auto"/>
        <w:bottom w:val="none" w:sz="0" w:space="0" w:color="auto"/>
        <w:right w:val="none" w:sz="0" w:space="0" w:color="auto"/>
      </w:divBdr>
    </w:div>
    <w:div w:id="800264922">
      <w:bodyDiv w:val="1"/>
      <w:marLeft w:val="0"/>
      <w:marRight w:val="0"/>
      <w:marTop w:val="0"/>
      <w:marBottom w:val="0"/>
      <w:divBdr>
        <w:top w:val="none" w:sz="0" w:space="0" w:color="auto"/>
        <w:left w:val="none" w:sz="0" w:space="0" w:color="auto"/>
        <w:bottom w:val="none" w:sz="0" w:space="0" w:color="auto"/>
        <w:right w:val="none" w:sz="0" w:space="0" w:color="auto"/>
      </w:divBdr>
    </w:div>
    <w:div w:id="821043586">
      <w:bodyDiv w:val="1"/>
      <w:marLeft w:val="0"/>
      <w:marRight w:val="0"/>
      <w:marTop w:val="0"/>
      <w:marBottom w:val="0"/>
      <w:divBdr>
        <w:top w:val="none" w:sz="0" w:space="0" w:color="auto"/>
        <w:left w:val="none" w:sz="0" w:space="0" w:color="auto"/>
        <w:bottom w:val="none" w:sz="0" w:space="0" w:color="auto"/>
        <w:right w:val="none" w:sz="0" w:space="0" w:color="auto"/>
      </w:divBdr>
    </w:div>
    <w:div w:id="826752506">
      <w:bodyDiv w:val="1"/>
      <w:marLeft w:val="0"/>
      <w:marRight w:val="0"/>
      <w:marTop w:val="0"/>
      <w:marBottom w:val="0"/>
      <w:divBdr>
        <w:top w:val="none" w:sz="0" w:space="0" w:color="auto"/>
        <w:left w:val="none" w:sz="0" w:space="0" w:color="auto"/>
        <w:bottom w:val="none" w:sz="0" w:space="0" w:color="auto"/>
        <w:right w:val="none" w:sz="0" w:space="0" w:color="auto"/>
      </w:divBdr>
    </w:div>
    <w:div w:id="843713769">
      <w:bodyDiv w:val="1"/>
      <w:marLeft w:val="0"/>
      <w:marRight w:val="0"/>
      <w:marTop w:val="0"/>
      <w:marBottom w:val="0"/>
      <w:divBdr>
        <w:top w:val="none" w:sz="0" w:space="0" w:color="auto"/>
        <w:left w:val="none" w:sz="0" w:space="0" w:color="auto"/>
        <w:bottom w:val="none" w:sz="0" w:space="0" w:color="auto"/>
        <w:right w:val="none" w:sz="0" w:space="0" w:color="auto"/>
      </w:divBdr>
    </w:div>
    <w:div w:id="896745265">
      <w:bodyDiv w:val="1"/>
      <w:marLeft w:val="0"/>
      <w:marRight w:val="0"/>
      <w:marTop w:val="0"/>
      <w:marBottom w:val="0"/>
      <w:divBdr>
        <w:top w:val="none" w:sz="0" w:space="0" w:color="auto"/>
        <w:left w:val="none" w:sz="0" w:space="0" w:color="auto"/>
        <w:bottom w:val="none" w:sz="0" w:space="0" w:color="auto"/>
        <w:right w:val="none" w:sz="0" w:space="0" w:color="auto"/>
      </w:divBdr>
    </w:div>
    <w:div w:id="930045863">
      <w:bodyDiv w:val="1"/>
      <w:marLeft w:val="0"/>
      <w:marRight w:val="0"/>
      <w:marTop w:val="0"/>
      <w:marBottom w:val="0"/>
      <w:divBdr>
        <w:top w:val="none" w:sz="0" w:space="0" w:color="auto"/>
        <w:left w:val="none" w:sz="0" w:space="0" w:color="auto"/>
        <w:bottom w:val="none" w:sz="0" w:space="0" w:color="auto"/>
        <w:right w:val="none" w:sz="0" w:space="0" w:color="auto"/>
      </w:divBdr>
    </w:div>
    <w:div w:id="950472005">
      <w:bodyDiv w:val="1"/>
      <w:marLeft w:val="0"/>
      <w:marRight w:val="0"/>
      <w:marTop w:val="0"/>
      <w:marBottom w:val="0"/>
      <w:divBdr>
        <w:top w:val="none" w:sz="0" w:space="0" w:color="auto"/>
        <w:left w:val="none" w:sz="0" w:space="0" w:color="auto"/>
        <w:bottom w:val="none" w:sz="0" w:space="0" w:color="auto"/>
        <w:right w:val="none" w:sz="0" w:space="0" w:color="auto"/>
      </w:divBdr>
    </w:div>
    <w:div w:id="978655567">
      <w:bodyDiv w:val="1"/>
      <w:marLeft w:val="0"/>
      <w:marRight w:val="0"/>
      <w:marTop w:val="0"/>
      <w:marBottom w:val="0"/>
      <w:divBdr>
        <w:top w:val="none" w:sz="0" w:space="0" w:color="auto"/>
        <w:left w:val="none" w:sz="0" w:space="0" w:color="auto"/>
        <w:bottom w:val="none" w:sz="0" w:space="0" w:color="auto"/>
        <w:right w:val="none" w:sz="0" w:space="0" w:color="auto"/>
      </w:divBdr>
    </w:div>
    <w:div w:id="998341357">
      <w:bodyDiv w:val="1"/>
      <w:marLeft w:val="0"/>
      <w:marRight w:val="0"/>
      <w:marTop w:val="0"/>
      <w:marBottom w:val="0"/>
      <w:divBdr>
        <w:top w:val="none" w:sz="0" w:space="0" w:color="auto"/>
        <w:left w:val="none" w:sz="0" w:space="0" w:color="auto"/>
        <w:bottom w:val="none" w:sz="0" w:space="0" w:color="auto"/>
        <w:right w:val="none" w:sz="0" w:space="0" w:color="auto"/>
      </w:divBdr>
    </w:div>
    <w:div w:id="1018433962">
      <w:bodyDiv w:val="1"/>
      <w:marLeft w:val="0"/>
      <w:marRight w:val="0"/>
      <w:marTop w:val="0"/>
      <w:marBottom w:val="0"/>
      <w:divBdr>
        <w:top w:val="none" w:sz="0" w:space="0" w:color="auto"/>
        <w:left w:val="none" w:sz="0" w:space="0" w:color="auto"/>
        <w:bottom w:val="none" w:sz="0" w:space="0" w:color="auto"/>
        <w:right w:val="none" w:sz="0" w:space="0" w:color="auto"/>
      </w:divBdr>
    </w:div>
    <w:div w:id="1036615278">
      <w:bodyDiv w:val="1"/>
      <w:marLeft w:val="0"/>
      <w:marRight w:val="0"/>
      <w:marTop w:val="0"/>
      <w:marBottom w:val="0"/>
      <w:divBdr>
        <w:top w:val="none" w:sz="0" w:space="0" w:color="auto"/>
        <w:left w:val="none" w:sz="0" w:space="0" w:color="auto"/>
        <w:bottom w:val="none" w:sz="0" w:space="0" w:color="auto"/>
        <w:right w:val="none" w:sz="0" w:space="0" w:color="auto"/>
      </w:divBdr>
    </w:div>
    <w:div w:id="1076828193">
      <w:bodyDiv w:val="1"/>
      <w:marLeft w:val="0"/>
      <w:marRight w:val="0"/>
      <w:marTop w:val="0"/>
      <w:marBottom w:val="0"/>
      <w:divBdr>
        <w:top w:val="none" w:sz="0" w:space="0" w:color="auto"/>
        <w:left w:val="none" w:sz="0" w:space="0" w:color="auto"/>
        <w:bottom w:val="none" w:sz="0" w:space="0" w:color="auto"/>
        <w:right w:val="none" w:sz="0" w:space="0" w:color="auto"/>
      </w:divBdr>
    </w:div>
    <w:div w:id="1116362616">
      <w:bodyDiv w:val="1"/>
      <w:marLeft w:val="0"/>
      <w:marRight w:val="0"/>
      <w:marTop w:val="0"/>
      <w:marBottom w:val="0"/>
      <w:divBdr>
        <w:top w:val="none" w:sz="0" w:space="0" w:color="auto"/>
        <w:left w:val="none" w:sz="0" w:space="0" w:color="auto"/>
        <w:bottom w:val="none" w:sz="0" w:space="0" w:color="auto"/>
        <w:right w:val="none" w:sz="0" w:space="0" w:color="auto"/>
      </w:divBdr>
    </w:div>
    <w:div w:id="1153907117">
      <w:bodyDiv w:val="1"/>
      <w:marLeft w:val="0"/>
      <w:marRight w:val="0"/>
      <w:marTop w:val="0"/>
      <w:marBottom w:val="0"/>
      <w:divBdr>
        <w:top w:val="none" w:sz="0" w:space="0" w:color="auto"/>
        <w:left w:val="none" w:sz="0" w:space="0" w:color="auto"/>
        <w:bottom w:val="none" w:sz="0" w:space="0" w:color="auto"/>
        <w:right w:val="none" w:sz="0" w:space="0" w:color="auto"/>
      </w:divBdr>
    </w:div>
    <w:div w:id="1192765714">
      <w:bodyDiv w:val="1"/>
      <w:marLeft w:val="0"/>
      <w:marRight w:val="0"/>
      <w:marTop w:val="0"/>
      <w:marBottom w:val="0"/>
      <w:divBdr>
        <w:top w:val="none" w:sz="0" w:space="0" w:color="auto"/>
        <w:left w:val="none" w:sz="0" w:space="0" w:color="auto"/>
        <w:bottom w:val="none" w:sz="0" w:space="0" w:color="auto"/>
        <w:right w:val="none" w:sz="0" w:space="0" w:color="auto"/>
      </w:divBdr>
    </w:div>
    <w:div w:id="1292174235">
      <w:bodyDiv w:val="1"/>
      <w:marLeft w:val="0"/>
      <w:marRight w:val="0"/>
      <w:marTop w:val="0"/>
      <w:marBottom w:val="0"/>
      <w:divBdr>
        <w:top w:val="none" w:sz="0" w:space="0" w:color="auto"/>
        <w:left w:val="none" w:sz="0" w:space="0" w:color="auto"/>
        <w:bottom w:val="none" w:sz="0" w:space="0" w:color="auto"/>
        <w:right w:val="none" w:sz="0" w:space="0" w:color="auto"/>
      </w:divBdr>
    </w:div>
    <w:div w:id="1320035953">
      <w:bodyDiv w:val="1"/>
      <w:marLeft w:val="0"/>
      <w:marRight w:val="0"/>
      <w:marTop w:val="0"/>
      <w:marBottom w:val="0"/>
      <w:divBdr>
        <w:top w:val="none" w:sz="0" w:space="0" w:color="auto"/>
        <w:left w:val="none" w:sz="0" w:space="0" w:color="auto"/>
        <w:bottom w:val="none" w:sz="0" w:space="0" w:color="auto"/>
        <w:right w:val="none" w:sz="0" w:space="0" w:color="auto"/>
      </w:divBdr>
    </w:div>
    <w:div w:id="1334801987">
      <w:bodyDiv w:val="1"/>
      <w:marLeft w:val="0"/>
      <w:marRight w:val="0"/>
      <w:marTop w:val="0"/>
      <w:marBottom w:val="0"/>
      <w:divBdr>
        <w:top w:val="none" w:sz="0" w:space="0" w:color="auto"/>
        <w:left w:val="none" w:sz="0" w:space="0" w:color="auto"/>
        <w:bottom w:val="none" w:sz="0" w:space="0" w:color="auto"/>
        <w:right w:val="none" w:sz="0" w:space="0" w:color="auto"/>
      </w:divBdr>
    </w:div>
    <w:div w:id="1385134258">
      <w:bodyDiv w:val="1"/>
      <w:marLeft w:val="0"/>
      <w:marRight w:val="0"/>
      <w:marTop w:val="0"/>
      <w:marBottom w:val="0"/>
      <w:divBdr>
        <w:top w:val="none" w:sz="0" w:space="0" w:color="auto"/>
        <w:left w:val="none" w:sz="0" w:space="0" w:color="auto"/>
        <w:bottom w:val="none" w:sz="0" w:space="0" w:color="auto"/>
        <w:right w:val="none" w:sz="0" w:space="0" w:color="auto"/>
      </w:divBdr>
    </w:div>
    <w:div w:id="1400786281">
      <w:bodyDiv w:val="1"/>
      <w:marLeft w:val="0"/>
      <w:marRight w:val="0"/>
      <w:marTop w:val="0"/>
      <w:marBottom w:val="0"/>
      <w:divBdr>
        <w:top w:val="none" w:sz="0" w:space="0" w:color="auto"/>
        <w:left w:val="none" w:sz="0" w:space="0" w:color="auto"/>
        <w:bottom w:val="none" w:sz="0" w:space="0" w:color="auto"/>
        <w:right w:val="none" w:sz="0" w:space="0" w:color="auto"/>
      </w:divBdr>
    </w:div>
    <w:div w:id="1404639114">
      <w:bodyDiv w:val="1"/>
      <w:marLeft w:val="0"/>
      <w:marRight w:val="0"/>
      <w:marTop w:val="0"/>
      <w:marBottom w:val="0"/>
      <w:divBdr>
        <w:top w:val="none" w:sz="0" w:space="0" w:color="auto"/>
        <w:left w:val="none" w:sz="0" w:space="0" w:color="auto"/>
        <w:bottom w:val="none" w:sz="0" w:space="0" w:color="auto"/>
        <w:right w:val="none" w:sz="0" w:space="0" w:color="auto"/>
      </w:divBdr>
    </w:div>
    <w:div w:id="1423987043">
      <w:bodyDiv w:val="1"/>
      <w:marLeft w:val="0"/>
      <w:marRight w:val="0"/>
      <w:marTop w:val="0"/>
      <w:marBottom w:val="0"/>
      <w:divBdr>
        <w:top w:val="none" w:sz="0" w:space="0" w:color="auto"/>
        <w:left w:val="none" w:sz="0" w:space="0" w:color="auto"/>
        <w:bottom w:val="none" w:sz="0" w:space="0" w:color="auto"/>
        <w:right w:val="none" w:sz="0" w:space="0" w:color="auto"/>
      </w:divBdr>
    </w:div>
    <w:div w:id="1439255039">
      <w:bodyDiv w:val="1"/>
      <w:marLeft w:val="0"/>
      <w:marRight w:val="0"/>
      <w:marTop w:val="0"/>
      <w:marBottom w:val="0"/>
      <w:divBdr>
        <w:top w:val="none" w:sz="0" w:space="0" w:color="auto"/>
        <w:left w:val="none" w:sz="0" w:space="0" w:color="auto"/>
        <w:bottom w:val="none" w:sz="0" w:space="0" w:color="auto"/>
        <w:right w:val="none" w:sz="0" w:space="0" w:color="auto"/>
      </w:divBdr>
    </w:div>
    <w:div w:id="1441990078">
      <w:bodyDiv w:val="1"/>
      <w:marLeft w:val="0"/>
      <w:marRight w:val="0"/>
      <w:marTop w:val="0"/>
      <w:marBottom w:val="0"/>
      <w:divBdr>
        <w:top w:val="none" w:sz="0" w:space="0" w:color="auto"/>
        <w:left w:val="none" w:sz="0" w:space="0" w:color="auto"/>
        <w:bottom w:val="none" w:sz="0" w:space="0" w:color="auto"/>
        <w:right w:val="none" w:sz="0" w:space="0" w:color="auto"/>
      </w:divBdr>
    </w:div>
    <w:div w:id="1489709924">
      <w:bodyDiv w:val="1"/>
      <w:marLeft w:val="0"/>
      <w:marRight w:val="0"/>
      <w:marTop w:val="0"/>
      <w:marBottom w:val="0"/>
      <w:divBdr>
        <w:top w:val="none" w:sz="0" w:space="0" w:color="auto"/>
        <w:left w:val="none" w:sz="0" w:space="0" w:color="auto"/>
        <w:bottom w:val="none" w:sz="0" w:space="0" w:color="auto"/>
        <w:right w:val="none" w:sz="0" w:space="0" w:color="auto"/>
      </w:divBdr>
    </w:div>
    <w:div w:id="1514418672">
      <w:bodyDiv w:val="1"/>
      <w:marLeft w:val="0"/>
      <w:marRight w:val="0"/>
      <w:marTop w:val="0"/>
      <w:marBottom w:val="0"/>
      <w:divBdr>
        <w:top w:val="none" w:sz="0" w:space="0" w:color="auto"/>
        <w:left w:val="none" w:sz="0" w:space="0" w:color="auto"/>
        <w:bottom w:val="none" w:sz="0" w:space="0" w:color="auto"/>
        <w:right w:val="none" w:sz="0" w:space="0" w:color="auto"/>
      </w:divBdr>
    </w:div>
    <w:div w:id="1523081665">
      <w:bodyDiv w:val="1"/>
      <w:marLeft w:val="0"/>
      <w:marRight w:val="0"/>
      <w:marTop w:val="0"/>
      <w:marBottom w:val="0"/>
      <w:divBdr>
        <w:top w:val="none" w:sz="0" w:space="0" w:color="auto"/>
        <w:left w:val="none" w:sz="0" w:space="0" w:color="auto"/>
        <w:bottom w:val="none" w:sz="0" w:space="0" w:color="auto"/>
        <w:right w:val="none" w:sz="0" w:space="0" w:color="auto"/>
      </w:divBdr>
    </w:div>
    <w:div w:id="1529028353">
      <w:bodyDiv w:val="1"/>
      <w:marLeft w:val="0"/>
      <w:marRight w:val="0"/>
      <w:marTop w:val="0"/>
      <w:marBottom w:val="0"/>
      <w:divBdr>
        <w:top w:val="none" w:sz="0" w:space="0" w:color="auto"/>
        <w:left w:val="none" w:sz="0" w:space="0" w:color="auto"/>
        <w:bottom w:val="none" w:sz="0" w:space="0" w:color="auto"/>
        <w:right w:val="none" w:sz="0" w:space="0" w:color="auto"/>
      </w:divBdr>
    </w:div>
    <w:div w:id="1547376158">
      <w:bodyDiv w:val="1"/>
      <w:marLeft w:val="0"/>
      <w:marRight w:val="0"/>
      <w:marTop w:val="0"/>
      <w:marBottom w:val="0"/>
      <w:divBdr>
        <w:top w:val="none" w:sz="0" w:space="0" w:color="auto"/>
        <w:left w:val="none" w:sz="0" w:space="0" w:color="auto"/>
        <w:bottom w:val="none" w:sz="0" w:space="0" w:color="auto"/>
        <w:right w:val="none" w:sz="0" w:space="0" w:color="auto"/>
      </w:divBdr>
    </w:div>
    <w:div w:id="1621180244">
      <w:bodyDiv w:val="1"/>
      <w:marLeft w:val="0"/>
      <w:marRight w:val="0"/>
      <w:marTop w:val="0"/>
      <w:marBottom w:val="0"/>
      <w:divBdr>
        <w:top w:val="none" w:sz="0" w:space="0" w:color="auto"/>
        <w:left w:val="none" w:sz="0" w:space="0" w:color="auto"/>
        <w:bottom w:val="none" w:sz="0" w:space="0" w:color="auto"/>
        <w:right w:val="none" w:sz="0" w:space="0" w:color="auto"/>
      </w:divBdr>
    </w:div>
    <w:div w:id="1624388356">
      <w:bodyDiv w:val="1"/>
      <w:marLeft w:val="0"/>
      <w:marRight w:val="0"/>
      <w:marTop w:val="0"/>
      <w:marBottom w:val="0"/>
      <w:divBdr>
        <w:top w:val="none" w:sz="0" w:space="0" w:color="auto"/>
        <w:left w:val="none" w:sz="0" w:space="0" w:color="auto"/>
        <w:bottom w:val="none" w:sz="0" w:space="0" w:color="auto"/>
        <w:right w:val="none" w:sz="0" w:space="0" w:color="auto"/>
      </w:divBdr>
    </w:div>
    <w:div w:id="1629044848">
      <w:bodyDiv w:val="1"/>
      <w:marLeft w:val="0"/>
      <w:marRight w:val="0"/>
      <w:marTop w:val="0"/>
      <w:marBottom w:val="0"/>
      <w:divBdr>
        <w:top w:val="none" w:sz="0" w:space="0" w:color="auto"/>
        <w:left w:val="none" w:sz="0" w:space="0" w:color="auto"/>
        <w:bottom w:val="none" w:sz="0" w:space="0" w:color="auto"/>
        <w:right w:val="none" w:sz="0" w:space="0" w:color="auto"/>
      </w:divBdr>
    </w:div>
    <w:div w:id="1630629876">
      <w:bodyDiv w:val="1"/>
      <w:marLeft w:val="0"/>
      <w:marRight w:val="0"/>
      <w:marTop w:val="0"/>
      <w:marBottom w:val="0"/>
      <w:divBdr>
        <w:top w:val="none" w:sz="0" w:space="0" w:color="auto"/>
        <w:left w:val="none" w:sz="0" w:space="0" w:color="auto"/>
        <w:bottom w:val="none" w:sz="0" w:space="0" w:color="auto"/>
        <w:right w:val="none" w:sz="0" w:space="0" w:color="auto"/>
      </w:divBdr>
    </w:div>
    <w:div w:id="1672291302">
      <w:bodyDiv w:val="1"/>
      <w:marLeft w:val="0"/>
      <w:marRight w:val="0"/>
      <w:marTop w:val="0"/>
      <w:marBottom w:val="0"/>
      <w:divBdr>
        <w:top w:val="none" w:sz="0" w:space="0" w:color="auto"/>
        <w:left w:val="none" w:sz="0" w:space="0" w:color="auto"/>
        <w:bottom w:val="none" w:sz="0" w:space="0" w:color="auto"/>
        <w:right w:val="none" w:sz="0" w:space="0" w:color="auto"/>
      </w:divBdr>
    </w:div>
    <w:div w:id="1675886658">
      <w:bodyDiv w:val="1"/>
      <w:marLeft w:val="0"/>
      <w:marRight w:val="0"/>
      <w:marTop w:val="0"/>
      <w:marBottom w:val="0"/>
      <w:divBdr>
        <w:top w:val="none" w:sz="0" w:space="0" w:color="auto"/>
        <w:left w:val="none" w:sz="0" w:space="0" w:color="auto"/>
        <w:bottom w:val="none" w:sz="0" w:space="0" w:color="auto"/>
        <w:right w:val="none" w:sz="0" w:space="0" w:color="auto"/>
      </w:divBdr>
    </w:div>
    <w:div w:id="1726444436">
      <w:bodyDiv w:val="1"/>
      <w:marLeft w:val="0"/>
      <w:marRight w:val="0"/>
      <w:marTop w:val="0"/>
      <w:marBottom w:val="0"/>
      <w:divBdr>
        <w:top w:val="none" w:sz="0" w:space="0" w:color="auto"/>
        <w:left w:val="none" w:sz="0" w:space="0" w:color="auto"/>
        <w:bottom w:val="none" w:sz="0" w:space="0" w:color="auto"/>
        <w:right w:val="none" w:sz="0" w:space="0" w:color="auto"/>
      </w:divBdr>
    </w:div>
    <w:div w:id="1744136987">
      <w:bodyDiv w:val="1"/>
      <w:marLeft w:val="0"/>
      <w:marRight w:val="0"/>
      <w:marTop w:val="0"/>
      <w:marBottom w:val="0"/>
      <w:divBdr>
        <w:top w:val="none" w:sz="0" w:space="0" w:color="auto"/>
        <w:left w:val="none" w:sz="0" w:space="0" w:color="auto"/>
        <w:bottom w:val="none" w:sz="0" w:space="0" w:color="auto"/>
        <w:right w:val="none" w:sz="0" w:space="0" w:color="auto"/>
      </w:divBdr>
    </w:div>
    <w:div w:id="1744987905">
      <w:bodyDiv w:val="1"/>
      <w:marLeft w:val="0"/>
      <w:marRight w:val="0"/>
      <w:marTop w:val="0"/>
      <w:marBottom w:val="0"/>
      <w:divBdr>
        <w:top w:val="none" w:sz="0" w:space="0" w:color="auto"/>
        <w:left w:val="none" w:sz="0" w:space="0" w:color="auto"/>
        <w:bottom w:val="none" w:sz="0" w:space="0" w:color="auto"/>
        <w:right w:val="none" w:sz="0" w:space="0" w:color="auto"/>
      </w:divBdr>
    </w:div>
    <w:div w:id="1803114678">
      <w:bodyDiv w:val="1"/>
      <w:marLeft w:val="0"/>
      <w:marRight w:val="0"/>
      <w:marTop w:val="0"/>
      <w:marBottom w:val="0"/>
      <w:divBdr>
        <w:top w:val="none" w:sz="0" w:space="0" w:color="auto"/>
        <w:left w:val="none" w:sz="0" w:space="0" w:color="auto"/>
        <w:bottom w:val="none" w:sz="0" w:space="0" w:color="auto"/>
        <w:right w:val="none" w:sz="0" w:space="0" w:color="auto"/>
      </w:divBdr>
    </w:div>
    <w:div w:id="1867476420">
      <w:bodyDiv w:val="1"/>
      <w:marLeft w:val="0"/>
      <w:marRight w:val="0"/>
      <w:marTop w:val="0"/>
      <w:marBottom w:val="0"/>
      <w:divBdr>
        <w:top w:val="none" w:sz="0" w:space="0" w:color="auto"/>
        <w:left w:val="none" w:sz="0" w:space="0" w:color="auto"/>
        <w:bottom w:val="none" w:sz="0" w:space="0" w:color="auto"/>
        <w:right w:val="none" w:sz="0" w:space="0" w:color="auto"/>
      </w:divBdr>
    </w:div>
    <w:div w:id="1893539756">
      <w:bodyDiv w:val="1"/>
      <w:marLeft w:val="0"/>
      <w:marRight w:val="0"/>
      <w:marTop w:val="0"/>
      <w:marBottom w:val="0"/>
      <w:divBdr>
        <w:top w:val="none" w:sz="0" w:space="0" w:color="auto"/>
        <w:left w:val="none" w:sz="0" w:space="0" w:color="auto"/>
        <w:bottom w:val="none" w:sz="0" w:space="0" w:color="auto"/>
        <w:right w:val="none" w:sz="0" w:space="0" w:color="auto"/>
      </w:divBdr>
    </w:div>
    <w:div w:id="1899053561">
      <w:bodyDiv w:val="1"/>
      <w:marLeft w:val="0"/>
      <w:marRight w:val="0"/>
      <w:marTop w:val="0"/>
      <w:marBottom w:val="0"/>
      <w:divBdr>
        <w:top w:val="none" w:sz="0" w:space="0" w:color="auto"/>
        <w:left w:val="none" w:sz="0" w:space="0" w:color="auto"/>
        <w:bottom w:val="none" w:sz="0" w:space="0" w:color="auto"/>
        <w:right w:val="none" w:sz="0" w:space="0" w:color="auto"/>
      </w:divBdr>
    </w:div>
    <w:div w:id="1902477234">
      <w:bodyDiv w:val="1"/>
      <w:marLeft w:val="0"/>
      <w:marRight w:val="0"/>
      <w:marTop w:val="0"/>
      <w:marBottom w:val="0"/>
      <w:divBdr>
        <w:top w:val="none" w:sz="0" w:space="0" w:color="auto"/>
        <w:left w:val="none" w:sz="0" w:space="0" w:color="auto"/>
        <w:bottom w:val="none" w:sz="0" w:space="0" w:color="auto"/>
        <w:right w:val="none" w:sz="0" w:space="0" w:color="auto"/>
      </w:divBdr>
    </w:div>
    <w:div w:id="1904683429">
      <w:bodyDiv w:val="1"/>
      <w:marLeft w:val="0"/>
      <w:marRight w:val="0"/>
      <w:marTop w:val="0"/>
      <w:marBottom w:val="0"/>
      <w:divBdr>
        <w:top w:val="none" w:sz="0" w:space="0" w:color="auto"/>
        <w:left w:val="none" w:sz="0" w:space="0" w:color="auto"/>
        <w:bottom w:val="none" w:sz="0" w:space="0" w:color="auto"/>
        <w:right w:val="none" w:sz="0" w:space="0" w:color="auto"/>
      </w:divBdr>
    </w:div>
    <w:div w:id="1909412111">
      <w:bodyDiv w:val="1"/>
      <w:marLeft w:val="0"/>
      <w:marRight w:val="0"/>
      <w:marTop w:val="0"/>
      <w:marBottom w:val="0"/>
      <w:divBdr>
        <w:top w:val="none" w:sz="0" w:space="0" w:color="auto"/>
        <w:left w:val="none" w:sz="0" w:space="0" w:color="auto"/>
        <w:bottom w:val="none" w:sz="0" w:space="0" w:color="auto"/>
        <w:right w:val="none" w:sz="0" w:space="0" w:color="auto"/>
      </w:divBdr>
    </w:div>
    <w:div w:id="1962178922">
      <w:bodyDiv w:val="1"/>
      <w:marLeft w:val="0"/>
      <w:marRight w:val="0"/>
      <w:marTop w:val="0"/>
      <w:marBottom w:val="0"/>
      <w:divBdr>
        <w:top w:val="none" w:sz="0" w:space="0" w:color="auto"/>
        <w:left w:val="none" w:sz="0" w:space="0" w:color="auto"/>
        <w:bottom w:val="none" w:sz="0" w:space="0" w:color="auto"/>
        <w:right w:val="none" w:sz="0" w:space="0" w:color="auto"/>
      </w:divBdr>
    </w:div>
    <w:div w:id="1971936373">
      <w:bodyDiv w:val="1"/>
      <w:marLeft w:val="0"/>
      <w:marRight w:val="0"/>
      <w:marTop w:val="0"/>
      <w:marBottom w:val="0"/>
      <w:divBdr>
        <w:top w:val="none" w:sz="0" w:space="0" w:color="auto"/>
        <w:left w:val="none" w:sz="0" w:space="0" w:color="auto"/>
        <w:bottom w:val="none" w:sz="0" w:space="0" w:color="auto"/>
        <w:right w:val="none" w:sz="0" w:space="0" w:color="auto"/>
      </w:divBdr>
    </w:div>
    <w:div w:id="2010403722">
      <w:bodyDiv w:val="1"/>
      <w:marLeft w:val="0"/>
      <w:marRight w:val="0"/>
      <w:marTop w:val="0"/>
      <w:marBottom w:val="0"/>
      <w:divBdr>
        <w:top w:val="none" w:sz="0" w:space="0" w:color="auto"/>
        <w:left w:val="none" w:sz="0" w:space="0" w:color="auto"/>
        <w:bottom w:val="none" w:sz="0" w:space="0" w:color="auto"/>
        <w:right w:val="none" w:sz="0" w:space="0" w:color="auto"/>
      </w:divBdr>
    </w:div>
    <w:div w:id="2012950831">
      <w:bodyDiv w:val="1"/>
      <w:marLeft w:val="0"/>
      <w:marRight w:val="0"/>
      <w:marTop w:val="0"/>
      <w:marBottom w:val="0"/>
      <w:divBdr>
        <w:top w:val="none" w:sz="0" w:space="0" w:color="auto"/>
        <w:left w:val="none" w:sz="0" w:space="0" w:color="auto"/>
        <w:bottom w:val="none" w:sz="0" w:space="0" w:color="auto"/>
        <w:right w:val="none" w:sz="0" w:space="0" w:color="auto"/>
      </w:divBdr>
    </w:div>
    <w:div w:id="2015259473">
      <w:bodyDiv w:val="1"/>
      <w:marLeft w:val="0"/>
      <w:marRight w:val="0"/>
      <w:marTop w:val="0"/>
      <w:marBottom w:val="0"/>
      <w:divBdr>
        <w:top w:val="none" w:sz="0" w:space="0" w:color="auto"/>
        <w:left w:val="none" w:sz="0" w:space="0" w:color="auto"/>
        <w:bottom w:val="none" w:sz="0" w:space="0" w:color="auto"/>
        <w:right w:val="none" w:sz="0" w:space="0" w:color="auto"/>
      </w:divBdr>
    </w:div>
    <w:div w:id="2035956059">
      <w:bodyDiv w:val="1"/>
      <w:marLeft w:val="0"/>
      <w:marRight w:val="0"/>
      <w:marTop w:val="0"/>
      <w:marBottom w:val="0"/>
      <w:divBdr>
        <w:top w:val="none" w:sz="0" w:space="0" w:color="auto"/>
        <w:left w:val="none" w:sz="0" w:space="0" w:color="auto"/>
        <w:bottom w:val="none" w:sz="0" w:space="0" w:color="auto"/>
        <w:right w:val="none" w:sz="0" w:space="0" w:color="auto"/>
      </w:divBdr>
    </w:div>
    <w:div w:id="2037391922">
      <w:bodyDiv w:val="1"/>
      <w:marLeft w:val="0"/>
      <w:marRight w:val="0"/>
      <w:marTop w:val="0"/>
      <w:marBottom w:val="0"/>
      <w:divBdr>
        <w:top w:val="none" w:sz="0" w:space="0" w:color="auto"/>
        <w:left w:val="none" w:sz="0" w:space="0" w:color="auto"/>
        <w:bottom w:val="none" w:sz="0" w:space="0" w:color="auto"/>
        <w:right w:val="none" w:sz="0" w:space="0" w:color="auto"/>
      </w:divBdr>
    </w:div>
    <w:div w:id="2038654848">
      <w:bodyDiv w:val="1"/>
      <w:marLeft w:val="0"/>
      <w:marRight w:val="0"/>
      <w:marTop w:val="0"/>
      <w:marBottom w:val="0"/>
      <w:divBdr>
        <w:top w:val="none" w:sz="0" w:space="0" w:color="auto"/>
        <w:left w:val="none" w:sz="0" w:space="0" w:color="auto"/>
        <w:bottom w:val="none" w:sz="0" w:space="0" w:color="auto"/>
        <w:right w:val="none" w:sz="0" w:space="0" w:color="auto"/>
      </w:divBdr>
    </w:div>
    <w:div w:id="2057048015">
      <w:bodyDiv w:val="1"/>
      <w:marLeft w:val="0"/>
      <w:marRight w:val="0"/>
      <w:marTop w:val="0"/>
      <w:marBottom w:val="0"/>
      <w:divBdr>
        <w:top w:val="none" w:sz="0" w:space="0" w:color="auto"/>
        <w:left w:val="none" w:sz="0" w:space="0" w:color="auto"/>
        <w:bottom w:val="none" w:sz="0" w:space="0" w:color="auto"/>
        <w:right w:val="none" w:sz="0" w:space="0" w:color="auto"/>
      </w:divBdr>
    </w:div>
    <w:div w:id="211701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7.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chart" Target="charts/chart16.xml"/><Relationship Id="rId42" Type="http://schemas.openxmlformats.org/officeDocument/2006/relationships/image" Target="media/image11.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5.xm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9.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chart" Target="charts/chart1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hoi.com.au" TargetMode="External"/><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The_Financial_Times" TargetMode="External"/><Relationship Id="rId2" Type="http://schemas.openxmlformats.org/officeDocument/2006/relationships/hyperlink" Target="http://www.ft.com/cms/s/2/ca65e0a0-fbe0-11de-9c29-00144feab49a.html" TargetMode="External"/><Relationship Id="rId1" Type="http://schemas.openxmlformats.org/officeDocument/2006/relationships/hyperlink" Target="https://www.health.gov.au/internet/main/publishing.nsf/Content/indig-sew-frame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Health%20Outcomes\Proposal%20Template%20Blue%202011%20(2).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ADLSVR2011\CompanySharedFolders\Projects\DoHA-4666-Evaluation%20Cape%20York%20Wellbeing%20Centre\Stage%202\4.EvalPhase3\Final%20report\CommFeedback_2_14%20incl%20trip%203%20HV%20MG%20AK%20CO.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1" Type="http://schemas.openxmlformats.org/officeDocument/2006/relationships/oleObject" Target="file:///\\adlsvr2011\CompanySharedFolders\Projects\DoHA-4666-Evaluation%20Cape%20York%20Wellbeing%20Centre\Stage%202\4.EvalPhase3\Final%20DAI%20Data%20-%20No%20of%20Clients%20by%20WBC%20and%20DAI.xls"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txPr>
              <a:bodyPr/>
              <a:lstStyle/>
              <a:p>
                <a:pPr>
                  <a:defRPr sz="800">
                    <a:latin typeface="Segoe UI" pitchFamily="34" charset="0"/>
                    <a:ea typeface="Segoe UI" pitchFamily="34" charset="0"/>
                    <a:cs typeface="Segoe UI" pitchFamily="34" charset="0"/>
                  </a:defRPr>
                </a:pPr>
                <a:endParaRPr lang="en-US"/>
              </a:p>
            </c:txPr>
            <c:dLblPos val="inEnd"/>
            <c:showLegendKey val="0"/>
            <c:showVal val="1"/>
            <c:showCatName val="0"/>
            <c:showSerName val="0"/>
            <c:showPercent val="1"/>
            <c:showBubbleSize val="0"/>
            <c:separator>
</c:separator>
            <c:showLeaderLines val="1"/>
          </c:dLbls>
          <c:cat>
            <c:strRef>
              <c:f>'[CommFeedback_2_14 incl trip 3 HV MG AK CO.xlsx]combined 123 '!$B$109:$E$109</c:f>
              <c:strCache>
                <c:ptCount val="4"/>
                <c:pt idx="0">
                  <c:v>Better</c:v>
                </c:pt>
                <c:pt idx="1">
                  <c:v>Worse</c:v>
                </c:pt>
                <c:pt idx="2">
                  <c:v>Same</c:v>
                </c:pt>
                <c:pt idx="3">
                  <c:v>Don’t know</c:v>
                </c:pt>
              </c:strCache>
            </c:strRef>
          </c:cat>
          <c:val>
            <c:numRef>
              <c:f>'[CommFeedback_2_14 incl trip 3 HV MG AK CO.xlsx]combined 123 '!$B$110:$E$110</c:f>
              <c:numCache>
                <c:formatCode>General</c:formatCode>
                <c:ptCount val="4"/>
                <c:pt idx="0">
                  <c:v>96</c:v>
                </c:pt>
                <c:pt idx="1">
                  <c:v>70</c:v>
                </c:pt>
                <c:pt idx="2">
                  <c:v>138</c:v>
                </c:pt>
                <c:pt idx="3">
                  <c:v>47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Segoe UI" pitchFamily="34" charset="0"/>
              <a:ea typeface="Segoe UI" pitchFamily="34" charset="0"/>
              <a:cs typeface="Segoe UI" pitchFamily="34"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'[CommFeedback_2_14 incl trip 3 HV MG AK CO.xlsx]combined 123 '!$N$71</c:f>
              <c:strCache>
                <c:ptCount val="1"/>
                <c:pt idx="0">
                  <c:v>Aurukun (n= 91)</c:v>
                </c:pt>
              </c:strCache>
            </c:strRef>
          </c:tx>
          <c:invertIfNegative val="0"/>
          <c:cat>
            <c:strRef>
              <c:f>'[CommFeedback_2_14 incl trip 3 HV MG AK CO.xlsx]combined 123 '!$O$70:$Q$70</c:f>
              <c:strCache>
                <c:ptCount val="3"/>
                <c:pt idx="0">
                  <c:v>Big</c:v>
                </c:pt>
                <c:pt idx="1">
                  <c:v>Some</c:v>
                </c:pt>
                <c:pt idx="2">
                  <c:v>No</c:v>
                </c:pt>
              </c:strCache>
            </c:strRef>
          </c:cat>
          <c:val>
            <c:numRef>
              <c:f>'[CommFeedback_2_14 incl trip 3 HV MG AK CO.xlsx]combined 123 '!$O$71:$Q$71</c:f>
              <c:numCache>
                <c:formatCode>0%</c:formatCode>
                <c:ptCount val="3"/>
                <c:pt idx="0">
                  <c:v>0.43956043956043955</c:v>
                </c:pt>
                <c:pt idx="1">
                  <c:v>0.52747252747252749</c:v>
                </c:pt>
                <c:pt idx="2">
                  <c:v>3.2967032967032968E-2</c:v>
                </c:pt>
              </c:numCache>
            </c:numRef>
          </c:val>
        </c:ser>
        <c:ser>
          <c:idx val="1"/>
          <c:order val="1"/>
          <c:tx>
            <c:strRef>
              <c:f>'[CommFeedback_2_14 incl trip 3 HV MG AK CO.xlsx]combined 123 '!$N$72</c:f>
              <c:strCache>
                <c:ptCount val="1"/>
                <c:pt idx="0">
                  <c:v>Coen (n= 46)</c:v>
                </c:pt>
              </c:strCache>
            </c:strRef>
          </c:tx>
          <c:invertIfNegative val="0"/>
          <c:cat>
            <c:strRef>
              <c:f>'[CommFeedback_2_14 incl trip 3 HV MG AK CO.xlsx]combined 123 '!$O$70:$Q$70</c:f>
              <c:strCache>
                <c:ptCount val="3"/>
                <c:pt idx="0">
                  <c:v>Big</c:v>
                </c:pt>
                <c:pt idx="1">
                  <c:v>Some</c:v>
                </c:pt>
                <c:pt idx="2">
                  <c:v>No</c:v>
                </c:pt>
              </c:strCache>
            </c:strRef>
          </c:cat>
          <c:val>
            <c:numRef>
              <c:f>'[CommFeedback_2_14 incl trip 3 HV MG AK CO.xlsx]combined 123 '!$O$72:$Q$72</c:f>
              <c:numCache>
                <c:formatCode>0%</c:formatCode>
                <c:ptCount val="3"/>
                <c:pt idx="0">
                  <c:v>0.19565217391304349</c:v>
                </c:pt>
                <c:pt idx="1">
                  <c:v>0.80434782608695654</c:v>
                </c:pt>
                <c:pt idx="2">
                  <c:v>0</c:v>
                </c:pt>
              </c:numCache>
            </c:numRef>
          </c:val>
        </c:ser>
        <c:ser>
          <c:idx val="2"/>
          <c:order val="2"/>
          <c:tx>
            <c:strRef>
              <c:f>'[CommFeedback_2_14 incl trip 3 HV MG AK CO.xlsx]combined 123 '!$N$73</c:f>
              <c:strCache>
                <c:ptCount val="1"/>
                <c:pt idx="0">
                  <c:v>Hopevale (n= 102)</c:v>
                </c:pt>
              </c:strCache>
            </c:strRef>
          </c:tx>
          <c:invertIfNegative val="0"/>
          <c:cat>
            <c:strRef>
              <c:f>'[CommFeedback_2_14 incl trip 3 HV MG AK CO.xlsx]combined 123 '!$O$70:$Q$70</c:f>
              <c:strCache>
                <c:ptCount val="3"/>
                <c:pt idx="0">
                  <c:v>Big</c:v>
                </c:pt>
                <c:pt idx="1">
                  <c:v>Some</c:v>
                </c:pt>
                <c:pt idx="2">
                  <c:v>No</c:v>
                </c:pt>
              </c:strCache>
            </c:strRef>
          </c:cat>
          <c:val>
            <c:numRef>
              <c:f>'[CommFeedback_2_14 incl trip 3 HV MG AK CO.xlsx]combined 123 '!$O$73:$Q$73</c:f>
              <c:numCache>
                <c:formatCode>0%</c:formatCode>
                <c:ptCount val="3"/>
                <c:pt idx="0">
                  <c:v>0.21568627450980393</c:v>
                </c:pt>
                <c:pt idx="1">
                  <c:v>0.60784313725490191</c:v>
                </c:pt>
                <c:pt idx="2">
                  <c:v>0.17647058823529413</c:v>
                </c:pt>
              </c:numCache>
            </c:numRef>
          </c:val>
        </c:ser>
        <c:ser>
          <c:idx val="3"/>
          <c:order val="3"/>
          <c:tx>
            <c:strRef>
              <c:f>'[CommFeedback_2_14 incl trip 3 HV MG AK CO.xlsx]combined 123 '!$N$74</c:f>
              <c:strCache>
                <c:ptCount val="1"/>
                <c:pt idx="0">
                  <c:v>Mossman Gorge (n=30)</c:v>
                </c:pt>
              </c:strCache>
            </c:strRef>
          </c:tx>
          <c:invertIfNegative val="0"/>
          <c:cat>
            <c:strRef>
              <c:f>'[CommFeedback_2_14 incl trip 3 HV MG AK CO.xlsx]combined 123 '!$O$70:$Q$70</c:f>
              <c:strCache>
                <c:ptCount val="3"/>
                <c:pt idx="0">
                  <c:v>Big</c:v>
                </c:pt>
                <c:pt idx="1">
                  <c:v>Some</c:v>
                </c:pt>
                <c:pt idx="2">
                  <c:v>No</c:v>
                </c:pt>
              </c:strCache>
            </c:strRef>
          </c:cat>
          <c:val>
            <c:numRef>
              <c:f>'[CommFeedback_2_14 incl trip 3 HV MG AK CO.xlsx]combined 123 '!$O$74:$Q$74</c:f>
              <c:numCache>
                <c:formatCode>0%</c:formatCode>
                <c:ptCount val="3"/>
                <c:pt idx="0">
                  <c:v>0.36666666666666664</c:v>
                </c:pt>
                <c:pt idx="1">
                  <c:v>0.6</c:v>
                </c:pt>
                <c:pt idx="2">
                  <c:v>3.3333333333333333E-2</c:v>
                </c:pt>
              </c:numCache>
            </c:numRef>
          </c:val>
        </c:ser>
        <c:dLbls>
          <c:showLegendKey val="0"/>
          <c:showVal val="0"/>
          <c:showCatName val="0"/>
          <c:showSerName val="0"/>
          <c:showPercent val="0"/>
          <c:showBubbleSize val="0"/>
        </c:dLbls>
        <c:gapWidth val="150"/>
        <c:axId val="567637888"/>
        <c:axId val="619044864"/>
      </c:barChart>
      <c:catAx>
        <c:axId val="567637888"/>
        <c:scaling>
          <c:orientation val="minMax"/>
        </c:scaling>
        <c:delete val="0"/>
        <c:axPos val="b"/>
        <c:majorTickMark val="out"/>
        <c:minorTickMark val="none"/>
        <c:tickLblPos val="nextTo"/>
        <c:crossAx val="619044864"/>
        <c:crosses val="autoZero"/>
        <c:auto val="1"/>
        <c:lblAlgn val="ctr"/>
        <c:lblOffset val="100"/>
        <c:noMultiLvlLbl val="0"/>
      </c:catAx>
      <c:valAx>
        <c:axId val="619044864"/>
        <c:scaling>
          <c:orientation val="minMax"/>
        </c:scaling>
        <c:delete val="0"/>
        <c:axPos val="l"/>
        <c:majorGridlines/>
        <c:numFmt formatCode="0%" sourceLinked="1"/>
        <c:majorTickMark val="out"/>
        <c:minorTickMark val="none"/>
        <c:tickLblPos val="nextTo"/>
        <c:crossAx val="5676378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txPr>
              <a:bodyPr/>
              <a:lstStyle/>
              <a:p>
                <a:pPr>
                  <a:defRPr sz="800">
                    <a:latin typeface="Segoe UI" pitchFamily="34" charset="0"/>
                    <a:ea typeface="Segoe UI" pitchFamily="34" charset="0"/>
                    <a:cs typeface="Segoe UI" pitchFamily="34" charset="0"/>
                  </a:defRPr>
                </a:pPr>
                <a:endParaRPr lang="en-US"/>
              </a:p>
            </c:txPr>
            <c:dLblPos val="inEnd"/>
            <c:showLegendKey val="0"/>
            <c:showVal val="1"/>
            <c:showCatName val="0"/>
            <c:showSerName val="0"/>
            <c:showPercent val="1"/>
            <c:showBubbleSize val="0"/>
            <c:separator>
</c:separator>
            <c:showLeaderLines val="1"/>
          </c:dLbls>
          <c:cat>
            <c:strRef>
              <c:f>'[CommFeedback_2_14 incl trip 3 HV MG AK CO.xlsx]combined 123 '!$B$89:$E$89</c:f>
              <c:strCache>
                <c:ptCount val="4"/>
                <c:pt idx="0">
                  <c:v>Big</c:v>
                </c:pt>
                <c:pt idx="1">
                  <c:v>Some</c:v>
                </c:pt>
                <c:pt idx="2">
                  <c:v>No</c:v>
                </c:pt>
                <c:pt idx="3">
                  <c:v>Don’t know</c:v>
                </c:pt>
              </c:strCache>
            </c:strRef>
          </c:cat>
          <c:val>
            <c:numRef>
              <c:f>'[CommFeedback_2_14 incl trip 3 HV MG AK CO.xlsx]combined 123 '!$B$90:$E$90</c:f>
              <c:numCache>
                <c:formatCode>General</c:formatCode>
                <c:ptCount val="4"/>
                <c:pt idx="0">
                  <c:v>12</c:v>
                </c:pt>
                <c:pt idx="1">
                  <c:v>102</c:v>
                </c:pt>
                <c:pt idx="2">
                  <c:v>27</c:v>
                </c:pt>
                <c:pt idx="3">
                  <c:v>210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Segoe UI" pitchFamily="34" charset="0"/>
              <a:ea typeface="Segoe UI" pitchFamily="34" charset="0"/>
              <a:cs typeface="Segoe UI" pitchFamily="34" charset="0"/>
            </a:defRPr>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'[CommFeedback_2_14 incl trip 3 HV MG AK CO.xlsx]combined 123 '!$G$92</c:f>
              <c:strCache>
                <c:ptCount val="1"/>
                <c:pt idx="0">
                  <c:v>Aurukun (n=130)</c:v>
                </c:pt>
              </c:strCache>
            </c:strRef>
          </c:tx>
          <c:invertIfNegative val="0"/>
          <c:cat>
            <c:strRef>
              <c:f>'[CommFeedback_2_14 incl trip 3 HV MG AK CO.xlsx]combined 123 '!$H$91:$K$91</c:f>
              <c:strCache>
                <c:ptCount val="4"/>
                <c:pt idx="0">
                  <c:v>Big</c:v>
                </c:pt>
                <c:pt idx="1">
                  <c:v>Some</c:v>
                </c:pt>
                <c:pt idx="2">
                  <c:v>No</c:v>
                </c:pt>
                <c:pt idx="3">
                  <c:v>Don’t know</c:v>
                </c:pt>
              </c:strCache>
            </c:strRef>
          </c:cat>
          <c:val>
            <c:numRef>
              <c:f>'[CommFeedback_2_14 incl trip 3 HV MG AK CO.xlsx]combined 123 '!$H$92:$K$92</c:f>
              <c:numCache>
                <c:formatCode>0%</c:formatCode>
                <c:ptCount val="4"/>
                <c:pt idx="0">
                  <c:v>4.6153846153846156E-2</c:v>
                </c:pt>
                <c:pt idx="1">
                  <c:v>0.17692307692307693</c:v>
                </c:pt>
                <c:pt idx="2">
                  <c:v>6.1538461538461542E-2</c:v>
                </c:pt>
                <c:pt idx="3">
                  <c:v>0.7153846153846154</c:v>
                </c:pt>
              </c:numCache>
            </c:numRef>
          </c:val>
        </c:ser>
        <c:ser>
          <c:idx val="1"/>
          <c:order val="1"/>
          <c:tx>
            <c:strRef>
              <c:f>'[CommFeedback_2_14 incl trip 3 HV MG AK CO.xlsx]combined 123 '!$G$93</c:f>
              <c:strCache>
                <c:ptCount val="1"/>
                <c:pt idx="0">
                  <c:v>Coen (n=46)</c:v>
                </c:pt>
              </c:strCache>
            </c:strRef>
          </c:tx>
          <c:invertIfNegative val="0"/>
          <c:cat>
            <c:strRef>
              <c:f>'[CommFeedback_2_14 incl trip 3 HV MG AK CO.xlsx]combined 123 '!$H$91:$K$91</c:f>
              <c:strCache>
                <c:ptCount val="4"/>
                <c:pt idx="0">
                  <c:v>Big</c:v>
                </c:pt>
                <c:pt idx="1">
                  <c:v>Some</c:v>
                </c:pt>
                <c:pt idx="2">
                  <c:v>No</c:v>
                </c:pt>
                <c:pt idx="3">
                  <c:v>Don’t know</c:v>
                </c:pt>
              </c:strCache>
            </c:strRef>
          </c:cat>
          <c:val>
            <c:numRef>
              <c:f>'[CommFeedback_2_14 incl trip 3 HV MG AK CO.xlsx]combined 123 '!$H$93:$K$93</c:f>
              <c:numCache>
                <c:formatCode>0%</c:formatCode>
                <c:ptCount val="4"/>
                <c:pt idx="0">
                  <c:v>0.10869565217391304</c:v>
                </c:pt>
                <c:pt idx="1">
                  <c:v>0.71739130434782605</c:v>
                </c:pt>
                <c:pt idx="2">
                  <c:v>0.13043478260869565</c:v>
                </c:pt>
                <c:pt idx="3">
                  <c:v>4.3478260869565216E-2</c:v>
                </c:pt>
              </c:numCache>
            </c:numRef>
          </c:val>
        </c:ser>
        <c:ser>
          <c:idx val="2"/>
          <c:order val="2"/>
          <c:tx>
            <c:strRef>
              <c:f>'[CommFeedback_2_14 incl trip 3 HV MG AK CO.xlsx]combined 123 '!$G$94</c:f>
              <c:strCache>
                <c:ptCount val="1"/>
                <c:pt idx="0">
                  <c:v>Hopevale (n= 134)</c:v>
                </c:pt>
              </c:strCache>
            </c:strRef>
          </c:tx>
          <c:invertIfNegative val="0"/>
          <c:cat>
            <c:strRef>
              <c:f>'[CommFeedback_2_14 incl trip 3 HV MG AK CO.xlsx]combined 123 '!$H$91:$K$91</c:f>
              <c:strCache>
                <c:ptCount val="4"/>
                <c:pt idx="0">
                  <c:v>Big</c:v>
                </c:pt>
                <c:pt idx="1">
                  <c:v>Some</c:v>
                </c:pt>
                <c:pt idx="2">
                  <c:v>No</c:v>
                </c:pt>
                <c:pt idx="3">
                  <c:v>Don’t know</c:v>
                </c:pt>
              </c:strCache>
            </c:strRef>
          </c:cat>
          <c:val>
            <c:numRef>
              <c:f>'[CommFeedback_2_14 incl trip 3 HV MG AK CO.xlsx]combined 123 '!$H$94:$K$94</c:f>
              <c:numCache>
                <c:formatCode>0%</c:formatCode>
                <c:ptCount val="4"/>
                <c:pt idx="0">
                  <c:v>0</c:v>
                </c:pt>
                <c:pt idx="1">
                  <c:v>0.28358208955223879</c:v>
                </c:pt>
                <c:pt idx="2">
                  <c:v>9.7014925373134331E-2</c:v>
                </c:pt>
                <c:pt idx="3">
                  <c:v>0.61940298507462688</c:v>
                </c:pt>
              </c:numCache>
            </c:numRef>
          </c:val>
        </c:ser>
        <c:ser>
          <c:idx val="3"/>
          <c:order val="3"/>
          <c:tx>
            <c:strRef>
              <c:f>'[CommFeedback_2_14 incl trip 3 HV MG AK CO.xlsx]combined 123 '!$G$95</c:f>
              <c:strCache>
                <c:ptCount val="1"/>
                <c:pt idx="0">
                  <c:v>Mossman Gorge (n= 41)</c:v>
                </c:pt>
              </c:strCache>
            </c:strRef>
          </c:tx>
          <c:invertIfNegative val="0"/>
          <c:cat>
            <c:strRef>
              <c:f>'[CommFeedback_2_14 incl trip 3 HV MG AK CO.xlsx]combined 123 '!$H$91:$K$91</c:f>
              <c:strCache>
                <c:ptCount val="4"/>
                <c:pt idx="0">
                  <c:v>Big</c:v>
                </c:pt>
                <c:pt idx="1">
                  <c:v>Some</c:v>
                </c:pt>
                <c:pt idx="2">
                  <c:v>No</c:v>
                </c:pt>
                <c:pt idx="3">
                  <c:v>Don’t know</c:v>
                </c:pt>
              </c:strCache>
            </c:strRef>
          </c:cat>
          <c:val>
            <c:numRef>
              <c:f>'[CommFeedback_2_14 incl trip 3 HV MG AK CO.xlsx]combined 123 '!$H$95:$K$95</c:f>
              <c:numCache>
                <c:formatCode>0%</c:formatCode>
                <c:ptCount val="4"/>
                <c:pt idx="0">
                  <c:v>2.4390243902439025E-2</c:v>
                </c:pt>
                <c:pt idx="1">
                  <c:v>0.1951219512195122</c:v>
                </c:pt>
                <c:pt idx="2">
                  <c:v>0</c:v>
                </c:pt>
                <c:pt idx="3">
                  <c:v>0.78048780487804881</c:v>
                </c:pt>
              </c:numCache>
            </c:numRef>
          </c:val>
        </c:ser>
        <c:dLbls>
          <c:showLegendKey val="0"/>
          <c:showVal val="0"/>
          <c:showCatName val="0"/>
          <c:showSerName val="0"/>
          <c:showPercent val="0"/>
          <c:showBubbleSize val="0"/>
        </c:dLbls>
        <c:gapWidth val="150"/>
        <c:axId val="642166144"/>
        <c:axId val="643253760"/>
      </c:barChart>
      <c:catAx>
        <c:axId val="642166144"/>
        <c:scaling>
          <c:orientation val="minMax"/>
        </c:scaling>
        <c:delete val="0"/>
        <c:axPos val="b"/>
        <c:majorTickMark val="out"/>
        <c:minorTickMark val="none"/>
        <c:tickLblPos val="nextTo"/>
        <c:crossAx val="643253760"/>
        <c:crosses val="autoZero"/>
        <c:auto val="1"/>
        <c:lblAlgn val="ctr"/>
        <c:lblOffset val="100"/>
        <c:noMultiLvlLbl val="0"/>
      </c:catAx>
      <c:valAx>
        <c:axId val="643253760"/>
        <c:scaling>
          <c:orientation val="minMax"/>
        </c:scaling>
        <c:delete val="0"/>
        <c:axPos val="l"/>
        <c:majorGridlines/>
        <c:numFmt formatCode="0%" sourceLinked="1"/>
        <c:majorTickMark val="out"/>
        <c:minorTickMark val="none"/>
        <c:tickLblPos val="nextTo"/>
        <c:crossAx val="6421661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Pos val="inEnd"/>
            <c:showLegendKey val="0"/>
            <c:showVal val="1"/>
            <c:showCatName val="0"/>
            <c:showSerName val="0"/>
            <c:showPercent val="1"/>
            <c:showBubbleSize val="0"/>
            <c:separator>
</c:separator>
            <c:showLeaderLines val="1"/>
          </c:dLbls>
          <c:cat>
            <c:strRef>
              <c:f>'[CommFeedback_2_14 incl trip 3 HV MG AK CO.xlsx]combined 123 '!$B$225:$E$225</c:f>
              <c:strCache>
                <c:ptCount val="4"/>
                <c:pt idx="0">
                  <c:v>Better</c:v>
                </c:pt>
                <c:pt idx="1">
                  <c:v>Worse</c:v>
                </c:pt>
                <c:pt idx="2">
                  <c:v>Same</c:v>
                </c:pt>
                <c:pt idx="3">
                  <c:v>Don’t know</c:v>
                </c:pt>
              </c:strCache>
            </c:strRef>
          </c:cat>
          <c:val>
            <c:numRef>
              <c:f>'[CommFeedback_2_14 incl trip 3 HV MG AK CO.xlsx]combined 123 '!$B$226:$E$226</c:f>
              <c:numCache>
                <c:formatCode>General</c:formatCode>
                <c:ptCount val="4"/>
                <c:pt idx="0">
                  <c:v>97</c:v>
                </c:pt>
                <c:pt idx="1">
                  <c:v>29</c:v>
                </c:pt>
                <c:pt idx="2">
                  <c:v>152</c:v>
                </c:pt>
                <c:pt idx="3">
                  <c:v>73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'[CommFeedback_2_14 incl trip 3 HV MG AK CO.xlsx]combined 123 '!$G$228</c:f>
              <c:strCache>
                <c:ptCount val="1"/>
                <c:pt idx="0">
                  <c:v>Aurukun (n=130)</c:v>
                </c:pt>
              </c:strCache>
            </c:strRef>
          </c:tx>
          <c:invertIfNegative val="0"/>
          <c:cat>
            <c:strRef>
              <c:f>'[CommFeedback_2_14 incl trip 3 HV MG AK CO.xlsx]combined 123 '!$H$227:$K$227</c:f>
              <c:strCache>
                <c:ptCount val="4"/>
                <c:pt idx="0">
                  <c:v>Better</c:v>
                </c:pt>
                <c:pt idx="1">
                  <c:v>Worse</c:v>
                </c:pt>
                <c:pt idx="2">
                  <c:v>Same</c:v>
                </c:pt>
                <c:pt idx="3">
                  <c:v>Don’t know</c:v>
                </c:pt>
              </c:strCache>
            </c:strRef>
          </c:cat>
          <c:val>
            <c:numRef>
              <c:f>'[CommFeedback_2_14 incl trip 3 HV MG AK CO.xlsx]combined 123 '!$H$228:$K$228</c:f>
              <c:numCache>
                <c:formatCode>0%</c:formatCode>
                <c:ptCount val="4"/>
                <c:pt idx="0">
                  <c:v>0.19230769230769232</c:v>
                </c:pt>
                <c:pt idx="1">
                  <c:v>0.18461538461538463</c:v>
                </c:pt>
                <c:pt idx="2">
                  <c:v>0.43076923076923079</c:v>
                </c:pt>
                <c:pt idx="3">
                  <c:v>0.19230769230769232</c:v>
                </c:pt>
              </c:numCache>
            </c:numRef>
          </c:val>
        </c:ser>
        <c:ser>
          <c:idx val="1"/>
          <c:order val="1"/>
          <c:tx>
            <c:strRef>
              <c:f>'[CommFeedback_2_14 incl trip 3 HV MG AK CO.xlsx]combined 123 '!$G$229</c:f>
              <c:strCache>
                <c:ptCount val="1"/>
                <c:pt idx="0">
                  <c:v>Coen (n=46)</c:v>
                </c:pt>
              </c:strCache>
            </c:strRef>
          </c:tx>
          <c:invertIfNegative val="0"/>
          <c:cat>
            <c:strRef>
              <c:f>'[CommFeedback_2_14 incl trip 3 HV MG AK CO.xlsx]combined 123 '!$H$227:$K$227</c:f>
              <c:strCache>
                <c:ptCount val="4"/>
                <c:pt idx="0">
                  <c:v>Better</c:v>
                </c:pt>
                <c:pt idx="1">
                  <c:v>Worse</c:v>
                </c:pt>
                <c:pt idx="2">
                  <c:v>Same</c:v>
                </c:pt>
                <c:pt idx="3">
                  <c:v>Don’t know</c:v>
                </c:pt>
              </c:strCache>
            </c:strRef>
          </c:cat>
          <c:val>
            <c:numRef>
              <c:f>'[CommFeedback_2_14 incl trip 3 HV MG AK CO.xlsx]combined 123 '!$H$229:$K$229</c:f>
              <c:numCache>
                <c:formatCode>0%</c:formatCode>
                <c:ptCount val="4"/>
                <c:pt idx="0">
                  <c:v>0.65217391304347827</c:v>
                </c:pt>
                <c:pt idx="1">
                  <c:v>0</c:v>
                </c:pt>
                <c:pt idx="2">
                  <c:v>0.34782608695652173</c:v>
                </c:pt>
                <c:pt idx="3">
                  <c:v>0</c:v>
                </c:pt>
              </c:numCache>
            </c:numRef>
          </c:val>
        </c:ser>
        <c:ser>
          <c:idx val="2"/>
          <c:order val="2"/>
          <c:tx>
            <c:strRef>
              <c:f>'[CommFeedback_2_14 incl trip 3 HV MG AK CO.xlsx]combined 123 '!$G$230</c:f>
              <c:strCache>
                <c:ptCount val="1"/>
                <c:pt idx="0">
                  <c:v>Hopevale (n= 134)</c:v>
                </c:pt>
              </c:strCache>
            </c:strRef>
          </c:tx>
          <c:invertIfNegative val="0"/>
          <c:cat>
            <c:strRef>
              <c:f>'[CommFeedback_2_14 incl trip 3 HV MG AK CO.xlsx]combined 123 '!$H$227:$K$227</c:f>
              <c:strCache>
                <c:ptCount val="4"/>
                <c:pt idx="0">
                  <c:v>Better</c:v>
                </c:pt>
                <c:pt idx="1">
                  <c:v>Worse</c:v>
                </c:pt>
                <c:pt idx="2">
                  <c:v>Same</c:v>
                </c:pt>
                <c:pt idx="3">
                  <c:v>Don’t know</c:v>
                </c:pt>
              </c:strCache>
            </c:strRef>
          </c:cat>
          <c:val>
            <c:numRef>
              <c:f>'[CommFeedback_2_14 incl trip 3 HV MG AK CO.xlsx]combined 123 '!$H$230:$K$230</c:f>
              <c:numCache>
                <c:formatCode>0%</c:formatCode>
                <c:ptCount val="4"/>
                <c:pt idx="0">
                  <c:v>0.20895522388059701</c:v>
                </c:pt>
                <c:pt idx="1">
                  <c:v>3.7313432835820892E-2</c:v>
                </c:pt>
                <c:pt idx="2">
                  <c:v>0.5149253731343284</c:v>
                </c:pt>
                <c:pt idx="3">
                  <c:v>0.23880597014925373</c:v>
                </c:pt>
              </c:numCache>
            </c:numRef>
          </c:val>
        </c:ser>
        <c:ser>
          <c:idx val="3"/>
          <c:order val="3"/>
          <c:tx>
            <c:strRef>
              <c:f>'[CommFeedback_2_14 incl trip 3 HV MG AK CO.xlsx]combined 123 '!$G$231</c:f>
              <c:strCache>
                <c:ptCount val="1"/>
                <c:pt idx="0">
                  <c:v>Mossman Gorge (n= 41)</c:v>
                </c:pt>
              </c:strCache>
            </c:strRef>
          </c:tx>
          <c:invertIfNegative val="0"/>
          <c:cat>
            <c:strRef>
              <c:f>'[CommFeedback_2_14 incl trip 3 HV MG AK CO.xlsx]combined 123 '!$H$227:$K$227</c:f>
              <c:strCache>
                <c:ptCount val="4"/>
                <c:pt idx="0">
                  <c:v>Better</c:v>
                </c:pt>
                <c:pt idx="1">
                  <c:v>Worse</c:v>
                </c:pt>
                <c:pt idx="2">
                  <c:v>Same</c:v>
                </c:pt>
                <c:pt idx="3">
                  <c:v>Don’t know</c:v>
                </c:pt>
              </c:strCache>
            </c:strRef>
          </c:cat>
          <c:val>
            <c:numRef>
              <c:f>'[CommFeedback_2_14 incl trip 3 HV MG AK CO.xlsx]combined 123 '!$H$231:$K$231</c:f>
              <c:numCache>
                <c:formatCode>0%</c:formatCode>
                <c:ptCount val="4"/>
                <c:pt idx="0">
                  <c:v>0.34146341463414637</c:v>
                </c:pt>
                <c:pt idx="1">
                  <c:v>0</c:v>
                </c:pt>
                <c:pt idx="2">
                  <c:v>0.26829268292682928</c:v>
                </c:pt>
                <c:pt idx="3">
                  <c:v>0.3902439024390244</c:v>
                </c:pt>
              </c:numCache>
            </c:numRef>
          </c:val>
        </c:ser>
        <c:dLbls>
          <c:showLegendKey val="0"/>
          <c:showVal val="0"/>
          <c:showCatName val="0"/>
          <c:showSerName val="0"/>
          <c:showPercent val="0"/>
          <c:showBubbleSize val="0"/>
        </c:dLbls>
        <c:gapWidth val="150"/>
        <c:axId val="661170816"/>
        <c:axId val="351576448"/>
      </c:barChart>
      <c:catAx>
        <c:axId val="661170816"/>
        <c:scaling>
          <c:orientation val="minMax"/>
        </c:scaling>
        <c:delete val="0"/>
        <c:axPos val="b"/>
        <c:majorTickMark val="out"/>
        <c:minorTickMark val="none"/>
        <c:tickLblPos val="nextTo"/>
        <c:crossAx val="351576448"/>
        <c:crosses val="autoZero"/>
        <c:auto val="1"/>
        <c:lblAlgn val="ctr"/>
        <c:lblOffset val="100"/>
        <c:noMultiLvlLbl val="0"/>
      </c:catAx>
      <c:valAx>
        <c:axId val="351576448"/>
        <c:scaling>
          <c:orientation val="minMax"/>
        </c:scaling>
        <c:delete val="0"/>
        <c:axPos val="l"/>
        <c:majorGridlines/>
        <c:numFmt formatCode="0%" sourceLinked="1"/>
        <c:majorTickMark val="out"/>
        <c:minorTickMark val="none"/>
        <c:tickLblPos val="nextTo"/>
        <c:crossAx val="66117081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for report'!$I$3</c:f>
              <c:strCache>
                <c:ptCount val="1"/>
                <c:pt idx="0">
                  <c:v>Individual clients</c:v>
                </c:pt>
              </c:strCache>
            </c:strRef>
          </c:tx>
          <c:invertIfNegative val="0"/>
          <c:cat>
            <c:strRef>
              <c:f>'data for report'!$H$4:$H$14</c:f>
              <c:strCache>
                <c:ptCount val="11"/>
                <c:pt idx="0">
                  <c:v>Violence</c:v>
                </c:pt>
                <c:pt idx="1">
                  <c:v>Mental health</c:v>
                </c:pt>
                <c:pt idx="2">
                  <c:v>Alcohol</c:v>
                </c:pt>
                <c:pt idx="3">
                  <c:v>Welfare and other support</c:v>
                </c:pt>
                <c:pt idx="4">
                  <c:v>Relationship</c:v>
                </c:pt>
                <c:pt idx="5">
                  <c:v>Problems with family member</c:v>
                </c:pt>
                <c:pt idx="6">
                  <c:v>Other drugs</c:v>
                </c:pt>
                <c:pt idx="7">
                  <c:v>Grief and loss</c:v>
                </c:pt>
                <c:pt idx="8">
                  <c:v>Parenting</c:v>
                </c:pt>
                <c:pt idx="9">
                  <c:v>Child saftey</c:v>
                </c:pt>
                <c:pt idx="10">
                  <c:v>Sexual violence</c:v>
                </c:pt>
              </c:strCache>
            </c:strRef>
          </c:cat>
          <c:val>
            <c:numRef>
              <c:f>'data for report'!$I$4:$I$14</c:f>
              <c:numCache>
                <c:formatCode>General</c:formatCode>
                <c:ptCount val="11"/>
                <c:pt idx="0">
                  <c:v>90</c:v>
                </c:pt>
                <c:pt idx="1">
                  <c:v>89</c:v>
                </c:pt>
                <c:pt idx="2">
                  <c:v>85</c:v>
                </c:pt>
                <c:pt idx="3">
                  <c:v>69</c:v>
                </c:pt>
                <c:pt idx="4">
                  <c:v>24</c:v>
                </c:pt>
                <c:pt idx="5">
                  <c:v>21</c:v>
                </c:pt>
                <c:pt idx="6">
                  <c:v>15</c:v>
                </c:pt>
                <c:pt idx="7">
                  <c:v>11</c:v>
                </c:pt>
                <c:pt idx="8">
                  <c:v>9</c:v>
                </c:pt>
                <c:pt idx="9">
                  <c:v>8</c:v>
                </c:pt>
                <c:pt idx="10">
                  <c:v>4</c:v>
                </c:pt>
              </c:numCache>
            </c:numRef>
          </c:val>
        </c:ser>
        <c:dLbls>
          <c:showLegendKey val="0"/>
          <c:showVal val="0"/>
          <c:showCatName val="0"/>
          <c:showSerName val="0"/>
          <c:showPercent val="0"/>
          <c:showBubbleSize val="0"/>
        </c:dLbls>
        <c:gapWidth val="150"/>
        <c:axId val="353837440"/>
        <c:axId val="353838976"/>
      </c:barChart>
      <c:catAx>
        <c:axId val="353837440"/>
        <c:scaling>
          <c:orientation val="minMax"/>
        </c:scaling>
        <c:delete val="0"/>
        <c:axPos val="b"/>
        <c:majorTickMark val="out"/>
        <c:minorTickMark val="none"/>
        <c:tickLblPos val="nextTo"/>
        <c:txPr>
          <a:bodyPr/>
          <a:lstStyle/>
          <a:p>
            <a:pPr>
              <a:defRPr sz="800"/>
            </a:pPr>
            <a:endParaRPr lang="en-US"/>
          </a:p>
        </c:txPr>
        <c:crossAx val="353838976"/>
        <c:crosses val="autoZero"/>
        <c:auto val="1"/>
        <c:lblAlgn val="ctr"/>
        <c:lblOffset val="100"/>
        <c:noMultiLvlLbl val="0"/>
      </c:catAx>
      <c:valAx>
        <c:axId val="353838976"/>
        <c:scaling>
          <c:orientation val="minMax"/>
        </c:scaling>
        <c:delete val="0"/>
        <c:axPos val="l"/>
        <c:majorGridlines/>
        <c:title>
          <c:tx>
            <c:rich>
              <a:bodyPr rot="-5400000" vert="horz"/>
              <a:lstStyle/>
              <a:p>
                <a:pPr>
                  <a:defRPr/>
                </a:pPr>
                <a:r>
                  <a:rPr lang="en-US"/>
                  <a:t>No. of individual clients</a:t>
                </a:r>
              </a:p>
            </c:rich>
          </c:tx>
          <c:layout/>
          <c:overlay val="0"/>
        </c:title>
        <c:numFmt formatCode="General" sourceLinked="1"/>
        <c:majorTickMark val="out"/>
        <c:minorTickMark val="none"/>
        <c:tickLblPos val="nextTo"/>
        <c:txPr>
          <a:bodyPr/>
          <a:lstStyle/>
          <a:p>
            <a:pPr>
              <a:defRPr sz="800"/>
            </a:pPr>
            <a:endParaRPr lang="en-US"/>
          </a:p>
        </c:txPr>
        <c:crossAx val="3538374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3"/>
          <c:order val="0"/>
          <c:tx>
            <c:strRef>
              <c:f>Sheet4!$L$3</c:f>
              <c:strCache>
                <c:ptCount val="1"/>
                <c:pt idx="0">
                  <c:v>Aurukun</c:v>
                </c:pt>
              </c:strCache>
            </c:strRef>
          </c:tx>
          <c:invertIfNegative val="0"/>
          <c:cat>
            <c:strRef>
              <c:f>Sheet4!$H$4:$H$8</c:f>
              <c:strCache>
                <c:ptCount val="5"/>
                <c:pt idx="0">
                  <c:v>Violence</c:v>
                </c:pt>
                <c:pt idx="1">
                  <c:v>Mental health</c:v>
                </c:pt>
                <c:pt idx="2">
                  <c:v>Alcohol</c:v>
                </c:pt>
                <c:pt idx="3">
                  <c:v>Welfare and other support</c:v>
                </c:pt>
                <c:pt idx="4">
                  <c:v>Relationship</c:v>
                </c:pt>
              </c:strCache>
            </c:strRef>
          </c:cat>
          <c:val>
            <c:numRef>
              <c:f>Sheet4!$L$4:$L$8</c:f>
              <c:numCache>
                <c:formatCode>0%</c:formatCode>
                <c:ptCount val="5"/>
                <c:pt idx="0">
                  <c:v>0.26344086021505375</c:v>
                </c:pt>
                <c:pt idx="1">
                  <c:v>0.21505376344086022</c:v>
                </c:pt>
                <c:pt idx="2">
                  <c:v>0.19892473118279569</c:v>
                </c:pt>
                <c:pt idx="3">
                  <c:v>0.19354838709677419</c:v>
                </c:pt>
                <c:pt idx="4">
                  <c:v>1.6129032258064516E-2</c:v>
                </c:pt>
              </c:numCache>
            </c:numRef>
          </c:val>
        </c:ser>
        <c:ser>
          <c:idx val="5"/>
          <c:order val="1"/>
          <c:tx>
            <c:strRef>
              <c:f>Sheet4!$N$3</c:f>
              <c:strCache>
                <c:ptCount val="1"/>
                <c:pt idx="0">
                  <c:v>Coen</c:v>
                </c:pt>
              </c:strCache>
            </c:strRef>
          </c:tx>
          <c:invertIfNegative val="0"/>
          <c:cat>
            <c:strRef>
              <c:f>Sheet4!$H$4:$H$8</c:f>
              <c:strCache>
                <c:ptCount val="5"/>
                <c:pt idx="0">
                  <c:v>Violence</c:v>
                </c:pt>
                <c:pt idx="1">
                  <c:v>Mental health</c:v>
                </c:pt>
                <c:pt idx="2">
                  <c:v>Alcohol</c:v>
                </c:pt>
                <c:pt idx="3">
                  <c:v>Welfare and other support</c:v>
                </c:pt>
                <c:pt idx="4">
                  <c:v>Relationship</c:v>
                </c:pt>
              </c:strCache>
            </c:strRef>
          </c:cat>
          <c:val>
            <c:numRef>
              <c:f>Sheet4!$N$4:$N$8</c:f>
              <c:numCache>
                <c:formatCode>0%</c:formatCode>
                <c:ptCount val="5"/>
                <c:pt idx="0">
                  <c:v>0.1875</c:v>
                </c:pt>
                <c:pt idx="1">
                  <c:v>0.296875</c:v>
                </c:pt>
                <c:pt idx="2">
                  <c:v>0.15625</c:v>
                </c:pt>
                <c:pt idx="3">
                  <c:v>0.15625</c:v>
                </c:pt>
                <c:pt idx="4">
                  <c:v>4.6875E-2</c:v>
                </c:pt>
              </c:numCache>
            </c:numRef>
          </c:val>
        </c:ser>
        <c:ser>
          <c:idx val="7"/>
          <c:order val="2"/>
          <c:tx>
            <c:strRef>
              <c:f>Sheet4!$P$3</c:f>
              <c:strCache>
                <c:ptCount val="1"/>
                <c:pt idx="0">
                  <c:v>Hopevale</c:v>
                </c:pt>
              </c:strCache>
            </c:strRef>
          </c:tx>
          <c:invertIfNegative val="0"/>
          <c:cat>
            <c:strRef>
              <c:f>Sheet4!$H$4:$H$8</c:f>
              <c:strCache>
                <c:ptCount val="5"/>
                <c:pt idx="0">
                  <c:v>Violence</c:v>
                </c:pt>
                <c:pt idx="1">
                  <c:v>Mental health</c:v>
                </c:pt>
                <c:pt idx="2">
                  <c:v>Alcohol</c:v>
                </c:pt>
                <c:pt idx="3">
                  <c:v>Welfare and other support</c:v>
                </c:pt>
                <c:pt idx="4">
                  <c:v>Relationship</c:v>
                </c:pt>
              </c:strCache>
            </c:strRef>
          </c:cat>
          <c:val>
            <c:numRef>
              <c:f>Sheet4!$P$4:$P$8</c:f>
              <c:numCache>
                <c:formatCode>0%</c:formatCode>
                <c:ptCount val="5"/>
                <c:pt idx="0">
                  <c:v>0.25609756097560976</c:v>
                </c:pt>
                <c:pt idx="1">
                  <c:v>0.23170731707317074</c:v>
                </c:pt>
                <c:pt idx="2">
                  <c:v>0.2073170731707317</c:v>
                </c:pt>
                <c:pt idx="3">
                  <c:v>1.2195121951219513E-2</c:v>
                </c:pt>
                <c:pt idx="4">
                  <c:v>6.097560975609756E-2</c:v>
                </c:pt>
              </c:numCache>
            </c:numRef>
          </c:val>
        </c:ser>
        <c:ser>
          <c:idx val="9"/>
          <c:order val="3"/>
          <c:tx>
            <c:strRef>
              <c:f>Sheet4!$R$3</c:f>
              <c:strCache>
                <c:ptCount val="1"/>
                <c:pt idx="0">
                  <c:v>MG</c:v>
                </c:pt>
              </c:strCache>
            </c:strRef>
          </c:tx>
          <c:invertIfNegative val="0"/>
          <c:cat>
            <c:strRef>
              <c:f>Sheet4!$H$4:$H$8</c:f>
              <c:strCache>
                <c:ptCount val="5"/>
                <c:pt idx="0">
                  <c:v>Violence</c:v>
                </c:pt>
                <c:pt idx="1">
                  <c:v>Mental health</c:v>
                </c:pt>
                <c:pt idx="2">
                  <c:v>Alcohol</c:v>
                </c:pt>
                <c:pt idx="3">
                  <c:v>Welfare and other support</c:v>
                </c:pt>
                <c:pt idx="4">
                  <c:v>Relationship</c:v>
                </c:pt>
              </c:strCache>
            </c:strRef>
          </c:cat>
          <c:val>
            <c:numRef>
              <c:f>Sheet4!$R$4:$R$8</c:f>
              <c:numCache>
                <c:formatCode>0%</c:formatCode>
                <c:ptCount val="5"/>
                <c:pt idx="0">
                  <c:v>8.6021505376344093E-2</c:v>
                </c:pt>
                <c:pt idx="1">
                  <c:v>0.11827956989247312</c:v>
                </c:pt>
                <c:pt idx="2">
                  <c:v>0.22580645161290322</c:v>
                </c:pt>
                <c:pt idx="3">
                  <c:v>0.23655913978494625</c:v>
                </c:pt>
                <c:pt idx="4">
                  <c:v>0.13978494623655913</c:v>
                </c:pt>
              </c:numCache>
            </c:numRef>
          </c:val>
        </c:ser>
        <c:dLbls>
          <c:showLegendKey val="0"/>
          <c:showVal val="0"/>
          <c:showCatName val="0"/>
          <c:showSerName val="0"/>
          <c:showPercent val="0"/>
          <c:showBubbleSize val="0"/>
        </c:dLbls>
        <c:gapWidth val="150"/>
        <c:axId val="353862016"/>
        <c:axId val="353863552"/>
      </c:barChart>
      <c:catAx>
        <c:axId val="353862016"/>
        <c:scaling>
          <c:orientation val="minMax"/>
        </c:scaling>
        <c:delete val="0"/>
        <c:axPos val="b"/>
        <c:majorTickMark val="out"/>
        <c:minorTickMark val="none"/>
        <c:tickLblPos val="nextTo"/>
        <c:txPr>
          <a:bodyPr/>
          <a:lstStyle/>
          <a:p>
            <a:pPr>
              <a:defRPr sz="800"/>
            </a:pPr>
            <a:endParaRPr lang="en-US"/>
          </a:p>
        </c:txPr>
        <c:crossAx val="353863552"/>
        <c:crosses val="autoZero"/>
        <c:auto val="1"/>
        <c:lblAlgn val="ctr"/>
        <c:lblOffset val="100"/>
        <c:noMultiLvlLbl val="0"/>
      </c:catAx>
      <c:valAx>
        <c:axId val="353863552"/>
        <c:scaling>
          <c:orientation val="minMax"/>
        </c:scaling>
        <c:delete val="0"/>
        <c:axPos val="l"/>
        <c:majorGridlines/>
        <c:numFmt formatCode="0%" sourceLinked="1"/>
        <c:majorTickMark val="out"/>
        <c:minorTickMark val="none"/>
        <c:tickLblPos val="nextTo"/>
        <c:txPr>
          <a:bodyPr/>
          <a:lstStyle/>
          <a:p>
            <a:pPr>
              <a:defRPr sz="800"/>
            </a:pPr>
            <a:endParaRPr lang="en-US"/>
          </a:p>
        </c:txPr>
        <c:crossAx val="35386201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3"/>
              <c:delete val="1"/>
            </c:dLbl>
            <c:showLegendKey val="0"/>
            <c:showVal val="1"/>
            <c:showCatName val="0"/>
            <c:showSerName val="0"/>
            <c:showPercent val="1"/>
            <c:showBubbleSize val="0"/>
            <c:showLeaderLines val="0"/>
          </c:dLbls>
          <c:cat>
            <c:strRef>
              <c:f>'Report 2 v2'!$A$264:$A$268</c:f>
              <c:strCache>
                <c:ptCount val="5"/>
                <c:pt idx="0">
                  <c:v>A little</c:v>
                </c:pt>
                <c:pt idx="1">
                  <c:v>A lot</c:v>
                </c:pt>
                <c:pt idx="2">
                  <c:v>Somewhat</c:v>
                </c:pt>
                <c:pt idx="3">
                  <c:v>Not at all</c:v>
                </c:pt>
                <c:pt idx="4">
                  <c:v>Don’t know/not answered</c:v>
                </c:pt>
              </c:strCache>
            </c:strRef>
          </c:cat>
          <c:val>
            <c:numRef>
              <c:f>'Report 2 v2'!$BA$264:$BA$268</c:f>
              <c:numCache>
                <c:formatCode>General</c:formatCode>
                <c:ptCount val="5"/>
                <c:pt idx="0">
                  <c:v>5</c:v>
                </c:pt>
                <c:pt idx="1">
                  <c:v>38</c:v>
                </c:pt>
                <c:pt idx="2">
                  <c:v>3</c:v>
                </c:pt>
                <c:pt idx="3">
                  <c:v>0</c:v>
                </c:pt>
                <c:pt idx="4">
                  <c:v>1</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56525263988808394"/>
          <c:y val="0.24401289448105509"/>
          <c:w val="0.29442151875146894"/>
          <c:h val="0.51197376517063342"/>
        </c:manualLayout>
      </c:layout>
      <c:overlay val="0"/>
      <c:txPr>
        <a:bodyPr/>
        <a:lstStyle/>
        <a:p>
          <a:pPr rtl="0">
            <a:defRPr sz="800"/>
          </a:pPr>
          <a:endParaRPr lang="en-U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tx>
                <c:rich>
                  <a:bodyPr/>
                  <a:lstStyle/>
                  <a:p>
                    <a:r>
                      <a:rPr lang="en-US"/>
                      <a:t>Staffing,  9,463,853 </a:t>
                    </a:r>
                    <a:r>
                      <a:rPr lang="en-US" baseline="0"/>
                      <a:t> (</a:t>
                    </a:r>
                    <a:r>
                      <a:rPr lang="en-US"/>
                      <a:t>58%)</a:t>
                    </a:r>
                  </a:p>
                </c:rich>
              </c:tx>
              <c:showLegendKey val="0"/>
              <c:showVal val="1"/>
              <c:showCatName val="1"/>
              <c:showSerName val="0"/>
              <c:showPercent val="1"/>
              <c:showBubbleSize val="0"/>
            </c:dLbl>
            <c:dLbl>
              <c:idx val="1"/>
              <c:layout/>
              <c:tx>
                <c:rich>
                  <a:bodyPr/>
                  <a:lstStyle/>
                  <a:p>
                    <a:r>
                      <a:rPr lang="en-US"/>
                      <a:t>Program management,  2,214,015 </a:t>
                    </a:r>
                    <a:r>
                      <a:rPr lang="en-US" baseline="0"/>
                      <a:t> (</a:t>
                    </a:r>
                    <a:r>
                      <a:rPr lang="en-US"/>
                      <a:t>14%)</a:t>
                    </a:r>
                  </a:p>
                </c:rich>
              </c:tx>
              <c:showLegendKey val="0"/>
              <c:showVal val="1"/>
              <c:showCatName val="1"/>
              <c:showSerName val="0"/>
              <c:showPercent val="1"/>
              <c:showBubbleSize val="0"/>
            </c:dLbl>
            <c:dLbl>
              <c:idx val="2"/>
              <c:layout/>
              <c:tx>
                <c:rich>
                  <a:bodyPr/>
                  <a:lstStyle/>
                  <a:p>
                    <a:r>
                      <a:rPr lang="en-US"/>
                      <a:t>Program establishment,  258,264 </a:t>
                    </a:r>
                    <a:r>
                      <a:rPr lang="en-US" baseline="0"/>
                      <a:t> (</a:t>
                    </a:r>
                    <a:r>
                      <a:rPr lang="en-US"/>
                      <a:t>2%)</a:t>
                    </a:r>
                  </a:p>
                </c:rich>
              </c:tx>
              <c:showLegendKey val="0"/>
              <c:showVal val="1"/>
              <c:showCatName val="1"/>
              <c:showSerName val="0"/>
              <c:showPercent val="1"/>
              <c:showBubbleSize val="0"/>
            </c:dLbl>
            <c:dLbl>
              <c:idx val="3"/>
              <c:layout/>
              <c:tx>
                <c:rich>
                  <a:bodyPr/>
                  <a:lstStyle/>
                  <a:p>
                    <a:r>
                      <a:rPr lang="en-US"/>
                      <a:t>Program administration,  831,014 </a:t>
                    </a:r>
                    <a:r>
                      <a:rPr lang="en-US" baseline="0"/>
                      <a:t> (</a:t>
                    </a:r>
                    <a:r>
                      <a:rPr lang="en-US"/>
                      <a:t>5%)</a:t>
                    </a:r>
                  </a:p>
                </c:rich>
              </c:tx>
              <c:showLegendKey val="0"/>
              <c:showVal val="1"/>
              <c:showCatName val="1"/>
              <c:showSerName val="0"/>
              <c:showPercent val="1"/>
              <c:showBubbleSize val="0"/>
            </c:dLbl>
            <c:dLbl>
              <c:idx val="4"/>
              <c:layout/>
              <c:tx>
                <c:rich>
                  <a:bodyPr/>
                  <a:lstStyle/>
                  <a:p>
                    <a:r>
                      <a:rPr lang="en-US"/>
                      <a:t>Program service activity,  2,136,532  (13%)</a:t>
                    </a:r>
                  </a:p>
                </c:rich>
              </c:tx>
              <c:showLegendKey val="0"/>
              <c:showVal val="1"/>
              <c:showCatName val="1"/>
              <c:showSerName val="0"/>
              <c:showPercent val="1"/>
              <c:showBubbleSize val="0"/>
            </c:dLbl>
            <c:dLbl>
              <c:idx val="5"/>
              <c:layout/>
              <c:tx>
                <c:rich>
                  <a:bodyPr/>
                  <a:lstStyle/>
                  <a:p>
                    <a:r>
                      <a:rPr lang="en-US"/>
                      <a:t>Other,  1,321,845  (8%)</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graph!$A$5:$A$10</c:f>
              <c:strCache>
                <c:ptCount val="6"/>
                <c:pt idx="0">
                  <c:v>Staffing</c:v>
                </c:pt>
                <c:pt idx="1">
                  <c:v>Program management</c:v>
                </c:pt>
                <c:pt idx="2">
                  <c:v>Program establishment</c:v>
                </c:pt>
                <c:pt idx="3">
                  <c:v>Program administration</c:v>
                </c:pt>
                <c:pt idx="4">
                  <c:v>Program service activity</c:v>
                </c:pt>
                <c:pt idx="5">
                  <c:v>Other</c:v>
                </c:pt>
              </c:strCache>
            </c:strRef>
          </c:cat>
          <c:val>
            <c:numRef>
              <c:f>graph!$B$5:$B$10</c:f>
              <c:numCache>
                <c:formatCode>_-* #,##0_-;\-* #,##0_-;_-* "-"??_-;_-@_-</c:formatCode>
                <c:ptCount val="6"/>
                <c:pt idx="0">
                  <c:v>9463853</c:v>
                </c:pt>
                <c:pt idx="1">
                  <c:v>2214015</c:v>
                </c:pt>
                <c:pt idx="2">
                  <c:v>258264</c:v>
                </c:pt>
                <c:pt idx="3">
                  <c:v>831014</c:v>
                </c:pt>
                <c:pt idx="4">
                  <c:v>2136532</c:v>
                </c:pt>
                <c:pt idx="5">
                  <c:v>1321845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'[CommFeedback_2_14 incl trip 3 HV MG AK CO.xlsx]combined 123 '!$B$170:$F$170</c:f>
              <c:strCache>
                <c:ptCount val="5"/>
                <c:pt idx="0">
                  <c:v>Counselling/listening</c:v>
                </c:pt>
                <c:pt idx="1">
                  <c:v>Safe place</c:v>
                </c:pt>
                <c:pt idx="2">
                  <c:v>Cup of tea/drop in</c:v>
                </c:pt>
                <c:pt idx="3">
                  <c:v>Groups</c:v>
                </c:pt>
                <c:pt idx="4">
                  <c:v>Other support</c:v>
                </c:pt>
              </c:strCache>
            </c:strRef>
          </c:cat>
          <c:val>
            <c:numRef>
              <c:f>'[CommFeedback_2_14 incl trip 3 HV MG AK CO.xlsx]combined 123 '!$B$172:$F$172</c:f>
              <c:numCache>
                <c:formatCode>0%</c:formatCode>
                <c:ptCount val="5"/>
                <c:pt idx="0">
                  <c:v>0.71794871794871795</c:v>
                </c:pt>
                <c:pt idx="1">
                  <c:v>0.28490028490028491</c:v>
                </c:pt>
                <c:pt idx="2">
                  <c:v>0.45584045584045585</c:v>
                </c:pt>
                <c:pt idx="3">
                  <c:v>0.4985754985754986</c:v>
                </c:pt>
                <c:pt idx="4">
                  <c:v>0.21082621082621084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'[CommFeedback_2_14 incl trip 3 HV MG AK CO.xlsx]combined 123 '!$G$112</c:f>
              <c:strCache>
                <c:ptCount val="1"/>
                <c:pt idx="0">
                  <c:v>Aurukun (n=130)</c:v>
                </c:pt>
              </c:strCache>
            </c:strRef>
          </c:tx>
          <c:invertIfNegative val="0"/>
          <c:cat>
            <c:strRef>
              <c:f>'[CommFeedback_2_14 incl trip 3 HV MG AK CO.xlsx]combined 123 '!$H$111:$K$111</c:f>
              <c:strCache>
                <c:ptCount val="4"/>
                <c:pt idx="0">
                  <c:v>Better</c:v>
                </c:pt>
                <c:pt idx="1">
                  <c:v>Worse</c:v>
                </c:pt>
                <c:pt idx="2">
                  <c:v>Same</c:v>
                </c:pt>
                <c:pt idx="3">
                  <c:v>Don’t know</c:v>
                </c:pt>
              </c:strCache>
            </c:strRef>
          </c:cat>
          <c:val>
            <c:numRef>
              <c:f>'[CommFeedback_2_14 incl trip 3 HV MG AK CO.xlsx]combined 123 '!$H$112:$K$112</c:f>
              <c:numCache>
                <c:formatCode>0%</c:formatCode>
                <c:ptCount val="4"/>
                <c:pt idx="0">
                  <c:v>0.23076923076923078</c:v>
                </c:pt>
                <c:pt idx="1">
                  <c:v>0.24615384615384617</c:v>
                </c:pt>
                <c:pt idx="2">
                  <c:v>0.33076923076923076</c:v>
                </c:pt>
                <c:pt idx="3">
                  <c:v>0.19230769230769232</c:v>
                </c:pt>
              </c:numCache>
            </c:numRef>
          </c:val>
        </c:ser>
        <c:ser>
          <c:idx val="1"/>
          <c:order val="1"/>
          <c:tx>
            <c:strRef>
              <c:f>'[CommFeedback_2_14 incl trip 3 HV MG AK CO.xlsx]combined 123 '!$G$113</c:f>
              <c:strCache>
                <c:ptCount val="1"/>
                <c:pt idx="0">
                  <c:v>Coen (n=46)</c:v>
                </c:pt>
              </c:strCache>
            </c:strRef>
          </c:tx>
          <c:invertIfNegative val="0"/>
          <c:cat>
            <c:strRef>
              <c:f>'[CommFeedback_2_14 incl trip 3 HV MG AK CO.xlsx]combined 123 '!$H$111:$K$111</c:f>
              <c:strCache>
                <c:ptCount val="4"/>
                <c:pt idx="0">
                  <c:v>Better</c:v>
                </c:pt>
                <c:pt idx="1">
                  <c:v>Worse</c:v>
                </c:pt>
                <c:pt idx="2">
                  <c:v>Same</c:v>
                </c:pt>
                <c:pt idx="3">
                  <c:v>Don’t know</c:v>
                </c:pt>
              </c:strCache>
            </c:strRef>
          </c:cat>
          <c:val>
            <c:numRef>
              <c:f>'[CommFeedback_2_14 incl trip 3 HV MG AK CO.xlsx]combined 123 '!$H$113:$K$113</c:f>
              <c:numCache>
                <c:formatCode>0%</c:formatCode>
                <c:ptCount val="4"/>
                <c:pt idx="0">
                  <c:v>0.65217391304347827</c:v>
                </c:pt>
                <c:pt idx="1">
                  <c:v>0</c:v>
                </c:pt>
                <c:pt idx="2">
                  <c:v>0.34782608695652173</c:v>
                </c:pt>
                <c:pt idx="3">
                  <c:v>0</c:v>
                </c:pt>
              </c:numCache>
            </c:numRef>
          </c:val>
        </c:ser>
        <c:ser>
          <c:idx val="2"/>
          <c:order val="2"/>
          <c:tx>
            <c:strRef>
              <c:f>'[CommFeedback_2_14 incl trip 3 HV MG AK CO.xlsx]combined 123 '!$G$114</c:f>
              <c:strCache>
                <c:ptCount val="1"/>
                <c:pt idx="0">
                  <c:v>Hopevale (n= 134)</c:v>
                </c:pt>
              </c:strCache>
            </c:strRef>
          </c:tx>
          <c:invertIfNegative val="0"/>
          <c:cat>
            <c:strRef>
              <c:f>'[CommFeedback_2_14 incl trip 3 HV MG AK CO.xlsx]combined 123 '!$H$111:$K$111</c:f>
              <c:strCache>
                <c:ptCount val="4"/>
                <c:pt idx="0">
                  <c:v>Better</c:v>
                </c:pt>
                <c:pt idx="1">
                  <c:v>Worse</c:v>
                </c:pt>
                <c:pt idx="2">
                  <c:v>Same</c:v>
                </c:pt>
                <c:pt idx="3">
                  <c:v>Don’t know</c:v>
                </c:pt>
              </c:strCache>
            </c:strRef>
          </c:cat>
          <c:val>
            <c:numRef>
              <c:f>'[CommFeedback_2_14 incl trip 3 HV MG AK CO.xlsx]combined 123 '!$H$114:$K$114</c:f>
              <c:numCache>
                <c:formatCode>0%</c:formatCode>
                <c:ptCount val="4"/>
                <c:pt idx="0">
                  <c:v>0.16417910447761194</c:v>
                </c:pt>
                <c:pt idx="1">
                  <c:v>0.2462686567164179</c:v>
                </c:pt>
                <c:pt idx="2">
                  <c:v>0.48507462686567165</c:v>
                </c:pt>
                <c:pt idx="3">
                  <c:v>0.1044776119402985</c:v>
                </c:pt>
              </c:numCache>
            </c:numRef>
          </c:val>
        </c:ser>
        <c:ser>
          <c:idx val="3"/>
          <c:order val="3"/>
          <c:tx>
            <c:strRef>
              <c:f>'[CommFeedback_2_14 incl trip 3 HV MG AK CO.xlsx]combined 123 '!$G$115</c:f>
              <c:strCache>
                <c:ptCount val="1"/>
                <c:pt idx="0">
                  <c:v>Mossman Gorge (n= 41)</c:v>
                </c:pt>
              </c:strCache>
            </c:strRef>
          </c:tx>
          <c:invertIfNegative val="0"/>
          <c:cat>
            <c:strRef>
              <c:f>'[CommFeedback_2_14 incl trip 3 HV MG AK CO.xlsx]combined 123 '!$H$111:$K$111</c:f>
              <c:strCache>
                <c:ptCount val="4"/>
                <c:pt idx="0">
                  <c:v>Better</c:v>
                </c:pt>
                <c:pt idx="1">
                  <c:v>Worse</c:v>
                </c:pt>
                <c:pt idx="2">
                  <c:v>Same</c:v>
                </c:pt>
                <c:pt idx="3">
                  <c:v>Don’t know</c:v>
                </c:pt>
              </c:strCache>
            </c:strRef>
          </c:cat>
          <c:val>
            <c:numRef>
              <c:f>'[CommFeedback_2_14 incl trip 3 HV MG AK CO.xlsx]combined 123 '!$H$115:$K$115</c:f>
              <c:numCache>
                <c:formatCode>0%</c:formatCode>
                <c:ptCount val="4"/>
                <c:pt idx="0">
                  <c:v>0.34146341463414637</c:v>
                </c:pt>
                <c:pt idx="1">
                  <c:v>0.12195121951219512</c:v>
                </c:pt>
                <c:pt idx="2">
                  <c:v>0.34146341463414637</c:v>
                </c:pt>
                <c:pt idx="3">
                  <c:v>0.1951219512195122</c:v>
                </c:pt>
              </c:numCache>
            </c:numRef>
          </c:val>
        </c:ser>
        <c:dLbls>
          <c:showLegendKey val="0"/>
          <c:showVal val="0"/>
          <c:showCatName val="0"/>
          <c:showSerName val="0"/>
          <c:showPercent val="0"/>
          <c:showBubbleSize val="0"/>
        </c:dLbls>
        <c:gapWidth val="150"/>
        <c:axId val="290280960"/>
        <c:axId val="290282880"/>
      </c:barChart>
      <c:catAx>
        <c:axId val="290280960"/>
        <c:scaling>
          <c:orientation val="minMax"/>
        </c:scaling>
        <c:delete val="0"/>
        <c:axPos val="b"/>
        <c:majorTickMark val="out"/>
        <c:minorTickMark val="none"/>
        <c:tickLblPos val="nextTo"/>
        <c:crossAx val="290282880"/>
        <c:crosses val="autoZero"/>
        <c:auto val="1"/>
        <c:lblAlgn val="ctr"/>
        <c:lblOffset val="100"/>
        <c:noMultiLvlLbl val="0"/>
      </c:catAx>
      <c:valAx>
        <c:axId val="290282880"/>
        <c:scaling>
          <c:orientation val="minMax"/>
        </c:scaling>
        <c:delete val="0"/>
        <c:axPos val="l"/>
        <c:majorGridlines/>
        <c:numFmt formatCode="0%" sourceLinked="1"/>
        <c:majorTickMark val="out"/>
        <c:minorTickMark val="none"/>
        <c:tickLblPos val="nextTo"/>
        <c:crossAx val="2902809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txPr>
              <a:bodyPr/>
              <a:lstStyle/>
              <a:p>
                <a:pPr>
                  <a:defRPr sz="800">
                    <a:latin typeface="Segoe UI" pitchFamily="34" charset="0"/>
                    <a:ea typeface="Segoe UI" pitchFamily="34" charset="0"/>
                    <a:cs typeface="Segoe UI" pitchFamily="34" charset="0"/>
                  </a:defRPr>
                </a:pPr>
                <a:endParaRPr lang="en-US"/>
              </a:p>
            </c:txPr>
            <c:dLblPos val="inEnd"/>
            <c:showLegendKey val="0"/>
            <c:showVal val="1"/>
            <c:showCatName val="0"/>
            <c:showSerName val="0"/>
            <c:showPercent val="1"/>
            <c:showBubbleSize val="0"/>
            <c:separator>
</c:separator>
            <c:showLeaderLines val="1"/>
          </c:dLbls>
          <c:cat>
            <c:strRef>
              <c:f>'combined 123 '!$B$131:$E$131</c:f>
              <c:strCache>
                <c:ptCount val="4"/>
                <c:pt idx="0">
                  <c:v>Better</c:v>
                </c:pt>
                <c:pt idx="1">
                  <c:v>Worse</c:v>
                </c:pt>
                <c:pt idx="2">
                  <c:v>Same</c:v>
                </c:pt>
                <c:pt idx="3">
                  <c:v>Don’t know</c:v>
                </c:pt>
              </c:strCache>
            </c:strRef>
          </c:cat>
          <c:val>
            <c:numRef>
              <c:f>'combined 123 '!$B$132:$E$132</c:f>
              <c:numCache>
                <c:formatCode>General</c:formatCode>
                <c:ptCount val="4"/>
                <c:pt idx="0">
                  <c:v>32</c:v>
                </c:pt>
                <c:pt idx="1">
                  <c:v>116</c:v>
                </c:pt>
                <c:pt idx="2">
                  <c:v>115</c:v>
                </c:pt>
                <c:pt idx="3">
                  <c:v>88</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Segoe UI" pitchFamily="34" charset="0"/>
              <a:ea typeface="Segoe UI" pitchFamily="34" charset="0"/>
              <a:cs typeface="Segoe UI" pitchFamily="34"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'combined 123 '!$G$134</c:f>
              <c:strCache>
                <c:ptCount val="1"/>
                <c:pt idx="0">
                  <c:v>Aurukun (n=130)</c:v>
                </c:pt>
              </c:strCache>
            </c:strRef>
          </c:tx>
          <c:invertIfNegative val="0"/>
          <c:cat>
            <c:strRef>
              <c:f>'combined 123 '!$H$133:$K$133</c:f>
              <c:strCache>
                <c:ptCount val="4"/>
                <c:pt idx="0">
                  <c:v>Better</c:v>
                </c:pt>
                <c:pt idx="1">
                  <c:v>Worse</c:v>
                </c:pt>
                <c:pt idx="2">
                  <c:v>Same</c:v>
                </c:pt>
                <c:pt idx="3">
                  <c:v>Don’t know</c:v>
                </c:pt>
              </c:strCache>
            </c:strRef>
          </c:cat>
          <c:val>
            <c:numRef>
              <c:f>'combined 123 '!$H$134:$K$134</c:f>
              <c:numCache>
                <c:formatCode>0%</c:formatCode>
                <c:ptCount val="4"/>
                <c:pt idx="0">
                  <c:v>0.11538461538461539</c:v>
                </c:pt>
                <c:pt idx="1">
                  <c:v>0.3923076923076923</c:v>
                </c:pt>
                <c:pt idx="2">
                  <c:v>0.23076923076923078</c:v>
                </c:pt>
                <c:pt idx="3">
                  <c:v>0.26153846153846155</c:v>
                </c:pt>
              </c:numCache>
            </c:numRef>
          </c:val>
        </c:ser>
        <c:ser>
          <c:idx val="1"/>
          <c:order val="1"/>
          <c:tx>
            <c:strRef>
              <c:f>'combined 123 '!$G$135</c:f>
              <c:strCache>
                <c:ptCount val="1"/>
                <c:pt idx="0">
                  <c:v>Coen (n=46)</c:v>
                </c:pt>
              </c:strCache>
            </c:strRef>
          </c:tx>
          <c:invertIfNegative val="0"/>
          <c:cat>
            <c:strRef>
              <c:f>'combined 123 '!$H$133:$K$133</c:f>
              <c:strCache>
                <c:ptCount val="4"/>
                <c:pt idx="0">
                  <c:v>Better</c:v>
                </c:pt>
                <c:pt idx="1">
                  <c:v>Worse</c:v>
                </c:pt>
                <c:pt idx="2">
                  <c:v>Same</c:v>
                </c:pt>
                <c:pt idx="3">
                  <c:v>Don’t know</c:v>
                </c:pt>
              </c:strCache>
            </c:strRef>
          </c:cat>
          <c:val>
            <c:numRef>
              <c:f>'combined 123 '!$H$135:$K$135</c:f>
              <c:numCache>
                <c:formatCode>0%</c:formatCode>
                <c:ptCount val="4"/>
                <c:pt idx="0">
                  <c:v>0.10869565217391304</c:v>
                </c:pt>
                <c:pt idx="1">
                  <c:v>0.2608695652173913</c:v>
                </c:pt>
                <c:pt idx="2">
                  <c:v>0.45652173913043476</c:v>
                </c:pt>
                <c:pt idx="3">
                  <c:v>0.17391304347826086</c:v>
                </c:pt>
              </c:numCache>
            </c:numRef>
          </c:val>
        </c:ser>
        <c:ser>
          <c:idx val="2"/>
          <c:order val="2"/>
          <c:tx>
            <c:strRef>
              <c:f>'combined 123 '!$G$136</c:f>
              <c:strCache>
                <c:ptCount val="1"/>
                <c:pt idx="0">
                  <c:v>Hopevale (n= 134)</c:v>
                </c:pt>
              </c:strCache>
            </c:strRef>
          </c:tx>
          <c:invertIfNegative val="0"/>
          <c:cat>
            <c:strRef>
              <c:f>'combined 123 '!$H$133:$K$133</c:f>
              <c:strCache>
                <c:ptCount val="4"/>
                <c:pt idx="0">
                  <c:v>Better</c:v>
                </c:pt>
                <c:pt idx="1">
                  <c:v>Worse</c:v>
                </c:pt>
                <c:pt idx="2">
                  <c:v>Same</c:v>
                </c:pt>
                <c:pt idx="3">
                  <c:v>Don’t know</c:v>
                </c:pt>
              </c:strCache>
            </c:strRef>
          </c:cat>
          <c:val>
            <c:numRef>
              <c:f>'combined 123 '!$H$136:$K$136</c:f>
              <c:numCache>
                <c:formatCode>0%</c:formatCode>
                <c:ptCount val="4"/>
                <c:pt idx="0">
                  <c:v>3.7313432835820892E-2</c:v>
                </c:pt>
                <c:pt idx="1">
                  <c:v>0.35820895522388058</c:v>
                </c:pt>
                <c:pt idx="2">
                  <c:v>0.39552238805970147</c:v>
                </c:pt>
                <c:pt idx="3">
                  <c:v>0.20895522388059701</c:v>
                </c:pt>
              </c:numCache>
            </c:numRef>
          </c:val>
        </c:ser>
        <c:ser>
          <c:idx val="3"/>
          <c:order val="3"/>
          <c:tx>
            <c:strRef>
              <c:f>'combined 123 '!$G$137</c:f>
              <c:strCache>
                <c:ptCount val="1"/>
                <c:pt idx="0">
                  <c:v>Mossman Gorge (n= 41)</c:v>
                </c:pt>
              </c:strCache>
            </c:strRef>
          </c:tx>
          <c:invertIfNegative val="0"/>
          <c:cat>
            <c:strRef>
              <c:f>'combined 123 '!$H$133:$K$133</c:f>
              <c:strCache>
                <c:ptCount val="4"/>
                <c:pt idx="0">
                  <c:v>Better</c:v>
                </c:pt>
                <c:pt idx="1">
                  <c:v>Worse</c:v>
                </c:pt>
                <c:pt idx="2">
                  <c:v>Same</c:v>
                </c:pt>
                <c:pt idx="3">
                  <c:v>Don’t know</c:v>
                </c:pt>
              </c:strCache>
            </c:strRef>
          </c:cat>
          <c:val>
            <c:numRef>
              <c:f>'combined 123 '!$H$137:$K$137</c:f>
              <c:numCache>
                <c:formatCode>0%</c:formatCode>
                <c:ptCount val="4"/>
                <c:pt idx="0">
                  <c:v>0.17073170731707318</c:v>
                </c:pt>
                <c:pt idx="1">
                  <c:v>0.12195121951219512</c:v>
                </c:pt>
                <c:pt idx="2">
                  <c:v>0.26829268292682928</c:v>
                </c:pt>
                <c:pt idx="3">
                  <c:v>0.43902439024390244</c:v>
                </c:pt>
              </c:numCache>
            </c:numRef>
          </c:val>
        </c:ser>
        <c:dLbls>
          <c:showLegendKey val="0"/>
          <c:showVal val="0"/>
          <c:showCatName val="0"/>
          <c:showSerName val="0"/>
          <c:showPercent val="0"/>
          <c:showBubbleSize val="0"/>
        </c:dLbls>
        <c:gapWidth val="150"/>
        <c:axId val="371931776"/>
        <c:axId val="371979008"/>
      </c:barChart>
      <c:catAx>
        <c:axId val="371931776"/>
        <c:scaling>
          <c:orientation val="minMax"/>
        </c:scaling>
        <c:delete val="0"/>
        <c:axPos val="b"/>
        <c:majorTickMark val="out"/>
        <c:minorTickMark val="none"/>
        <c:tickLblPos val="nextTo"/>
        <c:crossAx val="371979008"/>
        <c:crosses val="autoZero"/>
        <c:auto val="1"/>
        <c:lblAlgn val="ctr"/>
        <c:lblOffset val="100"/>
        <c:noMultiLvlLbl val="0"/>
      </c:catAx>
      <c:valAx>
        <c:axId val="371979008"/>
        <c:scaling>
          <c:orientation val="minMax"/>
        </c:scaling>
        <c:delete val="0"/>
        <c:axPos val="l"/>
        <c:majorGridlines/>
        <c:numFmt formatCode="0%" sourceLinked="1"/>
        <c:majorTickMark val="out"/>
        <c:minorTickMark val="none"/>
        <c:tickLblPos val="nextTo"/>
        <c:crossAx val="3719317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txPr>
              <a:bodyPr/>
              <a:lstStyle/>
              <a:p>
                <a:pPr>
                  <a:defRPr sz="800">
                    <a:latin typeface="Segoe UI" pitchFamily="34" charset="0"/>
                    <a:ea typeface="Segoe UI" pitchFamily="34" charset="0"/>
                    <a:cs typeface="Segoe UI" pitchFamily="34" charset="0"/>
                  </a:defRPr>
                </a:pPr>
                <a:endParaRPr lang="en-US"/>
              </a:p>
            </c:txPr>
            <c:dLblPos val="inEnd"/>
            <c:showLegendKey val="0"/>
            <c:showVal val="1"/>
            <c:showCatName val="0"/>
            <c:showSerName val="0"/>
            <c:showPercent val="1"/>
            <c:showBubbleSize val="0"/>
            <c:separator>
</c:separator>
            <c:showLeaderLines val="1"/>
          </c:dLbls>
          <c:cat>
            <c:strRef>
              <c:f>'combined 123 '!$B$149:$E$149</c:f>
              <c:strCache>
                <c:ptCount val="4"/>
                <c:pt idx="0">
                  <c:v>Better</c:v>
                </c:pt>
                <c:pt idx="1">
                  <c:v>Worse</c:v>
                </c:pt>
                <c:pt idx="2">
                  <c:v>Same</c:v>
                </c:pt>
                <c:pt idx="3">
                  <c:v>Don’t know</c:v>
                </c:pt>
              </c:strCache>
            </c:strRef>
          </c:cat>
          <c:val>
            <c:numRef>
              <c:f>'combined 123 '!$B$150:$E$150</c:f>
              <c:numCache>
                <c:formatCode>General</c:formatCode>
                <c:ptCount val="4"/>
                <c:pt idx="0">
                  <c:v>131</c:v>
                </c:pt>
                <c:pt idx="1">
                  <c:v>41</c:v>
                </c:pt>
                <c:pt idx="2">
                  <c:v>141</c:v>
                </c:pt>
                <c:pt idx="3">
                  <c:v>38</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Segoe UI" pitchFamily="34" charset="0"/>
              <a:ea typeface="Segoe UI" pitchFamily="34" charset="0"/>
              <a:cs typeface="Segoe UI" pitchFamily="34"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'combined 123 '!$G$152</c:f>
              <c:strCache>
                <c:ptCount val="1"/>
                <c:pt idx="0">
                  <c:v>Aurukun (n=130)</c:v>
                </c:pt>
              </c:strCache>
            </c:strRef>
          </c:tx>
          <c:invertIfNegative val="0"/>
          <c:cat>
            <c:strRef>
              <c:f>'combined 123 '!$H$151:$K$151</c:f>
              <c:strCache>
                <c:ptCount val="4"/>
                <c:pt idx="0">
                  <c:v>Better</c:v>
                </c:pt>
                <c:pt idx="1">
                  <c:v>Worse</c:v>
                </c:pt>
                <c:pt idx="2">
                  <c:v>Same</c:v>
                </c:pt>
                <c:pt idx="3">
                  <c:v>Don’t know</c:v>
                </c:pt>
              </c:strCache>
            </c:strRef>
          </c:cat>
          <c:val>
            <c:numRef>
              <c:f>'combined 123 '!$H$152:$K$152</c:f>
              <c:numCache>
                <c:formatCode>0%</c:formatCode>
                <c:ptCount val="4"/>
                <c:pt idx="0">
                  <c:v>0.25384615384615383</c:v>
                </c:pt>
                <c:pt idx="1">
                  <c:v>0.18461538461538463</c:v>
                </c:pt>
                <c:pt idx="2">
                  <c:v>0.41538461538461541</c:v>
                </c:pt>
                <c:pt idx="3">
                  <c:v>0.14615384615384616</c:v>
                </c:pt>
              </c:numCache>
            </c:numRef>
          </c:val>
        </c:ser>
        <c:ser>
          <c:idx val="1"/>
          <c:order val="1"/>
          <c:tx>
            <c:strRef>
              <c:f>'combined 123 '!$G$153</c:f>
              <c:strCache>
                <c:ptCount val="1"/>
                <c:pt idx="0">
                  <c:v>Coen (n=46)</c:v>
                </c:pt>
              </c:strCache>
            </c:strRef>
          </c:tx>
          <c:invertIfNegative val="0"/>
          <c:cat>
            <c:strRef>
              <c:f>'combined 123 '!$H$151:$K$151</c:f>
              <c:strCache>
                <c:ptCount val="4"/>
                <c:pt idx="0">
                  <c:v>Better</c:v>
                </c:pt>
                <c:pt idx="1">
                  <c:v>Worse</c:v>
                </c:pt>
                <c:pt idx="2">
                  <c:v>Same</c:v>
                </c:pt>
                <c:pt idx="3">
                  <c:v>Don’t know</c:v>
                </c:pt>
              </c:strCache>
            </c:strRef>
          </c:cat>
          <c:val>
            <c:numRef>
              <c:f>'combined 123 '!$H$153:$K$153</c:f>
              <c:numCache>
                <c:formatCode>0%</c:formatCode>
                <c:ptCount val="4"/>
                <c:pt idx="0">
                  <c:v>0.76086956521739135</c:v>
                </c:pt>
                <c:pt idx="1">
                  <c:v>0</c:v>
                </c:pt>
                <c:pt idx="2">
                  <c:v>0.2391304347826087</c:v>
                </c:pt>
                <c:pt idx="3">
                  <c:v>0</c:v>
                </c:pt>
              </c:numCache>
            </c:numRef>
          </c:val>
        </c:ser>
        <c:ser>
          <c:idx val="2"/>
          <c:order val="2"/>
          <c:tx>
            <c:strRef>
              <c:f>'combined 123 '!$G$154</c:f>
              <c:strCache>
                <c:ptCount val="1"/>
                <c:pt idx="0">
                  <c:v>Hopevale (n= 134)</c:v>
                </c:pt>
              </c:strCache>
            </c:strRef>
          </c:tx>
          <c:invertIfNegative val="0"/>
          <c:cat>
            <c:strRef>
              <c:f>'combined 123 '!$H$151:$K$151</c:f>
              <c:strCache>
                <c:ptCount val="4"/>
                <c:pt idx="0">
                  <c:v>Better</c:v>
                </c:pt>
                <c:pt idx="1">
                  <c:v>Worse</c:v>
                </c:pt>
                <c:pt idx="2">
                  <c:v>Same</c:v>
                </c:pt>
                <c:pt idx="3">
                  <c:v>Don’t know</c:v>
                </c:pt>
              </c:strCache>
            </c:strRef>
          </c:cat>
          <c:val>
            <c:numRef>
              <c:f>'combined 123 '!$H$154:$K$154</c:f>
              <c:numCache>
                <c:formatCode>0%</c:formatCode>
                <c:ptCount val="4"/>
                <c:pt idx="0">
                  <c:v>0.30597014925373134</c:v>
                </c:pt>
                <c:pt idx="1">
                  <c:v>0.11194029850746269</c:v>
                </c:pt>
                <c:pt idx="2">
                  <c:v>0.5074626865671642</c:v>
                </c:pt>
                <c:pt idx="3">
                  <c:v>7.4626865671641784E-2</c:v>
                </c:pt>
              </c:numCache>
            </c:numRef>
          </c:val>
        </c:ser>
        <c:ser>
          <c:idx val="3"/>
          <c:order val="3"/>
          <c:tx>
            <c:strRef>
              <c:f>'combined 123 '!$G$155</c:f>
              <c:strCache>
                <c:ptCount val="1"/>
                <c:pt idx="0">
                  <c:v>Mossman Gorge (n= 41)</c:v>
                </c:pt>
              </c:strCache>
            </c:strRef>
          </c:tx>
          <c:invertIfNegative val="0"/>
          <c:cat>
            <c:strRef>
              <c:f>'combined 123 '!$H$151:$K$151</c:f>
              <c:strCache>
                <c:ptCount val="4"/>
                <c:pt idx="0">
                  <c:v>Better</c:v>
                </c:pt>
                <c:pt idx="1">
                  <c:v>Worse</c:v>
                </c:pt>
                <c:pt idx="2">
                  <c:v>Same</c:v>
                </c:pt>
                <c:pt idx="3">
                  <c:v>Don’t know</c:v>
                </c:pt>
              </c:strCache>
            </c:strRef>
          </c:cat>
          <c:val>
            <c:numRef>
              <c:f>'combined 123 '!$H$155:$K$155</c:f>
              <c:numCache>
                <c:formatCode>0%</c:formatCode>
                <c:ptCount val="4"/>
                <c:pt idx="0">
                  <c:v>0.53658536585365857</c:v>
                </c:pt>
                <c:pt idx="1">
                  <c:v>4.878048780487805E-2</c:v>
                </c:pt>
                <c:pt idx="2">
                  <c:v>0.1951219512195122</c:v>
                </c:pt>
                <c:pt idx="3">
                  <c:v>0.21951219512195122</c:v>
                </c:pt>
              </c:numCache>
            </c:numRef>
          </c:val>
        </c:ser>
        <c:dLbls>
          <c:showLegendKey val="0"/>
          <c:showVal val="0"/>
          <c:showCatName val="0"/>
          <c:showSerName val="0"/>
          <c:showPercent val="0"/>
          <c:showBubbleSize val="0"/>
        </c:dLbls>
        <c:gapWidth val="150"/>
        <c:axId val="461277056"/>
        <c:axId val="461303808"/>
      </c:barChart>
      <c:catAx>
        <c:axId val="461277056"/>
        <c:scaling>
          <c:orientation val="minMax"/>
        </c:scaling>
        <c:delete val="0"/>
        <c:axPos val="b"/>
        <c:majorTickMark val="out"/>
        <c:minorTickMark val="none"/>
        <c:tickLblPos val="nextTo"/>
        <c:crossAx val="461303808"/>
        <c:crosses val="autoZero"/>
        <c:auto val="1"/>
        <c:lblAlgn val="ctr"/>
        <c:lblOffset val="100"/>
        <c:noMultiLvlLbl val="0"/>
      </c:catAx>
      <c:valAx>
        <c:axId val="461303808"/>
        <c:scaling>
          <c:orientation val="minMax"/>
        </c:scaling>
        <c:delete val="0"/>
        <c:axPos val="l"/>
        <c:majorGridlines/>
        <c:numFmt formatCode="0%" sourceLinked="1"/>
        <c:majorTickMark val="out"/>
        <c:minorTickMark val="none"/>
        <c:tickLblPos val="nextTo"/>
        <c:crossAx val="4612770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inEnd"/>
            <c:showLegendKey val="0"/>
            <c:showVal val="1"/>
            <c:showCatName val="0"/>
            <c:showSerName val="0"/>
            <c:showPercent val="1"/>
            <c:showBubbleSize val="0"/>
            <c:separator>
</c:separator>
            <c:showLeaderLines val="1"/>
          </c:dLbls>
          <c:cat>
            <c:strRef>
              <c:f>'combined 123 '!$B$47:$D$47</c:f>
              <c:strCache>
                <c:ptCount val="3"/>
                <c:pt idx="0">
                  <c:v>Big</c:v>
                </c:pt>
                <c:pt idx="1">
                  <c:v>Some</c:v>
                </c:pt>
                <c:pt idx="2">
                  <c:v>No</c:v>
                </c:pt>
              </c:strCache>
            </c:strRef>
          </c:cat>
          <c:val>
            <c:numRef>
              <c:f>'combined 123 '!$B$48:$D$48</c:f>
              <c:numCache>
                <c:formatCode>General</c:formatCode>
                <c:ptCount val="3"/>
                <c:pt idx="0">
                  <c:v>100</c:v>
                </c:pt>
                <c:pt idx="1">
                  <c:v>126</c:v>
                </c:pt>
                <c:pt idx="2">
                  <c:v>13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'combined 123 '!$I$51</c:f>
              <c:strCache>
                <c:ptCount val="1"/>
                <c:pt idx="0">
                  <c:v>Aurukun (n=84)</c:v>
                </c:pt>
              </c:strCache>
            </c:strRef>
          </c:tx>
          <c:invertIfNegative val="0"/>
          <c:cat>
            <c:strRef>
              <c:f>'combined 123 '!$J$50:$L$50</c:f>
              <c:strCache>
                <c:ptCount val="3"/>
                <c:pt idx="0">
                  <c:v>Big</c:v>
                </c:pt>
                <c:pt idx="1">
                  <c:v>Some</c:v>
                </c:pt>
                <c:pt idx="2">
                  <c:v>No</c:v>
                </c:pt>
              </c:strCache>
            </c:strRef>
          </c:cat>
          <c:val>
            <c:numRef>
              <c:f>'combined 123 '!$J$51:$L$51</c:f>
              <c:numCache>
                <c:formatCode>0%</c:formatCode>
                <c:ptCount val="3"/>
                <c:pt idx="0">
                  <c:v>0.51190476190476186</c:v>
                </c:pt>
                <c:pt idx="1">
                  <c:v>0.44047619047619047</c:v>
                </c:pt>
                <c:pt idx="2">
                  <c:v>4.7619047619047616E-2</c:v>
                </c:pt>
              </c:numCache>
            </c:numRef>
          </c:val>
        </c:ser>
        <c:ser>
          <c:idx val="1"/>
          <c:order val="1"/>
          <c:tx>
            <c:strRef>
              <c:f>'combined 123 '!$I$52</c:f>
              <c:strCache>
                <c:ptCount val="1"/>
                <c:pt idx="0">
                  <c:v>Coen (n= 46)</c:v>
                </c:pt>
              </c:strCache>
            </c:strRef>
          </c:tx>
          <c:invertIfNegative val="0"/>
          <c:cat>
            <c:strRef>
              <c:f>'combined 123 '!$J$50:$L$50</c:f>
              <c:strCache>
                <c:ptCount val="3"/>
                <c:pt idx="0">
                  <c:v>Big</c:v>
                </c:pt>
                <c:pt idx="1">
                  <c:v>Some</c:v>
                </c:pt>
                <c:pt idx="2">
                  <c:v>No</c:v>
                </c:pt>
              </c:strCache>
            </c:strRef>
          </c:cat>
          <c:val>
            <c:numRef>
              <c:f>'combined 123 '!$J$52:$L$52</c:f>
              <c:numCache>
                <c:formatCode>0%</c:formatCode>
                <c:ptCount val="3"/>
                <c:pt idx="0">
                  <c:v>0.43478260869565216</c:v>
                </c:pt>
                <c:pt idx="1">
                  <c:v>0.56521739130434778</c:v>
                </c:pt>
                <c:pt idx="2">
                  <c:v>0</c:v>
                </c:pt>
              </c:numCache>
            </c:numRef>
          </c:val>
        </c:ser>
        <c:ser>
          <c:idx val="2"/>
          <c:order val="2"/>
          <c:tx>
            <c:strRef>
              <c:f>'combined 123 '!$I$53</c:f>
              <c:strCache>
                <c:ptCount val="1"/>
                <c:pt idx="0">
                  <c:v>Hopevale (n=83)</c:v>
                </c:pt>
              </c:strCache>
            </c:strRef>
          </c:tx>
          <c:invertIfNegative val="0"/>
          <c:cat>
            <c:strRef>
              <c:f>'combined 123 '!$J$50:$L$50</c:f>
              <c:strCache>
                <c:ptCount val="3"/>
                <c:pt idx="0">
                  <c:v>Big</c:v>
                </c:pt>
                <c:pt idx="1">
                  <c:v>Some</c:v>
                </c:pt>
                <c:pt idx="2">
                  <c:v>No</c:v>
                </c:pt>
              </c:strCache>
            </c:strRef>
          </c:cat>
          <c:val>
            <c:numRef>
              <c:f>'combined 123 '!$J$53:$L$53</c:f>
              <c:numCache>
                <c:formatCode>0%</c:formatCode>
                <c:ptCount val="3"/>
                <c:pt idx="0">
                  <c:v>0.33734939759036142</c:v>
                </c:pt>
                <c:pt idx="1">
                  <c:v>0.57831325301204817</c:v>
                </c:pt>
                <c:pt idx="2">
                  <c:v>8.4337349397590355E-2</c:v>
                </c:pt>
              </c:numCache>
            </c:numRef>
          </c:val>
        </c:ser>
        <c:ser>
          <c:idx val="3"/>
          <c:order val="3"/>
          <c:tx>
            <c:strRef>
              <c:f>'combined 123 '!$I$54</c:f>
              <c:strCache>
                <c:ptCount val="1"/>
                <c:pt idx="0">
                  <c:v>Mossman Gorge (n=26)</c:v>
                </c:pt>
              </c:strCache>
            </c:strRef>
          </c:tx>
          <c:invertIfNegative val="0"/>
          <c:cat>
            <c:strRef>
              <c:f>'combined 123 '!$J$50:$L$50</c:f>
              <c:strCache>
                <c:ptCount val="3"/>
                <c:pt idx="0">
                  <c:v>Big</c:v>
                </c:pt>
                <c:pt idx="1">
                  <c:v>Some</c:v>
                </c:pt>
                <c:pt idx="2">
                  <c:v>No</c:v>
                </c:pt>
              </c:strCache>
            </c:strRef>
          </c:cat>
          <c:val>
            <c:numRef>
              <c:f>'combined 123 '!$J$54:$L$54</c:f>
              <c:numCache>
                <c:formatCode>0%</c:formatCode>
                <c:ptCount val="3"/>
                <c:pt idx="0">
                  <c:v>0.34615384615384615</c:v>
                </c:pt>
                <c:pt idx="1">
                  <c:v>0.57692307692307687</c:v>
                </c:pt>
                <c:pt idx="2">
                  <c:v>7.6923076923076927E-2</c:v>
                </c:pt>
              </c:numCache>
            </c:numRef>
          </c:val>
        </c:ser>
        <c:dLbls>
          <c:showLegendKey val="0"/>
          <c:showVal val="0"/>
          <c:showCatName val="0"/>
          <c:showSerName val="0"/>
          <c:showPercent val="0"/>
          <c:showBubbleSize val="0"/>
        </c:dLbls>
        <c:gapWidth val="150"/>
        <c:axId val="470214912"/>
        <c:axId val="470427136"/>
      </c:barChart>
      <c:catAx>
        <c:axId val="470214912"/>
        <c:scaling>
          <c:orientation val="minMax"/>
        </c:scaling>
        <c:delete val="0"/>
        <c:axPos val="b"/>
        <c:majorTickMark val="out"/>
        <c:minorTickMark val="none"/>
        <c:tickLblPos val="nextTo"/>
        <c:crossAx val="470427136"/>
        <c:crosses val="autoZero"/>
        <c:auto val="1"/>
        <c:lblAlgn val="ctr"/>
        <c:lblOffset val="100"/>
        <c:noMultiLvlLbl val="0"/>
      </c:catAx>
      <c:valAx>
        <c:axId val="470427136"/>
        <c:scaling>
          <c:orientation val="minMax"/>
        </c:scaling>
        <c:delete val="0"/>
        <c:axPos val="l"/>
        <c:majorGridlines/>
        <c:numFmt formatCode="0%" sourceLinked="1"/>
        <c:majorTickMark val="out"/>
        <c:minorTickMark val="none"/>
        <c:tickLblPos val="nextTo"/>
        <c:crossAx val="470214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txPr>
              <a:bodyPr/>
              <a:lstStyle/>
              <a:p>
                <a:pPr>
                  <a:defRPr sz="800">
                    <a:latin typeface="Segoe UI" pitchFamily="34" charset="0"/>
                    <a:ea typeface="Segoe UI" pitchFamily="34" charset="0"/>
                    <a:cs typeface="Segoe UI" pitchFamily="34" charset="0"/>
                  </a:defRPr>
                </a:pPr>
                <a:endParaRPr lang="en-US"/>
              </a:p>
            </c:txPr>
            <c:dLblPos val="inEnd"/>
            <c:showLegendKey val="0"/>
            <c:showVal val="1"/>
            <c:showCatName val="0"/>
            <c:showSerName val="0"/>
            <c:showPercent val="1"/>
            <c:showBubbleSize val="0"/>
            <c:separator>
</c:separator>
            <c:showLeaderLines val="1"/>
          </c:dLbls>
          <c:cat>
            <c:strRef>
              <c:f>'[CommFeedback_2_14 incl trip 3 HV MG AK CO.xlsx]combined 123 '!$B$68:$D$68</c:f>
              <c:strCache>
                <c:ptCount val="3"/>
                <c:pt idx="0">
                  <c:v>Big</c:v>
                </c:pt>
                <c:pt idx="1">
                  <c:v>Some</c:v>
                </c:pt>
                <c:pt idx="2">
                  <c:v>No</c:v>
                </c:pt>
              </c:strCache>
            </c:strRef>
          </c:cat>
          <c:val>
            <c:numRef>
              <c:f>'[CommFeedback_2_14 incl trip 3 HV MG AK CO.xlsx]combined 123 '!$B$69:$D$69</c:f>
              <c:numCache>
                <c:formatCode>General</c:formatCode>
                <c:ptCount val="3"/>
                <c:pt idx="0">
                  <c:v>82</c:v>
                </c:pt>
                <c:pt idx="1">
                  <c:v>165</c:v>
                </c:pt>
                <c:pt idx="2">
                  <c:v>22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Segoe UI" pitchFamily="34" charset="0"/>
              <a:ea typeface="Segoe UI" pitchFamily="34" charset="0"/>
              <a:cs typeface="Segoe UI" pitchFamily="34"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8A7A5-584B-4AB7-B6BE-30E93079C546}">
  <ds:schemaRefs>
    <ds:schemaRef ds:uri="http://schemas.microsoft.com/sharepoint/v3/contenttype/forms"/>
  </ds:schemaRefs>
</ds:datastoreItem>
</file>

<file path=customXml/itemProps2.xml><?xml version="1.0" encoding="utf-8"?>
<ds:datastoreItem xmlns:ds="http://schemas.openxmlformats.org/officeDocument/2006/customXml" ds:itemID="{4734BABA-113E-41DA-BD4A-C60124D7E7FF}">
  <ds:schemaRef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033E158D-88B8-4EB4-9592-1016021E1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E5A8339-54FE-4DB9-8BF7-F23555A9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 Blue 2011 (2).dotx</Template>
  <TotalTime>93</TotalTime>
  <Pages>111</Pages>
  <Words>47233</Words>
  <Characters>255062</Characters>
  <Application>Microsoft Office Word</Application>
  <DocSecurity>0</DocSecurity>
  <Lines>5101</Lines>
  <Paragraphs>2851</Paragraphs>
  <ScaleCrop>false</ScaleCrop>
  <HeadingPairs>
    <vt:vector size="2" baseType="variant">
      <vt:variant>
        <vt:lpstr>Title</vt:lpstr>
      </vt:variant>
      <vt:variant>
        <vt:i4>1</vt:i4>
      </vt:variant>
    </vt:vector>
  </HeadingPairs>
  <TitlesOfParts>
    <vt:vector size="1" baseType="lpstr">
      <vt:lpstr>Cape York Wellbeing Centres Evaluation Report</vt:lpstr>
    </vt:vector>
  </TitlesOfParts>
  <Company>Toshiba</Company>
  <LinksUpToDate>false</LinksUpToDate>
  <CharactersWithSpaces>299444</CharactersWithSpaces>
  <SharedDoc>false</SharedDoc>
  <HLinks>
    <vt:vector size="828" baseType="variant">
      <vt:variant>
        <vt:i4>1638454</vt:i4>
      </vt:variant>
      <vt:variant>
        <vt:i4>833</vt:i4>
      </vt:variant>
      <vt:variant>
        <vt:i4>0</vt:i4>
      </vt:variant>
      <vt:variant>
        <vt:i4>5</vt:i4>
      </vt:variant>
      <vt:variant>
        <vt:lpwstr/>
      </vt:variant>
      <vt:variant>
        <vt:lpwstr>_Toc374018015</vt:lpwstr>
      </vt:variant>
      <vt:variant>
        <vt:i4>1638454</vt:i4>
      </vt:variant>
      <vt:variant>
        <vt:i4>827</vt:i4>
      </vt:variant>
      <vt:variant>
        <vt:i4>0</vt:i4>
      </vt:variant>
      <vt:variant>
        <vt:i4>5</vt:i4>
      </vt:variant>
      <vt:variant>
        <vt:lpwstr/>
      </vt:variant>
      <vt:variant>
        <vt:lpwstr>_Toc374018014</vt:lpwstr>
      </vt:variant>
      <vt:variant>
        <vt:i4>1638454</vt:i4>
      </vt:variant>
      <vt:variant>
        <vt:i4>821</vt:i4>
      </vt:variant>
      <vt:variant>
        <vt:i4>0</vt:i4>
      </vt:variant>
      <vt:variant>
        <vt:i4>5</vt:i4>
      </vt:variant>
      <vt:variant>
        <vt:lpwstr/>
      </vt:variant>
      <vt:variant>
        <vt:lpwstr>_Toc374018013</vt:lpwstr>
      </vt:variant>
      <vt:variant>
        <vt:i4>1638454</vt:i4>
      </vt:variant>
      <vt:variant>
        <vt:i4>815</vt:i4>
      </vt:variant>
      <vt:variant>
        <vt:i4>0</vt:i4>
      </vt:variant>
      <vt:variant>
        <vt:i4>5</vt:i4>
      </vt:variant>
      <vt:variant>
        <vt:lpwstr/>
      </vt:variant>
      <vt:variant>
        <vt:lpwstr>_Toc374018012</vt:lpwstr>
      </vt:variant>
      <vt:variant>
        <vt:i4>1638454</vt:i4>
      </vt:variant>
      <vt:variant>
        <vt:i4>809</vt:i4>
      </vt:variant>
      <vt:variant>
        <vt:i4>0</vt:i4>
      </vt:variant>
      <vt:variant>
        <vt:i4>5</vt:i4>
      </vt:variant>
      <vt:variant>
        <vt:lpwstr/>
      </vt:variant>
      <vt:variant>
        <vt:lpwstr>_Toc374018011</vt:lpwstr>
      </vt:variant>
      <vt:variant>
        <vt:i4>1638454</vt:i4>
      </vt:variant>
      <vt:variant>
        <vt:i4>803</vt:i4>
      </vt:variant>
      <vt:variant>
        <vt:i4>0</vt:i4>
      </vt:variant>
      <vt:variant>
        <vt:i4>5</vt:i4>
      </vt:variant>
      <vt:variant>
        <vt:lpwstr/>
      </vt:variant>
      <vt:variant>
        <vt:lpwstr>_Toc374018010</vt:lpwstr>
      </vt:variant>
      <vt:variant>
        <vt:i4>1572918</vt:i4>
      </vt:variant>
      <vt:variant>
        <vt:i4>797</vt:i4>
      </vt:variant>
      <vt:variant>
        <vt:i4>0</vt:i4>
      </vt:variant>
      <vt:variant>
        <vt:i4>5</vt:i4>
      </vt:variant>
      <vt:variant>
        <vt:lpwstr/>
      </vt:variant>
      <vt:variant>
        <vt:lpwstr>_Toc374018009</vt:lpwstr>
      </vt:variant>
      <vt:variant>
        <vt:i4>1572918</vt:i4>
      </vt:variant>
      <vt:variant>
        <vt:i4>791</vt:i4>
      </vt:variant>
      <vt:variant>
        <vt:i4>0</vt:i4>
      </vt:variant>
      <vt:variant>
        <vt:i4>5</vt:i4>
      </vt:variant>
      <vt:variant>
        <vt:lpwstr/>
      </vt:variant>
      <vt:variant>
        <vt:lpwstr>_Toc374018008</vt:lpwstr>
      </vt:variant>
      <vt:variant>
        <vt:i4>1572918</vt:i4>
      </vt:variant>
      <vt:variant>
        <vt:i4>785</vt:i4>
      </vt:variant>
      <vt:variant>
        <vt:i4>0</vt:i4>
      </vt:variant>
      <vt:variant>
        <vt:i4>5</vt:i4>
      </vt:variant>
      <vt:variant>
        <vt:lpwstr/>
      </vt:variant>
      <vt:variant>
        <vt:lpwstr>_Toc374018007</vt:lpwstr>
      </vt:variant>
      <vt:variant>
        <vt:i4>1572918</vt:i4>
      </vt:variant>
      <vt:variant>
        <vt:i4>779</vt:i4>
      </vt:variant>
      <vt:variant>
        <vt:i4>0</vt:i4>
      </vt:variant>
      <vt:variant>
        <vt:i4>5</vt:i4>
      </vt:variant>
      <vt:variant>
        <vt:lpwstr/>
      </vt:variant>
      <vt:variant>
        <vt:lpwstr>_Toc374018006</vt:lpwstr>
      </vt:variant>
      <vt:variant>
        <vt:i4>1572918</vt:i4>
      </vt:variant>
      <vt:variant>
        <vt:i4>773</vt:i4>
      </vt:variant>
      <vt:variant>
        <vt:i4>0</vt:i4>
      </vt:variant>
      <vt:variant>
        <vt:i4>5</vt:i4>
      </vt:variant>
      <vt:variant>
        <vt:lpwstr/>
      </vt:variant>
      <vt:variant>
        <vt:lpwstr>_Toc374018005</vt:lpwstr>
      </vt:variant>
      <vt:variant>
        <vt:i4>1572918</vt:i4>
      </vt:variant>
      <vt:variant>
        <vt:i4>767</vt:i4>
      </vt:variant>
      <vt:variant>
        <vt:i4>0</vt:i4>
      </vt:variant>
      <vt:variant>
        <vt:i4>5</vt:i4>
      </vt:variant>
      <vt:variant>
        <vt:lpwstr/>
      </vt:variant>
      <vt:variant>
        <vt:lpwstr>_Toc374018004</vt:lpwstr>
      </vt:variant>
      <vt:variant>
        <vt:i4>1572918</vt:i4>
      </vt:variant>
      <vt:variant>
        <vt:i4>761</vt:i4>
      </vt:variant>
      <vt:variant>
        <vt:i4>0</vt:i4>
      </vt:variant>
      <vt:variant>
        <vt:i4>5</vt:i4>
      </vt:variant>
      <vt:variant>
        <vt:lpwstr/>
      </vt:variant>
      <vt:variant>
        <vt:lpwstr>_Toc374018003</vt:lpwstr>
      </vt:variant>
      <vt:variant>
        <vt:i4>1572918</vt:i4>
      </vt:variant>
      <vt:variant>
        <vt:i4>755</vt:i4>
      </vt:variant>
      <vt:variant>
        <vt:i4>0</vt:i4>
      </vt:variant>
      <vt:variant>
        <vt:i4>5</vt:i4>
      </vt:variant>
      <vt:variant>
        <vt:lpwstr/>
      </vt:variant>
      <vt:variant>
        <vt:lpwstr>_Toc374018002</vt:lpwstr>
      </vt:variant>
      <vt:variant>
        <vt:i4>1572918</vt:i4>
      </vt:variant>
      <vt:variant>
        <vt:i4>749</vt:i4>
      </vt:variant>
      <vt:variant>
        <vt:i4>0</vt:i4>
      </vt:variant>
      <vt:variant>
        <vt:i4>5</vt:i4>
      </vt:variant>
      <vt:variant>
        <vt:lpwstr/>
      </vt:variant>
      <vt:variant>
        <vt:lpwstr>_Toc374018001</vt:lpwstr>
      </vt:variant>
      <vt:variant>
        <vt:i4>1572918</vt:i4>
      </vt:variant>
      <vt:variant>
        <vt:i4>743</vt:i4>
      </vt:variant>
      <vt:variant>
        <vt:i4>0</vt:i4>
      </vt:variant>
      <vt:variant>
        <vt:i4>5</vt:i4>
      </vt:variant>
      <vt:variant>
        <vt:lpwstr/>
      </vt:variant>
      <vt:variant>
        <vt:lpwstr>_Toc374018000</vt:lpwstr>
      </vt:variant>
      <vt:variant>
        <vt:i4>1966143</vt:i4>
      </vt:variant>
      <vt:variant>
        <vt:i4>737</vt:i4>
      </vt:variant>
      <vt:variant>
        <vt:i4>0</vt:i4>
      </vt:variant>
      <vt:variant>
        <vt:i4>5</vt:i4>
      </vt:variant>
      <vt:variant>
        <vt:lpwstr/>
      </vt:variant>
      <vt:variant>
        <vt:lpwstr>_Toc374017999</vt:lpwstr>
      </vt:variant>
      <vt:variant>
        <vt:i4>1966143</vt:i4>
      </vt:variant>
      <vt:variant>
        <vt:i4>731</vt:i4>
      </vt:variant>
      <vt:variant>
        <vt:i4>0</vt:i4>
      </vt:variant>
      <vt:variant>
        <vt:i4>5</vt:i4>
      </vt:variant>
      <vt:variant>
        <vt:lpwstr/>
      </vt:variant>
      <vt:variant>
        <vt:lpwstr>_Toc374017998</vt:lpwstr>
      </vt:variant>
      <vt:variant>
        <vt:i4>1966143</vt:i4>
      </vt:variant>
      <vt:variant>
        <vt:i4>725</vt:i4>
      </vt:variant>
      <vt:variant>
        <vt:i4>0</vt:i4>
      </vt:variant>
      <vt:variant>
        <vt:i4>5</vt:i4>
      </vt:variant>
      <vt:variant>
        <vt:lpwstr/>
      </vt:variant>
      <vt:variant>
        <vt:lpwstr>_Toc374017997</vt:lpwstr>
      </vt:variant>
      <vt:variant>
        <vt:i4>1966143</vt:i4>
      </vt:variant>
      <vt:variant>
        <vt:i4>719</vt:i4>
      </vt:variant>
      <vt:variant>
        <vt:i4>0</vt:i4>
      </vt:variant>
      <vt:variant>
        <vt:i4>5</vt:i4>
      </vt:variant>
      <vt:variant>
        <vt:lpwstr/>
      </vt:variant>
      <vt:variant>
        <vt:lpwstr>_Toc374017996</vt:lpwstr>
      </vt:variant>
      <vt:variant>
        <vt:i4>1966143</vt:i4>
      </vt:variant>
      <vt:variant>
        <vt:i4>713</vt:i4>
      </vt:variant>
      <vt:variant>
        <vt:i4>0</vt:i4>
      </vt:variant>
      <vt:variant>
        <vt:i4>5</vt:i4>
      </vt:variant>
      <vt:variant>
        <vt:lpwstr/>
      </vt:variant>
      <vt:variant>
        <vt:lpwstr>_Toc374017995</vt:lpwstr>
      </vt:variant>
      <vt:variant>
        <vt:i4>1966143</vt:i4>
      </vt:variant>
      <vt:variant>
        <vt:i4>707</vt:i4>
      </vt:variant>
      <vt:variant>
        <vt:i4>0</vt:i4>
      </vt:variant>
      <vt:variant>
        <vt:i4>5</vt:i4>
      </vt:variant>
      <vt:variant>
        <vt:lpwstr/>
      </vt:variant>
      <vt:variant>
        <vt:lpwstr>_Toc374017994</vt:lpwstr>
      </vt:variant>
      <vt:variant>
        <vt:i4>1966143</vt:i4>
      </vt:variant>
      <vt:variant>
        <vt:i4>701</vt:i4>
      </vt:variant>
      <vt:variant>
        <vt:i4>0</vt:i4>
      </vt:variant>
      <vt:variant>
        <vt:i4>5</vt:i4>
      </vt:variant>
      <vt:variant>
        <vt:lpwstr/>
      </vt:variant>
      <vt:variant>
        <vt:lpwstr>_Toc374017993</vt:lpwstr>
      </vt:variant>
      <vt:variant>
        <vt:i4>1966143</vt:i4>
      </vt:variant>
      <vt:variant>
        <vt:i4>695</vt:i4>
      </vt:variant>
      <vt:variant>
        <vt:i4>0</vt:i4>
      </vt:variant>
      <vt:variant>
        <vt:i4>5</vt:i4>
      </vt:variant>
      <vt:variant>
        <vt:lpwstr/>
      </vt:variant>
      <vt:variant>
        <vt:lpwstr>_Toc374017992</vt:lpwstr>
      </vt:variant>
      <vt:variant>
        <vt:i4>1966143</vt:i4>
      </vt:variant>
      <vt:variant>
        <vt:i4>689</vt:i4>
      </vt:variant>
      <vt:variant>
        <vt:i4>0</vt:i4>
      </vt:variant>
      <vt:variant>
        <vt:i4>5</vt:i4>
      </vt:variant>
      <vt:variant>
        <vt:lpwstr/>
      </vt:variant>
      <vt:variant>
        <vt:lpwstr>_Toc374017991</vt:lpwstr>
      </vt:variant>
      <vt:variant>
        <vt:i4>1966143</vt:i4>
      </vt:variant>
      <vt:variant>
        <vt:i4>683</vt:i4>
      </vt:variant>
      <vt:variant>
        <vt:i4>0</vt:i4>
      </vt:variant>
      <vt:variant>
        <vt:i4>5</vt:i4>
      </vt:variant>
      <vt:variant>
        <vt:lpwstr/>
      </vt:variant>
      <vt:variant>
        <vt:lpwstr>_Toc374017990</vt:lpwstr>
      </vt:variant>
      <vt:variant>
        <vt:i4>2031679</vt:i4>
      </vt:variant>
      <vt:variant>
        <vt:i4>677</vt:i4>
      </vt:variant>
      <vt:variant>
        <vt:i4>0</vt:i4>
      </vt:variant>
      <vt:variant>
        <vt:i4>5</vt:i4>
      </vt:variant>
      <vt:variant>
        <vt:lpwstr/>
      </vt:variant>
      <vt:variant>
        <vt:lpwstr>_Toc374017989</vt:lpwstr>
      </vt:variant>
      <vt:variant>
        <vt:i4>2031679</vt:i4>
      </vt:variant>
      <vt:variant>
        <vt:i4>671</vt:i4>
      </vt:variant>
      <vt:variant>
        <vt:i4>0</vt:i4>
      </vt:variant>
      <vt:variant>
        <vt:i4>5</vt:i4>
      </vt:variant>
      <vt:variant>
        <vt:lpwstr/>
      </vt:variant>
      <vt:variant>
        <vt:lpwstr>_Toc374017988</vt:lpwstr>
      </vt:variant>
      <vt:variant>
        <vt:i4>2031679</vt:i4>
      </vt:variant>
      <vt:variant>
        <vt:i4>665</vt:i4>
      </vt:variant>
      <vt:variant>
        <vt:i4>0</vt:i4>
      </vt:variant>
      <vt:variant>
        <vt:i4>5</vt:i4>
      </vt:variant>
      <vt:variant>
        <vt:lpwstr/>
      </vt:variant>
      <vt:variant>
        <vt:lpwstr>_Toc374017987</vt:lpwstr>
      </vt:variant>
      <vt:variant>
        <vt:i4>2031679</vt:i4>
      </vt:variant>
      <vt:variant>
        <vt:i4>656</vt:i4>
      </vt:variant>
      <vt:variant>
        <vt:i4>0</vt:i4>
      </vt:variant>
      <vt:variant>
        <vt:i4>5</vt:i4>
      </vt:variant>
      <vt:variant>
        <vt:lpwstr/>
      </vt:variant>
      <vt:variant>
        <vt:lpwstr>_Toc374017986</vt:lpwstr>
      </vt:variant>
      <vt:variant>
        <vt:i4>2031679</vt:i4>
      </vt:variant>
      <vt:variant>
        <vt:i4>650</vt:i4>
      </vt:variant>
      <vt:variant>
        <vt:i4>0</vt:i4>
      </vt:variant>
      <vt:variant>
        <vt:i4>5</vt:i4>
      </vt:variant>
      <vt:variant>
        <vt:lpwstr/>
      </vt:variant>
      <vt:variant>
        <vt:lpwstr>_Toc374017985</vt:lpwstr>
      </vt:variant>
      <vt:variant>
        <vt:i4>2031679</vt:i4>
      </vt:variant>
      <vt:variant>
        <vt:i4>644</vt:i4>
      </vt:variant>
      <vt:variant>
        <vt:i4>0</vt:i4>
      </vt:variant>
      <vt:variant>
        <vt:i4>5</vt:i4>
      </vt:variant>
      <vt:variant>
        <vt:lpwstr/>
      </vt:variant>
      <vt:variant>
        <vt:lpwstr>_Toc374017984</vt:lpwstr>
      </vt:variant>
      <vt:variant>
        <vt:i4>2031679</vt:i4>
      </vt:variant>
      <vt:variant>
        <vt:i4>638</vt:i4>
      </vt:variant>
      <vt:variant>
        <vt:i4>0</vt:i4>
      </vt:variant>
      <vt:variant>
        <vt:i4>5</vt:i4>
      </vt:variant>
      <vt:variant>
        <vt:lpwstr/>
      </vt:variant>
      <vt:variant>
        <vt:lpwstr>_Toc374017983</vt:lpwstr>
      </vt:variant>
      <vt:variant>
        <vt:i4>2031679</vt:i4>
      </vt:variant>
      <vt:variant>
        <vt:i4>632</vt:i4>
      </vt:variant>
      <vt:variant>
        <vt:i4>0</vt:i4>
      </vt:variant>
      <vt:variant>
        <vt:i4>5</vt:i4>
      </vt:variant>
      <vt:variant>
        <vt:lpwstr/>
      </vt:variant>
      <vt:variant>
        <vt:lpwstr>_Toc374017982</vt:lpwstr>
      </vt:variant>
      <vt:variant>
        <vt:i4>2031679</vt:i4>
      </vt:variant>
      <vt:variant>
        <vt:i4>626</vt:i4>
      </vt:variant>
      <vt:variant>
        <vt:i4>0</vt:i4>
      </vt:variant>
      <vt:variant>
        <vt:i4>5</vt:i4>
      </vt:variant>
      <vt:variant>
        <vt:lpwstr/>
      </vt:variant>
      <vt:variant>
        <vt:lpwstr>_Toc374017981</vt:lpwstr>
      </vt:variant>
      <vt:variant>
        <vt:i4>2031679</vt:i4>
      </vt:variant>
      <vt:variant>
        <vt:i4>620</vt:i4>
      </vt:variant>
      <vt:variant>
        <vt:i4>0</vt:i4>
      </vt:variant>
      <vt:variant>
        <vt:i4>5</vt:i4>
      </vt:variant>
      <vt:variant>
        <vt:lpwstr/>
      </vt:variant>
      <vt:variant>
        <vt:lpwstr>_Toc374017980</vt:lpwstr>
      </vt:variant>
      <vt:variant>
        <vt:i4>1048639</vt:i4>
      </vt:variant>
      <vt:variant>
        <vt:i4>614</vt:i4>
      </vt:variant>
      <vt:variant>
        <vt:i4>0</vt:i4>
      </vt:variant>
      <vt:variant>
        <vt:i4>5</vt:i4>
      </vt:variant>
      <vt:variant>
        <vt:lpwstr/>
      </vt:variant>
      <vt:variant>
        <vt:lpwstr>_Toc374017979</vt:lpwstr>
      </vt:variant>
      <vt:variant>
        <vt:i4>1048639</vt:i4>
      </vt:variant>
      <vt:variant>
        <vt:i4>608</vt:i4>
      </vt:variant>
      <vt:variant>
        <vt:i4>0</vt:i4>
      </vt:variant>
      <vt:variant>
        <vt:i4>5</vt:i4>
      </vt:variant>
      <vt:variant>
        <vt:lpwstr/>
      </vt:variant>
      <vt:variant>
        <vt:lpwstr>_Toc374017978</vt:lpwstr>
      </vt:variant>
      <vt:variant>
        <vt:i4>1048639</vt:i4>
      </vt:variant>
      <vt:variant>
        <vt:i4>602</vt:i4>
      </vt:variant>
      <vt:variant>
        <vt:i4>0</vt:i4>
      </vt:variant>
      <vt:variant>
        <vt:i4>5</vt:i4>
      </vt:variant>
      <vt:variant>
        <vt:lpwstr/>
      </vt:variant>
      <vt:variant>
        <vt:lpwstr>_Toc374017977</vt:lpwstr>
      </vt:variant>
      <vt:variant>
        <vt:i4>1048639</vt:i4>
      </vt:variant>
      <vt:variant>
        <vt:i4>596</vt:i4>
      </vt:variant>
      <vt:variant>
        <vt:i4>0</vt:i4>
      </vt:variant>
      <vt:variant>
        <vt:i4>5</vt:i4>
      </vt:variant>
      <vt:variant>
        <vt:lpwstr/>
      </vt:variant>
      <vt:variant>
        <vt:lpwstr>_Toc374017976</vt:lpwstr>
      </vt:variant>
      <vt:variant>
        <vt:i4>1048639</vt:i4>
      </vt:variant>
      <vt:variant>
        <vt:i4>590</vt:i4>
      </vt:variant>
      <vt:variant>
        <vt:i4>0</vt:i4>
      </vt:variant>
      <vt:variant>
        <vt:i4>5</vt:i4>
      </vt:variant>
      <vt:variant>
        <vt:lpwstr/>
      </vt:variant>
      <vt:variant>
        <vt:lpwstr>_Toc374017975</vt:lpwstr>
      </vt:variant>
      <vt:variant>
        <vt:i4>1048639</vt:i4>
      </vt:variant>
      <vt:variant>
        <vt:i4>584</vt:i4>
      </vt:variant>
      <vt:variant>
        <vt:i4>0</vt:i4>
      </vt:variant>
      <vt:variant>
        <vt:i4>5</vt:i4>
      </vt:variant>
      <vt:variant>
        <vt:lpwstr/>
      </vt:variant>
      <vt:variant>
        <vt:lpwstr>_Toc374017974</vt:lpwstr>
      </vt:variant>
      <vt:variant>
        <vt:i4>1048639</vt:i4>
      </vt:variant>
      <vt:variant>
        <vt:i4>578</vt:i4>
      </vt:variant>
      <vt:variant>
        <vt:i4>0</vt:i4>
      </vt:variant>
      <vt:variant>
        <vt:i4>5</vt:i4>
      </vt:variant>
      <vt:variant>
        <vt:lpwstr/>
      </vt:variant>
      <vt:variant>
        <vt:lpwstr>_Toc374017973</vt:lpwstr>
      </vt:variant>
      <vt:variant>
        <vt:i4>1048639</vt:i4>
      </vt:variant>
      <vt:variant>
        <vt:i4>572</vt:i4>
      </vt:variant>
      <vt:variant>
        <vt:i4>0</vt:i4>
      </vt:variant>
      <vt:variant>
        <vt:i4>5</vt:i4>
      </vt:variant>
      <vt:variant>
        <vt:lpwstr/>
      </vt:variant>
      <vt:variant>
        <vt:lpwstr>_Toc374017972</vt:lpwstr>
      </vt:variant>
      <vt:variant>
        <vt:i4>1048639</vt:i4>
      </vt:variant>
      <vt:variant>
        <vt:i4>566</vt:i4>
      </vt:variant>
      <vt:variant>
        <vt:i4>0</vt:i4>
      </vt:variant>
      <vt:variant>
        <vt:i4>5</vt:i4>
      </vt:variant>
      <vt:variant>
        <vt:lpwstr/>
      </vt:variant>
      <vt:variant>
        <vt:lpwstr>_Toc374017971</vt:lpwstr>
      </vt:variant>
      <vt:variant>
        <vt:i4>1048639</vt:i4>
      </vt:variant>
      <vt:variant>
        <vt:i4>560</vt:i4>
      </vt:variant>
      <vt:variant>
        <vt:i4>0</vt:i4>
      </vt:variant>
      <vt:variant>
        <vt:i4>5</vt:i4>
      </vt:variant>
      <vt:variant>
        <vt:lpwstr/>
      </vt:variant>
      <vt:variant>
        <vt:lpwstr>_Toc374017970</vt:lpwstr>
      </vt:variant>
      <vt:variant>
        <vt:i4>1114175</vt:i4>
      </vt:variant>
      <vt:variant>
        <vt:i4>554</vt:i4>
      </vt:variant>
      <vt:variant>
        <vt:i4>0</vt:i4>
      </vt:variant>
      <vt:variant>
        <vt:i4>5</vt:i4>
      </vt:variant>
      <vt:variant>
        <vt:lpwstr/>
      </vt:variant>
      <vt:variant>
        <vt:lpwstr>_Toc374017969</vt:lpwstr>
      </vt:variant>
      <vt:variant>
        <vt:i4>1114175</vt:i4>
      </vt:variant>
      <vt:variant>
        <vt:i4>548</vt:i4>
      </vt:variant>
      <vt:variant>
        <vt:i4>0</vt:i4>
      </vt:variant>
      <vt:variant>
        <vt:i4>5</vt:i4>
      </vt:variant>
      <vt:variant>
        <vt:lpwstr/>
      </vt:variant>
      <vt:variant>
        <vt:lpwstr>_Toc374017968</vt:lpwstr>
      </vt:variant>
      <vt:variant>
        <vt:i4>1114175</vt:i4>
      </vt:variant>
      <vt:variant>
        <vt:i4>542</vt:i4>
      </vt:variant>
      <vt:variant>
        <vt:i4>0</vt:i4>
      </vt:variant>
      <vt:variant>
        <vt:i4>5</vt:i4>
      </vt:variant>
      <vt:variant>
        <vt:lpwstr/>
      </vt:variant>
      <vt:variant>
        <vt:lpwstr>_Toc374017967</vt:lpwstr>
      </vt:variant>
      <vt:variant>
        <vt:i4>1114175</vt:i4>
      </vt:variant>
      <vt:variant>
        <vt:i4>536</vt:i4>
      </vt:variant>
      <vt:variant>
        <vt:i4>0</vt:i4>
      </vt:variant>
      <vt:variant>
        <vt:i4>5</vt:i4>
      </vt:variant>
      <vt:variant>
        <vt:lpwstr/>
      </vt:variant>
      <vt:variant>
        <vt:lpwstr>_Toc374017966</vt:lpwstr>
      </vt:variant>
      <vt:variant>
        <vt:i4>1114175</vt:i4>
      </vt:variant>
      <vt:variant>
        <vt:i4>530</vt:i4>
      </vt:variant>
      <vt:variant>
        <vt:i4>0</vt:i4>
      </vt:variant>
      <vt:variant>
        <vt:i4>5</vt:i4>
      </vt:variant>
      <vt:variant>
        <vt:lpwstr/>
      </vt:variant>
      <vt:variant>
        <vt:lpwstr>_Toc374017965</vt:lpwstr>
      </vt:variant>
      <vt:variant>
        <vt:i4>1114175</vt:i4>
      </vt:variant>
      <vt:variant>
        <vt:i4>524</vt:i4>
      </vt:variant>
      <vt:variant>
        <vt:i4>0</vt:i4>
      </vt:variant>
      <vt:variant>
        <vt:i4>5</vt:i4>
      </vt:variant>
      <vt:variant>
        <vt:lpwstr/>
      </vt:variant>
      <vt:variant>
        <vt:lpwstr>_Toc374017964</vt:lpwstr>
      </vt:variant>
      <vt:variant>
        <vt:i4>1114175</vt:i4>
      </vt:variant>
      <vt:variant>
        <vt:i4>518</vt:i4>
      </vt:variant>
      <vt:variant>
        <vt:i4>0</vt:i4>
      </vt:variant>
      <vt:variant>
        <vt:i4>5</vt:i4>
      </vt:variant>
      <vt:variant>
        <vt:lpwstr/>
      </vt:variant>
      <vt:variant>
        <vt:lpwstr>_Toc374017963</vt:lpwstr>
      </vt:variant>
      <vt:variant>
        <vt:i4>1114175</vt:i4>
      </vt:variant>
      <vt:variant>
        <vt:i4>512</vt:i4>
      </vt:variant>
      <vt:variant>
        <vt:i4>0</vt:i4>
      </vt:variant>
      <vt:variant>
        <vt:i4>5</vt:i4>
      </vt:variant>
      <vt:variant>
        <vt:lpwstr/>
      </vt:variant>
      <vt:variant>
        <vt:lpwstr>_Toc374017962</vt:lpwstr>
      </vt:variant>
      <vt:variant>
        <vt:i4>1114175</vt:i4>
      </vt:variant>
      <vt:variant>
        <vt:i4>506</vt:i4>
      </vt:variant>
      <vt:variant>
        <vt:i4>0</vt:i4>
      </vt:variant>
      <vt:variant>
        <vt:i4>5</vt:i4>
      </vt:variant>
      <vt:variant>
        <vt:lpwstr/>
      </vt:variant>
      <vt:variant>
        <vt:lpwstr>_Toc374017961</vt:lpwstr>
      </vt:variant>
      <vt:variant>
        <vt:i4>1114175</vt:i4>
      </vt:variant>
      <vt:variant>
        <vt:i4>500</vt:i4>
      </vt:variant>
      <vt:variant>
        <vt:i4>0</vt:i4>
      </vt:variant>
      <vt:variant>
        <vt:i4>5</vt:i4>
      </vt:variant>
      <vt:variant>
        <vt:lpwstr/>
      </vt:variant>
      <vt:variant>
        <vt:lpwstr>_Toc374017960</vt:lpwstr>
      </vt:variant>
      <vt:variant>
        <vt:i4>1179711</vt:i4>
      </vt:variant>
      <vt:variant>
        <vt:i4>494</vt:i4>
      </vt:variant>
      <vt:variant>
        <vt:i4>0</vt:i4>
      </vt:variant>
      <vt:variant>
        <vt:i4>5</vt:i4>
      </vt:variant>
      <vt:variant>
        <vt:lpwstr/>
      </vt:variant>
      <vt:variant>
        <vt:lpwstr>_Toc374017959</vt:lpwstr>
      </vt:variant>
      <vt:variant>
        <vt:i4>1179711</vt:i4>
      </vt:variant>
      <vt:variant>
        <vt:i4>488</vt:i4>
      </vt:variant>
      <vt:variant>
        <vt:i4>0</vt:i4>
      </vt:variant>
      <vt:variant>
        <vt:i4>5</vt:i4>
      </vt:variant>
      <vt:variant>
        <vt:lpwstr/>
      </vt:variant>
      <vt:variant>
        <vt:lpwstr>_Toc374017958</vt:lpwstr>
      </vt:variant>
      <vt:variant>
        <vt:i4>1179711</vt:i4>
      </vt:variant>
      <vt:variant>
        <vt:i4>482</vt:i4>
      </vt:variant>
      <vt:variant>
        <vt:i4>0</vt:i4>
      </vt:variant>
      <vt:variant>
        <vt:i4>5</vt:i4>
      </vt:variant>
      <vt:variant>
        <vt:lpwstr/>
      </vt:variant>
      <vt:variant>
        <vt:lpwstr>_Toc374017957</vt:lpwstr>
      </vt:variant>
      <vt:variant>
        <vt:i4>1179711</vt:i4>
      </vt:variant>
      <vt:variant>
        <vt:i4>476</vt:i4>
      </vt:variant>
      <vt:variant>
        <vt:i4>0</vt:i4>
      </vt:variant>
      <vt:variant>
        <vt:i4>5</vt:i4>
      </vt:variant>
      <vt:variant>
        <vt:lpwstr/>
      </vt:variant>
      <vt:variant>
        <vt:lpwstr>_Toc374017956</vt:lpwstr>
      </vt:variant>
      <vt:variant>
        <vt:i4>1179711</vt:i4>
      </vt:variant>
      <vt:variant>
        <vt:i4>470</vt:i4>
      </vt:variant>
      <vt:variant>
        <vt:i4>0</vt:i4>
      </vt:variant>
      <vt:variant>
        <vt:i4>5</vt:i4>
      </vt:variant>
      <vt:variant>
        <vt:lpwstr/>
      </vt:variant>
      <vt:variant>
        <vt:lpwstr>_Toc374017955</vt:lpwstr>
      </vt:variant>
      <vt:variant>
        <vt:i4>1179711</vt:i4>
      </vt:variant>
      <vt:variant>
        <vt:i4>464</vt:i4>
      </vt:variant>
      <vt:variant>
        <vt:i4>0</vt:i4>
      </vt:variant>
      <vt:variant>
        <vt:i4>5</vt:i4>
      </vt:variant>
      <vt:variant>
        <vt:lpwstr/>
      </vt:variant>
      <vt:variant>
        <vt:lpwstr>_Toc374017954</vt:lpwstr>
      </vt:variant>
      <vt:variant>
        <vt:i4>1179711</vt:i4>
      </vt:variant>
      <vt:variant>
        <vt:i4>458</vt:i4>
      </vt:variant>
      <vt:variant>
        <vt:i4>0</vt:i4>
      </vt:variant>
      <vt:variant>
        <vt:i4>5</vt:i4>
      </vt:variant>
      <vt:variant>
        <vt:lpwstr/>
      </vt:variant>
      <vt:variant>
        <vt:lpwstr>_Toc374017953</vt:lpwstr>
      </vt:variant>
      <vt:variant>
        <vt:i4>1179711</vt:i4>
      </vt:variant>
      <vt:variant>
        <vt:i4>452</vt:i4>
      </vt:variant>
      <vt:variant>
        <vt:i4>0</vt:i4>
      </vt:variant>
      <vt:variant>
        <vt:i4>5</vt:i4>
      </vt:variant>
      <vt:variant>
        <vt:lpwstr/>
      </vt:variant>
      <vt:variant>
        <vt:lpwstr>_Toc374017952</vt:lpwstr>
      </vt:variant>
      <vt:variant>
        <vt:i4>1179711</vt:i4>
      </vt:variant>
      <vt:variant>
        <vt:i4>446</vt:i4>
      </vt:variant>
      <vt:variant>
        <vt:i4>0</vt:i4>
      </vt:variant>
      <vt:variant>
        <vt:i4>5</vt:i4>
      </vt:variant>
      <vt:variant>
        <vt:lpwstr/>
      </vt:variant>
      <vt:variant>
        <vt:lpwstr>_Toc374017951</vt:lpwstr>
      </vt:variant>
      <vt:variant>
        <vt:i4>1179711</vt:i4>
      </vt:variant>
      <vt:variant>
        <vt:i4>440</vt:i4>
      </vt:variant>
      <vt:variant>
        <vt:i4>0</vt:i4>
      </vt:variant>
      <vt:variant>
        <vt:i4>5</vt:i4>
      </vt:variant>
      <vt:variant>
        <vt:lpwstr/>
      </vt:variant>
      <vt:variant>
        <vt:lpwstr>_Toc374017950</vt:lpwstr>
      </vt:variant>
      <vt:variant>
        <vt:i4>1966128</vt:i4>
      </vt:variant>
      <vt:variant>
        <vt:i4>431</vt:i4>
      </vt:variant>
      <vt:variant>
        <vt:i4>0</vt:i4>
      </vt:variant>
      <vt:variant>
        <vt:i4>5</vt:i4>
      </vt:variant>
      <vt:variant>
        <vt:lpwstr/>
      </vt:variant>
      <vt:variant>
        <vt:lpwstr>_Toc374006785</vt:lpwstr>
      </vt:variant>
      <vt:variant>
        <vt:i4>1966128</vt:i4>
      </vt:variant>
      <vt:variant>
        <vt:i4>425</vt:i4>
      </vt:variant>
      <vt:variant>
        <vt:i4>0</vt:i4>
      </vt:variant>
      <vt:variant>
        <vt:i4>5</vt:i4>
      </vt:variant>
      <vt:variant>
        <vt:lpwstr/>
      </vt:variant>
      <vt:variant>
        <vt:lpwstr>_Toc374006784</vt:lpwstr>
      </vt:variant>
      <vt:variant>
        <vt:i4>1966128</vt:i4>
      </vt:variant>
      <vt:variant>
        <vt:i4>419</vt:i4>
      </vt:variant>
      <vt:variant>
        <vt:i4>0</vt:i4>
      </vt:variant>
      <vt:variant>
        <vt:i4>5</vt:i4>
      </vt:variant>
      <vt:variant>
        <vt:lpwstr/>
      </vt:variant>
      <vt:variant>
        <vt:lpwstr>_Toc374006783</vt:lpwstr>
      </vt:variant>
      <vt:variant>
        <vt:i4>1966128</vt:i4>
      </vt:variant>
      <vt:variant>
        <vt:i4>413</vt:i4>
      </vt:variant>
      <vt:variant>
        <vt:i4>0</vt:i4>
      </vt:variant>
      <vt:variant>
        <vt:i4>5</vt:i4>
      </vt:variant>
      <vt:variant>
        <vt:lpwstr/>
      </vt:variant>
      <vt:variant>
        <vt:lpwstr>_Toc374006782</vt:lpwstr>
      </vt:variant>
      <vt:variant>
        <vt:i4>1966128</vt:i4>
      </vt:variant>
      <vt:variant>
        <vt:i4>407</vt:i4>
      </vt:variant>
      <vt:variant>
        <vt:i4>0</vt:i4>
      </vt:variant>
      <vt:variant>
        <vt:i4>5</vt:i4>
      </vt:variant>
      <vt:variant>
        <vt:lpwstr/>
      </vt:variant>
      <vt:variant>
        <vt:lpwstr>_Toc374006781</vt:lpwstr>
      </vt:variant>
      <vt:variant>
        <vt:i4>1310770</vt:i4>
      </vt:variant>
      <vt:variant>
        <vt:i4>398</vt:i4>
      </vt:variant>
      <vt:variant>
        <vt:i4>0</vt:i4>
      </vt:variant>
      <vt:variant>
        <vt:i4>5</vt:i4>
      </vt:variant>
      <vt:variant>
        <vt:lpwstr/>
      </vt:variant>
      <vt:variant>
        <vt:lpwstr>_Toc374114410</vt:lpwstr>
      </vt:variant>
      <vt:variant>
        <vt:i4>1376306</vt:i4>
      </vt:variant>
      <vt:variant>
        <vt:i4>392</vt:i4>
      </vt:variant>
      <vt:variant>
        <vt:i4>0</vt:i4>
      </vt:variant>
      <vt:variant>
        <vt:i4>5</vt:i4>
      </vt:variant>
      <vt:variant>
        <vt:lpwstr/>
      </vt:variant>
      <vt:variant>
        <vt:lpwstr>_Toc374114409</vt:lpwstr>
      </vt:variant>
      <vt:variant>
        <vt:i4>1376306</vt:i4>
      </vt:variant>
      <vt:variant>
        <vt:i4>386</vt:i4>
      </vt:variant>
      <vt:variant>
        <vt:i4>0</vt:i4>
      </vt:variant>
      <vt:variant>
        <vt:i4>5</vt:i4>
      </vt:variant>
      <vt:variant>
        <vt:lpwstr/>
      </vt:variant>
      <vt:variant>
        <vt:lpwstr>_Toc374114408</vt:lpwstr>
      </vt:variant>
      <vt:variant>
        <vt:i4>1376306</vt:i4>
      </vt:variant>
      <vt:variant>
        <vt:i4>380</vt:i4>
      </vt:variant>
      <vt:variant>
        <vt:i4>0</vt:i4>
      </vt:variant>
      <vt:variant>
        <vt:i4>5</vt:i4>
      </vt:variant>
      <vt:variant>
        <vt:lpwstr/>
      </vt:variant>
      <vt:variant>
        <vt:lpwstr>_Toc374114407</vt:lpwstr>
      </vt:variant>
      <vt:variant>
        <vt:i4>1376306</vt:i4>
      </vt:variant>
      <vt:variant>
        <vt:i4>374</vt:i4>
      </vt:variant>
      <vt:variant>
        <vt:i4>0</vt:i4>
      </vt:variant>
      <vt:variant>
        <vt:i4>5</vt:i4>
      </vt:variant>
      <vt:variant>
        <vt:lpwstr/>
      </vt:variant>
      <vt:variant>
        <vt:lpwstr>_Toc374114406</vt:lpwstr>
      </vt:variant>
      <vt:variant>
        <vt:i4>1376306</vt:i4>
      </vt:variant>
      <vt:variant>
        <vt:i4>368</vt:i4>
      </vt:variant>
      <vt:variant>
        <vt:i4>0</vt:i4>
      </vt:variant>
      <vt:variant>
        <vt:i4>5</vt:i4>
      </vt:variant>
      <vt:variant>
        <vt:lpwstr/>
      </vt:variant>
      <vt:variant>
        <vt:lpwstr>_Toc374114405</vt:lpwstr>
      </vt:variant>
      <vt:variant>
        <vt:i4>1376306</vt:i4>
      </vt:variant>
      <vt:variant>
        <vt:i4>362</vt:i4>
      </vt:variant>
      <vt:variant>
        <vt:i4>0</vt:i4>
      </vt:variant>
      <vt:variant>
        <vt:i4>5</vt:i4>
      </vt:variant>
      <vt:variant>
        <vt:lpwstr/>
      </vt:variant>
      <vt:variant>
        <vt:lpwstr>_Toc374114404</vt:lpwstr>
      </vt:variant>
      <vt:variant>
        <vt:i4>1376306</vt:i4>
      </vt:variant>
      <vt:variant>
        <vt:i4>356</vt:i4>
      </vt:variant>
      <vt:variant>
        <vt:i4>0</vt:i4>
      </vt:variant>
      <vt:variant>
        <vt:i4>5</vt:i4>
      </vt:variant>
      <vt:variant>
        <vt:lpwstr/>
      </vt:variant>
      <vt:variant>
        <vt:lpwstr>_Toc374114403</vt:lpwstr>
      </vt:variant>
      <vt:variant>
        <vt:i4>1376306</vt:i4>
      </vt:variant>
      <vt:variant>
        <vt:i4>350</vt:i4>
      </vt:variant>
      <vt:variant>
        <vt:i4>0</vt:i4>
      </vt:variant>
      <vt:variant>
        <vt:i4>5</vt:i4>
      </vt:variant>
      <vt:variant>
        <vt:lpwstr/>
      </vt:variant>
      <vt:variant>
        <vt:lpwstr>_Toc374114402</vt:lpwstr>
      </vt:variant>
      <vt:variant>
        <vt:i4>1376306</vt:i4>
      </vt:variant>
      <vt:variant>
        <vt:i4>344</vt:i4>
      </vt:variant>
      <vt:variant>
        <vt:i4>0</vt:i4>
      </vt:variant>
      <vt:variant>
        <vt:i4>5</vt:i4>
      </vt:variant>
      <vt:variant>
        <vt:lpwstr/>
      </vt:variant>
      <vt:variant>
        <vt:lpwstr>_Toc374114401</vt:lpwstr>
      </vt:variant>
      <vt:variant>
        <vt:i4>1376306</vt:i4>
      </vt:variant>
      <vt:variant>
        <vt:i4>338</vt:i4>
      </vt:variant>
      <vt:variant>
        <vt:i4>0</vt:i4>
      </vt:variant>
      <vt:variant>
        <vt:i4>5</vt:i4>
      </vt:variant>
      <vt:variant>
        <vt:lpwstr/>
      </vt:variant>
      <vt:variant>
        <vt:lpwstr>_Toc374114400</vt:lpwstr>
      </vt:variant>
      <vt:variant>
        <vt:i4>1835061</vt:i4>
      </vt:variant>
      <vt:variant>
        <vt:i4>332</vt:i4>
      </vt:variant>
      <vt:variant>
        <vt:i4>0</vt:i4>
      </vt:variant>
      <vt:variant>
        <vt:i4>5</vt:i4>
      </vt:variant>
      <vt:variant>
        <vt:lpwstr/>
      </vt:variant>
      <vt:variant>
        <vt:lpwstr>_Toc374114399</vt:lpwstr>
      </vt:variant>
      <vt:variant>
        <vt:i4>1835061</vt:i4>
      </vt:variant>
      <vt:variant>
        <vt:i4>326</vt:i4>
      </vt:variant>
      <vt:variant>
        <vt:i4>0</vt:i4>
      </vt:variant>
      <vt:variant>
        <vt:i4>5</vt:i4>
      </vt:variant>
      <vt:variant>
        <vt:lpwstr/>
      </vt:variant>
      <vt:variant>
        <vt:lpwstr>_Toc374114398</vt:lpwstr>
      </vt:variant>
      <vt:variant>
        <vt:i4>1835061</vt:i4>
      </vt:variant>
      <vt:variant>
        <vt:i4>320</vt:i4>
      </vt:variant>
      <vt:variant>
        <vt:i4>0</vt:i4>
      </vt:variant>
      <vt:variant>
        <vt:i4>5</vt:i4>
      </vt:variant>
      <vt:variant>
        <vt:lpwstr/>
      </vt:variant>
      <vt:variant>
        <vt:lpwstr>_Toc374114397</vt:lpwstr>
      </vt:variant>
      <vt:variant>
        <vt:i4>1835061</vt:i4>
      </vt:variant>
      <vt:variant>
        <vt:i4>314</vt:i4>
      </vt:variant>
      <vt:variant>
        <vt:i4>0</vt:i4>
      </vt:variant>
      <vt:variant>
        <vt:i4>5</vt:i4>
      </vt:variant>
      <vt:variant>
        <vt:lpwstr/>
      </vt:variant>
      <vt:variant>
        <vt:lpwstr>_Toc374114396</vt:lpwstr>
      </vt:variant>
      <vt:variant>
        <vt:i4>1835061</vt:i4>
      </vt:variant>
      <vt:variant>
        <vt:i4>308</vt:i4>
      </vt:variant>
      <vt:variant>
        <vt:i4>0</vt:i4>
      </vt:variant>
      <vt:variant>
        <vt:i4>5</vt:i4>
      </vt:variant>
      <vt:variant>
        <vt:lpwstr/>
      </vt:variant>
      <vt:variant>
        <vt:lpwstr>_Toc374114395</vt:lpwstr>
      </vt:variant>
      <vt:variant>
        <vt:i4>1835061</vt:i4>
      </vt:variant>
      <vt:variant>
        <vt:i4>302</vt:i4>
      </vt:variant>
      <vt:variant>
        <vt:i4>0</vt:i4>
      </vt:variant>
      <vt:variant>
        <vt:i4>5</vt:i4>
      </vt:variant>
      <vt:variant>
        <vt:lpwstr/>
      </vt:variant>
      <vt:variant>
        <vt:lpwstr>_Toc374114394</vt:lpwstr>
      </vt:variant>
      <vt:variant>
        <vt:i4>1835061</vt:i4>
      </vt:variant>
      <vt:variant>
        <vt:i4>296</vt:i4>
      </vt:variant>
      <vt:variant>
        <vt:i4>0</vt:i4>
      </vt:variant>
      <vt:variant>
        <vt:i4>5</vt:i4>
      </vt:variant>
      <vt:variant>
        <vt:lpwstr/>
      </vt:variant>
      <vt:variant>
        <vt:lpwstr>_Toc374114393</vt:lpwstr>
      </vt:variant>
      <vt:variant>
        <vt:i4>1835061</vt:i4>
      </vt:variant>
      <vt:variant>
        <vt:i4>290</vt:i4>
      </vt:variant>
      <vt:variant>
        <vt:i4>0</vt:i4>
      </vt:variant>
      <vt:variant>
        <vt:i4>5</vt:i4>
      </vt:variant>
      <vt:variant>
        <vt:lpwstr/>
      </vt:variant>
      <vt:variant>
        <vt:lpwstr>_Toc374114392</vt:lpwstr>
      </vt:variant>
      <vt:variant>
        <vt:i4>1835061</vt:i4>
      </vt:variant>
      <vt:variant>
        <vt:i4>284</vt:i4>
      </vt:variant>
      <vt:variant>
        <vt:i4>0</vt:i4>
      </vt:variant>
      <vt:variant>
        <vt:i4>5</vt:i4>
      </vt:variant>
      <vt:variant>
        <vt:lpwstr/>
      </vt:variant>
      <vt:variant>
        <vt:lpwstr>_Toc374114391</vt:lpwstr>
      </vt:variant>
      <vt:variant>
        <vt:i4>1835061</vt:i4>
      </vt:variant>
      <vt:variant>
        <vt:i4>278</vt:i4>
      </vt:variant>
      <vt:variant>
        <vt:i4>0</vt:i4>
      </vt:variant>
      <vt:variant>
        <vt:i4>5</vt:i4>
      </vt:variant>
      <vt:variant>
        <vt:lpwstr/>
      </vt:variant>
      <vt:variant>
        <vt:lpwstr>_Toc374114390</vt:lpwstr>
      </vt:variant>
      <vt:variant>
        <vt:i4>1900597</vt:i4>
      </vt:variant>
      <vt:variant>
        <vt:i4>272</vt:i4>
      </vt:variant>
      <vt:variant>
        <vt:i4>0</vt:i4>
      </vt:variant>
      <vt:variant>
        <vt:i4>5</vt:i4>
      </vt:variant>
      <vt:variant>
        <vt:lpwstr/>
      </vt:variant>
      <vt:variant>
        <vt:lpwstr>_Toc374114389</vt:lpwstr>
      </vt:variant>
      <vt:variant>
        <vt:i4>1900597</vt:i4>
      </vt:variant>
      <vt:variant>
        <vt:i4>266</vt:i4>
      </vt:variant>
      <vt:variant>
        <vt:i4>0</vt:i4>
      </vt:variant>
      <vt:variant>
        <vt:i4>5</vt:i4>
      </vt:variant>
      <vt:variant>
        <vt:lpwstr/>
      </vt:variant>
      <vt:variant>
        <vt:lpwstr>_Toc374114388</vt:lpwstr>
      </vt:variant>
      <vt:variant>
        <vt:i4>1900597</vt:i4>
      </vt:variant>
      <vt:variant>
        <vt:i4>260</vt:i4>
      </vt:variant>
      <vt:variant>
        <vt:i4>0</vt:i4>
      </vt:variant>
      <vt:variant>
        <vt:i4>5</vt:i4>
      </vt:variant>
      <vt:variant>
        <vt:lpwstr/>
      </vt:variant>
      <vt:variant>
        <vt:lpwstr>_Toc374114387</vt:lpwstr>
      </vt:variant>
      <vt:variant>
        <vt:i4>1900597</vt:i4>
      </vt:variant>
      <vt:variant>
        <vt:i4>254</vt:i4>
      </vt:variant>
      <vt:variant>
        <vt:i4>0</vt:i4>
      </vt:variant>
      <vt:variant>
        <vt:i4>5</vt:i4>
      </vt:variant>
      <vt:variant>
        <vt:lpwstr/>
      </vt:variant>
      <vt:variant>
        <vt:lpwstr>_Toc374114386</vt:lpwstr>
      </vt:variant>
      <vt:variant>
        <vt:i4>1900597</vt:i4>
      </vt:variant>
      <vt:variant>
        <vt:i4>248</vt:i4>
      </vt:variant>
      <vt:variant>
        <vt:i4>0</vt:i4>
      </vt:variant>
      <vt:variant>
        <vt:i4>5</vt:i4>
      </vt:variant>
      <vt:variant>
        <vt:lpwstr/>
      </vt:variant>
      <vt:variant>
        <vt:lpwstr>_Toc374114385</vt:lpwstr>
      </vt:variant>
      <vt:variant>
        <vt:i4>1900597</vt:i4>
      </vt:variant>
      <vt:variant>
        <vt:i4>242</vt:i4>
      </vt:variant>
      <vt:variant>
        <vt:i4>0</vt:i4>
      </vt:variant>
      <vt:variant>
        <vt:i4>5</vt:i4>
      </vt:variant>
      <vt:variant>
        <vt:lpwstr/>
      </vt:variant>
      <vt:variant>
        <vt:lpwstr>_Toc374114384</vt:lpwstr>
      </vt:variant>
      <vt:variant>
        <vt:i4>1900597</vt:i4>
      </vt:variant>
      <vt:variant>
        <vt:i4>236</vt:i4>
      </vt:variant>
      <vt:variant>
        <vt:i4>0</vt:i4>
      </vt:variant>
      <vt:variant>
        <vt:i4>5</vt:i4>
      </vt:variant>
      <vt:variant>
        <vt:lpwstr/>
      </vt:variant>
      <vt:variant>
        <vt:lpwstr>_Toc374114383</vt:lpwstr>
      </vt:variant>
      <vt:variant>
        <vt:i4>1900597</vt:i4>
      </vt:variant>
      <vt:variant>
        <vt:i4>230</vt:i4>
      </vt:variant>
      <vt:variant>
        <vt:i4>0</vt:i4>
      </vt:variant>
      <vt:variant>
        <vt:i4>5</vt:i4>
      </vt:variant>
      <vt:variant>
        <vt:lpwstr/>
      </vt:variant>
      <vt:variant>
        <vt:lpwstr>_Toc374114382</vt:lpwstr>
      </vt:variant>
      <vt:variant>
        <vt:i4>1900597</vt:i4>
      </vt:variant>
      <vt:variant>
        <vt:i4>224</vt:i4>
      </vt:variant>
      <vt:variant>
        <vt:i4>0</vt:i4>
      </vt:variant>
      <vt:variant>
        <vt:i4>5</vt:i4>
      </vt:variant>
      <vt:variant>
        <vt:lpwstr/>
      </vt:variant>
      <vt:variant>
        <vt:lpwstr>_Toc374114381</vt:lpwstr>
      </vt:variant>
      <vt:variant>
        <vt:i4>1900597</vt:i4>
      </vt:variant>
      <vt:variant>
        <vt:i4>218</vt:i4>
      </vt:variant>
      <vt:variant>
        <vt:i4>0</vt:i4>
      </vt:variant>
      <vt:variant>
        <vt:i4>5</vt:i4>
      </vt:variant>
      <vt:variant>
        <vt:lpwstr/>
      </vt:variant>
      <vt:variant>
        <vt:lpwstr>_Toc374114380</vt:lpwstr>
      </vt:variant>
      <vt:variant>
        <vt:i4>1179701</vt:i4>
      </vt:variant>
      <vt:variant>
        <vt:i4>212</vt:i4>
      </vt:variant>
      <vt:variant>
        <vt:i4>0</vt:i4>
      </vt:variant>
      <vt:variant>
        <vt:i4>5</vt:i4>
      </vt:variant>
      <vt:variant>
        <vt:lpwstr/>
      </vt:variant>
      <vt:variant>
        <vt:lpwstr>_Toc374114379</vt:lpwstr>
      </vt:variant>
      <vt:variant>
        <vt:i4>1179701</vt:i4>
      </vt:variant>
      <vt:variant>
        <vt:i4>206</vt:i4>
      </vt:variant>
      <vt:variant>
        <vt:i4>0</vt:i4>
      </vt:variant>
      <vt:variant>
        <vt:i4>5</vt:i4>
      </vt:variant>
      <vt:variant>
        <vt:lpwstr/>
      </vt:variant>
      <vt:variant>
        <vt:lpwstr>_Toc374114378</vt:lpwstr>
      </vt:variant>
      <vt:variant>
        <vt:i4>1179701</vt:i4>
      </vt:variant>
      <vt:variant>
        <vt:i4>200</vt:i4>
      </vt:variant>
      <vt:variant>
        <vt:i4>0</vt:i4>
      </vt:variant>
      <vt:variant>
        <vt:i4>5</vt:i4>
      </vt:variant>
      <vt:variant>
        <vt:lpwstr/>
      </vt:variant>
      <vt:variant>
        <vt:lpwstr>_Toc374114377</vt:lpwstr>
      </vt:variant>
      <vt:variant>
        <vt:i4>1179701</vt:i4>
      </vt:variant>
      <vt:variant>
        <vt:i4>194</vt:i4>
      </vt:variant>
      <vt:variant>
        <vt:i4>0</vt:i4>
      </vt:variant>
      <vt:variant>
        <vt:i4>5</vt:i4>
      </vt:variant>
      <vt:variant>
        <vt:lpwstr/>
      </vt:variant>
      <vt:variant>
        <vt:lpwstr>_Toc374114376</vt:lpwstr>
      </vt:variant>
      <vt:variant>
        <vt:i4>1179701</vt:i4>
      </vt:variant>
      <vt:variant>
        <vt:i4>188</vt:i4>
      </vt:variant>
      <vt:variant>
        <vt:i4>0</vt:i4>
      </vt:variant>
      <vt:variant>
        <vt:i4>5</vt:i4>
      </vt:variant>
      <vt:variant>
        <vt:lpwstr/>
      </vt:variant>
      <vt:variant>
        <vt:lpwstr>_Toc374114375</vt:lpwstr>
      </vt:variant>
      <vt:variant>
        <vt:i4>1179701</vt:i4>
      </vt:variant>
      <vt:variant>
        <vt:i4>182</vt:i4>
      </vt:variant>
      <vt:variant>
        <vt:i4>0</vt:i4>
      </vt:variant>
      <vt:variant>
        <vt:i4>5</vt:i4>
      </vt:variant>
      <vt:variant>
        <vt:lpwstr/>
      </vt:variant>
      <vt:variant>
        <vt:lpwstr>_Toc374114374</vt:lpwstr>
      </vt:variant>
      <vt:variant>
        <vt:i4>1179701</vt:i4>
      </vt:variant>
      <vt:variant>
        <vt:i4>176</vt:i4>
      </vt:variant>
      <vt:variant>
        <vt:i4>0</vt:i4>
      </vt:variant>
      <vt:variant>
        <vt:i4>5</vt:i4>
      </vt:variant>
      <vt:variant>
        <vt:lpwstr/>
      </vt:variant>
      <vt:variant>
        <vt:lpwstr>_Toc374114373</vt:lpwstr>
      </vt:variant>
      <vt:variant>
        <vt:i4>1179701</vt:i4>
      </vt:variant>
      <vt:variant>
        <vt:i4>170</vt:i4>
      </vt:variant>
      <vt:variant>
        <vt:i4>0</vt:i4>
      </vt:variant>
      <vt:variant>
        <vt:i4>5</vt:i4>
      </vt:variant>
      <vt:variant>
        <vt:lpwstr/>
      </vt:variant>
      <vt:variant>
        <vt:lpwstr>_Toc374114372</vt:lpwstr>
      </vt:variant>
      <vt:variant>
        <vt:i4>1179701</vt:i4>
      </vt:variant>
      <vt:variant>
        <vt:i4>164</vt:i4>
      </vt:variant>
      <vt:variant>
        <vt:i4>0</vt:i4>
      </vt:variant>
      <vt:variant>
        <vt:i4>5</vt:i4>
      </vt:variant>
      <vt:variant>
        <vt:lpwstr/>
      </vt:variant>
      <vt:variant>
        <vt:lpwstr>_Toc374114371</vt:lpwstr>
      </vt:variant>
      <vt:variant>
        <vt:i4>1179701</vt:i4>
      </vt:variant>
      <vt:variant>
        <vt:i4>158</vt:i4>
      </vt:variant>
      <vt:variant>
        <vt:i4>0</vt:i4>
      </vt:variant>
      <vt:variant>
        <vt:i4>5</vt:i4>
      </vt:variant>
      <vt:variant>
        <vt:lpwstr/>
      </vt:variant>
      <vt:variant>
        <vt:lpwstr>_Toc374114370</vt:lpwstr>
      </vt:variant>
      <vt:variant>
        <vt:i4>1245237</vt:i4>
      </vt:variant>
      <vt:variant>
        <vt:i4>152</vt:i4>
      </vt:variant>
      <vt:variant>
        <vt:i4>0</vt:i4>
      </vt:variant>
      <vt:variant>
        <vt:i4>5</vt:i4>
      </vt:variant>
      <vt:variant>
        <vt:lpwstr/>
      </vt:variant>
      <vt:variant>
        <vt:lpwstr>_Toc374114369</vt:lpwstr>
      </vt:variant>
      <vt:variant>
        <vt:i4>1245237</vt:i4>
      </vt:variant>
      <vt:variant>
        <vt:i4>146</vt:i4>
      </vt:variant>
      <vt:variant>
        <vt:i4>0</vt:i4>
      </vt:variant>
      <vt:variant>
        <vt:i4>5</vt:i4>
      </vt:variant>
      <vt:variant>
        <vt:lpwstr/>
      </vt:variant>
      <vt:variant>
        <vt:lpwstr>_Toc374114368</vt:lpwstr>
      </vt:variant>
      <vt:variant>
        <vt:i4>1245237</vt:i4>
      </vt:variant>
      <vt:variant>
        <vt:i4>140</vt:i4>
      </vt:variant>
      <vt:variant>
        <vt:i4>0</vt:i4>
      </vt:variant>
      <vt:variant>
        <vt:i4>5</vt:i4>
      </vt:variant>
      <vt:variant>
        <vt:lpwstr/>
      </vt:variant>
      <vt:variant>
        <vt:lpwstr>_Toc374114367</vt:lpwstr>
      </vt:variant>
      <vt:variant>
        <vt:i4>1245237</vt:i4>
      </vt:variant>
      <vt:variant>
        <vt:i4>134</vt:i4>
      </vt:variant>
      <vt:variant>
        <vt:i4>0</vt:i4>
      </vt:variant>
      <vt:variant>
        <vt:i4>5</vt:i4>
      </vt:variant>
      <vt:variant>
        <vt:lpwstr/>
      </vt:variant>
      <vt:variant>
        <vt:lpwstr>_Toc374114366</vt:lpwstr>
      </vt:variant>
      <vt:variant>
        <vt:i4>1245237</vt:i4>
      </vt:variant>
      <vt:variant>
        <vt:i4>128</vt:i4>
      </vt:variant>
      <vt:variant>
        <vt:i4>0</vt:i4>
      </vt:variant>
      <vt:variant>
        <vt:i4>5</vt:i4>
      </vt:variant>
      <vt:variant>
        <vt:lpwstr/>
      </vt:variant>
      <vt:variant>
        <vt:lpwstr>_Toc374114365</vt:lpwstr>
      </vt:variant>
      <vt:variant>
        <vt:i4>1245237</vt:i4>
      </vt:variant>
      <vt:variant>
        <vt:i4>122</vt:i4>
      </vt:variant>
      <vt:variant>
        <vt:i4>0</vt:i4>
      </vt:variant>
      <vt:variant>
        <vt:i4>5</vt:i4>
      </vt:variant>
      <vt:variant>
        <vt:lpwstr/>
      </vt:variant>
      <vt:variant>
        <vt:lpwstr>_Toc374114364</vt:lpwstr>
      </vt:variant>
      <vt:variant>
        <vt:i4>1245237</vt:i4>
      </vt:variant>
      <vt:variant>
        <vt:i4>116</vt:i4>
      </vt:variant>
      <vt:variant>
        <vt:i4>0</vt:i4>
      </vt:variant>
      <vt:variant>
        <vt:i4>5</vt:i4>
      </vt:variant>
      <vt:variant>
        <vt:lpwstr/>
      </vt:variant>
      <vt:variant>
        <vt:lpwstr>_Toc374114363</vt:lpwstr>
      </vt:variant>
      <vt:variant>
        <vt:i4>1245237</vt:i4>
      </vt:variant>
      <vt:variant>
        <vt:i4>110</vt:i4>
      </vt:variant>
      <vt:variant>
        <vt:i4>0</vt:i4>
      </vt:variant>
      <vt:variant>
        <vt:i4>5</vt:i4>
      </vt:variant>
      <vt:variant>
        <vt:lpwstr/>
      </vt:variant>
      <vt:variant>
        <vt:lpwstr>_Toc374114362</vt:lpwstr>
      </vt:variant>
      <vt:variant>
        <vt:i4>1245237</vt:i4>
      </vt:variant>
      <vt:variant>
        <vt:i4>104</vt:i4>
      </vt:variant>
      <vt:variant>
        <vt:i4>0</vt:i4>
      </vt:variant>
      <vt:variant>
        <vt:i4>5</vt:i4>
      </vt:variant>
      <vt:variant>
        <vt:lpwstr/>
      </vt:variant>
      <vt:variant>
        <vt:lpwstr>_Toc374114361</vt:lpwstr>
      </vt:variant>
      <vt:variant>
        <vt:i4>1245237</vt:i4>
      </vt:variant>
      <vt:variant>
        <vt:i4>98</vt:i4>
      </vt:variant>
      <vt:variant>
        <vt:i4>0</vt:i4>
      </vt:variant>
      <vt:variant>
        <vt:i4>5</vt:i4>
      </vt:variant>
      <vt:variant>
        <vt:lpwstr/>
      </vt:variant>
      <vt:variant>
        <vt:lpwstr>_Toc374114360</vt:lpwstr>
      </vt:variant>
      <vt:variant>
        <vt:i4>1048629</vt:i4>
      </vt:variant>
      <vt:variant>
        <vt:i4>92</vt:i4>
      </vt:variant>
      <vt:variant>
        <vt:i4>0</vt:i4>
      </vt:variant>
      <vt:variant>
        <vt:i4>5</vt:i4>
      </vt:variant>
      <vt:variant>
        <vt:lpwstr/>
      </vt:variant>
      <vt:variant>
        <vt:lpwstr>_Toc374114359</vt:lpwstr>
      </vt:variant>
      <vt:variant>
        <vt:i4>1048629</vt:i4>
      </vt:variant>
      <vt:variant>
        <vt:i4>86</vt:i4>
      </vt:variant>
      <vt:variant>
        <vt:i4>0</vt:i4>
      </vt:variant>
      <vt:variant>
        <vt:i4>5</vt:i4>
      </vt:variant>
      <vt:variant>
        <vt:lpwstr/>
      </vt:variant>
      <vt:variant>
        <vt:lpwstr>_Toc374114358</vt:lpwstr>
      </vt:variant>
      <vt:variant>
        <vt:i4>1048629</vt:i4>
      </vt:variant>
      <vt:variant>
        <vt:i4>80</vt:i4>
      </vt:variant>
      <vt:variant>
        <vt:i4>0</vt:i4>
      </vt:variant>
      <vt:variant>
        <vt:i4>5</vt:i4>
      </vt:variant>
      <vt:variant>
        <vt:lpwstr/>
      </vt:variant>
      <vt:variant>
        <vt:lpwstr>_Toc374114357</vt:lpwstr>
      </vt:variant>
      <vt:variant>
        <vt:i4>1048629</vt:i4>
      </vt:variant>
      <vt:variant>
        <vt:i4>74</vt:i4>
      </vt:variant>
      <vt:variant>
        <vt:i4>0</vt:i4>
      </vt:variant>
      <vt:variant>
        <vt:i4>5</vt:i4>
      </vt:variant>
      <vt:variant>
        <vt:lpwstr/>
      </vt:variant>
      <vt:variant>
        <vt:lpwstr>_Toc374114356</vt:lpwstr>
      </vt:variant>
      <vt:variant>
        <vt:i4>1048629</vt:i4>
      </vt:variant>
      <vt:variant>
        <vt:i4>68</vt:i4>
      </vt:variant>
      <vt:variant>
        <vt:i4>0</vt:i4>
      </vt:variant>
      <vt:variant>
        <vt:i4>5</vt:i4>
      </vt:variant>
      <vt:variant>
        <vt:lpwstr/>
      </vt:variant>
      <vt:variant>
        <vt:lpwstr>_Toc374114355</vt:lpwstr>
      </vt:variant>
      <vt:variant>
        <vt:i4>1048629</vt:i4>
      </vt:variant>
      <vt:variant>
        <vt:i4>62</vt:i4>
      </vt:variant>
      <vt:variant>
        <vt:i4>0</vt:i4>
      </vt:variant>
      <vt:variant>
        <vt:i4>5</vt:i4>
      </vt:variant>
      <vt:variant>
        <vt:lpwstr/>
      </vt:variant>
      <vt:variant>
        <vt:lpwstr>_Toc374114354</vt:lpwstr>
      </vt:variant>
      <vt:variant>
        <vt:i4>1048629</vt:i4>
      </vt:variant>
      <vt:variant>
        <vt:i4>56</vt:i4>
      </vt:variant>
      <vt:variant>
        <vt:i4>0</vt:i4>
      </vt:variant>
      <vt:variant>
        <vt:i4>5</vt:i4>
      </vt:variant>
      <vt:variant>
        <vt:lpwstr/>
      </vt:variant>
      <vt:variant>
        <vt:lpwstr>_Toc374114353</vt:lpwstr>
      </vt:variant>
      <vt:variant>
        <vt:i4>1048629</vt:i4>
      </vt:variant>
      <vt:variant>
        <vt:i4>50</vt:i4>
      </vt:variant>
      <vt:variant>
        <vt:i4>0</vt:i4>
      </vt:variant>
      <vt:variant>
        <vt:i4>5</vt:i4>
      </vt:variant>
      <vt:variant>
        <vt:lpwstr/>
      </vt:variant>
      <vt:variant>
        <vt:lpwstr>_Toc374114352</vt:lpwstr>
      </vt:variant>
      <vt:variant>
        <vt:i4>1048629</vt:i4>
      </vt:variant>
      <vt:variant>
        <vt:i4>44</vt:i4>
      </vt:variant>
      <vt:variant>
        <vt:i4>0</vt:i4>
      </vt:variant>
      <vt:variant>
        <vt:i4>5</vt:i4>
      </vt:variant>
      <vt:variant>
        <vt:lpwstr/>
      </vt:variant>
      <vt:variant>
        <vt:lpwstr>_Toc374114351</vt:lpwstr>
      </vt:variant>
      <vt:variant>
        <vt:i4>1048629</vt:i4>
      </vt:variant>
      <vt:variant>
        <vt:i4>38</vt:i4>
      </vt:variant>
      <vt:variant>
        <vt:i4>0</vt:i4>
      </vt:variant>
      <vt:variant>
        <vt:i4>5</vt:i4>
      </vt:variant>
      <vt:variant>
        <vt:lpwstr/>
      </vt:variant>
      <vt:variant>
        <vt:lpwstr>_Toc374114350</vt:lpwstr>
      </vt:variant>
      <vt:variant>
        <vt:i4>1114165</vt:i4>
      </vt:variant>
      <vt:variant>
        <vt:i4>32</vt:i4>
      </vt:variant>
      <vt:variant>
        <vt:i4>0</vt:i4>
      </vt:variant>
      <vt:variant>
        <vt:i4>5</vt:i4>
      </vt:variant>
      <vt:variant>
        <vt:lpwstr/>
      </vt:variant>
      <vt:variant>
        <vt:lpwstr>_Toc374114349</vt:lpwstr>
      </vt:variant>
      <vt:variant>
        <vt:i4>1114165</vt:i4>
      </vt:variant>
      <vt:variant>
        <vt:i4>26</vt:i4>
      </vt:variant>
      <vt:variant>
        <vt:i4>0</vt:i4>
      </vt:variant>
      <vt:variant>
        <vt:i4>5</vt:i4>
      </vt:variant>
      <vt:variant>
        <vt:lpwstr/>
      </vt:variant>
      <vt:variant>
        <vt:lpwstr>_Toc374114348</vt:lpwstr>
      </vt:variant>
      <vt:variant>
        <vt:i4>1114165</vt:i4>
      </vt:variant>
      <vt:variant>
        <vt:i4>20</vt:i4>
      </vt:variant>
      <vt:variant>
        <vt:i4>0</vt:i4>
      </vt:variant>
      <vt:variant>
        <vt:i4>5</vt:i4>
      </vt:variant>
      <vt:variant>
        <vt:lpwstr/>
      </vt:variant>
      <vt:variant>
        <vt:lpwstr>_Toc374114347</vt:lpwstr>
      </vt:variant>
      <vt:variant>
        <vt:i4>1114165</vt:i4>
      </vt:variant>
      <vt:variant>
        <vt:i4>14</vt:i4>
      </vt:variant>
      <vt:variant>
        <vt:i4>0</vt:i4>
      </vt:variant>
      <vt:variant>
        <vt:i4>5</vt:i4>
      </vt:variant>
      <vt:variant>
        <vt:lpwstr/>
      </vt:variant>
      <vt:variant>
        <vt:lpwstr>_Toc374114346</vt:lpwstr>
      </vt:variant>
      <vt:variant>
        <vt:i4>1114165</vt:i4>
      </vt:variant>
      <vt:variant>
        <vt:i4>8</vt:i4>
      </vt:variant>
      <vt:variant>
        <vt:i4>0</vt:i4>
      </vt:variant>
      <vt:variant>
        <vt:i4>5</vt:i4>
      </vt:variant>
      <vt:variant>
        <vt:lpwstr/>
      </vt:variant>
      <vt:variant>
        <vt:lpwstr>_Toc374114345</vt:lpwstr>
      </vt:variant>
      <vt:variant>
        <vt:i4>1114165</vt:i4>
      </vt:variant>
      <vt:variant>
        <vt:i4>2</vt:i4>
      </vt:variant>
      <vt:variant>
        <vt:i4>0</vt:i4>
      </vt:variant>
      <vt:variant>
        <vt:i4>5</vt:i4>
      </vt:variant>
      <vt:variant>
        <vt:lpwstr/>
      </vt:variant>
      <vt:variant>
        <vt:lpwstr>_Toc374114344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York Wellbeing Centres Evaluation Report</dc:title>
  <dc:subject>drug and alcohol, gambling, family violence, general counselling and mental health.</dc:subject>
  <dc:creator>Department of Health</dc:creator>
  <cp:keywords>Evaluation; Report;</cp:keywords>
  <dc:description>The evaluation assessed the effectiveness of the WBCs in terms of processes implemented and individual and community-wide outcomes achieved to date.</dc:description>
  <cp:lastModifiedBy>People Capability and Communication Division</cp:lastModifiedBy>
  <cp:revision>10</cp:revision>
  <cp:lastPrinted>2014-09-17T03:31:00Z</cp:lastPrinted>
  <dcterms:created xsi:type="dcterms:W3CDTF">2018-11-21T04:57:00Z</dcterms:created>
  <dcterms:modified xsi:type="dcterms:W3CDTF">2018-11-21T06:32:00Z</dcterms:modified>
  <cp:category>publication;report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0x010100E0627BD2E77EA4458DC41A270DF2E32B</vt:lpwstr>
  </property>
</Properties>
</file>