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7122"/>
      </w:tblGrid>
      <w:tr w:rsidR="004F3AA0" w14:paraId="44C418B3" w14:textId="77777777" w:rsidTr="00651235">
        <w:trPr>
          <w:trHeight w:val="1831"/>
        </w:trPr>
        <w:tc>
          <w:tcPr>
            <w:tcW w:w="3226" w:type="dxa"/>
            <w:shd w:val="clear" w:color="auto" w:fill="55259E"/>
            <w:vAlign w:val="center"/>
          </w:tcPr>
          <w:p w14:paraId="54D39D14" w14:textId="441829BE" w:rsidR="004F3AA0" w:rsidRPr="004F3AA0" w:rsidRDefault="004F3AA0" w:rsidP="004F3AA0">
            <w:r w:rsidRPr="004F3AA0">
              <w:rPr>
                <w:noProof/>
              </w:rPr>
              <w:drawing>
                <wp:anchor distT="0" distB="0" distL="114300" distR="114300" simplePos="0" relativeHeight="251658240" behindDoc="0" locked="0" layoutInCell="1" allowOverlap="1" wp14:anchorId="21C50B33" wp14:editId="440167DF">
                  <wp:simplePos x="718185" y="544195"/>
                  <wp:positionH relativeFrom="margin">
                    <wp:align>center</wp:align>
                  </wp:positionH>
                  <wp:positionV relativeFrom="margin">
                    <wp:align>center</wp:align>
                  </wp:positionV>
                  <wp:extent cx="1477010" cy="97917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stacked_white.png"/>
                          <pic:cNvPicPr/>
                        </pic:nvPicPr>
                        <pic:blipFill>
                          <a:blip r:embed="rId9">
                            <a:extLst>
                              <a:ext uri="{28A0092B-C50C-407E-A947-70E740481C1C}">
                                <a14:useLocalDpi xmlns:a14="http://schemas.microsoft.com/office/drawing/2010/main" val="0"/>
                              </a:ext>
                            </a:extLst>
                          </a:blip>
                          <a:stretch>
                            <a:fillRect/>
                          </a:stretch>
                        </pic:blipFill>
                        <pic:spPr>
                          <a:xfrm>
                            <a:off x="0" y="0"/>
                            <a:ext cx="1477010" cy="979170"/>
                          </a:xfrm>
                          <a:prstGeom prst="rect">
                            <a:avLst/>
                          </a:prstGeom>
                        </pic:spPr>
                      </pic:pic>
                    </a:graphicData>
                  </a:graphic>
                  <wp14:sizeRelH relativeFrom="margin">
                    <wp14:pctWidth>0</wp14:pctWidth>
                  </wp14:sizeRelH>
                  <wp14:sizeRelV relativeFrom="margin">
                    <wp14:pctHeight>0</wp14:pctHeight>
                  </wp14:sizeRelV>
                </wp:anchor>
              </w:drawing>
            </w:r>
          </w:p>
        </w:tc>
        <w:tc>
          <w:tcPr>
            <w:tcW w:w="7122" w:type="dxa"/>
            <w:shd w:val="clear" w:color="auto" w:fill="55259E"/>
            <w:vAlign w:val="center"/>
          </w:tcPr>
          <w:p w14:paraId="31C0D79D" w14:textId="77777777" w:rsidR="004F3AA0" w:rsidRPr="003021C5" w:rsidRDefault="003021C5" w:rsidP="003021C5">
            <w:pPr>
              <w:ind w:right="175"/>
              <w:jc w:val="right"/>
              <w:rPr>
                <w:color w:val="FFFFFF" w:themeColor="background1"/>
                <w:sz w:val="28"/>
              </w:rPr>
            </w:pPr>
            <w:bookmarkStart w:id="0" w:name="_GoBack"/>
            <w:r w:rsidRPr="003021C5">
              <w:rPr>
                <w:color w:val="FFFFFF" w:themeColor="background1"/>
                <w:sz w:val="28"/>
              </w:rPr>
              <w:t>AUSTRALIAN TECHNICAL ADVISORY GROUP ON</w:t>
            </w:r>
          </w:p>
          <w:p w14:paraId="553DF3F0" w14:textId="36973432" w:rsidR="003021C5" w:rsidRPr="004F3AA0" w:rsidRDefault="003021C5" w:rsidP="00651235">
            <w:pPr>
              <w:ind w:right="175"/>
            </w:pPr>
            <w:r w:rsidRPr="003021C5">
              <w:rPr>
                <w:color w:val="FFFFFF" w:themeColor="background1"/>
                <w:sz w:val="28"/>
              </w:rPr>
              <w:t xml:space="preserve">IMMUNISATION (ATAGI) </w:t>
            </w:r>
            <w:bookmarkEnd w:id="0"/>
            <w:r w:rsidRPr="003021C5">
              <w:rPr>
                <w:color w:val="FFFFFF" w:themeColor="background1"/>
                <w:sz w:val="28"/>
              </w:rPr>
              <w:t>|</w:t>
            </w:r>
            <w:r w:rsidRPr="003021C5">
              <w:rPr>
                <w:b/>
                <w:color w:val="FFFFFF" w:themeColor="background1"/>
                <w:sz w:val="28"/>
              </w:rPr>
              <w:t xml:space="preserve"> </w:t>
            </w:r>
            <w:r w:rsidR="00651235">
              <w:rPr>
                <w:b/>
                <w:color w:val="FFFFFF" w:themeColor="background1"/>
                <w:sz w:val="28"/>
              </w:rPr>
              <w:t>TERMS OF REFERENCE</w:t>
            </w:r>
          </w:p>
        </w:tc>
      </w:tr>
      <w:tr w:rsidR="004F3AA0" w14:paraId="203AFD90" w14:textId="77777777" w:rsidTr="00651235">
        <w:tc>
          <w:tcPr>
            <w:tcW w:w="3226" w:type="dxa"/>
            <w:shd w:val="clear" w:color="auto" w:fill="55259E"/>
          </w:tcPr>
          <w:p w14:paraId="31F4750D" w14:textId="4E1C6B9D" w:rsidR="004F3AA0" w:rsidRPr="004F3AA0" w:rsidRDefault="004F3AA0" w:rsidP="004F3AA0"/>
        </w:tc>
        <w:tc>
          <w:tcPr>
            <w:tcW w:w="7122" w:type="dxa"/>
            <w:shd w:val="clear" w:color="auto" w:fill="55259E"/>
            <w:vAlign w:val="center"/>
          </w:tcPr>
          <w:p w14:paraId="0A3B4E64" w14:textId="61BA2B24" w:rsidR="004F3AA0" w:rsidRPr="003021C5" w:rsidRDefault="004F3AA0" w:rsidP="003021C5">
            <w:pPr>
              <w:pStyle w:val="BodyText"/>
              <w:ind w:right="175"/>
              <w:jc w:val="right"/>
              <w:rPr>
                <w:b/>
                <w:color w:val="FFFFFF" w:themeColor="background1"/>
              </w:rPr>
            </w:pPr>
          </w:p>
        </w:tc>
      </w:tr>
      <w:tr w:rsidR="004F3AA0" w14:paraId="4F27D70B" w14:textId="77777777" w:rsidTr="00651235">
        <w:trPr>
          <w:trHeight w:val="437"/>
        </w:trPr>
        <w:tc>
          <w:tcPr>
            <w:tcW w:w="3226" w:type="dxa"/>
            <w:shd w:val="clear" w:color="auto" w:fill="auto"/>
          </w:tcPr>
          <w:p w14:paraId="32288B2B" w14:textId="77777777" w:rsidR="004F3AA0" w:rsidRPr="004F3AA0" w:rsidRDefault="004F3AA0" w:rsidP="004F3AA0"/>
        </w:tc>
        <w:tc>
          <w:tcPr>
            <w:tcW w:w="7122" w:type="dxa"/>
            <w:shd w:val="clear" w:color="auto" w:fill="auto"/>
          </w:tcPr>
          <w:p w14:paraId="586FAC0A" w14:textId="77777777" w:rsidR="004F3AA0" w:rsidRPr="004F3AA0" w:rsidRDefault="004F3AA0" w:rsidP="004F3AA0"/>
        </w:tc>
      </w:tr>
    </w:tbl>
    <w:p w14:paraId="402FA38C" w14:textId="030A7842" w:rsidR="005E0FAB" w:rsidRDefault="00651235" w:rsidP="00651235">
      <w:pPr>
        <w:pStyle w:val="Heading1Black"/>
      </w:pPr>
      <w:r w:rsidRPr="00651235">
        <w:t xml:space="preserve">The </w:t>
      </w:r>
      <w:r w:rsidRPr="0016088C">
        <w:t>Terms of Reference of the Australian Technical Advisory Group on Immunisation are to:</w:t>
      </w:r>
    </w:p>
    <w:p w14:paraId="232B7945" w14:textId="77777777" w:rsidR="00651235" w:rsidRDefault="00651235" w:rsidP="00651235">
      <w:pPr>
        <w:shd w:val="clear" w:color="auto" w:fill="FFFFFF"/>
        <w:spacing w:after="90" w:line="300" w:lineRule="atLeast"/>
        <w:ind w:left="567"/>
        <w:rPr>
          <w:rFonts w:ascii="Helvetica" w:eastAsia="Times New Roman" w:hAnsi="Helvetica" w:cs="Times New Roman"/>
          <w:color w:val="222222"/>
          <w:sz w:val="28"/>
          <w:szCs w:val="28"/>
        </w:rPr>
      </w:pPr>
    </w:p>
    <w:p w14:paraId="0AD488CB" w14:textId="77777777" w:rsidR="00651235" w:rsidRDefault="00651235" w:rsidP="00651235">
      <w:pPr>
        <w:numPr>
          <w:ilvl w:val="0"/>
          <w:numId w:val="35"/>
        </w:numPr>
        <w:shd w:val="clear" w:color="auto" w:fill="FFFFFF"/>
        <w:spacing w:after="90" w:line="300" w:lineRule="atLeast"/>
        <w:ind w:left="567"/>
        <w:rPr>
          <w:rFonts w:ascii="Helvetica" w:eastAsia="Times New Roman" w:hAnsi="Helvetica" w:cs="Times New Roman"/>
          <w:color w:val="222222"/>
          <w:sz w:val="28"/>
          <w:szCs w:val="28"/>
        </w:rPr>
      </w:pPr>
      <w:r w:rsidRPr="0016088C">
        <w:rPr>
          <w:rFonts w:ascii="Helvetica" w:eastAsia="Times New Roman" w:hAnsi="Helvetica" w:cs="Times New Roman"/>
          <w:color w:val="222222"/>
          <w:sz w:val="28"/>
          <w:szCs w:val="28"/>
        </w:rPr>
        <w:t>provide technical advice to the Minister for Health on the medical administration of vaccines available in Australia, including those on the National Immunisation Program</w:t>
      </w:r>
    </w:p>
    <w:p w14:paraId="55D80B9B" w14:textId="77777777" w:rsidR="00651235" w:rsidRPr="0016088C" w:rsidRDefault="00651235" w:rsidP="00651235">
      <w:pPr>
        <w:shd w:val="clear" w:color="auto" w:fill="FFFFFF"/>
        <w:spacing w:after="90" w:line="300" w:lineRule="atLeast"/>
        <w:ind w:left="567"/>
        <w:rPr>
          <w:rFonts w:ascii="Helvetica" w:eastAsia="Times New Roman" w:hAnsi="Helvetica" w:cs="Times New Roman"/>
          <w:color w:val="222222"/>
          <w:sz w:val="28"/>
          <w:szCs w:val="28"/>
        </w:rPr>
      </w:pPr>
    </w:p>
    <w:p w14:paraId="16909443" w14:textId="77777777" w:rsidR="00651235" w:rsidRDefault="00651235" w:rsidP="00651235">
      <w:pPr>
        <w:numPr>
          <w:ilvl w:val="0"/>
          <w:numId w:val="35"/>
        </w:numPr>
        <w:shd w:val="clear" w:color="auto" w:fill="FFFFFF"/>
        <w:spacing w:after="90" w:line="300" w:lineRule="atLeast"/>
        <w:ind w:left="567"/>
        <w:rPr>
          <w:rFonts w:ascii="Helvetica" w:eastAsia="Times New Roman" w:hAnsi="Helvetica" w:cs="Times New Roman"/>
          <w:color w:val="222222"/>
          <w:sz w:val="28"/>
          <w:szCs w:val="28"/>
        </w:rPr>
      </w:pPr>
      <w:r w:rsidRPr="0016088C">
        <w:rPr>
          <w:rFonts w:ascii="Helvetica" w:eastAsia="Times New Roman" w:hAnsi="Helvetica" w:cs="Times New Roman"/>
          <w:color w:val="222222"/>
          <w:sz w:val="28"/>
          <w:szCs w:val="28"/>
        </w:rPr>
        <w:t>through the department, provide advice to research funding bodies regarding the status of current immunisation research and areas where additional research is required</w:t>
      </w:r>
    </w:p>
    <w:p w14:paraId="5C421458" w14:textId="77777777" w:rsidR="00651235" w:rsidRPr="0016088C" w:rsidRDefault="00651235" w:rsidP="00651235">
      <w:pPr>
        <w:shd w:val="clear" w:color="auto" w:fill="FFFFFF"/>
        <w:spacing w:after="90" w:line="300" w:lineRule="atLeast"/>
        <w:rPr>
          <w:rFonts w:ascii="Helvetica" w:eastAsia="Times New Roman" w:hAnsi="Helvetica" w:cs="Times New Roman"/>
          <w:color w:val="222222"/>
          <w:sz w:val="28"/>
          <w:szCs w:val="28"/>
        </w:rPr>
      </w:pPr>
    </w:p>
    <w:p w14:paraId="439490E0" w14:textId="77777777" w:rsidR="00651235" w:rsidRDefault="00651235" w:rsidP="00651235">
      <w:pPr>
        <w:numPr>
          <w:ilvl w:val="0"/>
          <w:numId w:val="35"/>
        </w:numPr>
        <w:shd w:val="clear" w:color="auto" w:fill="FFFFFF"/>
        <w:spacing w:after="90" w:line="300" w:lineRule="atLeast"/>
        <w:ind w:left="567"/>
        <w:rPr>
          <w:rFonts w:ascii="Helvetica" w:eastAsia="Times New Roman" w:hAnsi="Helvetica" w:cs="Times New Roman"/>
          <w:color w:val="222222"/>
          <w:sz w:val="28"/>
          <w:szCs w:val="28"/>
        </w:rPr>
      </w:pPr>
      <w:r w:rsidRPr="0016088C">
        <w:rPr>
          <w:rFonts w:ascii="Helvetica" w:eastAsia="Times New Roman" w:hAnsi="Helvetica" w:cs="Times New Roman"/>
          <w:color w:val="222222"/>
          <w:sz w:val="28"/>
          <w:szCs w:val="28"/>
        </w:rPr>
        <w:t>advise the Pharmaceutical Benefits Advisory Committee on matters relating to the ongoing strength of evidence pertaining to existing, new and emerging vaccines in relation to their effectiveness and use in Australian populations</w:t>
      </w:r>
    </w:p>
    <w:p w14:paraId="799941F5" w14:textId="77777777" w:rsidR="00651235" w:rsidRPr="0016088C" w:rsidRDefault="00651235" w:rsidP="00651235">
      <w:pPr>
        <w:shd w:val="clear" w:color="auto" w:fill="FFFFFF"/>
        <w:spacing w:after="90" w:line="300" w:lineRule="atLeast"/>
        <w:rPr>
          <w:rFonts w:ascii="Helvetica" w:eastAsia="Times New Roman" w:hAnsi="Helvetica" w:cs="Times New Roman"/>
          <w:color w:val="222222"/>
          <w:sz w:val="28"/>
          <w:szCs w:val="28"/>
        </w:rPr>
      </w:pPr>
    </w:p>
    <w:p w14:paraId="3586C69B" w14:textId="77777777" w:rsidR="00651235" w:rsidRDefault="00651235" w:rsidP="00651235">
      <w:pPr>
        <w:numPr>
          <w:ilvl w:val="0"/>
          <w:numId w:val="35"/>
        </w:numPr>
        <w:shd w:val="clear" w:color="auto" w:fill="FFFFFF"/>
        <w:spacing w:after="90" w:line="300" w:lineRule="atLeast"/>
        <w:ind w:left="567"/>
        <w:rPr>
          <w:rFonts w:ascii="Helvetica" w:eastAsia="Times New Roman" w:hAnsi="Helvetica" w:cs="Times New Roman"/>
          <w:color w:val="222222"/>
          <w:sz w:val="28"/>
          <w:szCs w:val="28"/>
        </w:rPr>
      </w:pPr>
      <w:r w:rsidRPr="0016088C">
        <w:rPr>
          <w:rFonts w:ascii="Helvetica" w:eastAsia="Times New Roman" w:hAnsi="Helvetica" w:cs="Times New Roman"/>
          <w:color w:val="222222"/>
          <w:sz w:val="28"/>
          <w:szCs w:val="28"/>
        </w:rPr>
        <w:t>produce the Australian Immunisation Handbook for the approval of the National Health and Medical Research Council</w:t>
      </w:r>
    </w:p>
    <w:p w14:paraId="79CA9091" w14:textId="77777777" w:rsidR="00651235" w:rsidRPr="0016088C" w:rsidRDefault="00651235" w:rsidP="00651235">
      <w:pPr>
        <w:shd w:val="clear" w:color="auto" w:fill="FFFFFF"/>
        <w:spacing w:after="90" w:line="300" w:lineRule="atLeast"/>
        <w:rPr>
          <w:rFonts w:ascii="Helvetica" w:eastAsia="Times New Roman" w:hAnsi="Helvetica" w:cs="Times New Roman"/>
          <w:color w:val="222222"/>
          <w:sz w:val="28"/>
          <w:szCs w:val="28"/>
        </w:rPr>
      </w:pPr>
    </w:p>
    <w:p w14:paraId="090C8937" w14:textId="77777777" w:rsidR="00651235" w:rsidRDefault="00651235" w:rsidP="00651235">
      <w:pPr>
        <w:numPr>
          <w:ilvl w:val="0"/>
          <w:numId w:val="35"/>
        </w:numPr>
        <w:shd w:val="clear" w:color="auto" w:fill="FFFFFF"/>
        <w:spacing w:after="90" w:line="300" w:lineRule="atLeast"/>
        <w:ind w:left="567"/>
        <w:rPr>
          <w:rFonts w:ascii="Helvetica" w:eastAsia="Times New Roman" w:hAnsi="Helvetica" w:cs="Times New Roman"/>
          <w:color w:val="222222"/>
          <w:sz w:val="28"/>
          <w:szCs w:val="28"/>
        </w:rPr>
      </w:pPr>
      <w:r w:rsidRPr="0016088C">
        <w:rPr>
          <w:rFonts w:ascii="Helvetica" w:eastAsia="Times New Roman" w:hAnsi="Helvetica" w:cs="Times New Roman"/>
          <w:color w:val="222222"/>
          <w:sz w:val="28"/>
          <w:szCs w:val="28"/>
        </w:rPr>
        <w:t>consult with the National Immunisation Committee (NIC) on the content and format of the Australian Immunisation Handbook and associated implementation strategies</w:t>
      </w:r>
    </w:p>
    <w:p w14:paraId="3B728386" w14:textId="77777777" w:rsidR="00651235" w:rsidRDefault="00651235" w:rsidP="00651235">
      <w:pPr>
        <w:shd w:val="clear" w:color="auto" w:fill="FFFFFF"/>
        <w:spacing w:after="90" w:line="300" w:lineRule="atLeast"/>
        <w:rPr>
          <w:rFonts w:ascii="Helvetica" w:eastAsia="Times New Roman" w:hAnsi="Helvetica" w:cs="Times New Roman"/>
          <w:color w:val="222222"/>
          <w:sz w:val="28"/>
          <w:szCs w:val="28"/>
        </w:rPr>
      </w:pPr>
    </w:p>
    <w:p w14:paraId="48128DBE" w14:textId="40F8C85D" w:rsidR="00651235" w:rsidRPr="00651235" w:rsidRDefault="00651235" w:rsidP="00651235">
      <w:pPr>
        <w:numPr>
          <w:ilvl w:val="0"/>
          <w:numId w:val="35"/>
        </w:numPr>
        <w:shd w:val="clear" w:color="auto" w:fill="FFFFFF"/>
        <w:spacing w:after="90" w:line="300" w:lineRule="atLeast"/>
        <w:ind w:left="567"/>
        <w:rPr>
          <w:rFonts w:ascii="Helvetica" w:eastAsia="Times New Roman" w:hAnsi="Helvetica" w:cs="Times New Roman"/>
          <w:color w:val="222222"/>
          <w:sz w:val="28"/>
          <w:szCs w:val="28"/>
        </w:rPr>
      </w:pPr>
      <w:r w:rsidRPr="0016088C">
        <w:rPr>
          <w:rFonts w:ascii="Helvetica" w:eastAsia="Times New Roman" w:hAnsi="Helvetica" w:cs="Times New Roman"/>
          <w:color w:val="222222"/>
          <w:sz w:val="28"/>
          <w:szCs w:val="28"/>
        </w:rPr>
        <w:t>consult with the Communicable Diseases Network Australia (CDNA) and the Advisory Committee on Vaccines (ACV) on matters relating to the implementation of immunisation policies, procedures and vaccine safety</w:t>
      </w:r>
    </w:p>
    <w:sectPr w:rsidR="00651235" w:rsidRPr="00651235" w:rsidSect="004F3AA0">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95477" w14:textId="77777777" w:rsidR="009E5B4B" w:rsidRDefault="009E5B4B" w:rsidP="005F4768">
      <w:r>
        <w:separator/>
      </w:r>
    </w:p>
  </w:endnote>
  <w:endnote w:type="continuationSeparator" w:id="0">
    <w:p w14:paraId="0ECA6AA0" w14:textId="77777777" w:rsidR="009E5B4B" w:rsidRDefault="009E5B4B" w:rsidP="005F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5938C" w14:textId="77777777" w:rsidR="00427571" w:rsidRDefault="00427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79C41" w14:textId="1CA74D25" w:rsidR="0004452A" w:rsidRDefault="0004452A" w:rsidP="0004452A">
    <w:pPr>
      <w:pStyle w:val="Footer"/>
      <w:jc w:val="right"/>
    </w:pPr>
    <w:r>
      <w:t xml:space="preserve">Page </w:t>
    </w:r>
    <w:sdt>
      <w:sdtPr>
        <w:id w:val="-9345151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1235">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5DDC1" w14:textId="1750E8D8" w:rsidR="006F5435" w:rsidRDefault="006F5435" w:rsidP="0004452A">
    <w:pPr>
      <w:pStyle w:val="Footer"/>
      <w:tabs>
        <w:tab w:val="left" w:pos="9360"/>
        <w:tab w:val="right" w:pos="10204"/>
      </w:tabs>
      <w:jc w:val="right"/>
    </w:pPr>
    <w:r>
      <w:t xml:space="preserve">Page </w:t>
    </w:r>
    <w:sdt>
      <w:sdtPr>
        <w:id w:val="-14901734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27571">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EE5DA" w14:textId="77777777" w:rsidR="009E5B4B" w:rsidRDefault="009E5B4B" w:rsidP="005F4768">
      <w:r>
        <w:separator/>
      </w:r>
    </w:p>
  </w:footnote>
  <w:footnote w:type="continuationSeparator" w:id="0">
    <w:p w14:paraId="5EFD7159" w14:textId="77777777" w:rsidR="009E5B4B" w:rsidRDefault="009E5B4B" w:rsidP="005F4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BBDCB" w14:textId="77777777" w:rsidR="00427571" w:rsidRDefault="00427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AE05A" w14:textId="77777777" w:rsidR="00427571" w:rsidRDefault="004275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84EBB" w14:textId="77777777" w:rsidR="00427571" w:rsidRDefault="00427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3E1BAE"/>
    <w:lvl w:ilvl="0">
      <w:start w:val="1"/>
      <w:numFmt w:val="decimal"/>
      <w:lvlText w:val="%1."/>
      <w:lvlJc w:val="left"/>
      <w:pPr>
        <w:tabs>
          <w:tab w:val="num" w:pos="1492"/>
        </w:tabs>
        <w:ind w:left="1492" w:hanging="360"/>
      </w:pPr>
    </w:lvl>
  </w:abstractNum>
  <w:abstractNum w:abstractNumId="1">
    <w:nsid w:val="FFFFFF7D"/>
    <w:multiLevelType w:val="singleLevel"/>
    <w:tmpl w:val="DDB649D4"/>
    <w:lvl w:ilvl="0">
      <w:start w:val="1"/>
      <w:numFmt w:val="decimal"/>
      <w:lvlText w:val="%1."/>
      <w:lvlJc w:val="left"/>
      <w:pPr>
        <w:tabs>
          <w:tab w:val="num" w:pos="1209"/>
        </w:tabs>
        <w:ind w:left="1209" w:hanging="360"/>
      </w:pPr>
    </w:lvl>
  </w:abstractNum>
  <w:abstractNum w:abstractNumId="2">
    <w:nsid w:val="FFFFFF7E"/>
    <w:multiLevelType w:val="singleLevel"/>
    <w:tmpl w:val="C0F03AAA"/>
    <w:lvl w:ilvl="0">
      <w:start w:val="1"/>
      <w:numFmt w:val="decimal"/>
      <w:lvlText w:val="%1."/>
      <w:lvlJc w:val="left"/>
      <w:pPr>
        <w:tabs>
          <w:tab w:val="num" w:pos="926"/>
        </w:tabs>
        <w:ind w:left="926" w:hanging="360"/>
      </w:pPr>
    </w:lvl>
  </w:abstractNum>
  <w:abstractNum w:abstractNumId="3">
    <w:nsid w:val="FFFFFF7F"/>
    <w:multiLevelType w:val="singleLevel"/>
    <w:tmpl w:val="C9EACABA"/>
    <w:lvl w:ilvl="0">
      <w:start w:val="1"/>
      <w:numFmt w:val="decimal"/>
      <w:lvlText w:val="%1."/>
      <w:lvlJc w:val="left"/>
      <w:pPr>
        <w:tabs>
          <w:tab w:val="num" w:pos="643"/>
        </w:tabs>
        <w:ind w:left="643" w:hanging="360"/>
      </w:pPr>
    </w:lvl>
  </w:abstractNum>
  <w:abstractNum w:abstractNumId="4">
    <w:nsid w:val="FFFFFF80"/>
    <w:multiLevelType w:val="singleLevel"/>
    <w:tmpl w:val="1494E9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84AA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9E2D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84EA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12C728"/>
    <w:lvl w:ilvl="0">
      <w:start w:val="1"/>
      <w:numFmt w:val="decimal"/>
      <w:lvlText w:val="%1."/>
      <w:lvlJc w:val="left"/>
      <w:pPr>
        <w:tabs>
          <w:tab w:val="num" w:pos="360"/>
        </w:tabs>
        <w:ind w:left="360" w:hanging="360"/>
      </w:pPr>
    </w:lvl>
  </w:abstractNum>
  <w:abstractNum w:abstractNumId="9">
    <w:nsid w:val="FFFFFF89"/>
    <w:multiLevelType w:val="singleLevel"/>
    <w:tmpl w:val="7AB4E60C"/>
    <w:lvl w:ilvl="0">
      <w:start w:val="1"/>
      <w:numFmt w:val="bullet"/>
      <w:lvlText w:val=""/>
      <w:lvlJc w:val="left"/>
      <w:pPr>
        <w:tabs>
          <w:tab w:val="num" w:pos="360"/>
        </w:tabs>
        <w:ind w:left="360" w:hanging="360"/>
      </w:pPr>
      <w:rPr>
        <w:rFonts w:ascii="Symbol" w:hAnsi="Symbol" w:hint="default"/>
      </w:rPr>
    </w:lvl>
  </w:abstractNum>
  <w:abstractNum w:abstractNumId="10">
    <w:nsid w:val="046F537A"/>
    <w:multiLevelType w:val="hybridMultilevel"/>
    <w:tmpl w:val="A3F46136"/>
    <w:lvl w:ilvl="0" w:tplc="BEAC84C0">
      <w:start w:val="1"/>
      <w:numFmt w:val="bullet"/>
      <w:pStyle w:val="Sub-bullet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09884AA4"/>
    <w:multiLevelType w:val="hybridMultilevel"/>
    <w:tmpl w:val="A8C2A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nsid w:val="172F1740"/>
    <w:multiLevelType w:val="multilevel"/>
    <w:tmpl w:val="4A1A5CB6"/>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120533"/>
    <w:multiLevelType w:val="hybridMultilevel"/>
    <w:tmpl w:val="1FBA9C56"/>
    <w:lvl w:ilvl="0" w:tplc="136C86B6">
      <w:start w:val="1"/>
      <w:numFmt w:val="bullet"/>
      <w:pStyle w:val="TableTextbullet"/>
      <w:lvlText w:val=""/>
      <w:lvlJc w:val="left"/>
      <w:pPr>
        <w:ind w:left="360" w:hanging="360"/>
      </w:pPr>
      <w:rPr>
        <w:rFonts w:ascii="Wingdings 3" w:hAnsi="Wingdings 3"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nsid w:val="39D155AE"/>
    <w:multiLevelType w:val="multilevel"/>
    <w:tmpl w:val="6E3C571A"/>
    <w:lvl w:ilvl="0">
      <w:start w:val="1"/>
      <w:numFmt w:val="bullet"/>
      <w:pStyle w:val="BulletedLis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C41621"/>
    <w:multiLevelType w:val="hybridMultilevel"/>
    <w:tmpl w:val="58AE9E6A"/>
    <w:lvl w:ilvl="0" w:tplc="E36428BC">
      <w:start w:val="1"/>
      <w:numFmt w:val="bullet"/>
      <w:lvlText w:val="•"/>
      <w:lvlJc w:val="left"/>
      <w:pPr>
        <w:tabs>
          <w:tab w:val="num" w:pos="720"/>
        </w:tabs>
        <w:ind w:left="720" w:hanging="360"/>
      </w:pPr>
      <w:rPr>
        <w:rFonts w:ascii="Arial" w:hAnsi="Arial" w:hint="default"/>
      </w:rPr>
    </w:lvl>
    <w:lvl w:ilvl="1" w:tplc="3F9007F0">
      <w:start w:val="1"/>
      <w:numFmt w:val="bullet"/>
      <w:lvlText w:val="•"/>
      <w:lvlJc w:val="left"/>
      <w:pPr>
        <w:tabs>
          <w:tab w:val="num" w:pos="1440"/>
        </w:tabs>
        <w:ind w:left="1440" w:hanging="360"/>
      </w:pPr>
      <w:rPr>
        <w:rFonts w:ascii="Arial" w:hAnsi="Arial" w:hint="default"/>
      </w:rPr>
    </w:lvl>
    <w:lvl w:ilvl="2" w:tplc="E76CDBF0" w:tentative="1">
      <w:start w:val="1"/>
      <w:numFmt w:val="bullet"/>
      <w:lvlText w:val="•"/>
      <w:lvlJc w:val="left"/>
      <w:pPr>
        <w:tabs>
          <w:tab w:val="num" w:pos="2160"/>
        </w:tabs>
        <w:ind w:left="2160" w:hanging="360"/>
      </w:pPr>
      <w:rPr>
        <w:rFonts w:ascii="Arial" w:hAnsi="Arial" w:hint="default"/>
      </w:rPr>
    </w:lvl>
    <w:lvl w:ilvl="3" w:tplc="0C486614" w:tentative="1">
      <w:start w:val="1"/>
      <w:numFmt w:val="bullet"/>
      <w:lvlText w:val="•"/>
      <w:lvlJc w:val="left"/>
      <w:pPr>
        <w:tabs>
          <w:tab w:val="num" w:pos="2880"/>
        </w:tabs>
        <w:ind w:left="2880" w:hanging="360"/>
      </w:pPr>
      <w:rPr>
        <w:rFonts w:ascii="Arial" w:hAnsi="Arial" w:hint="default"/>
      </w:rPr>
    </w:lvl>
    <w:lvl w:ilvl="4" w:tplc="9D984064" w:tentative="1">
      <w:start w:val="1"/>
      <w:numFmt w:val="bullet"/>
      <w:lvlText w:val="•"/>
      <w:lvlJc w:val="left"/>
      <w:pPr>
        <w:tabs>
          <w:tab w:val="num" w:pos="3600"/>
        </w:tabs>
        <w:ind w:left="3600" w:hanging="360"/>
      </w:pPr>
      <w:rPr>
        <w:rFonts w:ascii="Arial" w:hAnsi="Arial" w:hint="default"/>
      </w:rPr>
    </w:lvl>
    <w:lvl w:ilvl="5" w:tplc="CB88DF74" w:tentative="1">
      <w:start w:val="1"/>
      <w:numFmt w:val="bullet"/>
      <w:lvlText w:val="•"/>
      <w:lvlJc w:val="left"/>
      <w:pPr>
        <w:tabs>
          <w:tab w:val="num" w:pos="4320"/>
        </w:tabs>
        <w:ind w:left="4320" w:hanging="360"/>
      </w:pPr>
      <w:rPr>
        <w:rFonts w:ascii="Arial" w:hAnsi="Arial" w:hint="default"/>
      </w:rPr>
    </w:lvl>
    <w:lvl w:ilvl="6" w:tplc="1C2AF95C" w:tentative="1">
      <w:start w:val="1"/>
      <w:numFmt w:val="bullet"/>
      <w:lvlText w:val="•"/>
      <w:lvlJc w:val="left"/>
      <w:pPr>
        <w:tabs>
          <w:tab w:val="num" w:pos="5040"/>
        </w:tabs>
        <w:ind w:left="5040" w:hanging="360"/>
      </w:pPr>
      <w:rPr>
        <w:rFonts w:ascii="Arial" w:hAnsi="Arial" w:hint="default"/>
      </w:rPr>
    </w:lvl>
    <w:lvl w:ilvl="7" w:tplc="E02EFDE2" w:tentative="1">
      <w:start w:val="1"/>
      <w:numFmt w:val="bullet"/>
      <w:lvlText w:val="•"/>
      <w:lvlJc w:val="left"/>
      <w:pPr>
        <w:tabs>
          <w:tab w:val="num" w:pos="5760"/>
        </w:tabs>
        <w:ind w:left="5760" w:hanging="360"/>
      </w:pPr>
      <w:rPr>
        <w:rFonts w:ascii="Arial" w:hAnsi="Arial" w:hint="default"/>
      </w:rPr>
    </w:lvl>
    <w:lvl w:ilvl="8" w:tplc="4F9688E8" w:tentative="1">
      <w:start w:val="1"/>
      <w:numFmt w:val="bullet"/>
      <w:lvlText w:val="•"/>
      <w:lvlJc w:val="left"/>
      <w:pPr>
        <w:tabs>
          <w:tab w:val="num" w:pos="6480"/>
        </w:tabs>
        <w:ind w:left="6480" w:hanging="360"/>
      </w:pPr>
      <w:rPr>
        <w:rFonts w:ascii="Arial" w:hAnsi="Arial" w:hint="default"/>
      </w:rPr>
    </w:lvl>
  </w:abstractNum>
  <w:abstractNum w:abstractNumId="17">
    <w:nsid w:val="4A917260"/>
    <w:multiLevelType w:val="hybridMultilevel"/>
    <w:tmpl w:val="3D2AFB66"/>
    <w:lvl w:ilvl="0" w:tplc="2476253E">
      <w:start w:val="1"/>
      <w:numFmt w:val="decimal"/>
      <w:pStyle w:val="Heading4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3B268B7"/>
    <w:multiLevelType w:val="hybridMultilevel"/>
    <w:tmpl w:val="3CE4843A"/>
    <w:lvl w:ilvl="0" w:tplc="04186316">
      <w:start w:val="1"/>
      <w:numFmt w:val="decimal"/>
      <w:pStyle w:val="Heading3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88E4B85"/>
    <w:multiLevelType w:val="multilevel"/>
    <w:tmpl w:val="FCFC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1921B9"/>
    <w:multiLevelType w:val="hybridMultilevel"/>
    <w:tmpl w:val="5FFE09A8"/>
    <w:lvl w:ilvl="0" w:tplc="CB5C1172">
      <w:start w:val="1"/>
      <w:numFmt w:val="decimal"/>
      <w:pStyle w:val="Heading2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7BB1F22"/>
    <w:multiLevelType w:val="hybridMultilevel"/>
    <w:tmpl w:val="031EE8DE"/>
    <w:lvl w:ilvl="0" w:tplc="F3F494B8">
      <w:start w:val="1"/>
      <w:numFmt w:val="bullet"/>
      <w:pStyle w:val="Sub-bulletedlis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2"/>
  </w:num>
  <w:num w:numId="2">
    <w:abstractNumId w:val="16"/>
  </w:num>
  <w:num w:numId="3">
    <w:abstractNumId w:val="14"/>
  </w:num>
  <w:num w:numId="4">
    <w:abstractNumId w:val="12"/>
  </w:num>
  <w:num w:numId="5">
    <w:abstractNumId w:val="16"/>
  </w:num>
  <w:num w:numId="6">
    <w:abstractNumId w:val="14"/>
  </w:num>
  <w:num w:numId="7">
    <w:abstractNumId w:val="13"/>
  </w:num>
  <w:num w:numId="8">
    <w:abstractNumId w:val="15"/>
  </w:num>
  <w:num w:numId="9">
    <w:abstractNumId w:val="20"/>
  </w:num>
  <w:num w:numId="10">
    <w:abstractNumId w:val="18"/>
  </w:num>
  <w:num w:numId="11">
    <w:abstractNumId w:val="17"/>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67"/>
    <w:rsid w:val="00003743"/>
    <w:rsid w:val="0004452A"/>
    <w:rsid w:val="00067456"/>
    <w:rsid w:val="000C27C2"/>
    <w:rsid w:val="000F2055"/>
    <w:rsid w:val="0018425E"/>
    <w:rsid w:val="00190797"/>
    <w:rsid w:val="001B3443"/>
    <w:rsid w:val="001F1297"/>
    <w:rsid w:val="00205C5A"/>
    <w:rsid w:val="002650A3"/>
    <w:rsid w:val="00291A4E"/>
    <w:rsid w:val="002A7C0B"/>
    <w:rsid w:val="002F3AE3"/>
    <w:rsid w:val="003021C5"/>
    <w:rsid w:val="00304DAF"/>
    <w:rsid w:val="0030786C"/>
    <w:rsid w:val="00323B20"/>
    <w:rsid w:val="003D17F9"/>
    <w:rsid w:val="00427571"/>
    <w:rsid w:val="004867E2"/>
    <w:rsid w:val="004A2CD4"/>
    <w:rsid w:val="004A32C3"/>
    <w:rsid w:val="004F3AA0"/>
    <w:rsid w:val="00543C9E"/>
    <w:rsid w:val="00561352"/>
    <w:rsid w:val="00573D48"/>
    <w:rsid w:val="00596E15"/>
    <w:rsid w:val="005D2E42"/>
    <w:rsid w:val="005E0FAB"/>
    <w:rsid w:val="005F4768"/>
    <w:rsid w:val="006164C2"/>
    <w:rsid w:val="00627DF9"/>
    <w:rsid w:val="00651235"/>
    <w:rsid w:val="006603E3"/>
    <w:rsid w:val="006727F5"/>
    <w:rsid w:val="00672899"/>
    <w:rsid w:val="006F5435"/>
    <w:rsid w:val="008264EB"/>
    <w:rsid w:val="00917E71"/>
    <w:rsid w:val="00983721"/>
    <w:rsid w:val="009D7609"/>
    <w:rsid w:val="009D7661"/>
    <w:rsid w:val="009E5B4B"/>
    <w:rsid w:val="009F4C87"/>
    <w:rsid w:val="009F7DAB"/>
    <w:rsid w:val="00A30A78"/>
    <w:rsid w:val="00A4512D"/>
    <w:rsid w:val="00A66C82"/>
    <w:rsid w:val="00A705AF"/>
    <w:rsid w:val="00AC1AA3"/>
    <w:rsid w:val="00B42851"/>
    <w:rsid w:val="00B44123"/>
    <w:rsid w:val="00CB4C13"/>
    <w:rsid w:val="00CB5B1A"/>
    <w:rsid w:val="00CD0C70"/>
    <w:rsid w:val="00D04189"/>
    <w:rsid w:val="00D22D32"/>
    <w:rsid w:val="00D33167"/>
    <w:rsid w:val="00DE28BE"/>
    <w:rsid w:val="00DF782A"/>
    <w:rsid w:val="00E228B6"/>
    <w:rsid w:val="00E7099F"/>
    <w:rsid w:val="00F151D2"/>
    <w:rsid w:val="00F15390"/>
    <w:rsid w:val="00F2109D"/>
    <w:rsid w:val="00F3028E"/>
    <w:rsid w:val="00F410B0"/>
    <w:rsid w:val="00F60DF4"/>
    <w:rsid w:val="00F9158F"/>
    <w:rsid w:val="00FD3D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310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FAB"/>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CB4C13"/>
    <w:pPr>
      <w:spacing w:before="300" w:after="100" w:line="271" w:lineRule="auto"/>
      <w:outlineLvl w:val="1"/>
    </w:pPr>
    <w:rPr>
      <w:b/>
      <w:color w:val="57259F"/>
      <w:sz w:val="25"/>
      <w:szCs w:val="28"/>
    </w:rPr>
  </w:style>
  <w:style w:type="paragraph" w:styleId="Heading3">
    <w:name w:val="heading 3"/>
    <w:basedOn w:val="Normal"/>
    <w:next w:val="Normal"/>
    <w:link w:val="Heading3Char"/>
    <w:uiPriority w:val="9"/>
    <w:unhideWhenUsed/>
    <w:qFormat/>
    <w:rsid w:val="00CB4C13"/>
    <w:pPr>
      <w:spacing w:before="200" w:after="100" w:line="271" w:lineRule="auto"/>
      <w:outlineLvl w:val="2"/>
    </w:pPr>
    <w:rPr>
      <w:iCs/>
      <w:color w:val="57259F"/>
      <w:spacing w:val="5"/>
      <w:sz w:val="24"/>
      <w:szCs w:val="26"/>
    </w:rPr>
  </w:style>
  <w:style w:type="paragraph" w:styleId="Heading4">
    <w:name w:val="heading 4"/>
    <w:basedOn w:val="Normal"/>
    <w:next w:val="Normal"/>
    <w:link w:val="Heading4Char"/>
    <w:uiPriority w:val="9"/>
    <w:unhideWhenUsed/>
    <w:qFormat/>
    <w:rsid w:val="00CB4C13"/>
    <w:pPr>
      <w:spacing w:after="100" w:line="271" w:lineRule="auto"/>
      <w:outlineLvl w:val="3"/>
    </w:pPr>
    <w:rPr>
      <w:bCs/>
      <w:caps/>
      <w:color w:val="57259F"/>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eastAsiaTheme="minorEastAsia" w:hAnsi="Arial"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eastAsiaTheme="minorEastAsia" w:hAnsi="Tahoma" w:cs="Tahoma"/>
      <w:sz w:val="16"/>
      <w:szCs w:val="16"/>
      <w:lang w:val="en-GB" w:eastAsia="en-GB"/>
    </w:rPr>
  </w:style>
  <w:style w:type="paragraph" w:styleId="Header">
    <w:name w:val="header"/>
    <w:basedOn w:val="Normal"/>
    <w:link w:val="HeaderChar"/>
    <w:rsid w:val="00A66C82"/>
    <w:pPr>
      <w:tabs>
        <w:tab w:val="center" w:pos="4513"/>
        <w:tab w:val="right" w:pos="9026"/>
      </w:tabs>
      <w:spacing w:after="0" w:line="240" w:lineRule="auto"/>
    </w:pPr>
  </w:style>
  <w:style w:type="character" w:customStyle="1" w:styleId="HeaderChar">
    <w:name w:val="Header Char"/>
    <w:basedOn w:val="DefaultParagraphFont"/>
    <w:link w:val="Header"/>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rsid w:val="00672899"/>
    <w:pPr>
      <w:numPr>
        <w:numId w:val="4"/>
      </w:numPr>
      <w:spacing w:after="120"/>
    </w:pPr>
  </w:style>
  <w:style w:type="paragraph" w:customStyle="1" w:styleId="Heading1Black">
    <w:name w:val="Heading 1 Black"/>
    <w:basedOn w:val="Heading1"/>
    <w:next w:val="Normal1stParaafterHeading1"/>
    <w:autoRedefine/>
    <w:qFormat/>
    <w:rsid w:val="00651235"/>
    <w:pPr>
      <w:pBdr>
        <w:left w:val="single" w:sz="48" w:space="8" w:color="57259F"/>
      </w:pBdr>
      <w:spacing w:after="120"/>
      <w:ind w:left="284"/>
    </w:pPr>
    <w:rPr>
      <w:bCs/>
      <w:caps/>
      <w:color w:val="000000" w:themeColor="text1"/>
      <w:sz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6"/>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672899"/>
    <w:pPr>
      <w:pBdr>
        <w:top w:val="single" w:sz="4" w:space="5" w:color="00B0F0"/>
        <w:left w:val="single" w:sz="4" w:space="5" w:color="00B0F0"/>
        <w:bottom w:val="single" w:sz="4" w:space="5" w:color="00B0F0"/>
        <w:right w:val="single" w:sz="4" w:space="5" w:color="00B0F0"/>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672899"/>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672899"/>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CB4C13"/>
    <w:rPr>
      <w:rFonts w:ascii="Arial" w:hAnsi="Arial" w:cs="Arial"/>
      <w:b/>
      <w:color w:val="57259F"/>
      <w:sz w:val="25"/>
      <w:szCs w:val="28"/>
    </w:rPr>
  </w:style>
  <w:style w:type="character" w:customStyle="1" w:styleId="Heading3Char">
    <w:name w:val="Heading 3 Char"/>
    <w:basedOn w:val="DefaultParagraphFont"/>
    <w:link w:val="Heading3"/>
    <w:uiPriority w:val="9"/>
    <w:rsid w:val="00CB4C13"/>
    <w:rPr>
      <w:rFonts w:ascii="Arial" w:hAnsi="Arial" w:cs="Arial"/>
      <w:iCs/>
      <w:color w:val="57259F"/>
      <w:spacing w:val="5"/>
      <w:sz w:val="24"/>
      <w:szCs w:val="26"/>
    </w:rPr>
  </w:style>
  <w:style w:type="character" w:customStyle="1" w:styleId="Heading4Char">
    <w:name w:val="Heading 4 Char"/>
    <w:basedOn w:val="DefaultParagraphFont"/>
    <w:link w:val="Heading4"/>
    <w:uiPriority w:val="9"/>
    <w:rsid w:val="00CB4C13"/>
    <w:rPr>
      <w:rFonts w:ascii="Arial" w:hAnsi="Arial" w:cs="Arial"/>
      <w:bCs/>
      <w:caps/>
      <w:color w:val="57259F"/>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7"/>
      </w:numPr>
      <w:spacing w:after="100"/>
      <w:ind w:left="714" w:hanging="357"/>
    </w:pPr>
    <w:rPr>
      <w:lang w:val="en"/>
    </w:rPr>
  </w:style>
  <w:style w:type="paragraph" w:customStyle="1" w:styleId="BulletedList">
    <w:name w:val="Bulleted List"/>
    <w:basedOn w:val="Normal"/>
    <w:qFormat/>
    <w:rsid w:val="001F1297"/>
    <w:pPr>
      <w:numPr>
        <w:numId w:val="8"/>
      </w:numPr>
      <w:spacing w:after="0"/>
      <w:ind w:left="714" w:hanging="357"/>
      <w:contextualSpacing/>
    </w:pPr>
    <w:rPr>
      <w:lang w:val="en"/>
    </w:rPr>
  </w:style>
  <w:style w:type="paragraph" w:customStyle="1" w:styleId="Heading2Numbered">
    <w:name w:val="Heading 2 Numbered"/>
    <w:basedOn w:val="Heading2"/>
    <w:qFormat/>
    <w:rsid w:val="006164C2"/>
    <w:pPr>
      <w:numPr>
        <w:numId w:val="9"/>
      </w:numPr>
    </w:pPr>
    <w:rPr>
      <w:lang w:val="en"/>
    </w:rPr>
  </w:style>
  <w:style w:type="paragraph" w:customStyle="1" w:styleId="Heading3Numbered">
    <w:name w:val="Heading 3 Numbered"/>
    <w:basedOn w:val="Heading3"/>
    <w:qFormat/>
    <w:rsid w:val="006164C2"/>
    <w:pPr>
      <w:numPr>
        <w:numId w:val="10"/>
      </w:numPr>
    </w:pPr>
  </w:style>
  <w:style w:type="paragraph" w:customStyle="1" w:styleId="Heading4Numbered">
    <w:name w:val="Heading 4 Numbered"/>
    <w:basedOn w:val="Heading4"/>
    <w:qFormat/>
    <w:rsid w:val="006164C2"/>
    <w:pPr>
      <w:numPr>
        <w:numId w:val="11"/>
      </w:numPr>
    </w:pPr>
  </w:style>
  <w:style w:type="paragraph" w:customStyle="1" w:styleId="Boxshadedcolourbackground">
    <w:name w:val="Box shaded colour background"/>
    <w:basedOn w:val="Normal"/>
    <w:qFormat/>
    <w:rsid w:val="00F9158F"/>
    <w:pPr>
      <w:pBdr>
        <w:top w:val="single" w:sz="4" w:space="8" w:color="F2F2F2"/>
        <w:left w:val="single" w:sz="4" w:space="8" w:color="F2F2F2"/>
        <w:bottom w:val="single" w:sz="4" w:space="8" w:color="F2F2F2"/>
        <w:right w:val="single" w:sz="4" w:space="8" w:color="F2F2F2"/>
      </w:pBdr>
      <w:shd w:val="clear" w:color="auto" w:fill="ECE5F5"/>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F15390"/>
    <w:pPr>
      <w:pBdr>
        <w:top w:val="single" w:sz="4" w:space="8" w:color="573393"/>
        <w:bottom w:val="single" w:sz="4" w:space="8" w:color="573393"/>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F15390"/>
    <w:pPr>
      <w:pBdr>
        <w:top w:val="single" w:sz="4" w:space="8" w:color="573393"/>
        <w:left w:val="single" w:sz="4" w:space="8" w:color="573393"/>
        <w:bottom w:val="single" w:sz="4" w:space="8" w:color="573393"/>
        <w:right w:val="single" w:sz="4" w:space="8" w:color="573393"/>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CD0C70"/>
    <w:pPr>
      <w:pBdr>
        <w:top w:val="single" w:sz="8" w:space="6" w:color="57259F"/>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561352"/>
    <w:pPr>
      <w:spacing w:after="100"/>
      <w:ind w:left="210"/>
    </w:pPr>
  </w:style>
  <w:style w:type="paragraph" w:customStyle="1" w:styleId="Heading1option2">
    <w:name w:val="Heading 1 option 2"/>
    <w:basedOn w:val="Heading1Black"/>
    <w:qFormat/>
    <w:rsid w:val="00561352"/>
    <w:pPr>
      <w:pBdr>
        <w:left w:val="none" w:sz="0" w:space="0" w:color="auto"/>
      </w:pBdr>
      <w:ind w:left="0"/>
    </w:pPr>
    <w:rPr>
      <w:caps w:val="0"/>
      <w:color w:val="57259F"/>
      <w:sz w:val="36"/>
    </w:r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paragraph" w:styleId="BodyText2">
    <w:name w:val="Body Text 2"/>
    <w:basedOn w:val="Normal"/>
    <w:link w:val="BodyText2Char"/>
    <w:rsid w:val="005E0FAB"/>
    <w:pPr>
      <w:spacing w:after="120" w:line="480" w:lineRule="auto"/>
    </w:pPr>
  </w:style>
  <w:style w:type="character" w:customStyle="1" w:styleId="BodyText2Char">
    <w:name w:val="Body Text 2 Char"/>
    <w:basedOn w:val="DefaultParagraphFont"/>
    <w:link w:val="BodyText2"/>
    <w:rsid w:val="005E0FAB"/>
    <w:rPr>
      <w:rFonts w:ascii="Arial" w:hAnsi="Arial" w:cs="Arial"/>
      <w:sz w:val="21"/>
      <w:szCs w:val="20"/>
    </w:rPr>
  </w:style>
  <w:style w:type="paragraph" w:styleId="FootnoteText">
    <w:name w:val="footnote text"/>
    <w:basedOn w:val="Normal"/>
    <w:link w:val="FootnoteTextChar"/>
    <w:uiPriority w:val="99"/>
    <w:unhideWhenUsed/>
    <w:rsid w:val="005E0FAB"/>
    <w:pPr>
      <w:spacing w:after="0" w:line="240" w:lineRule="auto"/>
    </w:pPr>
    <w:rPr>
      <w:rFonts w:asciiTheme="minorHAnsi" w:eastAsiaTheme="minorEastAsia" w:hAnsiTheme="minorHAnsi" w:cstheme="minorBidi"/>
      <w:sz w:val="20"/>
      <w:lang w:eastAsia="zh-CN"/>
    </w:rPr>
  </w:style>
  <w:style w:type="character" w:customStyle="1" w:styleId="FootnoteTextChar">
    <w:name w:val="Footnote Text Char"/>
    <w:basedOn w:val="DefaultParagraphFont"/>
    <w:link w:val="FootnoteText"/>
    <w:uiPriority w:val="99"/>
    <w:rsid w:val="005E0FAB"/>
    <w:rPr>
      <w:rFonts w:asciiTheme="minorHAnsi" w:eastAsiaTheme="minorEastAsia" w:hAnsiTheme="minorHAnsi" w:cstheme="minorBidi"/>
      <w:sz w:val="20"/>
      <w:szCs w:val="20"/>
      <w:lang w:eastAsia="zh-CN"/>
    </w:rPr>
  </w:style>
  <w:style w:type="character" w:styleId="FootnoteReference">
    <w:name w:val="footnote reference"/>
    <w:basedOn w:val="DefaultParagraphFont"/>
    <w:uiPriority w:val="99"/>
    <w:unhideWhenUsed/>
    <w:rsid w:val="005E0FAB"/>
    <w:rPr>
      <w:vertAlign w:val="superscript"/>
    </w:rPr>
  </w:style>
  <w:style w:type="table" w:styleId="TableGrid">
    <w:name w:val="Table Grid"/>
    <w:basedOn w:val="TableNormal"/>
    <w:rsid w:val="002A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dateinfo">
    <w:name w:val="Issue date info"/>
    <w:basedOn w:val="Normal"/>
    <w:qFormat/>
    <w:rsid w:val="00B44123"/>
    <w:pPr>
      <w:spacing w:before="120" w:after="240" w:line="360" w:lineRule="auto"/>
      <w:jc w:val="right"/>
    </w:pPr>
  </w:style>
  <w:style w:type="paragraph" w:customStyle="1" w:styleId="Sub-bulletedlist">
    <w:name w:val="Sub-bulleted list"/>
    <w:basedOn w:val="BulletedList"/>
    <w:rsid w:val="0018425E"/>
    <w:pPr>
      <w:numPr>
        <w:numId w:val="23"/>
      </w:numPr>
      <w:spacing w:line="240" w:lineRule="auto"/>
      <w:ind w:left="1797" w:hanging="357"/>
    </w:pPr>
    <w:rPr>
      <w:lang w:eastAsia="en-US"/>
    </w:rPr>
  </w:style>
  <w:style w:type="paragraph" w:customStyle="1" w:styleId="Sub-bullettedlist">
    <w:name w:val="Sub-bulletted list"/>
    <w:basedOn w:val="BulletedList"/>
    <w:qFormat/>
    <w:rsid w:val="009F4C87"/>
    <w:pPr>
      <w:numPr>
        <w:numId w:val="24"/>
      </w:numPr>
      <w:spacing w:after="120"/>
      <w:contextualSpacing w:val="0"/>
    </w:pPr>
    <w:rPr>
      <w:i/>
    </w:rPr>
  </w:style>
  <w:style w:type="character" w:styleId="CommentReference">
    <w:name w:val="annotation reference"/>
    <w:basedOn w:val="DefaultParagraphFont"/>
    <w:rsid w:val="00E228B6"/>
    <w:rPr>
      <w:sz w:val="16"/>
      <w:szCs w:val="16"/>
    </w:rPr>
  </w:style>
  <w:style w:type="paragraph" w:styleId="CommentText">
    <w:name w:val="annotation text"/>
    <w:basedOn w:val="Normal"/>
    <w:link w:val="CommentTextChar"/>
    <w:rsid w:val="00E228B6"/>
    <w:pPr>
      <w:spacing w:line="240" w:lineRule="auto"/>
    </w:pPr>
    <w:rPr>
      <w:sz w:val="20"/>
    </w:rPr>
  </w:style>
  <w:style w:type="character" w:customStyle="1" w:styleId="CommentTextChar">
    <w:name w:val="Comment Text Char"/>
    <w:basedOn w:val="DefaultParagraphFont"/>
    <w:link w:val="CommentText"/>
    <w:rsid w:val="00E228B6"/>
    <w:rPr>
      <w:rFonts w:ascii="Arial" w:hAnsi="Arial" w:cs="Arial"/>
      <w:sz w:val="20"/>
      <w:szCs w:val="20"/>
    </w:rPr>
  </w:style>
  <w:style w:type="paragraph" w:styleId="CommentSubject">
    <w:name w:val="annotation subject"/>
    <w:basedOn w:val="CommentText"/>
    <w:next w:val="CommentText"/>
    <w:link w:val="CommentSubjectChar"/>
    <w:rsid w:val="00E228B6"/>
    <w:rPr>
      <w:b/>
      <w:bCs/>
    </w:rPr>
  </w:style>
  <w:style w:type="character" w:customStyle="1" w:styleId="CommentSubjectChar">
    <w:name w:val="Comment Subject Char"/>
    <w:basedOn w:val="CommentTextChar"/>
    <w:link w:val="CommentSubject"/>
    <w:rsid w:val="00E228B6"/>
    <w:rPr>
      <w:rFonts w:ascii="Arial" w:hAnsi="Arial" w:cs="Arial"/>
      <w:b/>
      <w:bCs/>
      <w:sz w:val="20"/>
      <w:szCs w:val="20"/>
    </w:rPr>
  </w:style>
  <w:style w:type="paragraph" w:styleId="Revision">
    <w:name w:val="Revision"/>
    <w:hidden/>
    <w:uiPriority w:val="99"/>
    <w:semiHidden/>
    <w:rsid w:val="00E228B6"/>
    <w:pPr>
      <w:spacing w:after="0" w:line="240" w:lineRule="auto"/>
    </w:pPr>
    <w:rPr>
      <w:rFonts w:ascii="Arial" w:hAnsi="Arial" w:cs="Arial"/>
      <w:sz w:val="21"/>
      <w:szCs w:val="20"/>
    </w:rPr>
  </w:style>
  <w:style w:type="paragraph" w:styleId="ListParagraph">
    <w:name w:val="List Paragraph"/>
    <w:basedOn w:val="Normal"/>
    <w:uiPriority w:val="34"/>
    <w:qFormat/>
    <w:rsid w:val="00651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FAB"/>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CB4C13"/>
    <w:pPr>
      <w:spacing w:before="300" w:after="100" w:line="271" w:lineRule="auto"/>
      <w:outlineLvl w:val="1"/>
    </w:pPr>
    <w:rPr>
      <w:b/>
      <w:color w:val="57259F"/>
      <w:sz w:val="25"/>
      <w:szCs w:val="28"/>
    </w:rPr>
  </w:style>
  <w:style w:type="paragraph" w:styleId="Heading3">
    <w:name w:val="heading 3"/>
    <w:basedOn w:val="Normal"/>
    <w:next w:val="Normal"/>
    <w:link w:val="Heading3Char"/>
    <w:uiPriority w:val="9"/>
    <w:unhideWhenUsed/>
    <w:qFormat/>
    <w:rsid w:val="00CB4C13"/>
    <w:pPr>
      <w:spacing w:before="200" w:after="100" w:line="271" w:lineRule="auto"/>
      <w:outlineLvl w:val="2"/>
    </w:pPr>
    <w:rPr>
      <w:iCs/>
      <w:color w:val="57259F"/>
      <w:spacing w:val="5"/>
      <w:sz w:val="24"/>
      <w:szCs w:val="26"/>
    </w:rPr>
  </w:style>
  <w:style w:type="paragraph" w:styleId="Heading4">
    <w:name w:val="heading 4"/>
    <w:basedOn w:val="Normal"/>
    <w:next w:val="Normal"/>
    <w:link w:val="Heading4Char"/>
    <w:uiPriority w:val="9"/>
    <w:unhideWhenUsed/>
    <w:qFormat/>
    <w:rsid w:val="00CB4C13"/>
    <w:pPr>
      <w:spacing w:after="100" w:line="271" w:lineRule="auto"/>
      <w:outlineLvl w:val="3"/>
    </w:pPr>
    <w:rPr>
      <w:bCs/>
      <w:caps/>
      <w:color w:val="57259F"/>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eastAsiaTheme="minorEastAsia" w:hAnsi="Arial"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eastAsiaTheme="minorEastAsia" w:hAnsi="Tahoma" w:cs="Tahoma"/>
      <w:sz w:val="16"/>
      <w:szCs w:val="16"/>
      <w:lang w:val="en-GB" w:eastAsia="en-GB"/>
    </w:rPr>
  </w:style>
  <w:style w:type="paragraph" w:styleId="Header">
    <w:name w:val="header"/>
    <w:basedOn w:val="Normal"/>
    <w:link w:val="HeaderChar"/>
    <w:rsid w:val="00A66C82"/>
    <w:pPr>
      <w:tabs>
        <w:tab w:val="center" w:pos="4513"/>
        <w:tab w:val="right" w:pos="9026"/>
      </w:tabs>
      <w:spacing w:after="0" w:line="240" w:lineRule="auto"/>
    </w:pPr>
  </w:style>
  <w:style w:type="character" w:customStyle="1" w:styleId="HeaderChar">
    <w:name w:val="Header Char"/>
    <w:basedOn w:val="DefaultParagraphFont"/>
    <w:link w:val="Header"/>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rsid w:val="00672899"/>
    <w:pPr>
      <w:numPr>
        <w:numId w:val="4"/>
      </w:numPr>
      <w:spacing w:after="120"/>
    </w:pPr>
  </w:style>
  <w:style w:type="paragraph" w:customStyle="1" w:styleId="Heading1Black">
    <w:name w:val="Heading 1 Black"/>
    <w:basedOn w:val="Heading1"/>
    <w:next w:val="Normal1stParaafterHeading1"/>
    <w:autoRedefine/>
    <w:qFormat/>
    <w:rsid w:val="00651235"/>
    <w:pPr>
      <w:pBdr>
        <w:left w:val="single" w:sz="48" w:space="8" w:color="57259F"/>
      </w:pBdr>
      <w:spacing w:after="120"/>
      <w:ind w:left="284"/>
    </w:pPr>
    <w:rPr>
      <w:bCs/>
      <w:caps/>
      <w:color w:val="000000" w:themeColor="text1"/>
      <w:sz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6"/>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672899"/>
    <w:pPr>
      <w:pBdr>
        <w:top w:val="single" w:sz="4" w:space="5" w:color="00B0F0"/>
        <w:left w:val="single" w:sz="4" w:space="5" w:color="00B0F0"/>
        <w:bottom w:val="single" w:sz="4" w:space="5" w:color="00B0F0"/>
        <w:right w:val="single" w:sz="4" w:space="5" w:color="00B0F0"/>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672899"/>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672899"/>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CB4C13"/>
    <w:rPr>
      <w:rFonts w:ascii="Arial" w:hAnsi="Arial" w:cs="Arial"/>
      <w:b/>
      <w:color w:val="57259F"/>
      <w:sz w:val="25"/>
      <w:szCs w:val="28"/>
    </w:rPr>
  </w:style>
  <w:style w:type="character" w:customStyle="1" w:styleId="Heading3Char">
    <w:name w:val="Heading 3 Char"/>
    <w:basedOn w:val="DefaultParagraphFont"/>
    <w:link w:val="Heading3"/>
    <w:uiPriority w:val="9"/>
    <w:rsid w:val="00CB4C13"/>
    <w:rPr>
      <w:rFonts w:ascii="Arial" w:hAnsi="Arial" w:cs="Arial"/>
      <w:iCs/>
      <w:color w:val="57259F"/>
      <w:spacing w:val="5"/>
      <w:sz w:val="24"/>
      <w:szCs w:val="26"/>
    </w:rPr>
  </w:style>
  <w:style w:type="character" w:customStyle="1" w:styleId="Heading4Char">
    <w:name w:val="Heading 4 Char"/>
    <w:basedOn w:val="DefaultParagraphFont"/>
    <w:link w:val="Heading4"/>
    <w:uiPriority w:val="9"/>
    <w:rsid w:val="00CB4C13"/>
    <w:rPr>
      <w:rFonts w:ascii="Arial" w:hAnsi="Arial" w:cs="Arial"/>
      <w:bCs/>
      <w:caps/>
      <w:color w:val="57259F"/>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7"/>
      </w:numPr>
      <w:spacing w:after="100"/>
      <w:ind w:left="714" w:hanging="357"/>
    </w:pPr>
    <w:rPr>
      <w:lang w:val="en"/>
    </w:rPr>
  </w:style>
  <w:style w:type="paragraph" w:customStyle="1" w:styleId="BulletedList">
    <w:name w:val="Bulleted List"/>
    <w:basedOn w:val="Normal"/>
    <w:qFormat/>
    <w:rsid w:val="001F1297"/>
    <w:pPr>
      <w:numPr>
        <w:numId w:val="8"/>
      </w:numPr>
      <w:spacing w:after="0"/>
      <w:ind w:left="714" w:hanging="357"/>
      <w:contextualSpacing/>
    </w:pPr>
    <w:rPr>
      <w:lang w:val="en"/>
    </w:rPr>
  </w:style>
  <w:style w:type="paragraph" w:customStyle="1" w:styleId="Heading2Numbered">
    <w:name w:val="Heading 2 Numbered"/>
    <w:basedOn w:val="Heading2"/>
    <w:qFormat/>
    <w:rsid w:val="006164C2"/>
    <w:pPr>
      <w:numPr>
        <w:numId w:val="9"/>
      </w:numPr>
    </w:pPr>
    <w:rPr>
      <w:lang w:val="en"/>
    </w:rPr>
  </w:style>
  <w:style w:type="paragraph" w:customStyle="1" w:styleId="Heading3Numbered">
    <w:name w:val="Heading 3 Numbered"/>
    <w:basedOn w:val="Heading3"/>
    <w:qFormat/>
    <w:rsid w:val="006164C2"/>
    <w:pPr>
      <w:numPr>
        <w:numId w:val="10"/>
      </w:numPr>
    </w:pPr>
  </w:style>
  <w:style w:type="paragraph" w:customStyle="1" w:styleId="Heading4Numbered">
    <w:name w:val="Heading 4 Numbered"/>
    <w:basedOn w:val="Heading4"/>
    <w:qFormat/>
    <w:rsid w:val="006164C2"/>
    <w:pPr>
      <w:numPr>
        <w:numId w:val="11"/>
      </w:numPr>
    </w:pPr>
  </w:style>
  <w:style w:type="paragraph" w:customStyle="1" w:styleId="Boxshadedcolourbackground">
    <w:name w:val="Box shaded colour background"/>
    <w:basedOn w:val="Normal"/>
    <w:qFormat/>
    <w:rsid w:val="00F9158F"/>
    <w:pPr>
      <w:pBdr>
        <w:top w:val="single" w:sz="4" w:space="8" w:color="F2F2F2"/>
        <w:left w:val="single" w:sz="4" w:space="8" w:color="F2F2F2"/>
        <w:bottom w:val="single" w:sz="4" w:space="8" w:color="F2F2F2"/>
        <w:right w:val="single" w:sz="4" w:space="8" w:color="F2F2F2"/>
      </w:pBdr>
      <w:shd w:val="clear" w:color="auto" w:fill="ECE5F5"/>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F15390"/>
    <w:pPr>
      <w:pBdr>
        <w:top w:val="single" w:sz="4" w:space="8" w:color="573393"/>
        <w:bottom w:val="single" w:sz="4" w:space="8" w:color="573393"/>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F15390"/>
    <w:pPr>
      <w:pBdr>
        <w:top w:val="single" w:sz="4" w:space="8" w:color="573393"/>
        <w:left w:val="single" w:sz="4" w:space="8" w:color="573393"/>
        <w:bottom w:val="single" w:sz="4" w:space="8" w:color="573393"/>
        <w:right w:val="single" w:sz="4" w:space="8" w:color="573393"/>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CD0C70"/>
    <w:pPr>
      <w:pBdr>
        <w:top w:val="single" w:sz="8" w:space="6" w:color="57259F"/>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561352"/>
    <w:pPr>
      <w:spacing w:after="100"/>
      <w:ind w:left="210"/>
    </w:pPr>
  </w:style>
  <w:style w:type="paragraph" w:customStyle="1" w:styleId="Heading1option2">
    <w:name w:val="Heading 1 option 2"/>
    <w:basedOn w:val="Heading1Black"/>
    <w:qFormat/>
    <w:rsid w:val="00561352"/>
    <w:pPr>
      <w:pBdr>
        <w:left w:val="none" w:sz="0" w:space="0" w:color="auto"/>
      </w:pBdr>
      <w:ind w:left="0"/>
    </w:pPr>
    <w:rPr>
      <w:caps w:val="0"/>
      <w:color w:val="57259F"/>
      <w:sz w:val="36"/>
    </w:r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paragraph" w:styleId="BodyText2">
    <w:name w:val="Body Text 2"/>
    <w:basedOn w:val="Normal"/>
    <w:link w:val="BodyText2Char"/>
    <w:rsid w:val="005E0FAB"/>
    <w:pPr>
      <w:spacing w:after="120" w:line="480" w:lineRule="auto"/>
    </w:pPr>
  </w:style>
  <w:style w:type="character" w:customStyle="1" w:styleId="BodyText2Char">
    <w:name w:val="Body Text 2 Char"/>
    <w:basedOn w:val="DefaultParagraphFont"/>
    <w:link w:val="BodyText2"/>
    <w:rsid w:val="005E0FAB"/>
    <w:rPr>
      <w:rFonts w:ascii="Arial" w:hAnsi="Arial" w:cs="Arial"/>
      <w:sz w:val="21"/>
      <w:szCs w:val="20"/>
    </w:rPr>
  </w:style>
  <w:style w:type="paragraph" w:styleId="FootnoteText">
    <w:name w:val="footnote text"/>
    <w:basedOn w:val="Normal"/>
    <w:link w:val="FootnoteTextChar"/>
    <w:uiPriority w:val="99"/>
    <w:unhideWhenUsed/>
    <w:rsid w:val="005E0FAB"/>
    <w:pPr>
      <w:spacing w:after="0" w:line="240" w:lineRule="auto"/>
    </w:pPr>
    <w:rPr>
      <w:rFonts w:asciiTheme="minorHAnsi" w:eastAsiaTheme="minorEastAsia" w:hAnsiTheme="minorHAnsi" w:cstheme="minorBidi"/>
      <w:sz w:val="20"/>
      <w:lang w:eastAsia="zh-CN"/>
    </w:rPr>
  </w:style>
  <w:style w:type="character" w:customStyle="1" w:styleId="FootnoteTextChar">
    <w:name w:val="Footnote Text Char"/>
    <w:basedOn w:val="DefaultParagraphFont"/>
    <w:link w:val="FootnoteText"/>
    <w:uiPriority w:val="99"/>
    <w:rsid w:val="005E0FAB"/>
    <w:rPr>
      <w:rFonts w:asciiTheme="minorHAnsi" w:eastAsiaTheme="minorEastAsia" w:hAnsiTheme="minorHAnsi" w:cstheme="minorBidi"/>
      <w:sz w:val="20"/>
      <w:szCs w:val="20"/>
      <w:lang w:eastAsia="zh-CN"/>
    </w:rPr>
  </w:style>
  <w:style w:type="character" w:styleId="FootnoteReference">
    <w:name w:val="footnote reference"/>
    <w:basedOn w:val="DefaultParagraphFont"/>
    <w:uiPriority w:val="99"/>
    <w:unhideWhenUsed/>
    <w:rsid w:val="005E0FAB"/>
    <w:rPr>
      <w:vertAlign w:val="superscript"/>
    </w:rPr>
  </w:style>
  <w:style w:type="table" w:styleId="TableGrid">
    <w:name w:val="Table Grid"/>
    <w:basedOn w:val="TableNormal"/>
    <w:rsid w:val="002A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dateinfo">
    <w:name w:val="Issue date info"/>
    <w:basedOn w:val="Normal"/>
    <w:qFormat/>
    <w:rsid w:val="00B44123"/>
    <w:pPr>
      <w:spacing w:before="120" w:after="240" w:line="360" w:lineRule="auto"/>
      <w:jc w:val="right"/>
    </w:pPr>
  </w:style>
  <w:style w:type="paragraph" w:customStyle="1" w:styleId="Sub-bulletedlist">
    <w:name w:val="Sub-bulleted list"/>
    <w:basedOn w:val="BulletedList"/>
    <w:rsid w:val="0018425E"/>
    <w:pPr>
      <w:numPr>
        <w:numId w:val="23"/>
      </w:numPr>
      <w:spacing w:line="240" w:lineRule="auto"/>
      <w:ind w:left="1797" w:hanging="357"/>
    </w:pPr>
    <w:rPr>
      <w:lang w:eastAsia="en-US"/>
    </w:rPr>
  </w:style>
  <w:style w:type="paragraph" w:customStyle="1" w:styleId="Sub-bullettedlist">
    <w:name w:val="Sub-bulletted list"/>
    <w:basedOn w:val="BulletedList"/>
    <w:qFormat/>
    <w:rsid w:val="009F4C87"/>
    <w:pPr>
      <w:numPr>
        <w:numId w:val="24"/>
      </w:numPr>
      <w:spacing w:after="120"/>
      <w:contextualSpacing w:val="0"/>
    </w:pPr>
    <w:rPr>
      <w:i/>
    </w:rPr>
  </w:style>
  <w:style w:type="character" w:styleId="CommentReference">
    <w:name w:val="annotation reference"/>
    <w:basedOn w:val="DefaultParagraphFont"/>
    <w:rsid w:val="00E228B6"/>
    <w:rPr>
      <w:sz w:val="16"/>
      <w:szCs w:val="16"/>
    </w:rPr>
  </w:style>
  <w:style w:type="paragraph" w:styleId="CommentText">
    <w:name w:val="annotation text"/>
    <w:basedOn w:val="Normal"/>
    <w:link w:val="CommentTextChar"/>
    <w:rsid w:val="00E228B6"/>
    <w:pPr>
      <w:spacing w:line="240" w:lineRule="auto"/>
    </w:pPr>
    <w:rPr>
      <w:sz w:val="20"/>
    </w:rPr>
  </w:style>
  <w:style w:type="character" w:customStyle="1" w:styleId="CommentTextChar">
    <w:name w:val="Comment Text Char"/>
    <w:basedOn w:val="DefaultParagraphFont"/>
    <w:link w:val="CommentText"/>
    <w:rsid w:val="00E228B6"/>
    <w:rPr>
      <w:rFonts w:ascii="Arial" w:hAnsi="Arial" w:cs="Arial"/>
      <w:sz w:val="20"/>
      <w:szCs w:val="20"/>
    </w:rPr>
  </w:style>
  <w:style w:type="paragraph" w:styleId="CommentSubject">
    <w:name w:val="annotation subject"/>
    <w:basedOn w:val="CommentText"/>
    <w:next w:val="CommentText"/>
    <w:link w:val="CommentSubjectChar"/>
    <w:rsid w:val="00E228B6"/>
    <w:rPr>
      <w:b/>
      <w:bCs/>
    </w:rPr>
  </w:style>
  <w:style w:type="character" w:customStyle="1" w:styleId="CommentSubjectChar">
    <w:name w:val="Comment Subject Char"/>
    <w:basedOn w:val="CommentTextChar"/>
    <w:link w:val="CommentSubject"/>
    <w:rsid w:val="00E228B6"/>
    <w:rPr>
      <w:rFonts w:ascii="Arial" w:hAnsi="Arial" w:cs="Arial"/>
      <w:b/>
      <w:bCs/>
      <w:sz w:val="20"/>
      <w:szCs w:val="20"/>
    </w:rPr>
  </w:style>
  <w:style w:type="paragraph" w:styleId="Revision">
    <w:name w:val="Revision"/>
    <w:hidden/>
    <w:uiPriority w:val="99"/>
    <w:semiHidden/>
    <w:rsid w:val="00E228B6"/>
    <w:pPr>
      <w:spacing w:after="0" w:line="240" w:lineRule="auto"/>
    </w:pPr>
    <w:rPr>
      <w:rFonts w:ascii="Arial" w:hAnsi="Arial" w:cs="Arial"/>
      <w:sz w:val="21"/>
      <w:szCs w:val="20"/>
    </w:rPr>
  </w:style>
  <w:style w:type="paragraph" w:styleId="ListParagraph">
    <w:name w:val="List Paragraph"/>
    <w:basedOn w:val="Normal"/>
    <w:uiPriority w:val="34"/>
    <w:qFormat/>
    <w:rsid w:val="00651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0777">
      <w:bodyDiv w:val="1"/>
      <w:marLeft w:val="0"/>
      <w:marRight w:val="0"/>
      <w:marTop w:val="0"/>
      <w:marBottom w:val="0"/>
      <w:divBdr>
        <w:top w:val="none" w:sz="0" w:space="0" w:color="auto"/>
        <w:left w:val="none" w:sz="0" w:space="0" w:color="auto"/>
        <w:bottom w:val="none" w:sz="0" w:space="0" w:color="auto"/>
        <w:right w:val="none" w:sz="0" w:space="0" w:color="auto"/>
      </w:divBdr>
      <w:divsChild>
        <w:div w:id="747917985">
          <w:marLeft w:val="0"/>
          <w:marRight w:val="0"/>
          <w:marTop w:val="135"/>
          <w:marBottom w:val="135"/>
          <w:divBdr>
            <w:top w:val="single" w:sz="6" w:space="6" w:color="DDDAD1"/>
            <w:left w:val="single" w:sz="6" w:space="17" w:color="DDDAD1"/>
            <w:bottom w:val="single" w:sz="6" w:space="6" w:color="DDDAD1"/>
            <w:right w:val="single" w:sz="6" w:space="6" w:color="DDDAD1"/>
          </w:divBdr>
        </w:div>
      </w:divsChild>
    </w:div>
    <w:div w:id="212275280">
      <w:bodyDiv w:val="1"/>
      <w:marLeft w:val="0"/>
      <w:marRight w:val="0"/>
      <w:marTop w:val="0"/>
      <w:marBottom w:val="0"/>
      <w:divBdr>
        <w:top w:val="none" w:sz="0" w:space="0" w:color="auto"/>
        <w:left w:val="none" w:sz="0" w:space="0" w:color="auto"/>
        <w:bottom w:val="none" w:sz="0" w:space="0" w:color="auto"/>
        <w:right w:val="none" w:sz="0" w:space="0" w:color="auto"/>
      </w:divBdr>
      <w:divsChild>
        <w:div w:id="2017343589">
          <w:marLeft w:val="0"/>
          <w:marRight w:val="0"/>
          <w:marTop w:val="135"/>
          <w:marBottom w:val="135"/>
          <w:divBdr>
            <w:top w:val="single" w:sz="6" w:space="6" w:color="DDDAD1"/>
            <w:left w:val="single" w:sz="6" w:space="17" w:color="DDDAD1"/>
            <w:bottom w:val="single" w:sz="6" w:space="6" w:color="DDDAD1"/>
            <w:right w:val="single" w:sz="6" w:space="6" w:color="DDDAD1"/>
          </w:divBdr>
          <w:divsChild>
            <w:div w:id="1484547412">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1508516380">
      <w:bodyDiv w:val="1"/>
      <w:marLeft w:val="0"/>
      <w:marRight w:val="0"/>
      <w:marTop w:val="0"/>
      <w:marBottom w:val="0"/>
      <w:divBdr>
        <w:top w:val="none" w:sz="0" w:space="0" w:color="auto"/>
        <w:left w:val="none" w:sz="0" w:space="0" w:color="auto"/>
        <w:bottom w:val="none" w:sz="0" w:space="0" w:color="auto"/>
        <w:right w:val="none" w:sz="0" w:space="0" w:color="auto"/>
      </w:divBdr>
      <w:divsChild>
        <w:div w:id="2072118681">
          <w:marLeft w:val="0"/>
          <w:marRight w:val="0"/>
          <w:marTop w:val="0"/>
          <w:marBottom w:val="0"/>
          <w:divBdr>
            <w:top w:val="none" w:sz="0" w:space="0" w:color="auto"/>
            <w:left w:val="none" w:sz="0" w:space="0" w:color="auto"/>
            <w:bottom w:val="none" w:sz="0" w:space="0" w:color="auto"/>
            <w:right w:val="none" w:sz="0" w:space="0" w:color="auto"/>
          </w:divBdr>
          <w:divsChild>
            <w:div w:id="1825469598">
              <w:marLeft w:val="-225"/>
              <w:marRight w:val="-225"/>
              <w:marTop w:val="0"/>
              <w:marBottom w:val="0"/>
              <w:divBdr>
                <w:top w:val="none" w:sz="0" w:space="0" w:color="auto"/>
                <w:left w:val="none" w:sz="0" w:space="0" w:color="auto"/>
                <w:bottom w:val="none" w:sz="0" w:space="0" w:color="auto"/>
                <w:right w:val="none" w:sz="0" w:space="0" w:color="auto"/>
              </w:divBdr>
              <w:divsChild>
                <w:div w:id="828860086">
                  <w:marLeft w:val="0"/>
                  <w:marRight w:val="0"/>
                  <w:marTop w:val="0"/>
                  <w:marBottom w:val="0"/>
                  <w:divBdr>
                    <w:top w:val="none" w:sz="0" w:space="0" w:color="auto"/>
                    <w:left w:val="none" w:sz="0" w:space="0" w:color="auto"/>
                    <w:bottom w:val="none" w:sz="0" w:space="0" w:color="auto"/>
                    <w:right w:val="none" w:sz="0" w:space="0" w:color="auto"/>
                  </w:divBdr>
                  <w:divsChild>
                    <w:div w:id="517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156">
      <w:bodyDiv w:val="1"/>
      <w:marLeft w:val="0"/>
      <w:marRight w:val="0"/>
      <w:marTop w:val="0"/>
      <w:marBottom w:val="0"/>
      <w:divBdr>
        <w:top w:val="none" w:sz="0" w:space="0" w:color="auto"/>
        <w:left w:val="none" w:sz="0" w:space="0" w:color="auto"/>
        <w:bottom w:val="none" w:sz="0" w:space="0" w:color="auto"/>
        <w:right w:val="none" w:sz="0" w:space="0" w:color="auto"/>
      </w:divBdr>
      <w:divsChild>
        <w:div w:id="466629922">
          <w:marLeft w:val="0"/>
          <w:marRight w:val="0"/>
          <w:marTop w:val="135"/>
          <w:marBottom w:val="135"/>
          <w:divBdr>
            <w:top w:val="single" w:sz="6" w:space="6" w:color="DDDAD1"/>
            <w:left w:val="single" w:sz="6" w:space="17" w:color="DDDAD1"/>
            <w:bottom w:val="single" w:sz="6" w:space="6" w:color="DDDAD1"/>
            <w:right w:val="single" w:sz="6" w:space="6" w:color="DDDAD1"/>
          </w:divBdr>
          <w:divsChild>
            <w:div w:id="1551308265">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Aus162</b:Tag>
    <b:SourceType>InternetSite</b:SourceType>
    <b:Guid>{EBAC5F51-2B39-A24B-BEC6-C2CC1D021785}</b:Guid>
    <b:Title>4364.0.55.001 - National Health Survey: First Results, 2014-15</b:Title>
    <b:Year>2016</b:Year>
    <b:Month>March</b:Month>
    <b:Day>23</b:Day>
    <b:Author>
      <b:Author>
        <b:Corporate>Australian Bureau of Statistics</b:Corporate>
      </b:Author>
    </b:Author>
    <b:URL>http://www.abs.gov.au/ausstats/abs@.nsf/mf/4364.0.55.001</b:URL>
    <b:YearAccessed>2016</b:YearAccessed>
    <b:MonthAccessed>October</b:MonthAccessed>
    <b:DayAccessed>10</b:DayAccessed>
    <b:InternetSiteTitle>Australian Bureau of Statistics</b:InternetSiteTitle>
    <b:RefOrder>14</b:RefOrder>
  </b:Source>
</b:Sources>
</file>

<file path=customXml/itemProps1.xml><?xml version="1.0" encoding="utf-8"?>
<ds:datastoreItem xmlns:ds="http://schemas.openxmlformats.org/officeDocument/2006/customXml" ds:itemID="{3E25C93C-54EE-4BE1-8048-D98C7642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Technical Advisory Group on Immunisation Terms of Reference</dc:title>
  <dc:creator/>
  <cp:lastModifiedBy/>
  <cp:revision>1</cp:revision>
  <dcterms:created xsi:type="dcterms:W3CDTF">2018-01-14T22:07:00Z</dcterms:created>
  <dcterms:modified xsi:type="dcterms:W3CDTF">2018-01-14T22:15:00Z</dcterms:modified>
</cp:coreProperties>
</file>