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us Gov and ATAGI header"/>
      </w:tblPr>
      <w:tblGrid>
        <w:gridCol w:w="3060"/>
        <w:gridCol w:w="7322"/>
      </w:tblGrid>
      <w:tr w:rsidR="009A6767" w14:paraId="5DAABA2F" w14:textId="77777777" w:rsidTr="2E918ACD">
        <w:trPr>
          <w:trHeight w:val="1831"/>
          <w:tblHeader/>
        </w:trPr>
        <w:tc>
          <w:tcPr>
            <w:tcW w:w="3060" w:type="dxa"/>
            <w:shd w:val="clear" w:color="auto" w:fill="55259E"/>
            <w:vAlign w:val="center"/>
          </w:tcPr>
          <w:p w14:paraId="564FDF1F" w14:textId="77777777" w:rsidR="009A6767" w:rsidRPr="004F3AA0" w:rsidRDefault="009A6767" w:rsidP="00CE6D4A">
            <w:r w:rsidRPr="004F3AA0">
              <w:rPr>
                <w:noProof/>
              </w:rPr>
              <w:drawing>
                <wp:inline distT="0" distB="0" distL="0" distR="0" wp14:anchorId="5633E452" wp14:editId="1FCB056B">
                  <wp:extent cx="1477010" cy="979170"/>
                  <wp:effectExtent l="0" t="0" r="8890" b="0"/>
                  <wp:docPr id="1" name="Picture 1" title="Aus Gov - Health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H_stacked_whit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010" cy="979170"/>
                          </a:xfrm>
                          <a:prstGeom prst="rect">
                            <a:avLst/>
                          </a:prstGeom>
                          <a:solidFill>
                            <a:srgbClr val="57259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2" w:type="dxa"/>
            <w:shd w:val="clear" w:color="auto" w:fill="55259E"/>
            <w:vAlign w:val="center"/>
          </w:tcPr>
          <w:p w14:paraId="512F9090" w14:textId="77777777" w:rsidR="009A6767" w:rsidRPr="003021C5" w:rsidRDefault="009A6767" w:rsidP="007874E2">
            <w:pPr>
              <w:pStyle w:val="Title"/>
            </w:pPr>
            <w:r w:rsidRPr="003021C5">
              <w:t>AUSTRALIAN TECHNICAL ADVISORY GROUP ON</w:t>
            </w:r>
          </w:p>
          <w:p w14:paraId="28C9B829" w14:textId="77777777" w:rsidR="009A6767" w:rsidRPr="004F3AA0" w:rsidRDefault="009A6767" w:rsidP="007874E2">
            <w:pPr>
              <w:pStyle w:val="Title"/>
            </w:pPr>
            <w:r w:rsidRPr="003021C5">
              <w:t>IMMUNISATION (ATAGI) |</w:t>
            </w:r>
            <w:r w:rsidRPr="003021C5">
              <w:rPr>
                <w:b/>
              </w:rPr>
              <w:t xml:space="preserve"> CLINICAL ADVICE</w:t>
            </w:r>
          </w:p>
        </w:tc>
      </w:tr>
      <w:tr w:rsidR="009A6767" w14:paraId="06A6F006" w14:textId="77777777" w:rsidTr="2E918ACD">
        <w:tc>
          <w:tcPr>
            <w:tcW w:w="3060" w:type="dxa"/>
            <w:shd w:val="clear" w:color="auto" w:fill="55259E"/>
          </w:tcPr>
          <w:p w14:paraId="79B58D3D" w14:textId="77777777" w:rsidR="009A6767" w:rsidRPr="004F3AA0" w:rsidRDefault="009A6767" w:rsidP="00CE6D4A"/>
        </w:tc>
        <w:tc>
          <w:tcPr>
            <w:tcW w:w="7322" w:type="dxa"/>
            <w:shd w:val="clear" w:color="auto" w:fill="55259E"/>
            <w:vAlign w:val="center"/>
          </w:tcPr>
          <w:p w14:paraId="44F85A24" w14:textId="77777777" w:rsidR="009A6767" w:rsidRPr="003021C5" w:rsidRDefault="009A6767" w:rsidP="009A6767">
            <w:pPr>
              <w:pStyle w:val="BodyText"/>
              <w:ind w:right="175"/>
              <w:jc w:val="right"/>
              <w:rPr>
                <w:b/>
                <w:color w:val="FFFFFF" w:themeColor="background1"/>
              </w:rPr>
            </w:pPr>
            <w:r w:rsidRPr="003021C5">
              <w:rPr>
                <w:b/>
                <w:color w:val="FFFFFF" w:themeColor="background1"/>
              </w:rPr>
              <w:t xml:space="preserve">Issue date:  </w:t>
            </w:r>
            <w:r>
              <w:rPr>
                <w:b/>
                <w:color w:val="FFFFFF" w:themeColor="background1"/>
              </w:rPr>
              <w:t>April 2019</w:t>
            </w:r>
          </w:p>
        </w:tc>
      </w:tr>
      <w:tr w:rsidR="006C6A65" w14:paraId="51C4C5C2" w14:textId="77777777" w:rsidTr="2E918ACD">
        <w:trPr>
          <w:gridAfter w:val="1"/>
          <w:wAfter w:w="7322" w:type="dxa"/>
          <w:trHeight w:val="437"/>
        </w:trPr>
        <w:tc>
          <w:tcPr>
            <w:tcW w:w="3060" w:type="dxa"/>
            <w:shd w:val="clear" w:color="auto" w:fill="auto"/>
          </w:tcPr>
          <w:p w14:paraId="4D52BA98" w14:textId="77777777" w:rsidR="006C6A65" w:rsidRPr="004F3AA0" w:rsidRDefault="006C6A65" w:rsidP="00CE6D4A"/>
        </w:tc>
      </w:tr>
    </w:tbl>
    <w:p w14:paraId="04E37321" w14:textId="7193701C" w:rsidR="009A6767" w:rsidRPr="009A6767" w:rsidRDefault="009A6767" w:rsidP="009A6767">
      <w:pPr>
        <w:pStyle w:val="Heading1Black"/>
        <w:spacing w:after="0"/>
        <w:rPr>
          <w:sz w:val="28"/>
          <w:szCs w:val="30"/>
        </w:rPr>
      </w:pPr>
      <w:r w:rsidRPr="00AC23C0">
        <w:rPr>
          <w:sz w:val="28"/>
          <w:szCs w:val="30"/>
        </w:rPr>
        <w:t xml:space="preserve">STATEMENT ON THE </w:t>
      </w:r>
      <w:r w:rsidR="0032513B">
        <w:rPr>
          <w:sz w:val="28"/>
          <w:szCs w:val="30"/>
        </w:rPr>
        <w:t xml:space="preserve">INTRODUCTION OF </w:t>
      </w:r>
      <w:r>
        <w:rPr>
          <w:sz w:val="28"/>
          <w:szCs w:val="30"/>
        </w:rPr>
        <w:t xml:space="preserve">Meningococcal ACWY Vaccine </w:t>
      </w:r>
      <w:r w:rsidR="0032513B">
        <w:rPr>
          <w:sz w:val="28"/>
          <w:szCs w:val="30"/>
        </w:rPr>
        <w:t xml:space="preserve">(Nimenrix®) </w:t>
      </w:r>
      <w:r w:rsidR="00D73EA9">
        <w:rPr>
          <w:sz w:val="28"/>
          <w:szCs w:val="30"/>
        </w:rPr>
        <w:t>FOR ADOLESCENTS THROUGH THE</w:t>
      </w:r>
      <w:r w:rsidR="0032513B">
        <w:rPr>
          <w:sz w:val="28"/>
          <w:szCs w:val="30"/>
        </w:rPr>
        <w:t xml:space="preserve"> NATIONAL IMMUNISATION PROGRAM (NIP)</w:t>
      </w:r>
    </w:p>
    <w:p w14:paraId="24C46FB0" w14:textId="77777777" w:rsidR="009A6767" w:rsidRPr="0032513B" w:rsidRDefault="009A6767" w:rsidP="009A6767">
      <w:pPr>
        <w:pStyle w:val="Sub-bullettedlist"/>
        <w:numPr>
          <w:ilvl w:val="0"/>
          <w:numId w:val="0"/>
        </w:numPr>
        <w:spacing w:before="240"/>
        <w:ind w:left="284"/>
        <w:rPr>
          <w:szCs w:val="21"/>
        </w:rPr>
      </w:pPr>
      <w:r w:rsidRPr="0032513B">
        <w:rPr>
          <w:szCs w:val="21"/>
        </w:rPr>
        <w:t>It is important to read this statement in conjunction with The Australian Immunisation Handbook available at immunisationhandbook.health.gov.au.</w:t>
      </w:r>
    </w:p>
    <w:p w14:paraId="1EFD7D58" w14:textId="77777777" w:rsidR="009A6767" w:rsidRPr="0032513B" w:rsidRDefault="009A6767" w:rsidP="007874E2">
      <w:pPr>
        <w:pStyle w:val="Heading2"/>
        <w:rPr>
          <w:rFonts w:eastAsia="MS PGothic"/>
          <w:lang w:eastAsia="en-US"/>
        </w:rPr>
      </w:pPr>
      <w:r w:rsidRPr="0032513B">
        <w:rPr>
          <w:rFonts w:eastAsia="MS PGothic"/>
          <w:lang w:eastAsia="en-US"/>
        </w:rPr>
        <w:t xml:space="preserve">Overview of key points </w:t>
      </w:r>
    </w:p>
    <w:p w14:paraId="095AE570" w14:textId="79D1D2D9" w:rsidR="00D73EA9" w:rsidRPr="00C96D1F" w:rsidRDefault="2E918ACD" w:rsidP="00D73EA9">
      <w:pPr>
        <w:pStyle w:val="BulletedList"/>
        <w:spacing w:before="120" w:line="240" w:lineRule="auto"/>
        <w:ind w:left="426" w:hanging="284"/>
        <w:contextualSpacing w:val="0"/>
      </w:pPr>
      <w:r w:rsidRPr="00C96D1F">
        <w:t xml:space="preserve">From April 2019, adolescents will be offered the </w:t>
      </w:r>
      <w:proofErr w:type="spellStart"/>
      <w:r w:rsidRPr="00C96D1F">
        <w:t>quadrivalent</w:t>
      </w:r>
      <w:proofErr w:type="spellEnd"/>
      <w:r w:rsidRPr="00C96D1F">
        <w:t xml:space="preserve"> meningococcal vaccine (</w:t>
      </w:r>
      <w:proofErr w:type="spellStart"/>
      <w:r w:rsidRPr="00C96D1F">
        <w:t>Nimenrix</w:t>
      </w:r>
      <w:proofErr w:type="spellEnd"/>
      <w:r w:rsidRPr="00C96D1F">
        <w:rPr>
          <w:vertAlign w:val="superscript"/>
        </w:rPr>
        <w:t>®</w:t>
      </w:r>
      <w:r w:rsidRPr="00C96D1F">
        <w:t xml:space="preserve">) protecting against </w:t>
      </w:r>
      <w:proofErr w:type="spellStart"/>
      <w:r w:rsidR="00C96D1F" w:rsidRPr="00C96D1F">
        <w:t>sero</w:t>
      </w:r>
      <w:r w:rsidR="00E75C7A" w:rsidRPr="00C96D1F">
        <w:t>g</w:t>
      </w:r>
      <w:r w:rsidRPr="00C96D1F">
        <w:t>roups</w:t>
      </w:r>
      <w:proofErr w:type="spellEnd"/>
      <w:r w:rsidRPr="00C96D1F">
        <w:t xml:space="preserve"> A, C W and Y </w:t>
      </w:r>
      <w:bookmarkStart w:id="0" w:name="_GoBack"/>
      <w:bookmarkEnd w:id="0"/>
      <w:r w:rsidRPr="00C96D1F">
        <w:t>as a single dose.</w:t>
      </w:r>
    </w:p>
    <w:p w14:paraId="24EA870F" w14:textId="47690AE7" w:rsidR="00D73EA9" w:rsidRPr="00C96D1F" w:rsidRDefault="72A7002F" w:rsidP="72A7002F">
      <w:pPr>
        <w:pStyle w:val="BulletedList"/>
        <w:numPr>
          <w:ilvl w:val="1"/>
          <w:numId w:val="2"/>
        </w:numPr>
        <w:tabs>
          <w:tab w:val="num" w:pos="993"/>
        </w:tabs>
        <w:spacing w:before="120" w:line="240" w:lineRule="auto"/>
        <w:ind w:left="993" w:hanging="426"/>
        <w:contextualSpacing w:val="0"/>
      </w:pPr>
      <w:r w:rsidRPr="00C96D1F">
        <w:t>Year 10 students (aged approximately 14 to 16 years) will be offered the vaccine through school based immunisation programs.</w:t>
      </w:r>
    </w:p>
    <w:p w14:paraId="14CF27B8" w14:textId="23A6D47C" w:rsidR="00D73EA9" w:rsidRPr="00C96D1F" w:rsidRDefault="72A7002F" w:rsidP="72A7002F">
      <w:pPr>
        <w:pStyle w:val="BulletedList"/>
        <w:numPr>
          <w:ilvl w:val="1"/>
          <w:numId w:val="2"/>
        </w:numPr>
        <w:tabs>
          <w:tab w:val="num" w:pos="993"/>
        </w:tabs>
        <w:spacing w:before="120" w:line="240" w:lineRule="auto"/>
        <w:ind w:left="993" w:hanging="426"/>
        <w:contextualSpacing w:val="0"/>
      </w:pPr>
      <w:r w:rsidRPr="00C96D1F">
        <w:t>Catch up vaccination will be available for adolescents aged 15 to 19 years through their GP or primary care provider.</w:t>
      </w:r>
    </w:p>
    <w:p w14:paraId="64B5CAF4" w14:textId="60794EF4" w:rsidR="00165988" w:rsidRDefault="0032513B" w:rsidP="00D73EA9">
      <w:pPr>
        <w:pStyle w:val="BulletedList"/>
        <w:spacing w:before="120" w:line="240" w:lineRule="auto"/>
        <w:ind w:left="426" w:hanging="284"/>
        <w:contextualSpacing w:val="0"/>
        <w:rPr>
          <w:szCs w:val="21"/>
        </w:rPr>
      </w:pPr>
      <w:r w:rsidRPr="00394B5A">
        <w:rPr>
          <w:szCs w:val="21"/>
        </w:rPr>
        <w:t xml:space="preserve">For people who have a condition associated with an increased risk of invasive meningococcal disease (IMD), for example, patients with functional or anatomical </w:t>
      </w:r>
      <w:proofErr w:type="spellStart"/>
      <w:r w:rsidRPr="00394B5A">
        <w:rPr>
          <w:szCs w:val="21"/>
        </w:rPr>
        <w:t>asplenia</w:t>
      </w:r>
      <w:proofErr w:type="spellEnd"/>
      <w:r w:rsidRPr="00394B5A">
        <w:rPr>
          <w:szCs w:val="21"/>
        </w:rPr>
        <w:t xml:space="preserve"> or complement disorder, additional doses </w:t>
      </w:r>
      <w:r w:rsidR="00AF5014" w:rsidRPr="00394B5A">
        <w:rPr>
          <w:szCs w:val="21"/>
        </w:rPr>
        <w:t xml:space="preserve">of </w:t>
      </w:r>
      <w:proofErr w:type="spellStart"/>
      <w:r w:rsidR="00AF5014" w:rsidRPr="00394B5A">
        <w:rPr>
          <w:szCs w:val="21"/>
        </w:rPr>
        <w:t>MenACWY</w:t>
      </w:r>
      <w:proofErr w:type="spellEnd"/>
      <w:r w:rsidR="00AF5014" w:rsidRPr="00394B5A">
        <w:rPr>
          <w:szCs w:val="21"/>
        </w:rPr>
        <w:t xml:space="preserve"> </w:t>
      </w:r>
      <w:r w:rsidR="00887BD0">
        <w:rPr>
          <w:szCs w:val="21"/>
        </w:rPr>
        <w:t xml:space="preserve">vaccine </w:t>
      </w:r>
      <w:r w:rsidRPr="00394B5A">
        <w:rPr>
          <w:szCs w:val="21"/>
        </w:rPr>
        <w:t>may be required</w:t>
      </w:r>
      <w:r w:rsidR="00887BD0">
        <w:rPr>
          <w:szCs w:val="21"/>
        </w:rPr>
        <w:t>.</w:t>
      </w:r>
      <w:r w:rsidR="00887BD0" w:rsidRPr="00394B5A">
        <w:rPr>
          <w:szCs w:val="21"/>
        </w:rPr>
        <w:t xml:space="preserve"> </w:t>
      </w:r>
      <w:r w:rsidR="00887BD0">
        <w:rPr>
          <w:szCs w:val="21"/>
        </w:rPr>
        <w:t>H</w:t>
      </w:r>
      <w:r w:rsidR="00887BD0" w:rsidRPr="00394B5A">
        <w:rPr>
          <w:szCs w:val="21"/>
        </w:rPr>
        <w:t>owever</w:t>
      </w:r>
      <w:r w:rsidR="00887BD0">
        <w:rPr>
          <w:szCs w:val="21"/>
        </w:rPr>
        <w:t>,</w:t>
      </w:r>
      <w:r w:rsidRPr="00394B5A">
        <w:rPr>
          <w:szCs w:val="21"/>
        </w:rPr>
        <w:t xml:space="preserve"> these</w:t>
      </w:r>
      <w:r w:rsidR="00887BD0">
        <w:rPr>
          <w:szCs w:val="21"/>
        </w:rPr>
        <w:t xml:space="preserve"> doses</w:t>
      </w:r>
      <w:r w:rsidRPr="00394B5A">
        <w:rPr>
          <w:szCs w:val="21"/>
        </w:rPr>
        <w:t xml:space="preserve"> are not </w:t>
      </w:r>
      <w:r w:rsidR="00FA085C">
        <w:rPr>
          <w:szCs w:val="21"/>
        </w:rPr>
        <w:t xml:space="preserve">currently </w:t>
      </w:r>
      <w:r w:rsidRPr="00394B5A">
        <w:rPr>
          <w:szCs w:val="21"/>
        </w:rPr>
        <w:t xml:space="preserve">funded through the </w:t>
      </w:r>
      <w:r w:rsidR="00887BD0">
        <w:rPr>
          <w:szCs w:val="21"/>
        </w:rPr>
        <w:t>National Immunisation Program</w:t>
      </w:r>
      <w:r w:rsidR="00887BD0" w:rsidRPr="00394B5A">
        <w:rPr>
          <w:szCs w:val="21"/>
        </w:rPr>
        <w:t xml:space="preserve"> </w:t>
      </w:r>
      <w:r w:rsidR="00887BD0">
        <w:rPr>
          <w:szCs w:val="21"/>
        </w:rPr>
        <w:t>(</w:t>
      </w:r>
      <w:r w:rsidRPr="00394B5A">
        <w:rPr>
          <w:szCs w:val="21"/>
        </w:rPr>
        <w:t>NIP</w:t>
      </w:r>
      <w:r w:rsidR="00887BD0">
        <w:rPr>
          <w:szCs w:val="21"/>
        </w:rPr>
        <w:t>)</w:t>
      </w:r>
      <w:r w:rsidRPr="00394B5A">
        <w:rPr>
          <w:szCs w:val="21"/>
        </w:rPr>
        <w:t xml:space="preserve">. </w:t>
      </w:r>
    </w:p>
    <w:p w14:paraId="3931738D" w14:textId="798A7F41" w:rsidR="00D73EA9" w:rsidRDefault="72A7002F" w:rsidP="00D73EA9">
      <w:pPr>
        <w:pStyle w:val="BulletedList"/>
        <w:spacing w:before="120" w:line="240" w:lineRule="auto"/>
        <w:ind w:left="426" w:hanging="284"/>
        <w:contextualSpacing w:val="0"/>
      </w:pPr>
      <w:r>
        <w:t xml:space="preserve">The adolescent program complements the </w:t>
      </w:r>
      <w:proofErr w:type="spellStart"/>
      <w:r>
        <w:t>MenACWY</w:t>
      </w:r>
      <w:proofErr w:type="spellEnd"/>
      <w:r>
        <w:t xml:space="preserve"> vaccine</w:t>
      </w:r>
      <w:r w:rsidR="00B37C09">
        <w:t xml:space="preserve"> </w:t>
      </w:r>
      <w:r w:rsidR="00E75C7A">
        <w:t xml:space="preserve">program </w:t>
      </w:r>
      <w:r w:rsidR="00B37C09">
        <w:t>on the NIP</w:t>
      </w:r>
      <w:r>
        <w:t xml:space="preserve"> </w:t>
      </w:r>
      <w:r w:rsidR="00E75C7A">
        <w:t xml:space="preserve">for </w:t>
      </w:r>
      <w:r>
        <w:t>infants aged 12 months</w:t>
      </w:r>
      <w:r w:rsidR="00B37C09">
        <w:t>.</w:t>
      </w:r>
    </w:p>
    <w:p w14:paraId="3F8B5CB7" w14:textId="1F4F259C" w:rsidR="00394B5A" w:rsidRPr="00165988" w:rsidRDefault="00887BD0" w:rsidP="00D73EA9">
      <w:pPr>
        <w:pStyle w:val="BulletedList"/>
        <w:spacing w:before="120" w:line="240" w:lineRule="auto"/>
        <w:ind w:left="426" w:hanging="284"/>
        <w:contextualSpacing w:val="0"/>
        <w:rPr>
          <w:szCs w:val="21"/>
        </w:rPr>
      </w:pPr>
      <w:r>
        <w:rPr>
          <w:szCs w:val="21"/>
        </w:rPr>
        <w:t xml:space="preserve">Meningococcal B vaccines are also </w:t>
      </w:r>
      <w:r w:rsidRPr="00165988">
        <w:rPr>
          <w:szCs w:val="21"/>
        </w:rPr>
        <w:t xml:space="preserve">available through private prescription to anyone aged ≥6 weeks who wants to reduce their likelihood of becoming ill with meningococcal </w:t>
      </w:r>
      <w:r>
        <w:rPr>
          <w:szCs w:val="21"/>
        </w:rPr>
        <w:t>B</w:t>
      </w:r>
      <w:r w:rsidRPr="00165988">
        <w:rPr>
          <w:szCs w:val="21"/>
        </w:rPr>
        <w:t xml:space="preserve"> disease</w:t>
      </w:r>
      <w:r w:rsidR="003E48F5">
        <w:rPr>
          <w:szCs w:val="21"/>
        </w:rPr>
        <w:t>.</w:t>
      </w:r>
    </w:p>
    <w:p w14:paraId="5458F429" w14:textId="77777777" w:rsidR="00C65C2B" w:rsidRDefault="00C65C2B" w:rsidP="007874E2">
      <w:pPr>
        <w:pStyle w:val="Heading2"/>
        <w:rPr>
          <w:rFonts w:eastAsia="MS PGothic"/>
        </w:rPr>
      </w:pPr>
    </w:p>
    <w:p w14:paraId="22E71508" w14:textId="219E636C" w:rsidR="0032513B" w:rsidRPr="0032513B" w:rsidRDefault="0032513B" w:rsidP="007874E2">
      <w:pPr>
        <w:pStyle w:val="Heading2"/>
        <w:rPr>
          <w:rFonts w:eastAsia="MS PGothic"/>
        </w:rPr>
      </w:pPr>
      <w:r w:rsidRPr="0032513B">
        <w:rPr>
          <w:rFonts w:eastAsia="MS PGothic"/>
        </w:rPr>
        <w:t>Background</w:t>
      </w:r>
    </w:p>
    <w:p w14:paraId="5D8C2C8E" w14:textId="77777777" w:rsidR="006C6A65" w:rsidRDefault="00C33EDE" w:rsidP="007874E2">
      <w:r w:rsidRPr="00C33EDE">
        <w:t xml:space="preserve">Meningococcal disease is a serious </w:t>
      </w:r>
      <w:r w:rsidR="00887BD0">
        <w:t>illness</w:t>
      </w:r>
      <w:r w:rsidR="00887BD0" w:rsidRPr="00C33EDE">
        <w:t xml:space="preserve"> </w:t>
      </w:r>
      <w:r w:rsidRPr="00C33EDE">
        <w:t>c</w:t>
      </w:r>
      <w:r w:rsidR="002C30F6">
        <w:t>aused by meningococcal bacteria t</w:t>
      </w:r>
      <w:r w:rsidR="002C30F6" w:rsidRPr="00394B5A">
        <w:t>hat can cause disability and death.</w:t>
      </w:r>
      <w:r w:rsidRPr="00C33EDE">
        <w:t xml:space="preserve"> </w:t>
      </w:r>
    </w:p>
    <w:p w14:paraId="4BDC85CB" w14:textId="77777777" w:rsidR="006C6A65" w:rsidRDefault="00C33EDE" w:rsidP="007874E2">
      <w:r w:rsidRPr="00C33EDE">
        <w:t xml:space="preserve">In Australia, </w:t>
      </w:r>
      <w:r w:rsidR="000049BF">
        <w:t xml:space="preserve">the </w:t>
      </w:r>
      <w:r w:rsidRPr="00C33EDE">
        <w:t>five</w:t>
      </w:r>
      <w:r w:rsidR="002C30F6">
        <w:t xml:space="preserve"> </w:t>
      </w:r>
      <w:r w:rsidR="000049BF">
        <w:t xml:space="preserve">most common </w:t>
      </w:r>
      <w:r w:rsidR="00887BD0">
        <w:t>types</w:t>
      </w:r>
      <w:r w:rsidR="00887BD0" w:rsidRPr="00C33EDE">
        <w:t xml:space="preserve"> </w:t>
      </w:r>
      <w:r w:rsidRPr="00C33EDE">
        <w:t xml:space="preserve">(or </w:t>
      </w:r>
      <w:proofErr w:type="spellStart"/>
      <w:r w:rsidRPr="00C33EDE">
        <w:t>serogroups</w:t>
      </w:r>
      <w:proofErr w:type="spellEnd"/>
      <w:r w:rsidRPr="00C33EDE">
        <w:t>) of meningococcal bacteria found</w:t>
      </w:r>
      <w:r w:rsidR="002C30F6">
        <w:t xml:space="preserve"> </w:t>
      </w:r>
      <w:r w:rsidR="000049BF" w:rsidRPr="00C33EDE">
        <w:t>are</w:t>
      </w:r>
      <w:r w:rsidR="000049BF">
        <w:t xml:space="preserve"> </w:t>
      </w:r>
      <w:r w:rsidR="002C30F6">
        <w:t>A, B, C, W and Y</w:t>
      </w:r>
      <w:r w:rsidRPr="00C33EDE">
        <w:t>.</w:t>
      </w:r>
      <w:r w:rsidR="002C30F6">
        <w:t xml:space="preserve"> </w:t>
      </w:r>
      <w:r w:rsidR="00394B5A" w:rsidRPr="0032513B">
        <w:t xml:space="preserve">Septicaemia and/or meningitis are the most common clinical manifestations of IMD. </w:t>
      </w:r>
    </w:p>
    <w:p w14:paraId="6C9C8E39" w14:textId="6596237E" w:rsidR="006C6A65" w:rsidRDefault="002C30F6" w:rsidP="007874E2">
      <w:r w:rsidRPr="00394B5A">
        <w:t xml:space="preserve">No single vaccine protects against all </w:t>
      </w:r>
      <w:proofErr w:type="spellStart"/>
      <w:r w:rsidRPr="00394B5A">
        <w:t>serogroups</w:t>
      </w:r>
      <w:proofErr w:type="spellEnd"/>
      <w:r w:rsidR="00887BD0">
        <w:t>; there are separate vaccines against m</w:t>
      </w:r>
      <w:r w:rsidR="00887BD0" w:rsidRPr="00165988">
        <w:t>en</w:t>
      </w:r>
      <w:r w:rsidR="00887BD0">
        <w:t xml:space="preserve">ingococcal </w:t>
      </w:r>
      <w:r w:rsidR="00887BD0" w:rsidRPr="00165988">
        <w:t>ACWY</w:t>
      </w:r>
      <w:r w:rsidR="00887BD0">
        <w:t xml:space="preserve"> </w:t>
      </w:r>
      <w:proofErr w:type="spellStart"/>
      <w:r w:rsidR="00887BD0">
        <w:t>serogroups</w:t>
      </w:r>
      <w:proofErr w:type="spellEnd"/>
      <w:r w:rsidR="00887BD0">
        <w:t xml:space="preserve"> and the </w:t>
      </w:r>
      <w:proofErr w:type="spellStart"/>
      <w:r w:rsidR="00887BD0">
        <w:t>meniningococcal</w:t>
      </w:r>
      <w:proofErr w:type="spellEnd"/>
      <w:r w:rsidR="00887BD0">
        <w:t xml:space="preserve"> B </w:t>
      </w:r>
      <w:proofErr w:type="spellStart"/>
      <w:r w:rsidR="00887BD0">
        <w:t>serogroup</w:t>
      </w:r>
      <w:proofErr w:type="spellEnd"/>
      <w:r w:rsidR="00887BD0">
        <w:t>.</w:t>
      </w:r>
      <w:r w:rsidR="006C6A65" w:rsidRPr="006C6A65">
        <w:t xml:space="preserve"> </w:t>
      </w:r>
    </w:p>
    <w:p w14:paraId="497A9E67" w14:textId="77777777" w:rsidR="006C6A65" w:rsidRDefault="006C6A65" w:rsidP="007874E2">
      <w:r w:rsidRPr="00C33EDE">
        <w:t xml:space="preserve">The meningococcal subgroups that cause </w:t>
      </w:r>
      <w:r>
        <w:t>IMD</w:t>
      </w:r>
      <w:r w:rsidRPr="00C33EDE">
        <w:t xml:space="preserve"> have been changing in the last few</w:t>
      </w:r>
      <w:r>
        <w:t xml:space="preserve"> </w:t>
      </w:r>
      <w:r w:rsidRPr="00C33EDE">
        <w:t xml:space="preserve">years. Since 2013, the occurrence of meningococcal W disease has been increasing rapidly. </w:t>
      </w:r>
      <w:r>
        <w:t xml:space="preserve"> </w:t>
      </w:r>
      <w:r w:rsidRPr="00C33EDE">
        <w:t>Many</w:t>
      </w:r>
      <w:r>
        <w:t xml:space="preserve"> </w:t>
      </w:r>
      <w:r w:rsidRPr="00C33EDE">
        <w:t>meningococcal W cases are caused by a strain (sequence type ST 11) associated with severe disease</w:t>
      </w:r>
      <w:r>
        <w:t xml:space="preserve"> </w:t>
      </w:r>
      <w:r w:rsidRPr="00C33EDE">
        <w:t>and a higher risk of death.</w:t>
      </w:r>
      <w:r>
        <w:t xml:space="preserve"> </w:t>
      </w:r>
    </w:p>
    <w:p w14:paraId="257B1338" w14:textId="77777777" w:rsidR="00D56CD3" w:rsidRDefault="006C6A65" w:rsidP="007874E2">
      <w:r w:rsidRPr="00C33EDE">
        <w:t>A smaller yet steady rise in the occurrence of meningococcal Y disease has also been seen since</w:t>
      </w:r>
      <w:r>
        <w:t xml:space="preserve"> </w:t>
      </w:r>
      <w:r w:rsidRPr="00C33EDE">
        <w:t xml:space="preserve">2016. </w:t>
      </w:r>
      <w:r>
        <w:t xml:space="preserve">Together, </w:t>
      </w:r>
      <w:r w:rsidRPr="00C33EDE">
        <w:t xml:space="preserve">meningococcal W </w:t>
      </w:r>
      <w:r>
        <w:t xml:space="preserve">and Y disease cause approximately half of the cases of IMD in Australia. </w:t>
      </w:r>
    </w:p>
    <w:p w14:paraId="498AFB25" w14:textId="21ED3E48" w:rsidR="006C6A65" w:rsidRDefault="006C6A65" w:rsidP="007874E2">
      <w:r w:rsidRPr="00C33EDE">
        <w:lastRenderedPageBreak/>
        <w:t>Meningococcal B</w:t>
      </w:r>
      <w:r>
        <w:t>,</w:t>
      </w:r>
      <w:r w:rsidRPr="00C33EDE">
        <w:t xml:space="preserve"> </w:t>
      </w:r>
      <w:r>
        <w:t>which</w:t>
      </w:r>
      <w:r w:rsidRPr="00C33EDE">
        <w:t xml:space="preserve"> historically caused the majority of meningococcal disease in Australia</w:t>
      </w:r>
      <w:r>
        <w:t xml:space="preserve">, </w:t>
      </w:r>
      <w:r w:rsidRPr="00C33EDE">
        <w:t xml:space="preserve">continues to cause around half of all reported cases of </w:t>
      </w:r>
      <w:r>
        <w:t>IMD</w:t>
      </w:r>
      <w:r w:rsidRPr="00C33EDE">
        <w:t>.</w:t>
      </w:r>
      <w:r w:rsidRPr="0032513B">
        <w:t xml:space="preserve"> </w:t>
      </w:r>
    </w:p>
    <w:p w14:paraId="66C01CA5" w14:textId="770A944F" w:rsidR="0032513B" w:rsidRDefault="1A7C1822" w:rsidP="007874E2">
      <w:r>
        <w:t>The highest incidence of IMD is in children aged &lt;2 years and adolescents aged 15–</w:t>
      </w:r>
      <w:r w:rsidR="00F6018C">
        <w:t>24</w:t>
      </w:r>
      <w:r>
        <w:t xml:space="preserve"> years. </w:t>
      </w:r>
      <w:r w:rsidR="00E75C7A">
        <w:t>O</w:t>
      </w:r>
      <w:r>
        <w:t>lder adolescents and young adults</w:t>
      </w:r>
      <w:r w:rsidR="00E75C7A">
        <w:t xml:space="preserve"> most frequently carry the bacteria</w:t>
      </w:r>
      <w:r>
        <w:t xml:space="preserve">.  Vaccinating populations with higher carriage rates is </w:t>
      </w:r>
      <w:r w:rsidR="00E75C7A">
        <w:t xml:space="preserve">important </w:t>
      </w:r>
      <w:r>
        <w:t>to achieve protection of the community more broadly (known as community or herd immunity).</w:t>
      </w:r>
    </w:p>
    <w:p w14:paraId="3070D7C8" w14:textId="7412EA7F" w:rsidR="00AF5014" w:rsidRDefault="00AF5014" w:rsidP="007874E2">
      <w:pPr>
        <w:pStyle w:val="Heading2"/>
      </w:pPr>
    </w:p>
    <w:p w14:paraId="1030BF75" w14:textId="0898C926" w:rsidR="00CA7C97" w:rsidRDefault="00BA58C8" w:rsidP="007874E2">
      <w:pPr>
        <w:pStyle w:val="Heading2"/>
      </w:pPr>
      <w:r w:rsidRPr="00BA58C8">
        <w:rPr>
          <w:rFonts w:eastAsia="MS PGothic"/>
          <w:iCs/>
          <w:color w:val="57259F"/>
          <w:spacing w:val="5"/>
        </w:rPr>
        <w:t xml:space="preserve">Recommendations for the use of </w:t>
      </w:r>
      <w:proofErr w:type="spellStart"/>
      <w:r w:rsidRPr="00BA58C8">
        <w:rPr>
          <w:rFonts w:eastAsia="MS PGothic"/>
          <w:iCs/>
          <w:color w:val="57259F"/>
          <w:spacing w:val="5"/>
        </w:rPr>
        <w:t>MenACWY</w:t>
      </w:r>
      <w:proofErr w:type="spellEnd"/>
      <w:r w:rsidRPr="00BA58C8">
        <w:rPr>
          <w:rFonts w:eastAsia="MS PGothic"/>
          <w:iCs/>
          <w:color w:val="57259F"/>
          <w:spacing w:val="5"/>
        </w:rPr>
        <w:t xml:space="preserve"> vaccine</w:t>
      </w:r>
    </w:p>
    <w:p w14:paraId="111BFB98" w14:textId="77777777" w:rsidR="00CA7C97" w:rsidRDefault="00CA7C97" w:rsidP="006C6A65">
      <w:pPr>
        <w:pStyle w:val="BulletedList"/>
        <w:spacing w:before="120" w:line="240" w:lineRule="auto"/>
        <w:ind w:left="426" w:hanging="284"/>
        <w:contextualSpacing w:val="0"/>
        <w:rPr>
          <w:szCs w:val="21"/>
        </w:rPr>
      </w:pPr>
      <w:r w:rsidRPr="0032513B">
        <w:rPr>
          <w:szCs w:val="21"/>
        </w:rPr>
        <w:t xml:space="preserve">Healthy adolescents aged 15–19 years are strongly recommended to receive a single dose of </w:t>
      </w:r>
      <w:proofErr w:type="spellStart"/>
      <w:r w:rsidRPr="0032513B">
        <w:rPr>
          <w:szCs w:val="21"/>
        </w:rPr>
        <w:t>MenACWY</w:t>
      </w:r>
      <w:proofErr w:type="spellEnd"/>
      <w:r w:rsidRPr="0032513B">
        <w:rPr>
          <w:szCs w:val="21"/>
        </w:rPr>
        <w:t xml:space="preserve"> vaccine.</w:t>
      </w:r>
    </w:p>
    <w:p w14:paraId="6D6728BB" w14:textId="3B3AE086" w:rsidR="00CA7C97" w:rsidRPr="0032513B" w:rsidRDefault="00CA7C97" w:rsidP="006C6A65">
      <w:pPr>
        <w:pStyle w:val="BulletedList"/>
        <w:spacing w:before="120" w:line="240" w:lineRule="auto"/>
        <w:ind w:left="426" w:hanging="284"/>
        <w:contextualSpacing w:val="0"/>
        <w:rPr>
          <w:szCs w:val="21"/>
        </w:rPr>
      </w:pPr>
      <w:r w:rsidRPr="0032513B">
        <w:rPr>
          <w:szCs w:val="21"/>
        </w:rPr>
        <w:t xml:space="preserve">If an </w:t>
      </w:r>
      <w:r>
        <w:rPr>
          <w:szCs w:val="21"/>
        </w:rPr>
        <w:t>adolescent</w:t>
      </w:r>
      <w:r w:rsidRPr="0032513B">
        <w:rPr>
          <w:szCs w:val="21"/>
        </w:rPr>
        <w:t xml:space="preserve"> received a dose of </w:t>
      </w:r>
      <w:proofErr w:type="spellStart"/>
      <w:r>
        <w:rPr>
          <w:szCs w:val="21"/>
        </w:rPr>
        <w:t>Men</w:t>
      </w:r>
      <w:r w:rsidRPr="0032513B">
        <w:rPr>
          <w:szCs w:val="21"/>
        </w:rPr>
        <w:t>C</w:t>
      </w:r>
      <w:proofErr w:type="spellEnd"/>
      <w:r w:rsidRPr="0032513B">
        <w:rPr>
          <w:szCs w:val="21"/>
        </w:rPr>
        <w:t xml:space="preserve"> vaccine in childhood, they </w:t>
      </w:r>
      <w:r w:rsidR="00BA58C8">
        <w:rPr>
          <w:szCs w:val="21"/>
        </w:rPr>
        <w:t xml:space="preserve">are </w:t>
      </w:r>
      <w:r w:rsidRPr="0032513B">
        <w:rPr>
          <w:szCs w:val="21"/>
        </w:rPr>
        <w:t xml:space="preserve">still </w:t>
      </w:r>
      <w:r>
        <w:rPr>
          <w:szCs w:val="21"/>
        </w:rPr>
        <w:t xml:space="preserve">recommended to receive </w:t>
      </w:r>
      <w:r w:rsidRPr="0032513B">
        <w:rPr>
          <w:szCs w:val="21"/>
        </w:rPr>
        <w:t xml:space="preserve">the </w:t>
      </w:r>
      <w:proofErr w:type="spellStart"/>
      <w:r w:rsidRPr="0032513B">
        <w:rPr>
          <w:szCs w:val="21"/>
        </w:rPr>
        <w:t>MenACWY</w:t>
      </w:r>
      <w:proofErr w:type="spellEnd"/>
      <w:r w:rsidRPr="0032513B">
        <w:rPr>
          <w:szCs w:val="21"/>
        </w:rPr>
        <w:t xml:space="preserve"> vaccine</w:t>
      </w:r>
      <w:r w:rsidR="00BA58C8">
        <w:rPr>
          <w:szCs w:val="21"/>
        </w:rPr>
        <w:t xml:space="preserve">. </w:t>
      </w:r>
      <w:r w:rsidRPr="0032513B">
        <w:rPr>
          <w:szCs w:val="21"/>
        </w:rPr>
        <w:t xml:space="preserve">The </w:t>
      </w:r>
      <w:proofErr w:type="spellStart"/>
      <w:r w:rsidRPr="0032513B">
        <w:rPr>
          <w:szCs w:val="21"/>
        </w:rPr>
        <w:t>MenACWY</w:t>
      </w:r>
      <w:proofErr w:type="spellEnd"/>
      <w:r w:rsidRPr="0032513B">
        <w:rPr>
          <w:szCs w:val="21"/>
        </w:rPr>
        <w:t xml:space="preserve"> vaccine provides protection against </w:t>
      </w:r>
      <w:proofErr w:type="spellStart"/>
      <w:r w:rsidR="00BA58C8">
        <w:rPr>
          <w:szCs w:val="21"/>
        </w:rPr>
        <w:t>serogroups</w:t>
      </w:r>
      <w:proofErr w:type="spellEnd"/>
      <w:r w:rsidR="00BA58C8">
        <w:rPr>
          <w:szCs w:val="21"/>
        </w:rPr>
        <w:t xml:space="preserve"> </w:t>
      </w:r>
      <w:r w:rsidR="007045E8">
        <w:rPr>
          <w:szCs w:val="21"/>
        </w:rPr>
        <w:t xml:space="preserve">A, </w:t>
      </w:r>
      <w:r w:rsidRPr="0032513B">
        <w:rPr>
          <w:szCs w:val="21"/>
        </w:rPr>
        <w:t xml:space="preserve">W, Y types and in addition will boost immunity against </w:t>
      </w:r>
      <w:proofErr w:type="spellStart"/>
      <w:r w:rsidR="00BA58C8">
        <w:rPr>
          <w:szCs w:val="21"/>
        </w:rPr>
        <w:t>serogroup</w:t>
      </w:r>
      <w:proofErr w:type="spellEnd"/>
      <w:r w:rsidR="00BA58C8">
        <w:rPr>
          <w:szCs w:val="21"/>
        </w:rPr>
        <w:t xml:space="preserve"> </w:t>
      </w:r>
      <w:r w:rsidRPr="0032513B">
        <w:rPr>
          <w:szCs w:val="21"/>
        </w:rPr>
        <w:t>C.</w:t>
      </w:r>
    </w:p>
    <w:p w14:paraId="3F5124C7" w14:textId="0A4359A4" w:rsidR="00B37C09" w:rsidRPr="0032513B" w:rsidRDefault="00B37C09" w:rsidP="00B37C09">
      <w:pPr>
        <w:pStyle w:val="BulletedList"/>
        <w:spacing w:before="120" w:line="240" w:lineRule="auto"/>
        <w:ind w:left="426" w:hanging="284"/>
        <w:contextualSpacing w:val="0"/>
        <w:rPr>
          <w:szCs w:val="21"/>
        </w:rPr>
      </w:pPr>
      <w:r>
        <w:rPr>
          <w:szCs w:val="21"/>
        </w:rPr>
        <w:t>NIP-e</w:t>
      </w:r>
      <w:r w:rsidRPr="0032513B">
        <w:rPr>
          <w:szCs w:val="21"/>
        </w:rPr>
        <w:t xml:space="preserve">ligible </w:t>
      </w:r>
      <w:r>
        <w:rPr>
          <w:szCs w:val="21"/>
        </w:rPr>
        <w:t>adolescents</w:t>
      </w:r>
      <w:r w:rsidRPr="0032513B">
        <w:rPr>
          <w:szCs w:val="21"/>
        </w:rPr>
        <w:t xml:space="preserve"> who have previously received a </w:t>
      </w:r>
      <w:r>
        <w:rPr>
          <w:szCs w:val="21"/>
        </w:rPr>
        <w:t xml:space="preserve">conjugate </w:t>
      </w:r>
      <w:proofErr w:type="spellStart"/>
      <w:r w:rsidRPr="0032513B">
        <w:rPr>
          <w:szCs w:val="21"/>
        </w:rPr>
        <w:t>MenACWY</w:t>
      </w:r>
      <w:proofErr w:type="spellEnd"/>
      <w:r w:rsidRPr="0032513B">
        <w:rPr>
          <w:szCs w:val="21"/>
        </w:rPr>
        <w:t xml:space="preserve"> vaccine</w:t>
      </w:r>
      <w:r>
        <w:rPr>
          <w:szCs w:val="21"/>
        </w:rPr>
        <w:t xml:space="preserve"> (</w:t>
      </w:r>
      <w:proofErr w:type="spellStart"/>
      <w:r>
        <w:rPr>
          <w:szCs w:val="21"/>
        </w:rPr>
        <w:t>Menactra</w:t>
      </w:r>
      <w:proofErr w:type="spellEnd"/>
      <w:r w:rsidRPr="00FA085C">
        <w:rPr>
          <w:szCs w:val="21"/>
          <w:vertAlign w:val="superscript"/>
        </w:rPr>
        <w:t>®</w:t>
      </w:r>
      <w:r>
        <w:rPr>
          <w:szCs w:val="21"/>
        </w:rPr>
        <w:t xml:space="preserve">, </w:t>
      </w:r>
      <w:proofErr w:type="spellStart"/>
      <w:r>
        <w:rPr>
          <w:szCs w:val="21"/>
        </w:rPr>
        <w:t>Menveo</w:t>
      </w:r>
      <w:proofErr w:type="spellEnd"/>
      <w:r w:rsidRPr="00FA085C">
        <w:rPr>
          <w:szCs w:val="21"/>
          <w:vertAlign w:val="superscript"/>
        </w:rPr>
        <w:t>®</w:t>
      </w:r>
      <w:r>
        <w:rPr>
          <w:szCs w:val="21"/>
        </w:rPr>
        <w:t xml:space="preserve"> or </w:t>
      </w:r>
      <w:proofErr w:type="spellStart"/>
      <w:r>
        <w:rPr>
          <w:szCs w:val="21"/>
        </w:rPr>
        <w:t>Nimenrix</w:t>
      </w:r>
      <w:proofErr w:type="spellEnd"/>
      <w:r w:rsidRPr="00FA085C">
        <w:rPr>
          <w:szCs w:val="21"/>
          <w:vertAlign w:val="superscript"/>
        </w:rPr>
        <w:t>®</w:t>
      </w:r>
      <w:r>
        <w:rPr>
          <w:szCs w:val="21"/>
        </w:rPr>
        <w:t xml:space="preserve">), for example via private </w:t>
      </w:r>
      <w:r w:rsidRPr="00E75C7A">
        <w:rPr>
          <w:szCs w:val="21"/>
        </w:rPr>
        <w:t xml:space="preserve">prescription </w:t>
      </w:r>
      <w:r w:rsidR="00C96D1F">
        <w:rPr>
          <w:szCs w:val="21"/>
        </w:rPr>
        <w:t>can receive a</w:t>
      </w:r>
      <w:r w:rsidRPr="00E75C7A">
        <w:rPr>
          <w:szCs w:val="21"/>
        </w:rPr>
        <w:t>nother</w:t>
      </w:r>
      <w:r w:rsidRPr="0032513B">
        <w:rPr>
          <w:szCs w:val="21"/>
        </w:rPr>
        <w:t xml:space="preserve"> dose of </w:t>
      </w:r>
      <w:proofErr w:type="spellStart"/>
      <w:r w:rsidRPr="0032513B">
        <w:rPr>
          <w:szCs w:val="21"/>
        </w:rPr>
        <w:t>MenACWY</w:t>
      </w:r>
      <w:proofErr w:type="spellEnd"/>
      <w:r>
        <w:rPr>
          <w:szCs w:val="21"/>
        </w:rPr>
        <w:t xml:space="preserve"> vaccine</w:t>
      </w:r>
      <w:r w:rsidRPr="0032513B">
        <w:rPr>
          <w:szCs w:val="21"/>
        </w:rPr>
        <w:t xml:space="preserve">, even if the previous dose was within the past five years. There should be at least a four week </w:t>
      </w:r>
      <w:r>
        <w:rPr>
          <w:szCs w:val="21"/>
        </w:rPr>
        <w:t>interval</w:t>
      </w:r>
      <w:r w:rsidRPr="0032513B">
        <w:rPr>
          <w:szCs w:val="21"/>
        </w:rPr>
        <w:t xml:space="preserve"> between doses. Repeat vaccination carries </w:t>
      </w:r>
      <w:r>
        <w:rPr>
          <w:szCs w:val="21"/>
        </w:rPr>
        <w:t>no additional risk</w:t>
      </w:r>
      <w:r w:rsidRPr="0032513B">
        <w:rPr>
          <w:szCs w:val="21"/>
        </w:rPr>
        <w:t xml:space="preserve"> of adverse reactions.</w:t>
      </w:r>
    </w:p>
    <w:p w14:paraId="798FA306" w14:textId="5ED676BA" w:rsidR="00CA7C97" w:rsidRPr="0032513B" w:rsidRDefault="008772B5" w:rsidP="006C6A65">
      <w:pPr>
        <w:pStyle w:val="BulletedList"/>
        <w:spacing w:before="120" w:line="240" w:lineRule="auto"/>
        <w:ind w:left="426" w:hanging="284"/>
        <w:contextualSpacing w:val="0"/>
        <w:rPr>
          <w:szCs w:val="21"/>
        </w:rPr>
      </w:pPr>
      <w:r>
        <w:rPr>
          <w:szCs w:val="21"/>
        </w:rPr>
        <w:t xml:space="preserve">Children are strongly recommended to </w:t>
      </w:r>
      <w:r w:rsidRPr="0032513B">
        <w:rPr>
          <w:szCs w:val="21"/>
        </w:rPr>
        <w:t xml:space="preserve">receive a single dose of </w:t>
      </w:r>
      <w:proofErr w:type="spellStart"/>
      <w:r w:rsidRPr="0032513B">
        <w:rPr>
          <w:szCs w:val="21"/>
        </w:rPr>
        <w:t>MenACWY</w:t>
      </w:r>
      <w:proofErr w:type="spellEnd"/>
      <w:r w:rsidRPr="0032513B">
        <w:rPr>
          <w:szCs w:val="21"/>
        </w:rPr>
        <w:t xml:space="preserve"> vaccine</w:t>
      </w:r>
      <w:r>
        <w:rPr>
          <w:szCs w:val="21"/>
        </w:rPr>
        <w:t xml:space="preserve"> at age 12 months. This dose is funded under the NIP</w:t>
      </w:r>
      <w:r w:rsidRPr="0032513B">
        <w:rPr>
          <w:szCs w:val="21"/>
        </w:rPr>
        <w:t>.</w:t>
      </w:r>
    </w:p>
    <w:p w14:paraId="62756EE8" w14:textId="77777777" w:rsidR="008772B5" w:rsidRDefault="008772B5" w:rsidP="00394B5A">
      <w:pPr>
        <w:pStyle w:val="BulletedList"/>
        <w:numPr>
          <w:ilvl w:val="0"/>
          <w:numId w:val="0"/>
        </w:numPr>
        <w:rPr>
          <w:szCs w:val="21"/>
        </w:rPr>
      </w:pPr>
    </w:p>
    <w:p w14:paraId="79AFD428" w14:textId="4141A00B" w:rsidR="00BA58C8" w:rsidRDefault="0032513B" w:rsidP="00394B5A">
      <w:pPr>
        <w:pStyle w:val="BulletedList"/>
        <w:numPr>
          <w:ilvl w:val="0"/>
          <w:numId w:val="0"/>
        </w:numPr>
        <w:rPr>
          <w:szCs w:val="21"/>
        </w:rPr>
      </w:pPr>
      <w:proofErr w:type="spellStart"/>
      <w:r w:rsidRPr="0032513B">
        <w:rPr>
          <w:szCs w:val="21"/>
        </w:rPr>
        <w:t>MenACWY</w:t>
      </w:r>
      <w:proofErr w:type="spellEnd"/>
      <w:r w:rsidRPr="0032513B">
        <w:rPr>
          <w:szCs w:val="21"/>
        </w:rPr>
        <w:t xml:space="preserve"> vaccine</w:t>
      </w:r>
      <w:r w:rsidR="003642EE">
        <w:rPr>
          <w:szCs w:val="21"/>
        </w:rPr>
        <w:t>s</w:t>
      </w:r>
      <w:r w:rsidRPr="0032513B">
        <w:rPr>
          <w:szCs w:val="21"/>
        </w:rPr>
        <w:t xml:space="preserve"> are</w:t>
      </w:r>
      <w:r w:rsidR="00394B5A">
        <w:rPr>
          <w:szCs w:val="21"/>
        </w:rPr>
        <w:t xml:space="preserve"> </w:t>
      </w:r>
      <w:r w:rsidR="007719EB">
        <w:rPr>
          <w:szCs w:val="21"/>
        </w:rPr>
        <w:t xml:space="preserve">also </w:t>
      </w:r>
      <w:r w:rsidR="00394B5A">
        <w:rPr>
          <w:szCs w:val="21"/>
        </w:rPr>
        <w:t>recommended</w:t>
      </w:r>
      <w:r w:rsidR="007719EB">
        <w:rPr>
          <w:szCs w:val="21"/>
        </w:rPr>
        <w:t xml:space="preserve"> in the </w:t>
      </w:r>
      <w:hyperlink r:id="rId12" w:history="1">
        <w:r w:rsidR="007045E8" w:rsidRPr="00793CE4">
          <w:rPr>
            <w:rStyle w:val="Hyperlink"/>
            <w:szCs w:val="21"/>
          </w:rPr>
          <w:t>Australian Immunisation Handbook</w:t>
        </w:r>
      </w:hyperlink>
      <w:r w:rsidR="00394B5A">
        <w:rPr>
          <w:szCs w:val="21"/>
        </w:rPr>
        <w:t xml:space="preserve">, but not </w:t>
      </w:r>
      <w:r w:rsidR="00FA085C">
        <w:rPr>
          <w:szCs w:val="21"/>
        </w:rPr>
        <w:t>currently funded on the NIP</w:t>
      </w:r>
      <w:r w:rsidR="00394B5A">
        <w:rPr>
          <w:szCs w:val="21"/>
        </w:rPr>
        <w:t xml:space="preserve"> </w:t>
      </w:r>
      <w:r w:rsidR="007719EB">
        <w:rPr>
          <w:szCs w:val="21"/>
        </w:rPr>
        <w:t>for:</w:t>
      </w:r>
    </w:p>
    <w:p w14:paraId="5D8B42BE" w14:textId="21B4802E" w:rsidR="007719EB" w:rsidRPr="00D56CD3" w:rsidRDefault="007719EB" w:rsidP="00D56CD3">
      <w:pPr>
        <w:pStyle w:val="BulletedList"/>
        <w:spacing w:before="120" w:line="240" w:lineRule="auto"/>
        <w:ind w:left="426" w:hanging="284"/>
        <w:contextualSpacing w:val="0"/>
        <w:rPr>
          <w:szCs w:val="21"/>
        </w:rPr>
      </w:pPr>
      <w:r w:rsidRPr="00D56CD3">
        <w:rPr>
          <w:i/>
          <w:szCs w:val="21"/>
        </w:rPr>
        <w:t>all</w:t>
      </w:r>
      <w:r>
        <w:rPr>
          <w:szCs w:val="21"/>
        </w:rPr>
        <w:t xml:space="preserve"> </w:t>
      </w:r>
      <w:r w:rsidRPr="00D56CD3">
        <w:rPr>
          <w:szCs w:val="21"/>
        </w:rPr>
        <w:t>Aboriginal and Torres Strait Islander people aged 6 weeks to 19 years</w:t>
      </w:r>
      <w:r w:rsidR="006C6A65" w:rsidRPr="007045E8">
        <w:rPr>
          <w:szCs w:val="21"/>
          <w:vertAlign w:val="superscript"/>
        </w:rPr>
        <w:footnoteReference w:id="1"/>
      </w:r>
      <w:r w:rsidRPr="00D56CD3">
        <w:rPr>
          <w:szCs w:val="21"/>
        </w:rPr>
        <w:t xml:space="preserve"> noting this age span includes those covered under the NIP at ages 12 months and </w:t>
      </w:r>
      <w:r w:rsidR="00D56CD3" w:rsidRPr="00D56CD3">
        <w:rPr>
          <w:szCs w:val="21"/>
        </w:rPr>
        <w:t>14</w:t>
      </w:r>
      <w:r w:rsidRPr="00D56CD3">
        <w:rPr>
          <w:szCs w:val="21"/>
        </w:rPr>
        <w:t xml:space="preserve"> to 19 years</w:t>
      </w:r>
      <w:r w:rsidR="00D56CD3" w:rsidRPr="00D56CD3">
        <w:rPr>
          <w:szCs w:val="21"/>
        </w:rPr>
        <w:t>;</w:t>
      </w:r>
    </w:p>
    <w:p w14:paraId="209E827D" w14:textId="1E82F79C" w:rsidR="007719EB" w:rsidRPr="00D56CD3" w:rsidRDefault="0032513B" w:rsidP="00D56CD3">
      <w:pPr>
        <w:pStyle w:val="BulletedList"/>
        <w:spacing w:before="120" w:line="240" w:lineRule="auto"/>
        <w:ind w:left="426" w:hanging="284"/>
        <w:contextualSpacing w:val="0"/>
        <w:rPr>
          <w:szCs w:val="21"/>
        </w:rPr>
      </w:pPr>
      <w:r w:rsidRPr="0032513B">
        <w:rPr>
          <w:szCs w:val="21"/>
        </w:rPr>
        <w:t>young adults aged 20–24 years who live in close quarters (such as new military recruits and students living in residential accommodat</w:t>
      </w:r>
      <w:r w:rsidR="002C30F6">
        <w:rPr>
          <w:szCs w:val="21"/>
        </w:rPr>
        <w:t>ion)</w:t>
      </w:r>
      <w:r w:rsidR="00D56CD3">
        <w:rPr>
          <w:szCs w:val="21"/>
        </w:rPr>
        <w:t>;</w:t>
      </w:r>
    </w:p>
    <w:p w14:paraId="4FE44D6C" w14:textId="211809B6" w:rsidR="0032513B" w:rsidRPr="00D56CD3" w:rsidRDefault="002C30F6" w:rsidP="00D56CD3">
      <w:pPr>
        <w:pStyle w:val="BulletedList"/>
        <w:spacing w:before="120" w:line="240" w:lineRule="auto"/>
        <w:ind w:left="426" w:hanging="284"/>
        <w:contextualSpacing w:val="0"/>
        <w:rPr>
          <w:szCs w:val="21"/>
        </w:rPr>
      </w:pPr>
      <w:r>
        <w:rPr>
          <w:szCs w:val="21"/>
        </w:rPr>
        <w:t>current smokers</w:t>
      </w:r>
      <w:r w:rsidR="00D56CD3">
        <w:rPr>
          <w:szCs w:val="21"/>
        </w:rPr>
        <w:t>; and</w:t>
      </w:r>
      <w:r>
        <w:rPr>
          <w:szCs w:val="21"/>
        </w:rPr>
        <w:t xml:space="preserve"> </w:t>
      </w:r>
    </w:p>
    <w:p w14:paraId="6F47ABF7" w14:textId="2090C057" w:rsidR="008E5206" w:rsidRPr="00793CE4" w:rsidRDefault="008772B5" w:rsidP="00D56CD3">
      <w:pPr>
        <w:pStyle w:val="BulletedList"/>
        <w:spacing w:before="120" w:line="240" w:lineRule="auto"/>
        <w:ind w:left="426" w:hanging="284"/>
        <w:contextualSpacing w:val="0"/>
        <w:rPr>
          <w:szCs w:val="21"/>
        </w:rPr>
      </w:pPr>
      <w:proofErr w:type="gramStart"/>
      <w:r w:rsidRPr="00D56CD3">
        <w:rPr>
          <w:i/>
          <w:szCs w:val="21"/>
        </w:rPr>
        <w:t>all</w:t>
      </w:r>
      <w:proofErr w:type="gramEnd"/>
      <w:r w:rsidRPr="00D56CD3">
        <w:rPr>
          <w:szCs w:val="21"/>
        </w:rPr>
        <w:t xml:space="preserve"> </w:t>
      </w:r>
      <w:r w:rsidR="008E5206" w:rsidRPr="00793CE4">
        <w:rPr>
          <w:szCs w:val="21"/>
        </w:rPr>
        <w:t xml:space="preserve">people who have a condition associated with an increased risk of </w:t>
      </w:r>
      <w:r w:rsidR="007045E8">
        <w:rPr>
          <w:szCs w:val="21"/>
        </w:rPr>
        <w:t>IMD</w:t>
      </w:r>
      <w:r w:rsidR="008E5206" w:rsidRPr="00793CE4">
        <w:rPr>
          <w:szCs w:val="21"/>
        </w:rPr>
        <w:t xml:space="preserve">, for example, patients with functional or anatomical </w:t>
      </w:r>
      <w:proofErr w:type="spellStart"/>
      <w:r w:rsidR="008E5206" w:rsidRPr="00793CE4">
        <w:rPr>
          <w:szCs w:val="21"/>
        </w:rPr>
        <w:t>asplenia</w:t>
      </w:r>
      <w:proofErr w:type="spellEnd"/>
      <w:r w:rsidR="008E5206" w:rsidRPr="00793CE4">
        <w:rPr>
          <w:szCs w:val="21"/>
        </w:rPr>
        <w:t xml:space="preserve"> or complement disorder</w:t>
      </w:r>
      <w:r w:rsidR="00BA58C8" w:rsidRPr="00793CE4">
        <w:rPr>
          <w:szCs w:val="21"/>
        </w:rPr>
        <w:t>.</w:t>
      </w:r>
      <w:r w:rsidR="008E5206" w:rsidRPr="00793CE4">
        <w:rPr>
          <w:szCs w:val="21"/>
        </w:rPr>
        <w:t xml:space="preserve"> </w:t>
      </w:r>
      <w:r w:rsidR="00BA58C8" w:rsidRPr="00793CE4">
        <w:rPr>
          <w:szCs w:val="21"/>
        </w:rPr>
        <w:t xml:space="preserve">If a </w:t>
      </w:r>
      <w:r w:rsidR="00B5311F">
        <w:rPr>
          <w:szCs w:val="21"/>
        </w:rPr>
        <w:t>child or adolescent</w:t>
      </w:r>
      <w:r w:rsidR="00BA58C8" w:rsidRPr="00793CE4">
        <w:rPr>
          <w:szCs w:val="21"/>
        </w:rPr>
        <w:t xml:space="preserve"> </w:t>
      </w:r>
      <w:r w:rsidR="007045E8">
        <w:rPr>
          <w:szCs w:val="21"/>
        </w:rPr>
        <w:t>in this category has received a</w:t>
      </w:r>
      <w:r w:rsidR="00BA58C8" w:rsidRPr="00793CE4">
        <w:rPr>
          <w:szCs w:val="21"/>
        </w:rPr>
        <w:t xml:space="preserve"> NIP</w:t>
      </w:r>
      <w:r w:rsidR="00793CE4">
        <w:rPr>
          <w:szCs w:val="21"/>
        </w:rPr>
        <w:t>-</w:t>
      </w:r>
      <w:r w:rsidR="00BA58C8" w:rsidRPr="00793CE4">
        <w:rPr>
          <w:szCs w:val="21"/>
        </w:rPr>
        <w:t xml:space="preserve">funded </w:t>
      </w:r>
      <w:proofErr w:type="spellStart"/>
      <w:r w:rsidR="00793CE4" w:rsidRPr="00793CE4">
        <w:rPr>
          <w:szCs w:val="21"/>
        </w:rPr>
        <w:t>MenACWY</w:t>
      </w:r>
      <w:proofErr w:type="spellEnd"/>
      <w:r w:rsidR="00793CE4" w:rsidRPr="00793CE4">
        <w:rPr>
          <w:szCs w:val="21"/>
        </w:rPr>
        <w:t xml:space="preserve"> </w:t>
      </w:r>
      <w:r w:rsidR="00793CE4">
        <w:rPr>
          <w:szCs w:val="21"/>
        </w:rPr>
        <w:t xml:space="preserve">vaccine </w:t>
      </w:r>
      <w:r w:rsidR="00BA58C8" w:rsidRPr="00793CE4">
        <w:rPr>
          <w:szCs w:val="21"/>
        </w:rPr>
        <w:t xml:space="preserve">dose, they </w:t>
      </w:r>
      <w:r w:rsidR="00793CE4">
        <w:rPr>
          <w:szCs w:val="21"/>
        </w:rPr>
        <w:t xml:space="preserve">likely </w:t>
      </w:r>
      <w:r w:rsidR="00BA58C8" w:rsidRPr="00793CE4">
        <w:rPr>
          <w:szCs w:val="21"/>
        </w:rPr>
        <w:t>still require additional doses of vaccine.</w:t>
      </w:r>
      <w:r w:rsidR="00793CE4">
        <w:rPr>
          <w:szCs w:val="21"/>
        </w:rPr>
        <w:t xml:space="preserve"> </w:t>
      </w:r>
      <w:r w:rsidR="008E5206" w:rsidRPr="00793CE4">
        <w:rPr>
          <w:szCs w:val="21"/>
        </w:rPr>
        <w:t xml:space="preserve">For </w:t>
      </w:r>
      <w:r w:rsidR="00793CE4">
        <w:rPr>
          <w:szCs w:val="21"/>
        </w:rPr>
        <w:t xml:space="preserve">all </w:t>
      </w:r>
      <w:r w:rsidR="008E5206" w:rsidRPr="00793CE4">
        <w:rPr>
          <w:szCs w:val="21"/>
        </w:rPr>
        <w:t xml:space="preserve">risk factors and schedules for those at increased risk of IMD, refer to the online </w:t>
      </w:r>
      <w:hyperlink r:id="rId13" w:history="1">
        <w:r w:rsidR="008E5206" w:rsidRPr="00793CE4">
          <w:rPr>
            <w:rStyle w:val="Hyperlink"/>
            <w:szCs w:val="21"/>
          </w:rPr>
          <w:t>Australian Immunisation Handbook</w:t>
        </w:r>
      </w:hyperlink>
      <w:r w:rsidR="008E5206" w:rsidRPr="00793CE4">
        <w:rPr>
          <w:szCs w:val="21"/>
        </w:rPr>
        <w:t>.</w:t>
      </w:r>
      <w:r w:rsidR="00BA58C8" w:rsidRPr="00793CE4">
        <w:rPr>
          <w:szCs w:val="21"/>
        </w:rPr>
        <w:t xml:space="preserve"> </w:t>
      </w:r>
    </w:p>
    <w:p w14:paraId="7B2D81B0" w14:textId="77777777" w:rsidR="00C65C2B" w:rsidRDefault="00C65C2B" w:rsidP="007874E2">
      <w:pPr>
        <w:pStyle w:val="Heading2"/>
        <w:rPr>
          <w:rFonts w:eastAsia="MS PGothic"/>
        </w:rPr>
      </w:pPr>
    </w:p>
    <w:p w14:paraId="5895C35C" w14:textId="14C24068" w:rsidR="00066E1D" w:rsidRPr="00F23226" w:rsidRDefault="00066E1D" w:rsidP="007874E2">
      <w:pPr>
        <w:pStyle w:val="Heading2"/>
        <w:rPr>
          <w:rFonts w:eastAsia="MS PGothic"/>
        </w:rPr>
      </w:pPr>
      <w:r w:rsidRPr="00F23226">
        <w:rPr>
          <w:rFonts w:eastAsia="MS PGothic"/>
        </w:rPr>
        <w:t>Safety</w:t>
      </w:r>
      <w:r w:rsidR="0032513B" w:rsidRPr="00F23226">
        <w:rPr>
          <w:rFonts w:eastAsia="MS PGothic"/>
        </w:rPr>
        <w:t xml:space="preserve"> and effectiveness</w:t>
      </w:r>
      <w:r w:rsidRPr="00F23226">
        <w:rPr>
          <w:rFonts w:eastAsia="MS PGothic"/>
        </w:rPr>
        <w:t xml:space="preserve"> of meningococcal ACWY vaccines  </w:t>
      </w:r>
    </w:p>
    <w:p w14:paraId="40DCED59" w14:textId="1D85527B" w:rsidR="0032513B" w:rsidRPr="0032513B" w:rsidRDefault="0032513B" w:rsidP="00D73EA9">
      <w:pPr>
        <w:pStyle w:val="BulletedList"/>
        <w:numPr>
          <w:ilvl w:val="0"/>
          <w:numId w:val="5"/>
        </w:numPr>
        <w:spacing w:before="120" w:line="240" w:lineRule="auto"/>
        <w:ind w:left="426" w:hanging="284"/>
        <w:contextualSpacing w:val="0"/>
        <w:rPr>
          <w:szCs w:val="21"/>
        </w:rPr>
      </w:pPr>
      <w:r w:rsidRPr="0032513B">
        <w:rPr>
          <w:szCs w:val="21"/>
        </w:rPr>
        <w:t xml:space="preserve">A single dose of </w:t>
      </w:r>
      <w:r w:rsidR="00BA2BA8">
        <w:rPr>
          <w:szCs w:val="21"/>
        </w:rPr>
        <w:t xml:space="preserve">conjugate </w:t>
      </w:r>
      <w:proofErr w:type="spellStart"/>
      <w:r w:rsidRPr="0032513B">
        <w:rPr>
          <w:szCs w:val="21"/>
        </w:rPr>
        <w:t>MenACWY</w:t>
      </w:r>
      <w:proofErr w:type="spellEnd"/>
      <w:r w:rsidRPr="0032513B">
        <w:rPr>
          <w:szCs w:val="21"/>
        </w:rPr>
        <w:t xml:space="preserve"> vaccine is very effective in providing protection against the meningococcal </w:t>
      </w:r>
      <w:proofErr w:type="spellStart"/>
      <w:r w:rsidRPr="0032513B">
        <w:rPr>
          <w:szCs w:val="21"/>
        </w:rPr>
        <w:t>serogroups</w:t>
      </w:r>
      <w:proofErr w:type="spellEnd"/>
      <w:r w:rsidRPr="0032513B">
        <w:rPr>
          <w:szCs w:val="21"/>
        </w:rPr>
        <w:t xml:space="preserve"> A, C, W and Y.</w:t>
      </w:r>
    </w:p>
    <w:p w14:paraId="04748B46" w14:textId="2B529F6A" w:rsidR="00066E1D" w:rsidRPr="0032513B" w:rsidRDefault="00066E1D" w:rsidP="00D73EA9">
      <w:pPr>
        <w:pStyle w:val="ListParagraph"/>
        <w:numPr>
          <w:ilvl w:val="0"/>
          <w:numId w:val="5"/>
        </w:numPr>
        <w:spacing w:before="120"/>
        <w:ind w:left="426" w:hanging="284"/>
        <w:rPr>
          <w:rFonts w:ascii="Arial" w:eastAsiaTheme="majorEastAsia" w:hAnsi="Arial" w:cs="Arial"/>
          <w:sz w:val="21"/>
          <w:szCs w:val="21"/>
          <w:lang w:val="en" w:eastAsia="en-AU" w:bidi="ar-SA"/>
        </w:rPr>
      </w:pPr>
      <w:proofErr w:type="spellStart"/>
      <w:r w:rsidRPr="0032513B">
        <w:rPr>
          <w:rFonts w:ascii="Arial" w:eastAsiaTheme="majorEastAsia" w:hAnsi="Arial" w:cs="Arial"/>
          <w:sz w:val="21"/>
          <w:szCs w:val="21"/>
          <w:lang w:val="en" w:eastAsia="en-AU" w:bidi="ar-SA"/>
        </w:rPr>
        <w:t>MenACWY</w:t>
      </w:r>
      <w:proofErr w:type="spellEnd"/>
      <w:r w:rsidRPr="0032513B">
        <w:rPr>
          <w:rFonts w:ascii="Arial" w:eastAsiaTheme="majorEastAsia" w:hAnsi="Arial" w:cs="Arial"/>
          <w:sz w:val="21"/>
          <w:szCs w:val="21"/>
          <w:lang w:val="en" w:eastAsia="en-AU" w:bidi="ar-SA"/>
        </w:rPr>
        <w:t xml:space="preserve"> vaccine safety has been shown in multiple clinical trials and large population studies in people of different ages, from infants to adults.</w:t>
      </w:r>
    </w:p>
    <w:p w14:paraId="060FB0A9" w14:textId="45339C9A" w:rsidR="00066E1D" w:rsidRPr="0032513B" w:rsidRDefault="00066E1D" w:rsidP="00D73EA9">
      <w:pPr>
        <w:pStyle w:val="ListParagraph"/>
        <w:numPr>
          <w:ilvl w:val="0"/>
          <w:numId w:val="5"/>
        </w:numPr>
        <w:spacing w:before="120"/>
        <w:ind w:left="426" w:hanging="284"/>
        <w:rPr>
          <w:rFonts w:ascii="Arial" w:eastAsiaTheme="majorEastAsia" w:hAnsi="Arial" w:cs="Arial"/>
          <w:sz w:val="21"/>
          <w:szCs w:val="21"/>
          <w:lang w:val="en" w:eastAsia="en-AU" w:bidi="ar-SA"/>
        </w:rPr>
      </w:pPr>
      <w:r w:rsidRPr="0032513B">
        <w:rPr>
          <w:rFonts w:ascii="Arial" w:eastAsiaTheme="majorEastAsia" w:hAnsi="Arial" w:cs="Arial"/>
          <w:sz w:val="21"/>
          <w:szCs w:val="21"/>
          <w:lang w:val="en" w:eastAsia="en-AU" w:bidi="ar-SA"/>
        </w:rPr>
        <w:t xml:space="preserve">The vast majority of reactions after vaccination are mild and resolve on their own. Common adverse reactions include pain, </w:t>
      </w:r>
      <w:r w:rsidR="00BA2BA8">
        <w:rPr>
          <w:rFonts w:ascii="Arial" w:eastAsiaTheme="majorEastAsia" w:hAnsi="Arial" w:cs="Arial"/>
          <w:sz w:val="21"/>
          <w:szCs w:val="21"/>
          <w:lang w:val="en" w:eastAsia="en-AU" w:bidi="ar-SA"/>
        </w:rPr>
        <w:t>redness</w:t>
      </w:r>
      <w:r w:rsidR="00BA2BA8" w:rsidRPr="0032513B">
        <w:rPr>
          <w:rFonts w:ascii="Arial" w:eastAsiaTheme="majorEastAsia" w:hAnsi="Arial" w:cs="Arial"/>
          <w:sz w:val="21"/>
          <w:szCs w:val="21"/>
          <w:lang w:val="en" w:eastAsia="en-AU" w:bidi="ar-SA"/>
        </w:rPr>
        <w:t xml:space="preserve"> </w:t>
      </w:r>
      <w:r w:rsidRPr="0032513B">
        <w:rPr>
          <w:rFonts w:ascii="Arial" w:eastAsiaTheme="majorEastAsia" w:hAnsi="Arial" w:cs="Arial"/>
          <w:sz w:val="21"/>
          <w:szCs w:val="21"/>
          <w:lang w:val="en" w:eastAsia="en-AU" w:bidi="ar-SA"/>
        </w:rPr>
        <w:t>and swelling at the injection site, fever, chills</w:t>
      </w:r>
      <w:r w:rsidR="00BA2BA8">
        <w:rPr>
          <w:rFonts w:ascii="Arial" w:eastAsiaTheme="majorEastAsia" w:hAnsi="Arial" w:cs="Arial"/>
          <w:sz w:val="21"/>
          <w:szCs w:val="21"/>
          <w:lang w:val="en" w:eastAsia="en-AU" w:bidi="ar-SA"/>
        </w:rPr>
        <w:t xml:space="preserve"> and</w:t>
      </w:r>
      <w:r w:rsidR="00BA2BA8" w:rsidRPr="0032513B">
        <w:rPr>
          <w:rFonts w:ascii="Arial" w:eastAsiaTheme="majorEastAsia" w:hAnsi="Arial" w:cs="Arial"/>
          <w:sz w:val="21"/>
          <w:szCs w:val="21"/>
          <w:lang w:val="en" w:eastAsia="en-AU" w:bidi="ar-SA"/>
        </w:rPr>
        <w:t xml:space="preserve"> </w:t>
      </w:r>
      <w:r w:rsidRPr="0032513B">
        <w:rPr>
          <w:rFonts w:ascii="Arial" w:eastAsiaTheme="majorEastAsia" w:hAnsi="Arial" w:cs="Arial"/>
          <w:sz w:val="21"/>
          <w:szCs w:val="21"/>
          <w:lang w:val="en" w:eastAsia="en-AU" w:bidi="ar-SA"/>
        </w:rPr>
        <w:t>headache</w:t>
      </w:r>
      <w:r w:rsidR="003E48F5">
        <w:rPr>
          <w:rFonts w:ascii="Arial" w:eastAsiaTheme="majorEastAsia" w:hAnsi="Arial" w:cs="Arial"/>
          <w:sz w:val="21"/>
          <w:szCs w:val="21"/>
          <w:lang w:val="en" w:eastAsia="en-AU" w:bidi="ar-SA"/>
        </w:rPr>
        <w:t>.</w:t>
      </w:r>
    </w:p>
    <w:p w14:paraId="22F8E7A9" w14:textId="7A57151C" w:rsidR="00066E1D" w:rsidRDefault="2E918ACD" w:rsidP="00D73EA9">
      <w:pPr>
        <w:pStyle w:val="BulletedList"/>
        <w:spacing w:before="120" w:line="240" w:lineRule="auto"/>
        <w:ind w:left="426" w:hanging="284"/>
        <w:contextualSpacing w:val="0"/>
      </w:pPr>
      <w:r>
        <w:t xml:space="preserve">It is safe for adolescents to receive the </w:t>
      </w:r>
      <w:proofErr w:type="spellStart"/>
      <w:r>
        <w:t>MenACWY</w:t>
      </w:r>
      <w:proofErr w:type="spellEnd"/>
      <w:r>
        <w:t xml:space="preserve"> vaccine at the same time as other </w:t>
      </w:r>
      <w:r w:rsidRPr="00AE1B6F">
        <w:t>routine vaccines including the human papillomavirus (HPV)</w:t>
      </w:r>
      <w:r w:rsidR="00E75C7A" w:rsidRPr="00AE1B6F">
        <w:t>,</w:t>
      </w:r>
      <w:r w:rsidRPr="00AE1B6F">
        <w:t xml:space="preserve"> diphtheria-tetanus-pertussis </w:t>
      </w:r>
      <w:r w:rsidR="00E75C7A" w:rsidRPr="00AE1B6F">
        <w:t xml:space="preserve">and Meningococcal B </w:t>
      </w:r>
      <w:r w:rsidRPr="00AE1B6F">
        <w:t>vaccines</w:t>
      </w:r>
      <w:r>
        <w:t>, if required, at different injection sites.</w:t>
      </w:r>
    </w:p>
    <w:p w14:paraId="194B13AB" w14:textId="77777777" w:rsidR="00C65C2B" w:rsidRDefault="00C65C2B" w:rsidP="007874E2">
      <w:pPr>
        <w:pStyle w:val="Heading2"/>
        <w:rPr>
          <w:rFonts w:eastAsia="MS PGothic"/>
        </w:rPr>
      </w:pPr>
    </w:p>
    <w:p w14:paraId="7843922B" w14:textId="18FC11FF" w:rsidR="00656B0E" w:rsidRPr="00F21C8B" w:rsidRDefault="00656B0E" w:rsidP="007874E2">
      <w:pPr>
        <w:pStyle w:val="Heading2"/>
        <w:rPr>
          <w:rFonts w:eastAsia="MS PGothic"/>
        </w:rPr>
      </w:pPr>
      <w:r w:rsidRPr="00F21C8B">
        <w:rPr>
          <w:rFonts w:eastAsia="MS PGothic"/>
        </w:rPr>
        <w:t>Contraindications</w:t>
      </w:r>
    </w:p>
    <w:p w14:paraId="62E4A5FE" w14:textId="03CFA859" w:rsidR="00656B0E" w:rsidRDefault="00656B0E" w:rsidP="00D73EA9">
      <w:pPr>
        <w:spacing w:before="120" w:after="0" w:line="240" w:lineRule="auto"/>
        <w:rPr>
          <w:szCs w:val="21"/>
          <w:lang w:val="en"/>
        </w:rPr>
      </w:pPr>
      <w:r>
        <w:rPr>
          <w:szCs w:val="21"/>
          <w:lang w:val="en"/>
        </w:rPr>
        <w:t>The only absolute contraindications to meningococcal vaccines are:</w:t>
      </w:r>
    </w:p>
    <w:p w14:paraId="15ED59BE" w14:textId="4072B370" w:rsidR="00F21C8B" w:rsidRDefault="00656B0E" w:rsidP="00D73EA9">
      <w:pPr>
        <w:pStyle w:val="ListParagraph"/>
        <w:numPr>
          <w:ilvl w:val="0"/>
          <w:numId w:val="15"/>
        </w:numPr>
        <w:spacing w:before="120"/>
        <w:rPr>
          <w:rFonts w:ascii="Arial" w:eastAsiaTheme="majorEastAsia" w:hAnsi="Arial" w:cs="Arial"/>
          <w:sz w:val="21"/>
          <w:szCs w:val="21"/>
          <w:lang w:val="en" w:eastAsia="en-AU" w:bidi="ar-SA"/>
        </w:rPr>
      </w:pPr>
      <w:r w:rsidRPr="00656B0E">
        <w:rPr>
          <w:rFonts w:ascii="Arial" w:eastAsiaTheme="majorEastAsia" w:hAnsi="Arial" w:cs="Arial"/>
          <w:sz w:val="21"/>
          <w:szCs w:val="21"/>
          <w:lang w:val="en" w:eastAsia="en-AU" w:bidi="ar-SA"/>
        </w:rPr>
        <w:t>Anaphylaxis following a previous dose of any meningococcal vaccine</w:t>
      </w:r>
      <w:r w:rsidR="00D73EA9">
        <w:rPr>
          <w:rFonts w:ascii="Arial" w:eastAsiaTheme="majorEastAsia" w:hAnsi="Arial" w:cs="Arial"/>
          <w:sz w:val="21"/>
          <w:szCs w:val="21"/>
          <w:lang w:val="en" w:eastAsia="en-AU" w:bidi="ar-SA"/>
        </w:rPr>
        <w:t>.</w:t>
      </w:r>
    </w:p>
    <w:p w14:paraId="44BC459E" w14:textId="0B5AA7E2" w:rsidR="00656B0E" w:rsidRPr="00F21C8B" w:rsidRDefault="00656B0E" w:rsidP="00D73EA9">
      <w:pPr>
        <w:pStyle w:val="ListParagraph"/>
        <w:numPr>
          <w:ilvl w:val="0"/>
          <w:numId w:val="15"/>
        </w:numPr>
        <w:spacing w:before="120"/>
        <w:rPr>
          <w:rFonts w:ascii="Arial" w:eastAsiaTheme="majorEastAsia" w:hAnsi="Arial" w:cs="Arial"/>
          <w:sz w:val="21"/>
          <w:szCs w:val="21"/>
          <w:lang w:val="en" w:eastAsia="en-AU" w:bidi="ar-SA"/>
        </w:rPr>
      </w:pPr>
      <w:r w:rsidRPr="00F21C8B">
        <w:rPr>
          <w:rFonts w:ascii="Arial" w:eastAsiaTheme="majorEastAsia" w:hAnsi="Arial" w:cs="Arial"/>
          <w:sz w:val="21"/>
          <w:szCs w:val="21"/>
          <w:lang w:val="en" w:eastAsia="en-AU" w:bidi="ar-SA"/>
        </w:rPr>
        <w:t>Anaphylaxis following any vaccine component</w:t>
      </w:r>
      <w:r w:rsidR="00D73EA9">
        <w:rPr>
          <w:rFonts w:ascii="Arial" w:eastAsiaTheme="majorEastAsia" w:hAnsi="Arial" w:cs="Arial"/>
          <w:sz w:val="21"/>
          <w:szCs w:val="21"/>
          <w:lang w:val="en" w:eastAsia="en-AU" w:bidi="ar-SA"/>
        </w:rPr>
        <w:t>.</w:t>
      </w:r>
    </w:p>
    <w:p w14:paraId="649A6D05" w14:textId="77777777" w:rsidR="006C6A65" w:rsidRDefault="006C6A65" w:rsidP="003E48F5">
      <w:pPr>
        <w:pStyle w:val="BulletedList"/>
        <w:numPr>
          <w:ilvl w:val="0"/>
          <w:numId w:val="0"/>
        </w:numPr>
        <w:rPr>
          <w:szCs w:val="21"/>
        </w:rPr>
      </w:pPr>
    </w:p>
    <w:p w14:paraId="772AAB65" w14:textId="30C82BC1" w:rsidR="00E9558C" w:rsidRDefault="00656B0E" w:rsidP="003E48F5">
      <w:pPr>
        <w:pStyle w:val="BulletedList"/>
        <w:numPr>
          <w:ilvl w:val="0"/>
          <w:numId w:val="0"/>
        </w:numPr>
        <w:rPr>
          <w:szCs w:val="21"/>
        </w:rPr>
      </w:pPr>
      <w:r>
        <w:rPr>
          <w:szCs w:val="21"/>
        </w:rPr>
        <w:t xml:space="preserve">Previous meningococcal disease, regardless of </w:t>
      </w:r>
      <w:proofErr w:type="spellStart"/>
      <w:r>
        <w:rPr>
          <w:szCs w:val="21"/>
        </w:rPr>
        <w:t>serogroup</w:t>
      </w:r>
      <w:proofErr w:type="spellEnd"/>
      <w:r>
        <w:rPr>
          <w:szCs w:val="21"/>
        </w:rPr>
        <w:t xml:space="preserve">, is </w:t>
      </w:r>
      <w:r w:rsidRPr="007045E8">
        <w:rPr>
          <w:b/>
          <w:szCs w:val="21"/>
        </w:rPr>
        <w:t>not</w:t>
      </w:r>
      <w:r>
        <w:rPr>
          <w:szCs w:val="21"/>
        </w:rPr>
        <w:t xml:space="preserve"> a contraindication to administration of any meningococcal vaccine. </w:t>
      </w:r>
    </w:p>
    <w:p w14:paraId="22E4A849" w14:textId="77777777" w:rsidR="00754C84" w:rsidRDefault="00754C84" w:rsidP="003E48F5">
      <w:pPr>
        <w:pStyle w:val="BulletedList"/>
        <w:numPr>
          <w:ilvl w:val="0"/>
          <w:numId w:val="0"/>
        </w:numPr>
        <w:rPr>
          <w:rFonts w:eastAsia="MS PGothic"/>
          <w:iCs/>
          <w:color w:val="57259F"/>
          <w:spacing w:val="5"/>
          <w:szCs w:val="21"/>
          <w:lang w:val="en-AU"/>
        </w:rPr>
      </w:pPr>
    </w:p>
    <w:p w14:paraId="5C88F18B" w14:textId="236CE046" w:rsidR="00E9558C" w:rsidRDefault="00E9558C" w:rsidP="003E48F5">
      <w:pPr>
        <w:pStyle w:val="BulletedList"/>
        <w:numPr>
          <w:ilvl w:val="0"/>
          <w:numId w:val="0"/>
        </w:numPr>
        <w:rPr>
          <w:rFonts w:eastAsia="MS PGothic"/>
          <w:iCs/>
          <w:color w:val="57259F"/>
          <w:spacing w:val="5"/>
          <w:szCs w:val="21"/>
          <w:lang w:val="en-AU"/>
        </w:rPr>
      </w:pPr>
      <w:r w:rsidRPr="00E9558C">
        <w:rPr>
          <w:rFonts w:eastAsia="MS PGothic"/>
          <w:iCs/>
          <w:color w:val="57259F"/>
          <w:spacing w:val="5"/>
          <w:szCs w:val="21"/>
          <w:lang w:val="en-AU"/>
        </w:rPr>
        <w:t>Table 1: Meningococcal vaccines available for use in Australia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Caption w:val="Meningococcal vaccines available for use in Australia"/>
        <w:tblDescription w:val="Table with four columns: Trade name, formulation, registered age group and availability. "/>
      </w:tblPr>
      <w:tblGrid>
        <w:gridCol w:w="1590"/>
        <w:gridCol w:w="2360"/>
        <w:gridCol w:w="2075"/>
        <w:gridCol w:w="4431"/>
      </w:tblGrid>
      <w:tr w:rsidR="00F708F2" w14:paraId="436E5184" w14:textId="4187B2E0" w:rsidTr="005C13F7">
        <w:trPr>
          <w:tblHeader/>
          <w:jc w:val="center"/>
        </w:trPr>
        <w:tc>
          <w:tcPr>
            <w:tcW w:w="1590" w:type="dxa"/>
            <w:shd w:val="clear" w:color="auto" w:fill="391969"/>
            <w:vAlign w:val="center"/>
          </w:tcPr>
          <w:p w14:paraId="3A936112" w14:textId="61D3E3E9" w:rsidR="00562A4D" w:rsidRPr="000E2E03" w:rsidRDefault="00562A4D" w:rsidP="00754C84">
            <w:pPr>
              <w:pStyle w:val="BulletedList"/>
              <w:numPr>
                <w:ilvl w:val="0"/>
                <w:numId w:val="0"/>
              </w:numPr>
              <w:spacing w:before="60" w:after="60"/>
              <w:jc w:val="center"/>
              <w:rPr>
                <w:rFonts w:eastAsia="MS PGothic"/>
                <w:b/>
                <w:color w:val="FFFFFF" w:themeColor="background1"/>
                <w:szCs w:val="21"/>
                <w:lang w:val="en-AU" w:eastAsia="en-US"/>
              </w:rPr>
            </w:pPr>
            <w:r w:rsidRPr="000E2E03">
              <w:rPr>
                <w:rFonts w:eastAsia="MS PGothic"/>
                <w:b/>
                <w:color w:val="FFFFFF" w:themeColor="background1"/>
                <w:szCs w:val="21"/>
                <w:lang w:val="en-AU" w:eastAsia="en-US"/>
              </w:rPr>
              <w:t>Trade name</w:t>
            </w:r>
          </w:p>
        </w:tc>
        <w:tc>
          <w:tcPr>
            <w:tcW w:w="2360" w:type="dxa"/>
            <w:shd w:val="clear" w:color="auto" w:fill="391969"/>
            <w:vAlign w:val="center"/>
          </w:tcPr>
          <w:p w14:paraId="42FFC64E" w14:textId="6C338B27" w:rsidR="00562A4D" w:rsidRPr="000E2E03" w:rsidRDefault="00562A4D" w:rsidP="00754C84">
            <w:pPr>
              <w:pStyle w:val="BulletedList"/>
              <w:numPr>
                <w:ilvl w:val="0"/>
                <w:numId w:val="0"/>
              </w:numPr>
              <w:spacing w:before="60" w:after="60"/>
              <w:jc w:val="center"/>
              <w:rPr>
                <w:rFonts w:eastAsia="MS PGothic"/>
                <w:b/>
                <w:color w:val="FFFFFF" w:themeColor="background1"/>
                <w:szCs w:val="21"/>
                <w:lang w:val="en-AU" w:eastAsia="en-US"/>
              </w:rPr>
            </w:pPr>
            <w:r w:rsidRPr="000E2E03">
              <w:rPr>
                <w:rFonts w:eastAsia="MS PGothic"/>
                <w:b/>
                <w:color w:val="FFFFFF" w:themeColor="background1"/>
                <w:szCs w:val="21"/>
                <w:lang w:val="en-AU" w:eastAsia="en-US"/>
              </w:rPr>
              <w:t>Formulation</w:t>
            </w:r>
          </w:p>
        </w:tc>
        <w:tc>
          <w:tcPr>
            <w:tcW w:w="2075" w:type="dxa"/>
            <w:shd w:val="clear" w:color="auto" w:fill="391969"/>
            <w:vAlign w:val="center"/>
          </w:tcPr>
          <w:p w14:paraId="69678536" w14:textId="09427A63" w:rsidR="00562A4D" w:rsidRPr="000E2E03" w:rsidRDefault="00562A4D" w:rsidP="00754C84">
            <w:pPr>
              <w:pStyle w:val="BulletedList"/>
              <w:numPr>
                <w:ilvl w:val="0"/>
                <w:numId w:val="0"/>
              </w:numPr>
              <w:spacing w:before="60" w:after="60"/>
              <w:jc w:val="center"/>
              <w:rPr>
                <w:rFonts w:eastAsia="MS PGothic"/>
                <w:b/>
                <w:color w:val="FFFFFF" w:themeColor="background1"/>
                <w:szCs w:val="21"/>
                <w:lang w:val="en-AU" w:eastAsia="en-US"/>
              </w:rPr>
            </w:pPr>
            <w:r w:rsidRPr="000E2E03">
              <w:rPr>
                <w:rFonts w:eastAsia="MS PGothic"/>
                <w:b/>
                <w:color w:val="FFFFFF" w:themeColor="background1"/>
                <w:szCs w:val="21"/>
                <w:lang w:val="en-AU" w:eastAsia="en-US"/>
              </w:rPr>
              <w:t>Registered age group</w:t>
            </w:r>
          </w:p>
        </w:tc>
        <w:tc>
          <w:tcPr>
            <w:tcW w:w="4431" w:type="dxa"/>
            <w:shd w:val="clear" w:color="auto" w:fill="391969"/>
            <w:vAlign w:val="center"/>
          </w:tcPr>
          <w:p w14:paraId="0DE61F55" w14:textId="48FFD812" w:rsidR="00562A4D" w:rsidRPr="000E2E03" w:rsidRDefault="00754C84" w:rsidP="00754C84">
            <w:pPr>
              <w:pStyle w:val="BulletedList"/>
              <w:numPr>
                <w:ilvl w:val="0"/>
                <w:numId w:val="0"/>
              </w:numPr>
              <w:spacing w:before="60" w:after="60"/>
              <w:jc w:val="center"/>
              <w:rPr>
                <w:rFonts w:eastAsia="MS PGothic"/>
                <w:b/>
                <w:color w:val="FFFFFF" w:themeColor="background1"/>
                <w:szCs w:val="21"/>
                <w:lang w:val="en-AU" w:eastAsia="en-US"/>
              </w:rPr>
            </w:pPr>
            <w:r w:rsidRPr="000E2E03">
              <w:rPr>
                <w:rFonts w:eastAsia="MS PGothic"/>
                <w:b/>
                <w:color w:val="FFFFFF" w:themeColor="background1"/>
                <w:szCs w:val="21"/>
                <w:lang w:val="en-AU" w:eastAsia="en-US"/>
              </w:rPr>
              <w:t>Availability</w:t>
            </w:r>
          </w:p>
        </w:tc>
      </w:tr>
      <w:tr w:rsidR="00562A4D" w14:paraId="3F847C21" w14:textId="11E17CFE" w:rsidTr="00F708F2">
        <w:trPr>
          <w:jc w:val="center"/>
        </w:trPr>
        <w:tc>
          <w:tcPr>
            <w:tcW w:w="10456" w:type="dxa"/>
            <w:gridSpan w:val="4"/>
            <w:shd w:val="clear" w:color="auto" w:fill="D9D9D9" w:themeFill="background1" w:themeFillShade="D9"/>
          </w:tcPr>
          <w:p w14:paraId="1284DA78" w14:textId="431DB1CB" w:rsidR="00562A4D" w:rsidRPr="00562A4D" w:rsidRDefault="00562A4D" w:rsidP="00754C84">
            <w:pPr>
              <w:pStyle w:val="BulletedList"/>
              <w:numPr>
                <w:ilvl w:val="0"/>
                <w:numId w:val="0"/>
              </w:numPr>
              <w:spacing w:before="60" w:after="60"/>
              <w:rPr>
                <w:rFonts w:eastAsia="MS PGothic"/>
                <w:b/>
                <w:iCs/>
                <w:color w:val="57259F"/>
                <w:spacing w:val="5"/>
                <w:szCs w:val="21"/>
                <w:lang w:val="en-AU"/>
              </w:rPr>
            </w:pPr>
            <w:proofErr w:type="spellStart"/>
            <w:r w:rsidRPr="00562A4D">
              <w:rPr>
                <w:rFonts w:eastAsia="MS PGothic"/>
                <w:b/>
                <w:iCs/>
                <w:spacing w:val="5"/>
                <w:szCs w:val="21"/>
                <w:lang w:val="en-AU"/>
              </w:rPr>
              <w:t>Quadrivalent</w:t>
            </w:r>
            <w:proofErr w:type="spellEnd"/>
            <w:r w:rsidRPr="00562A4D">
              <w:rPr>
                <w:rFonts w:eastAsia="MS PGothic"/>
                <w:b/>
                <w:iCs/>
                <w:spacing w:val="5"/>
                <w:szCs w:val="21"/>
                <w:lang w:val="en-AU"/>
              </w:rPr>
              <w:t xml:space="preserve"> meningococcal (</w:t>
            </w:r>
            <w:proofErr w:type="spellStart"/>
            <w:r w:rsidRPr="00562A4D">
              <w:rPr>
                <w:rFonts w:eastAsia="MS PGothic"/>
                <w:b/>
                <w:iCs/>
                <w:spacing w:val="5"/>
                <w:szCs w:val="21"/>
                <w:lang w:val="en-AU"/>
              </w:rPr>
              <w:t>MenACWY</w:t>
            </w:r>
            <w:proofErr w:type="spellEnd"/>
            <w:r w:rsidRPr="00562A4D">
              <w:rPr>
                <w:rFonts w:eastAsia="MS PGothic"/>
                <w:b/>
                <w:iCs/>
                <w:spacing w:val="5"/>
                <w:szCs w:val="21"/>
                <w:lang w:val="en-AU"/>
              </w:rPr>
              <w:t xml:space="preserve">) conjugate vaccines against A, C, W and Y </w:t>
            </w:r>
            <w:proofErr w:type="spellStart"/>
            <w:r w:rsidRPr="00562A4D">
              <w:rPr>
                <w:rFonts w:eastAsia="MS PGothic"/>
                <w:b/>
                <w:iCs/>
                <w:spacing w:val="5"/>
                <w:szCs w:val="21"/>
                <w:lang w:val="en-AU"/>
              </w:rPr>
              <w:t>serogroups</w:t>
            </w:r>
            <w:proofErr w:type="spellEnd"/>
          </w:p>
        </w:tc>
      </w:tr>
      <w:tr w:rsidR="000C116E" w14:paraId="55DF3B2F" w14:textId="1958FD6A" w:rsidTr="00F708F2">
        <w:trPr>
          <w:jc w:val="center"/>
        </w:trPr>
        <w:tc>
          <w:tcPr>
            <w:tcW w:w="1590" w:type="dxa"/>
            <w:shd w:val="clear" w:color="auto" w:fill="F3ECFA"/>
          </w:tcPr>
          <w:p w14:paraId="589AC34C" w14:textId="1A6DC51D" w:rsidR="000C116E" w:rsidRPr="00E9558C" w:rsidRDefault="000C116E" w:rsidP="00754C84">
            <w:pPr>
              <w:pStyle w:val="BulletedList"/>
              <w:numPr>
                <w:ilvl w:val="0"/>
                <w:numId w:val="0"/>
              </w:numPr>
              <w:spacing w:before="60" w:after="60"/>
              <w:rPr>
                <w:rFonts w:eastAsia="MS PGothic"/>
                <w:iCs/>
                <w:spacing w:val="5"/>
                <w:szCs w:val="21"/>
                <w:lang w:val="en-AU"/>
              </w:rPr>
            </w:pPr>
            <w:proofErr w:type="spellStart"/>
            <w:r w:rsidRPr="00E9558C">
              <w:rPr>
                <w:rFonts w:eastAsia="MS PGothic"/>
                <w:iCs/>
                <w:spacing w:val="5"/>
                <w:szCs w:val="21"/>
                <w:lang w:val="en-AU"/>
              </w:rPr>
              <w:t>Menactra</w:t>
            </w:r>
            <w:proofErr w:type="spellEnd"/>
            <w:r>
              <w:rPr>
                <w:rFonts w:eastAsia="MS PGothic"/>
                <w:iCs/>
                <w:spacing w:val="5"/>
                <w:szCs w:val="21"/>
                <w:lang w:val="en-AU"/>
              </w:rPr>
              <w:t>®</w:t>
            </w:r>
          </w:p>
        </w:tc>
        <w:tc>
          <w:tcPr>
            <w:tcW w:w="2360" w:type="dxa"/>
          </w:tcPr>
          <w:p w14:paraId="4443151F" w14:textId="45FC2263" w:rsidR="000C116E" w:rsidRPr="00E9558C" w:rsidRDefault="000C116E" w:rsidP="00754C84">
            <w:pPr>
              <w:pStyle w:val="BulletedList"/>
              <w:numPr>
                <w:ilvl w:val="0"/>
                <w:numId w:val="0"/>
              </w:numPr>
              <w:spacing w:before="60" w:after="60"/>
              <w:rPr>
                <w:rFonts w:eastAsia="MS PGothic"/>
                <w:iCs/>
                <w:spacing w:val="5"/>
                <w:szCs w:val="21"/>
                <w:lang w:val="en-AU"/>
              </w:rPr>
            </w:pPr>
            <w:proofErr w:type="spellStart"/>
            <w:r>
              <w:rPr>
                <w:rFonts w:eastAsia="MS PGothic"/>
                <w:iCs/>
                <w:spacing w:val="5"/>
                <w:szCs w:val="21"/>
                <w:lang w:val="en-AU"/>
              </w:rPr>
              <w:t>Quadrivalent</w:t>
            </w:r>
            <w:proofErr w:type="spellEnd"/>
            <w:r>
              <w:rPr>
                <w:rFonts w:eastAsia="MS PGothic"/>
                <w:iCs/>
                <w:spacing w:val="5"/>
                <w:szCs w:val="21"/>
                <w:lang w:val="en-AU"/>
              </w:rPr>
              <w:t xml:space="preserve"> diphtheria toxoid conjugate</w:t>
            </w:r>
          </w:p>
        </w:tc>
        <w:tc>
          <w:tcPr>
            <w:tcW w:w="2075" w:type="dxa"/>
          </w:tcPr>
          <w:p w14:paraId="5C8E3049" w14:textId="07707FC8" w:rsidR="000C116E" w:rsidRPr="00E9558C" w:rsidRDefault="000C116E" w:rsidP="00754C84">
            <w:pPr>
              <w:pStyle w:val="BulletedList"/>
              <w:numPr>
                <w:ilvl w:val="0"/>
                <w:numId w:val="0"/>
              </w:numPr>
              <w:spacing w:before="60" w:after="60"/>
              <w:rPr>
                <w:rFonts w:eastAsia="MS PGothic"/>
                <w:iCs/>
                <w:spacing w:val="5"/>
                <w:szCs w:val="21"/>
                <w:lang w:val="en-AU"/>
              </w:rPr>
            </w:pPr>
            <w:r>
              <w:rPr>
                <w:rFonts w:eastAsia="MS PGothic"/>
                <w:iCs/>
                <w:spacing w:val="5"/>
                <w:szCs w:val="21"/>
                <w:lang w:val="en-AU"/>
              </w:rPr>
              <w:t>9 month- 55 years</w:t>
            </w:r>
          </w:p>
        </w:tc>
        <w:tc>
          <w:tcPr>
            <w:tcW w:w="4431" w:type="dxa"/>
            <w:vMerge w:val="restart"/>
          </w:tcPr>
          <w:p w14:paraId="065FFB20" w14:textId="2D080884" w:rsidR="000C116E" w:rsidRDefault="000C116E" w:rsidP="000C116E">
            <w:pPr>
              <w:pStyle w:val="BulletedList"/>
              <w:numPr>
                <w:ilvl w:val="0"/>
                <w:numId w:val="0"/>
              </w:numPr>
              <w:spacing w:before="60" w:after="60"/>
              <w:rPr>
                <w:rFonts w:eastAsia="MS PGothic"/>
                <w:iCs/>
                <w:spacing w:val="5"/>
                <w:szCs w:val="21"/>
                <w:lang w:val="en-AU"/>
              </w:rPr>
            </w:pPr>
            <w:proofErr w:type="spellStart"/>
            <w:r>
              <w:rPr>
                <w:rFonts w:eastAsia="MS PGothic"/>
                <w:iCs/>
                <w:spacing w:val="5"/>
                <w:szCs w:val="21"/>
                <w:lang w:val="en-AU"/>
              </w:rPr>
              <w:t>Nimenrix</w:t>
            </w:r>
            <w:proofErr w:type="spellEnd"/>
            <w:r>
              <w:rPr>
                <w:rFonts w:eastAsia="MS PGothic"/>
                <w:iCs/>
                <w:spacing w:val="5"/>
                <w:szCs w:val="21"/>
                <w:lang w:val="en-AU"/>
              </w:rPr>
              <w:t>® is NIP funded for a single dose at age 12 months, and 14-19 years from April 2019.</w:t>
            </w:r>
          </w:p>
          <w:p w14:paraId="283B78A3" w14:textId="77777777" w:rsidR="000C116E" w:rsidRDefault="000C116E" w:rsidP="000C116E">
            <w:pPr>
              <w:pStyle w:val="BulletedList"/>
              <w:numPr>
                <w:ilvl w:val="0"/>
                <w:numId w:val="0"/>
              </w:numPr>
              <w:spacing w:before="60" w:after="60"/>
              <w:rPr>
                <w:rFonts w:eastAsia="MS PGothic"/>
                <w:iCs/>
                <w:spacing w:val="5"/>
                <w:szCs w:val="21"/>
                <w:lang w:val="en-AU"/>
              </w:rPr>
            </w:pPr>
          </w:p>
          <w:p w14:paraId="411284E4" w14:textId="1D66F339" w:rsidR="00F708F2" w:rsidRDefault="000C116E" w:rsidP="00F708F2">
            <w:pPr>
              <w:pStyle w:val="BulletedList"/>
              <w:numPr>
                <w:ilvl w:val="0"/>
                <w:numId w:val="0"/>
              </w:numPr>
              <w:spacing w:before="60" w:after="60"/>
              <w:rPr>
                <w:rFonts w:eastAsia="MS PGothic"/>
                <w:iCs/>
                <w:spacing w:val="5"/>
                <w:szCs w:val="21"/>
                <w:lang w:val="en-AU"/>
              </w:rPr>
            </w:pPr>
            <w:r>
              <w:rPr>
                <w:rFonts w:eastAsia="MS PGothic"/>
                <w:iCs/>
                <w:spacing w:val="5"/>
                <w:szCs w:val="21"/>
              </w:rPr>
              <w:t xml:space="preserve">WA funds </w:t>
            </w:r>
            <w:proofErr w:type="spellStart"/>
            <w:r w:rsidR="008C09E6">
              <w:rPr>
                <w:rFonts w:eastAsia="MS PGothic"/>
                <w:iCs/>
                <w:spacing w:val="5"/>
                <w:szCs w:val="21"/>
              </w:rPr>
              <w:t>MenACWY</w:t>
            </w:r>
            <w:proofErr w:type="spellEnd"/>
            <w:r>
              <w:rPr>
                <w:rFonts w:eastAsia="MS PGothic"/>
                <w:iCs/>
                <w:spacing w:val="5"/>
                <w:szCs w:val="21"/>
              </w:rPr>
              <w:t xml:space="preserve"> for children aged 1-4 years (until December 2019) and Aboriginal and Torres Strait Islander children aged 6 weeks to 4 years.  NT and TAS also fund</w:t>
            </w:r>
            <w:r w:rsidR="00F708F2">
              <w:rPr>
                <w:rFonts w:eastAsia="MS PGothic"/>
                <w:iCs/>
                <w:spacing w:val="5"/>
                <w:szCs w:val="21"/>
              </w:rPr>
              <w:t>s</w:t>
            </w:r>
            <w:r>
              <w:rPr>
                <w:rFonts w:eastAsia="MS PGothic"/>
                <w:iCs/>
                <w:spacing w:val="5"/>
                <w:szCs w:val="21"/>
              </w:rPr>
              <w:t xml:space="preserve"> </w:t>
            </w:r>
            <w:proofErr w:type="spellStart"/>
            <w:r>
              <w:rPr>
                <w:rFonts w:eastAsia="MS PGothic"/>
                <w:iCs/>
                <w:spacing w:val="5"/>
                <w:szCs w:val="21"/>
              </w:rPr>
              <w:t>MenACWY</w:t>
            </w:r>
            <w:proofErr w:type="spellEnd"/>
            <w:r>
              <w:rPr>
                <w:rFonts w:eastAsia="MS PGothic"/>
                <w:iCs/>
                <w:spacing w:val="5"/>
                <w:szCs w:val="21"/>
              </w:rPr>
              <w:t xml:space="preserve"> vaccines </w:t>
            </w:r>
            <w:r w:rsidR="008C09E6">
              <w:rPr>
                <w:rFonts w:eastAsia="MS PGothic"/>
                <w:iCs/>
                <w:spacing w:val="5"/>
                <w:szCs w:val="21"/>
              </w:rPr>
              <w:t xml:space="preserve">for infants </w:t>
            </w:r>
            <w:r>
              <w:rPr>
                <w:rFonts w:eastAsia="MS PGothic"/>
                <w:iCs/>
                <w:spacing w:val="5"/>
                <w:szCs w:val="21"/>
              </w:rPr>
              <w:t xml:space="preserve">and for children. </w:t>
            </w:r>
            <w:r w:rsidR="007045E8">
              <w:rPr>
                <w:rFonts w:eastAsia="MS PGothic"/>
                <w:iCs/>
                <w:spacing w:val="5"/>
                <w:szCs w:val="21"/>
              </w:rPr>
              <w:t>See state and territory websites for information on these programs.</w:t>
            </w:r>
          </w:p>
          <w:p w14:paraId="35C1FEEE" w14:textId="77777777" w:rsidR="00F708F2" w:rsidRDefault="00F708F2" w:rsidP="00F708F2">
            <w:pPr>
              <w:pStyle w:val="BulletedList"/>
              <w:numPr>
                <w:ilvl w:val="0"/>
                <w:numId w:val="0"/>
              </w:numPr>
              <w:spacing w:before="60" w:after="60"/>
              <w:rPr>
                <w:rFonts w:eastAsia="MS PGothic"/>
                <w:iCs/>
                <w:spacing w:val="5"/>
                <w:szCs w:val="21"/>
                <w:lang w:val="en-AU"/>
              </w:rPr>
            </w:pPr>
          </w:p>
          <w:p w14:paraId="05FE7878" w14:textId="3697A0CF" w:rsidR="000C116E" w:rsidRPr="00E9558C" w:rsidRDefault="00F708F2" w:rsidP="008C09E6">
            <w:pPr>
              <w:pStyle w:val="BulletedList"/>
              <w:numPr>
                <w:ilvl w:val="0"/>
                <w:numId w:val="0"/>
              </w:numPr>
              <w:spacing w:before="60" w:after="60"/>
              <w:rPr>
                <w:rFonts w:eastAsia="MS PGothic"/>
                <w:iCs/>
                <w:spacing w:val="5"/>
                <w:szCs w:val="21"/>
                <w:lang w:val="en-AU"/>
              </w:rPr>
            </w:pPr>
            <w:r>
              <w:rPr>
                <w:rFonts w:eastAsia="MS PGothic"/>
                <w:iCs/>
                <w:spacing w:val="5"/>
                <w:szCs w:val="21"/>
                <w:lang w:val="en-AU"/>
              </w:rPr>
              <w:t>All brands available through private prescription for other age groups.</w:t>
            </w:r>
          </w:p>
        </w:tc>
      </w:tr>
      <w:tr w:rsidR="000C116E" w14:paraId="6E7738DD" w14:textId="68B31028" w:rsidTr="00F708F2">
        <w:trPr>
          <w:jc w:val="center"/>
        </w:trPr>
        <w:tc>
          <w:tcPr>
            <w:tcW w:w="1590" w:type="dxa"/>
            <w:shd w:val="clear" w:color="auto" w:fill="F3ECFA"/>
          </w:tcPr>
          <w:p w14:paraId="6FEE4BAB" w14:textId="40E60863" w:rsidR="000C116E" w:rsidRPr="00E9558C" w:rsidRDefault="000C116E" w:rsidP="00754C84">
            <w:pPr>
              <w:pStyle w:val="BulletedList"/>
              <w:numPr>
                <w:ilvl w:val="0"/>
                <w:numId w:val="0"/>
              </w:numPr>
              <w:spacing w:before="60" w:after="60"/>
              <w:rPr>
                <w:rFonts w:eastAsia="MS PGothic"/>
                <w:iCs/>
                <w:spacing w:val="5"/>
                <w:szCs w:val="21"/>
                <w:lang w:val="en-AU"/>
              </w:rPr>
            </w:pPr>
            <w:proofErr w:type="spellStart"/>
            <w:r w:rsidRPr="00E9558C">
              <w:rPr>
                <w:rFonts w:eastAsia="MS PGothic"/>
                <w:iCs/>
                <w:spacing w:val="5"/>
                <w:szCs w:val="21"/>
                <w:lang w:val="en-AU"/>
              </w:rPr>
              <w:t>Menveo</w:t>
            </w:r>
            <w:proofErr w:type="spellEnd"/>
            <w:r>
              <w:rPr>
                <w:rFonts w:eastAsia="MS PGothic"/>
                <w:iCs/>
                <w:spacing w:val="5"/>
                <w:szCs w:val="21"/>
                <w:lang w:val="en-AU"/>
              </w:rPr>
              <w:t>®</w:t>
            </w:r>
          </w:p>
        </w:tc>
        <w:tc>
          <w:tcPr>
            <w:tcW w:w="2360" w:type="dxa"/>
          </w:tcPr>
          <w:p w14:paraId="23D9D7E8" w14:textId="3E8090F2" w:rsidR="000C116E" w:rsidRPr="00E9558C" w:rsidRDefault="000C116E" w:rsidP="00754C84">
            <w:pPr>
              <w:pStyle w:val="BulletedList"/>
              <w:numPr>
                <w:ilvl w:val="0"/>
                <w:numId w:val="0"/>
              </w:numPr>
              <w:spacing w:before="60" w:after="60"/>
              <w:rPr>
                <w:rFonts w:eastAsia="MS PGothic"/>
                <w:iCs/>
                <w:spacing w:val="5"/>
                <w:szCs w:val="21"/>
                <w:lang w:val="en-AU"/>
              </w:rPr>
            </w:pPr>
            <w:proofErr w:type="spellStart"/>
            <w:r>
              <w:rPr>
                <w:rFonts w:eastAsia="MS PGothic"/>
                <w:iCs/>
                <w:spacing w:val="5"/>
                <w:szCs w:val="21"/>
                <w:lang w:val="en-AU"/>
              </w:rPr>
              <w:t>Quadrivalent</w:t>
            </w:r>
            <w:proofErr w:type="spellEnd"/>
            <w:r>
              <w:rPr>
                <w:rFonts w:eastAsia="MS PGothic"/>
                <w:iCs/>
                <w:spacing w:val="5"/>
                <w:szCs w:val="21"/>
                <w:lang w:val="en-AU"/>
              </w:rPr>
              <w:t xml:space="preserve"> CRM conjugate</w:t>
            </w:r>
          </w:p>
        </w:tc>
        <w:tc>
          <w:tcPr>
            <w:tcW w:w="2075" w:type="dxa"/>
          </w:tcPr>
          <w:p w14:paraId="773CB1A0" w14:textId="26F088C3" w:rsidR="000C116E" w:rsidRPr="00E9558C" w:rsidRDefault="000C116E" w:rsidP="00754C84">
            <w:pPr>
              <w:pStyle w:val="BulletedList"/>
              <w:numPr>
                <w:ilvl w:val="0"/>
                <w:numId w:val="0"/>
              </w:numPr>
              <w:spacing w:before="60" w:after="60"/>
              <w:rPr>
                <w:rFonts w:eastAsia="MS PGothic"/>
                <w:iCs/>
                <w:spacing w:val="5"/>
                <w:szCs w:val="21"/>
                <w:lang w:val="en-AU"/>
              </w:rPr>
            </w:pPr>
            <w:r>
              <w:rPr>
                <w:rFonts w:eastAsia="MS PGothic"/>
                <w:iCs/>
                <w:spacing w:val="5"/>
                <w:szCs w:val="21"/>
                <w:lang w:val="en-AU"/>
              </w:rPr>
              <w:t>≥2 months</w:t>
            </w:r>
          </w:p>
        </w:tc>
        <w:tc>
          <w:tcPr>
            <w:tcW w:w="4431" w:type="dxa"/>
            <w:vMerge/>
          </w:tcPr>
          <w:p w14:paraId="387FC944" w14:textId="2D176C34" w:rsidR="000C116E" w:rsidRPr="00E9558C" w:rsidRDefault="000C116E" w:rsidP="00754C84">
            <w:pPr>
              <w:pStyle w:val="BulletedList"/>
              <w:spacing w:before="60" w:after="60"/>
              <w:ind w:left="0"/>
              <w:rPr>
                <w:rFonts w:eastAsia="MS PGothic"/>
                <w:iCs/>
                <w:spacing w:val="5"/>
                <w:szCs w:val="21"/>
                <w:lang w:val="en-AU"/>
              </w:rPr>
            </w:pPr>
          </w:p>
        </w:tc>
      </w:tr>
      <w:tr w:rsidR="000C116E" w14:paraId="3787E23A" w14:textId="7080A95F" w:rsidTr="00F708F2">
        <w:trPr>
          <w:trHeight w:val="2483"/>
          <w:jc w:val="center"/>
        </w:trPr>
        <w:tc>
          <w:tcPr>
            <w:tcW w:w="1590" w:type="dxa"/>
            <w:shd w:val="clear" w:color="auto" w:fill="F3ECFA"/>
          </w:tcPr>
          <w:p w14:paraId="6ECD6C4B" w14:textId="53DC95A2" w:rsidR="000C116E" w:rsidRPr="00E9558C" w:rsidRDefault="000C116E" w:rsidP="00754C84">
            <w:pPr>
              <w:pStyle w:val="BulletedList"/>
              <w:numPr>
                <w:ilvl w:val="0"/>
                <w:numId w:val="0"/>
              </w:numPr>
              <w:spacing w:before="60" w:after="60"/>
              <w:rPr>
                <w:rFonts w:eastAsia="MS PGothic"/>
                <w:iCs/>
                <w:spacing w:val="5"/>
                <w:szCs w:val="21"/>
                <w:lang w:val="en-AU"/>
              </w:rPr>
            </w:pPr>
            <w:proofErr w:type="spellStart"/>
            <w:r w:rsidRPr="00E9558C">
              <w:rPr>
                <w:rFonts w:eastAsia="MS PGothic"/>
                <w:iCs/>
                <w:spacing w:val="5"/>
                <w:szCs w:val="21"/>
                <w:lang w:val="en-AU"/>
              </w:rPr>
              <w:t>Nimenrix</w:t>
            </w:r>
            <w:proofErr w:type="spellEnd"/>
            <w:r>
              <w:rPr>
                <w:rFonts w:eastAsia="MS PGothic"/>
                <w:iCs/>
                <w:spacing w:val="5"/>
                <w:szCs w:val="21"/>
                <w:lang w:val="en-AU"/>
              </w:rPr>
              <w:t>®</w:t>
            </w:r>
          </w:p>
        </w:tc>
        <w:tc>
          <w:tcPr>
            <w:tcW w:w="2360" w:type="dxa"/>
          </w:tcPr>
          <w:p w14:paraId="59C07CBE" w14:textId="261A5D73" w:rsidR="000C116E" w:rsidRPr="00E9558C" w:rsidRDefault="000C116E" w:rsidP="00754C84">
            <w:pPr>
              <w:pStyle w:val="BulletedList"/>
              <w:numPr>
                <w:ilvl w:val="0"/>
                <w:numId w:val="0"/>
              </w:numPr>
              <w:spacing w:before="60" w:after="60"/>
              <w:rPr>
                <w:rFonts w:eastAsia="MS PGothic"/>
                <w:iCs/>
                <w:spacing w:val="5"/>
                <w:szCs w:val="21"/>
                <w:lang w:val="en-AU"/>
              </w:rPr>
            </w:pPr>
            <w:proofErr w:type="spellStart"/>
            <w:r>
              <w:rPr>
                <w:rFonts w:eastAsia="MS PGothic"/>
                <w:iCs/>
                <w:spacing w:val="5"/>
                <w:szCs w:val="21"/>
                <w:lang w:val="en-AU"/>
              </w:rPr>
              <w:t>Quadrivalent</w:t>
            </w:r>
            <w:proofErr w:type="spellEnd"/>
            <w:r>
              <w:rPr>
                <w:rFonts w:eastAsia="MS PGothic"/>
                <w:iCs/>
                <w:spacing w:val="5"/>
                <w:szCs w:val="21"/>
                <w:lang w:val="en-AU"/>
              </w:rPr>
              <w:t xml:space="preserve"> tetanus toxoid conjugate</w:t>
            </w:r>
          </w:p>
        </w:tc>
        <w:tc>
          <w:tcPr>
            <w:tcW w:w="2075" w:type="dxa"/>
          </w:tcPr>
          <w:p w14:paraId="487E7CD5" w14:textId="384E9D0A" w:rsidR="000C116E" w:rsidRPr="00E9558C" w:rsidRDefault="000C116E" w:rsidP="00754C84">
            <w:pPr>
              <w:pStyle w:val="BulletedList"/>
              <w:numPr>
                <w:ilvl w:val="0"/>
                <w:numId w:val="0"/>
              </w:numPr>
              <w:spacing w:before="60" w:after="60"/>
              <w:rPr>
                <w:rFonts w:eastAsia="MS PGothic"/>
                <w:iCs/>
                <w:spacing w:val="5"/>
                <w:szCs w:val="21"/>
                <w:lang w:val="en-AU"/>
              </w:rPr>
            </w:pPr>
            <w:r>
              <w:rPr>
                <w:rFonts w:eastAsia="MS PGothic"/>
                <w:iCs/>
                <w:spacing w:val="5"/>
                <w:szCs w:val="21"/>
                <w:lang w:val="en-AU"/>
              </w:rPr>
              <w:t>≥6 weeks</w:t>
            </w:r>
          </w:p>
        </w:tc>
        <w:tc>
          <w:tcPr>
            <w:tcW w:w="4431" w:type="dxa"/>
            <w:vMerge/>
          </w:tcPr>
          <w:p w14:paraId="12EEA816" w14:textId="77777777" w:rsidR="000C116E" w:rsidRPr="00E9558C" w:rsidRDefault="000C116E" w:rsidP="00754C84">
            <w:pPr>
              <w:pStyle w:val="BulletedList"/>
              <w:spacing w:before="60" w:after="60"/>
              <w:ind w:left="0"/>
              <w:rPr>
                <w:rFonts w:eastAsia="MS PGothic"/>
                <w:iCs/>
                <w:spacing w:val="5"/>
                <w:szCs w:val="21"/>
                <w:lang w:val="en-AU"/>
              </w:rPr>
            </w:pPr>
          </w:p>
        </w:tc>
      </w:tr>
      <w:tr w:rsidR="00562A4D" w14:paraId="7F029E2D" w14:textId="7FBFD770" w:rsidTr="00F708F2">
        <w:trPr>
          <w:jc w:val="center"/>
        </w:trPr>
        <w:tc>
          <w:tcPr>
            <w:tcW w:w="10456" w:type="dxa"/>
            <w:gridSpan w:val="4"/>
            <w:shd w:val="clear" w:color="auto" w:fill="D9D9D9" w:themeFill="background1" w:themeFillShade="D9"/>
          </w:tcPr>
          <w:p w14:paraId="7DB8E16A" w14:textId="03355901" w:rsidR="00562A4D" w:rsidRPr="00562A4D" w:rsidRDefault="00562A4D" w:rsidP="00754C84">
            <w:pPr>
              <w:pStyle w:val="BulletedList"/>
              <w:numPr>
                <w:ilvl w:val="0"/>
                <w:numId w:val="0"/>
              </w:numPr>
              <w:spacing w:before="60" w:after="60"/>
              <w:rPr>
                <w:rFonts w:eastAsia="MS PGothic"/>
                <w:b/>
                <w:iCs/>
                <w:spacing w:val="5"/>
                <w:szCs w:val="21"/>
                <w:lang w:val="en-AU"/>
              </w:rPr>
            </w:pPr>
            <w:r w:rsidRPr="00562A4D">
              <w:rPr>
                <w:rFonts w:eastAsia="MS PGothic"/>
                <w:b/>
                <w:iCs/>
                <w:spacing w:val="5"/>
                <w:szCs w:val="21"/>
                <w:lang w:val="en-AU"/>
              </w:rPr>
              <w:t>Recombinant meningococcal B (</w:t>
            </w:r>
            <w:proofErr w:type="spellStart"/>
            <w:r w:rsidRPr="00562A4D">
              <w:rPr>
                <w:rFonts w:eastAsia="MS PGothic"/>
                <w:b/>
                <w:iCs/>
                <w:spacing w:val="5"/>
                <w:szCs w:val="21"/>
                <w:lang w:val="en-AU"/>
              </w:rPr>
              <w:t>MenB</w:t>
            </w:r>
            <w:proofErr w:type="spellEnd"/>
            <w:r w:rsidRPr="00562A4D">
              <w:rPr>
                <w:rFonts w:eastAsia="MS PGothic"/>
                <w:b/>
                <w:iCs/>
                <w:spacing w:val="5"/>
                <w:szCs w:val="21"/>
                <w:lang w:val="en-AU"/>
              </w:rPr>
              <w:t xml:space="preserve">) vaccines against B </w:t>
            </w:r>
            <w:proofErr w:type="spellStart"/>
            <w:r w:rsidRPr="00562A4D">
              <w:rPr>
                <w:rFonts w:eastAsia="MS PGothic"/>
                <w:b/>
                <w:iCs/>
                <w:spacing w:val="5"/>
                <w:szCs w:val="21"/>
                <w:lang w:val="en-AU"/>
              </w:rPr>
              <w:t>serogroup</w:t>
            </w:r>
            <w:proofErr w:type="spellEnd"/>
          </w:p>
        </w:tc>
      </w:tr>
      <w:tr w:rsidR="000C116E" w14:paraId="001AC6A5" w14:textId="0D39BE1D" w:rsidTr="00F708F2">
        <w:trPr>
          <w:jc w:val="center"/>
        </w:trPr>
        <w:tc>
          <w:tcPr>
            <w:tcW w:w="1590" w:type="dxa"/>
            <w:shd w:val="clear" w:color="auto" w:fill="F3ECFA"/>
          </w:tcPr>
          <w:p w14:paraId="227B199D" w14:textId="50653DA5" w:rsidR="000C116E" w:rsidRPr="00E9558C" w:rsidRDefault="000C116E" w:rsidP="00754C84">
            <w:pPr>
              <w:pStyle w:val="BulletedList"/>
              <w:numPr>
                <w:ilvl w:val="0"/>
                <w:numId w:val="0"/>
              </w:numPr>
              <w:spacing w:before="60" w:after="60"/>
              <w:rPr>
                <w:rFonts w:eastAsia="MS PGothic"/>
                <w:iCs/>
                <w:spacing w:val="5"/>
                <w:szCs w:val="21"/>
                <w:lang w:val="en-AU"/>
              </w:rPr>
            </w:pPr>
            <w:proofErr w:type="spellStart"/>
            <w:r>
              <w:rPr>
                <w:rFonts w:eastAsia="MS PGothic"/>
                <w:iCs/>
                <w:spacing w:val="5"/>
                <w:szCs w:val="21"/>
                <w:lang w:val="en-AU"/>
              </w:rPr>
              <w:t>Bexsero</w:t>
            </w:r>
            <w:proofErr w:type="spellEnd"/>
            <w:r>
              <w:rPr>
                <w:rFonts w:eastAsia="MS PGothic"/>
                <w:iCs/>
                <w:spacing w:val="5"/>
                <w:szCs w:val="21"/>
                <w:lang w:val="en-AU"/>
              </w:rPr>
              <w:t>®</w:t>
            </w:r>
          </w:p>
        </w:tc>
        <w:tc>
          <w:tcPr>
            <w:tcW w:w="2360" w:type="dxa"/>
          </w:tcPr>
          <w:p w14:paraId="679259D9" w14:textId="7D1BAEF8" w:rsidR="000C116E" w:rsidRPr="00E9558C" w:rsidRDefault="000C116E" w:rsidP="00754C84">
            <w:pPr>
              <w:pStyle w:val="BulletedList"/>
              <w:numPr>
                <w:ilvl w:val="0"/>
                <w:numId w:val="0"/>
              </w:numPr>
              <w:spacing w:before="60" w:after="60"/>
              <w:rPr>
                <w:rFonts w:eastAsia="MS PGothic"/>
                <w:iCs/>
                <w:spacing w:val="5"/>
                <w:szCs w:val="21"/>
                <w:lang w:val="en-AU"/>
              </w:rPr>
            </w:pPr>
            <w:r>
              <w:rPr>
                <w:rFonts w:eastAsia="MS PGothic"/>
                <w:iCs/>
                <w:spacing w:val="5"/>
                <w:szCs w:val="21"/>
                <w:lang w:val="en-AU"/>
              </w:rPr>
              <w:t xml:space="preserve">Recombinant multicomponent </w:t>
            </w:r>
            <w:proofErr w:type="spellStart"/>
            <w:r>
              <w:rPr>
                <w:rFonts w:eastAsia="MS PGothic"/>
                <w:iCs/>
                <w:spacing w:val="5"/>
                <w:szCs w:val="21"/>
                <w:lang w:val="en-AU"/>
              </w:rPr>
              <w:t>MenB</w:t>
            </w:r>
            <w:proofErr w:type="spellEnd"/>
            <w:r>
              <w:rPr>
                <w:rFonts w:eastAsia="MS PGothic"/>
                <w:iCs/>
                <w:spacing w:val="5"/>
                <w:szCs w:val="21"/>
                <w:lang w:val="en-AU"/>
              </w:rPr>
              <w:t xml:space="preserve"> (</w:t>
            </w:r>
            <w:proofErr w:type="spellStart"/>
            <w:r>
              <w:rPr>
                <w:rFonts w:eastAsia="MS PGothic"/>
                <w:iCs/>
                <w:spacing w:val="5"/>
                <w:szCs w:val="21"/>
                <w:lang w:val="en-AU"/>
              </w:rPr>
              <w:t>MenB</w:t>
            </w:r>
            <w:proofErr w:type="spellEnd"/>
            <w:r>
              <w:rPr>
                <w:rFonts w:eastAsia="MS PGothic"/>
                <w:iCs/>
                <w:spacing w:val="5"/>
                <w:szCs w:val="21"/>
                <w:lang w:val="en-AU"/>
              </w:rPr>
              <w:t>-MC)</w:t>
            </w:r>
          </w:p>
        </w:tc>
        <w:tc>
          <w:tcPr>
            <w:tcW w:w="2075" w:type="dxa"/>
          </w:tcPr>
          <w:p w14:paraId="748DD469" w14:textId="3860FDBD" w:rsidR="000C116E" w:rsidRPr="00E9558C" w:rsidRDefault="000C116E" w:rsidP="00754C84">
            <w:pPr>
              <w:pStyle w:val="BulletedList"/>
              <w:numPr>
                <w:ilvl w:val="0"/>
                <w:numId w:val="0"/>
              </w:numPr>
              <w:spacing w:before="60" w:after="60"/>
              <w:rPr>
                <w:rFonts w:eastAsia="MS PGothic"/>
                <w:iCs/>
                <w:spacing w:val="5"/>
                <w:szCs w:val="21"/>
                <w:lang w:val="en-AU"/>
              </w:rPr>
            </w:pPr>
            <w:r>
              <w:rPr>
                <w:rFonts w:eastAsia="MS PGothic"/>
                <w:iCs/>
                <w:spacing w:val="5"/>
                <w:szCs w:val="21"/>
                <w:lang w:val="en-AU"/>
              </w:rPr>
              <w:t>≥2 months</w:t>
            </w:r>
          </w:p>
        </w:tc>
        <w:tc>
          <w:tcPr>
            <w:tcW w:w="4431" w:type="dxa"/>
            <w:vMerge w:val="restart"/>
          </w:tcPr>
          <w:p w14:paraId="0F832B75" w14:textId="77777777" w:rsidR="00071F54" w:rsidRDefault="000C116E" w:rsidP="00F708F2">
            <w:pPr>
              <w:pStyle w:val="BulletedList"/>
              <w:numPr>
                <w:ilvl w:val="0"/>
                <w:numId w:val="0"/>
              </w:numPr>
              <w:spacing w:before="60" w:after="60"/>
              <w:rPr>
                <w:rFonts w:eastAsia="MS PGothic"/>
                <w:iCs/>
                <w:spacing w:val="5"/>
                <w:szCs w:val="21"/>
                <w:lang w:val="en-AU"/>
              </w:rPr>
            </w:pPr>
            <w:r>
              <w:rPr>
                <w:rFonts w:eastAsia="MS PGothic"/>
                <w:iCs/>
                <w:spacing w:val="5"/>
                <w:szCs w:val="21"/>
                <w:lang w:val="en-AU"/>
              </w:rPr>
              <w:t xml:space="preserve">SA funds </w:t>
            </w:r>
            <w:proofErr w:type="spellStart"/>
            <w:r>
              <w:rPr>
                <w:rFonts w:eastAsia="MS PGothic"/>
                <w:iCs/>
                <w:spacing w:val="5"/>
                <w:szCs w:val="21"/>
                <w:lang w:val="en-AU"/>
              </w:rPr>
              <w:t>Bexsero</w:t>
            </w:r>
            <w:proofErr w:type="spellEnd"/>
            <w:r>
              <w:rPr>
                <w:rFonts w:eastAsia="MS PGothic"/>
                <w:iCs/>
                <w:spacing w:val="5"/>
                <w:szCs w:val="21"/>
                <w:lang w:val="en-AU"/>
              </w:rPr>
              <w:t xml:space="preserve">® for </w:t>
            </w:r>
            <w:r w:rsidRPr="00754C84">
              <w:rPr>
                <w:rFonts w:eastAsia="MS PGothic"/>
                <w:iCs/>
                <w:spacing w:val="5"/>
                <w:szCs w:val="21"/>
                <w:lang w:val="en-AU"/>
              </w:rPr>
              <w:t>children and adolescents</w:t>
            </w:r>
            <w:r>
              <w:rPr>
                <w:rFonts w:eastAsia="MS PGothic"/>
                <w:iCs/>
                <w:spacing w:val="5"/>
                <w:szCs w:val="21"/>
                <w:lang w:val="en-AU"/>
              </w:rPr>
              <w:t>.</w:t>
            </w:r>
          </w:p>
          <w:p w14:paraId="429F3C3E" w14:textId="6EF4044E" w:rsidR="008C09E6" w:rsidRDefault="008C09E6" w:rsidP="00F708F2">
            <w:pPr>
              <w:pStyle w:val="BulletedList"/>
              <w:numPr>
                <w:ilvl w:val="0"/>
                <w:numId w:val="0"/>
              </w:numPr>
              <w:spacing w:before="60" w:after="60"/>
              <w:rPr>
                <w:rFonts w:eastAsia="MS PGothic"/>
                <w:iCs/>
                <w:spacing w:val="5"/>
                <w:szCs w:val="21"/>
                <w:lang w:val="en-AU"/>
              </w:rPr>
            </w:pPr>
          </w:p>
          <w:p w14:paraId="7FF15101" w14:textId="08C99F27" w:rsidR="00F708F2" w:rsidRDefault="00F708F2" w:rsidP="00F708F2">
            <w:pPr>
              <w:pStyle w:val="BulletedList"/>
              <w:numPr>
                <w:ilvl w:val="0"/>
                <w:numId w:val="0"/>
              </w:numPr>
              <w:spacing w:before="60" w:after="60"/>
              <w:rPr>
                <w:rFonts w:eastAsia="MS PGothic"/>
                <w:iCs/>
                <w:spacing w:val="5"/>
                <w:szCs w:val="21"/>
                <w:lang w:val="en-AU"/>
              </w:rPr>
            </w:pPr>
            <w:r>
              <w:rPr>
                <w:rFonts w:eastAsia="MS PGothic"/>
                <w:iCs/>
                <w:spacing w:val="5"/>
                <w:szCs w:val="21"/>
                <w:lang w:val="en-AU"/>
              </w:rPr>
              <w:t xml:space="preserve">All brands available through private prescription. </w:t>
            </w:r>
          </w:p>
          <w:p w14:paraId="7B3F2198" w14:textId="4EDEF929" w:rsidR="000C116E" w:rsidRPr="00E9558C" w:rsidRDefault="000C116E" w:rsidP="00F708F2">
            <w:pPr>
              <w:pStyle w:val="BulletedList"/>
              <w:numPr>
                <w:ilvl w:val="0"/>
                <w:numId w:val="0"/>
              </w:numPr>
              <w:spacing w:before="60" w:after="60"/>
              <w:rPr>
                <w:rFonts w:eastAsia="MS PGothic"/>
                <w:iCs/>
                <w:spacing w:val="5"/>
                <w:szCs w:val="21"/>
                <w:lang w:val="en-AU"/>
              </w:rPr>
            </w:pPr>
          </w:p>
        </w:tc>
      </w:tr>
      <w:tr w:rsidR="000C116E" w14:paraId="3B6A08BA" w14:textId="22B2D2BB" w:rsidTr="00F708F2">
        <w:trPr>
          <w:jc w:val="center"/>
        </w:trPr>
        <w:tc>
          <w:tcPr>
            <w:tcW w:w="1590" w:type="dxa"/>
            <w:shd w:val="clear" w:color="auto" w:fill="F3ECFA"/>
          </w:tcPr>
          <w:p w14:paraId="1E435D38" w14:textId="56FABBF5" w:rsidR="000C116E" w:rsidRPr="00B57C37" w:rsidRDefault="000C116E" w:rsidP="00754C84">
            <w:pPr>
              <w:pStyle w:val="BulletedList"/>
              <w:numPr>
                <w:ilvl w:val="0"/>
                <w:numId w:val="0"/>
              </w:numPr>
              <w:spacing w:before="60" w:after="60"/>
              <w:rPr>
                <w:rFonts w:eastAsia="MS PGothic"/>
                <w:iCs/>
                <w:spacing w:val="5"/>
                <w:szCs w:val="21"/>
                <w:lang w:val="en-AU"/>
              </w:rPr>
            </w:pPr>
            <w:proofErr w:type="spellStart"/>
            <w:r w:rsidRPr="00B57C37">
              <w:rPr>
                <w:rFonts w:eastAsia="MS PGothic"/>
                <w:iCs/>
                <w:spacing w:val="5"/>
                <w:szCs w:val="21"/>
                <w:lang w:val="en-AU"/>
              </w:rPr>
              <w:t>Trumenba</w:t>
            </w:r>
            <w:proofErr w:type="spellEnd"/>
            <w:r>
              <w:rPr>
                <w:rFonts w:eastAsia="MS PGothic"/>
                <w:iCs/>
                <w:spacing w:val="5"/>
                <w:szCs w:val="21"/>
                <w:lang w:val="en-AU"/>
              </w:rPr>
              <w:t>®</w:t>
            </w:r>
          </w:p>
        </w:tc>
        <w:tc>
          <w:tcPr>
            <w:tcW w:w="2360" w:type="dxa"/>
          </w:tcPr>
          <w:p w14:paraId="195BE671" w14:textId="1E28E165" w:rsidR="000C116E" w:rsidRPr="00B57C37" w:rsidRDefault="000C116E" w:rsidP="00754C84">
            <w:pPr>
              <w:pStyle w:val="BulletedList"/>
              <w:numPr>
                <w:ilvl w:val="0"/>
                <w:numId w:val="0"/>
              </w:numPr>
              <w:spacing w:before="60" w:after="60"/>
              <w:rPr>
                <w:rFonts w:eastAsia="MS PGothic"/>
                <w:iCs/>
                <w:spacing w:val="5"/>
                <w:szCs w:val="21"/>
                <w:lang w:val="en-AU"/>
              </w:rPr>
            </w:pPr>
            <w:r w:rsidRPr="00B57C37">
              <w:rPr>
                <w:rFonts w:eastAsia="MS PGothic"/>
                <w:iCs/>
                <w:spacing w:val="5"/>
                <w:szCs w:val="21"/>
                <w:lang w:val="en-AU"/>
              </w:rPr>
              <w:t xml:space="preserve">Recombinant bivalent </w:t>
            </w:r>
            <w:proofErr w:type="spellStart"/>
            <w:r w:rsidRPr="00B57C37">
              <w:rPr>
                <w:rFonts w:eastAsia="MS PGothic"/>
                <w:iCs/>
                <w:spacing w:val="5"/>
                <w:szCs w:val="21"/>
                <w:lang w:val="en-AU"/>
              </w:rPr>
              <w:t>fHP</w:t>
            </w:r>
            <w:proofErr w:type="spellEnd"/>
            <w:r w:rsidRPr="00B57C37">
              <w:rPr>
                <w:rFonts w:eastAsia="MS PGothic"/>
                <w:iCs/>
                <w:spacing w:val="5"/>
                <w:szCs w:val="21"/>
                <w:lang w:val="en-AU"/>
              </w:rPr>
              <w:t xml:space="preserve"> </w:t>
            </w:r>
            <w:proofErr w:type="spellStart"/>
            <w:r w:rsidRPr="00B57C37">
              <w:rPr>
                <w:rFonts w:eastAsia="MS PGothic"/>
                <w:iCs/>
                <w:spacing w:val="5"/>
                <w:szCs w:val="21"/>
                <w:lang w:val="en-AU"/>
              </w:rPr>
              <w:t>MenB</w:t>
            </w:r>
            <w:proofErr w:type="spellEnd"/>
            <w:r w:rsidRPr="00B57C37">
              <w:rPr>
                <w:rFonts w:eastAsia="MS PGothic"/>
                <w:iCs/>
                <w:spacing w:val="5"/>
                <w:szCs w:val="21"/>
                <w:lang w:val="en-AU"/>
              </w:rPr>
              <w:t xml:space="preserve"> (</w:t>
            </w:r>
            <w:proofErr w:type="spellStart"/>
            <w:r w:rsidRPr="00B57C37">
              <w:rPr>
                <w:rFonts w:eastAsia="MS PGothic"/>
                <w:iCs/>
                <w:spacing w:val="5"/>
                <w:szCs w:val="21"/>
                <w:lang w:val="en-AU"/>
              </w:rPr>
              <w:t>MenB-fHpb</w:t>
            </w:r>
            <w:proofErr w:type="spellEnd"/>
            <w:r w:rsidRPr="00B57C37">
              <w:rPr>
                <w:rFonts w:eastAsia="MS PGothic"/>
                <w:iCs/>
                <w:spacing w:val="5"/>
                <w:szCs w:val="21"/>
                <w:lang w:val="en-AU"/>
              </w:rPr>
              <w:t>)</w:t>
            </w:r>
          </w:p>
        </w:tc>
        <w:tc>
          <w:tcPr>
            <w:tcW w:w="2075" w:type="dxa"/>
          </w:tcPr>
          <w:p w14:paraId="75A44EA5" w14:textId="25C7CDF2" w:rsidR="000C116E" w:rsidRPr="00B57C37" w:rsidRDefault="000C116E" w:rsidP="00754C84">
            <w:pPr>
              <w:pStyle w:val="BulletedList"/>
              <w:numPr>
                <w:ilvl w:val="0"/>
                <w:numId w:val="0"/>
              </w:numPr>
              <w:spacing w:before="60" w:after="60"/>
              <w:rPr>
                <w:rFonts w:eastAsia="MS PGothic"/>
                <w:iCs/>
                <w:spacing w:val="5"/>
                <w:szCs w:val="21"/>
                <w:lang w:val="en-AU"/>
              </w:rPr>
            </w:pPr>
            <w:r>
              <w:rPr>
                <w:rFonts w:eastAsia="MS PGothic"/>
                <w:iCs/>
                <w:spacing w:val="5"/>
                <w:szCs w:val="21"/>
                <w:lang w:val="en-AU"/>
              </w:rPr>
              <w:t>≥ 10 years</w:t>
            </w:r>
          </w:p>
        </w:tc>
        <w:tc>
          <w:tcPr>
            <w:tcW w:w="4431" w:type="dxa"/>
            <w:vMerge/>
          </w:tcPr>
          <w:p w14:paraId="414B0967" w14:textId="72A08671" w:rsidR="000C116E" w:rsidRPr="00B57C37" w:rsidRDefault="000C116E" w:rsidP="00754C84">
            <w:pPr>
              <w:pStyle w:val="BulletedList"/>
              <w:spacing w:before="60" w:after="60"/>
              <w:ind w:left="0"/>
              <w:rPr>
                <w:rFonts w:eastAsia="MS PGothic"/>
                <w:iCs/>
                <w:spacing w:val="5"/>
                <w:szCs w:val="21"/>
                <w:lang w:val="en-AU"/>
              </w:rPr>
            </w:pPr>
          </w:p>
        </w:tc>
      </w:tr>
      <w:tr w:rsidR="00235729" w14:paraId="2C281388" w14:textId="6EE88B9D" w:rsidTr="00F708F2">
        <w:trPr>
          <w:jc w:val="center"/>
        </w:trPr>
        <w:tc>
          <w:tcPr>
            <w:tcW w:w="10456" w:type="dxa"/>
            <w:gridSpan w:val="4"/>
            <w:shd w:val="clear" w:color="auto" w:fill="D9D9D9" w:themeFill="background1" w:themeFillShade="D9"/>
          </w:tcPr>
          <w:p w14:paraId="6A410A0E" w14:textId="533D2DB7" w:rsidR="00235729" w:rsidRPr="00562A4D" w:rsidRDefault="00235729" w:rsidP="00754C84">
            <w:pPr>
              <w:pStyle w:val="BulletedList"/>
              <w:numPr>
                <w:ilvl w:val="0"/>
                <w:numId w:val="0"/>
              </w:numPr>
              <w:spacing w:before="60" w:after="60"/>
              <w:rPr>
                <w:rFonts w:eastAsia="MS PGothic"/>
                <w:b/>
                <w:iCs/>
                <w:spacing w:val="5"/>
                <w:szCs w:val="21"/>
                <w:lang w:val="en-AU"/>
              </w:rPr>
            </w:pPr>
            <w:r w:rsidRPr="00562A4D">
              <w:rPr>
                <w:rFonts w:eastAsia="MS PGothic"/>
                <w:b/>
                <w:iCs/>
                <w:spacing w:val="5"/>
                <w:szCs w:val="21"/>
                <w:lang w:val="en-AU"/>
              </w:rPr>
              <w:t>Meningococcal C (</w:t>
            </w:r>
            <w:proofErr w:type="spellStart"/>
            <w:r w:rsidRPr="00562A4D">
              <w:rPr>
                <w:rFonts w:eastAsia="MS PGothic"/>
                <w:b/>
                <w:iCs/>
                <w:spacing w:val="5"/>
                <w:szCs w:val="21"/>
                <w:lang w:val="en-AU"/>
              </w:rPr>
              <w:t>MenC</w:t>
            </w:r>
            <w:proofErr w:type="spellEnd"/>
            <w:r w:rsidRPr="00562A4D">
              <w:rPr>
                <w:rFonts w:eastAsia="MS PGothic"/>
                <w:b/>
                <w:iCs/>
                <w:spacing w:val="5"/>
                <w:szCs w:val="21"/>
                <w:lang w:val="en-AU"/>
              </w:rPr>
              <w:t xml:space="preserve">) conjugate vaccines against C </w:t>
            </w:r>
            <w:proofErr w:type="spellStart"/>
            <w:r w:rsidRPr="00562A4D">
              <w:rPr>
                <w:rFonts w:eastAsia="MS PGothic"/>
                <w:b/>
                <w:iCs/>
                <w:spacing w:val="5"/>
                <w:szCs w:val="21"/>
                <w:lang w:val="en-AU"/>
              </w:rPr>
              <w:t>serogroup</w:t>
            </w:r>
            <w:proofErr w:type="spellEnd"/>
          </w:p>
        </w:tc>
      </w:tr>
      <w:tr w:rsidR="000C116E" w14:paraId="676B634B" w14:textId="6FFE56AA" w:rsidTr="00F708F2">
        <w:trPr>
          <w:jc w:val="center"/>
        </w:trPr>
        <w:tc>
          <w:tcPr>
            <w:tcW w:w="1590" w:type="dxa"/>
            <w:shd w:val="clear" w:color="auto" w:fill="F3ECFA"/>
          </w:tcPr>
          <w:p w14:paraId="665AA39F" w14:textId="6C0977C0" w:rsidR="000C116E" w:rsidRPr="00B57C37" w:rsidRDefault="000C116E" w:rsidP="00754C84">
            <w:pPr>
              <w:pStyle w:val="BulletedList"/>
              <w:numPr>
                <w:ilvl w:val="0"/>
                <w:numId w:val="0"/>
              </w:numPr>
              <w:spacing w:before="60" w:after="60"/>
              <w:rPr>
                <w:rFonts w:eastAsia="MS PGothic"/>
                <w:iCs/>
                <w:spacing w:val="5"/>
                <w:szCs w:val="21"/>
                <w:lang w:val="en-AU"/>
              </w:rPr>
            </w:pPr>
            <w:proofErr w:type="spellStart"/>
            <w:r>
              <w:rPr>
                <w:rFonts w:eastAsia="MS PGothic"/>
                <w:iCs/>
                <w:spacing w:val="5"/>
                <w:szCs w:val="21"/>
                <w:lang w:val="en-AU"/>
              </w:rPr>
              <w:t>Menitorix</w:t>
            </w:r>
            <w:proofErr w:type="spellEnd"/>
            <w:r>
              <w:rPr>
                <w:rFonts w:eastAsia="MS PGothic"/>
                <w:iCs/>
                <w:spacing w:val="5"/>
                <w:szCs w:val="21"/>
                <w:lang w:val="en-AU"/>
              </w:rPr>
              <w:t>®</w:t>
            </w:r>
          </w:p>
        </w:tc>
        <w:tc>
          <w:tcPr>
            <w:tcW w:w="2360" w:type="dxa"/>
          </w:tcPr>
          <w:p w14:paraId="3E43F563" w14:textId="24CAF550" w:rsidR="000C116E" w:rsidRPr="00B57C37" w:rsidRDefault="000C116E" w:rsidP="00754C84">
            <w:pPr>
              <w:pStyle w:val="BulletedList"/>
              <w:numPr>
                <w:ilvl w:val="0"/>
                <w:numId w:val="0"/>
              </w:numPr>
              <w:spacing w:before="60" w:after="60"/>
              <w:rPr>
                <w:rFonts w:eastAsia="MS PGothic"/>
                <w:iCs/>
                <w:spacing w:val="5"/>
                <w:szCs w:val="21"/>
                <w:lang w:val="en-AU"/>
              </w:rPr>
            </w:pPr>
            <w:r>
              <w:rPr>
                <w:rFonts w:eastAsia="MS PGothic"/>
                <w:iCs/>
                <w:spacing w:val="5"/>
                <w:szCs w:val="21"/>
                <w:lang w:val="en-AU"/>
              </w:rPr>
              <w:t xml:space="preserve">Haemophilus </w:t>
            </w:r>
            <w:proofErr w:type="spellStart"/>
            <w:r>
              <w:rPr>
                <w:rFonts w:eastAsia="MS PGothic"/>
                <w:iCs/>
                <w:spacing w:val="5"/>
                <w:szCs w:val="21"/>
                <w:lang w:val="en-AU"/>
              </w:rPr>
              <w:t>influenzae</w:t>
            </w:r>
            <w:proofErr w:type="spellEnd"/>
            <w:r>
              <w:rPr>
                <w:rFonts w:eastAsia="MS PGothic"/>
                <w:iCs/>
                <w:spacing w:val="5"/>
                <w:szCs w:val="21"/>
                <w:lang w:val="en-AU"/>
              </w:rPr>
              <w:t xml:space="preserve"> type b and </w:t>
            </w:r>
            <w:proofErr w:type="spellStart"/>
            <w:r>
              <w:rPr>
                <w:rFonts w:eastAsia="MS PGothic"/>
                <w:iCs/>
                <w:spacing w:val="5"/>
                <w:szCs w:val="21"/>
                <w:lang w:val="en-AU"/>
              </w:rPr>
              <w:t>MenC</w:t>
            </w:r>
            <w:proofErr w:type="spellEnd"/>
            <w:r>
              <w:rPr>
                <w:rFonts w:eastAsia="MS PGothic"/>
                <w:iCs/>
                <w:spacing w:val="5"/>
                <w:szCs w:val="21"/>
                <w:lang w:val="en-AU"/>
              </w:rPr>
              <w:t xml:space="preserve"> conjugate combination</w:t>
            </w:r>
          </w:p>
        </w:tc>
        <w:tc>
          <w:tcPr>
            <w:tcW w:w="2075" w:type="dxa"/>
          </w:tcPr>
          <w:p w14:paraId="50299CA6" w14:textId="2EB2DB2E" w:rsidR="000C116E" w:rsidRPr="00B57C37" w:rsidRDefault="000C116E" w:rsidP="00754C84">
            <w:pPr>
              <w:pStyle w:val="BulletedList"/>
              <w:spacing w:before="60" w:after="60"/>
              <w:ind w:left="0"/>
              <w:rPr>
                <w:rFonts w:eastAsia="MS PGothic"/>
                <w:iCs/>
                <w:spacing w:val="5"/>
                <w:szCs w:val="21"/>
                <w:lang w:val="en-AU"/>
              </w:rPr>
            </w:pPr>
            <w:r>
              <w:rPr>
                <w:rFonts w:eastAsia="MS PGothic"/>
                <w:iCs/>
                <w:spacing w:val="5"/>
                <w:szCs w:val="21"/>
                <w:lang w:val="en-AU"/>
              </w:rPr>
              <w:t xml:space="preserve">Registered for primary </w:t>
            </w:r>
            <w:r w:rsidR="003F1EE7">
              <w:rPr>
                <w:rFonts w:eastAsia="MS PGothic"/>
                <w:iCs/>
                <w:spacing w:val="5"/>
                <w:szCs w:val="21"/>
                <w:lang w:val="en-AU"/>
              </w:rPr>
              <w:t>immunisation</w:t>
            </w:r>
            <w:r>
              <w:rPr>
                <w:rFonts w:eastAsia="MS PGothic"/>
                <w:iCs/>
                <w:spacing w:val="5"/>
                <w:szCs w:val="21"/>
                <w:lang w:val="en-AU"/>
              </w:rPr>
              <w:t xml:space="preserve"> in infants aged 6 weeks-12 months</w:t>
            </w:r>
          </w:p>
        </w:tc>
        <w:tc>
          <w:tcPr>
            <w:tcW w:w="4431" w:type="dxa"/>
            <w:vMerge w:val="restart"/>
          </w:tcPr>
          <w:p w14:paraId="4B5995E0" w14:textId="5DB4F038" w:rsidR="006C314C" w:rsidRDefault="006C314C" w:rsidP="002D0668">
            <w:pPr>
              <w:pStyle w:val="BulletedList"/>
              <w:numPr>
                <w:ilvl w:val="0"/>
                <w:numId w:val="0"/>
              </w:numPr>
              <w:spacing w:before="60" w:after="60"/>
              <w:rPr>
                <w:rFonts w:eastAsia="MS PGothic"/>
                <w:iCs/>
                <w:spacing w:val="5"/>
                <w:szCs w:val="21"/>
                <w:lang w:val="en-AU"/>
              </w:rPr>
            </w:pPr>
            <w:proofErr w:type="spellStart"/>
            <w:r>
              <w:rPr>
                <w:rFonts w:eastAsia="MS PGothic"/>
                <w:iCs/>
                <w:spacing w:val="5"/>
                <w:szCs w:val="21"/>
                <w:lang w:val="en-AU"/>
              </w:rPr>
              <w:t>NeisVac</w:t>
            </w:r>
            <w:proofErr w:type="spellEnd"/>
            <w:r>
              <w:rPr>
                <w:rFonts w:eastAsia="MS PGothic"/>
                <w:iCs/>
                <w:spacing w:val="5"/>
                <w:szCs w:val="21"/>
                <w:lang w:val="en-AU"/>
              </w:rPr>
              <w:t xml:space="preserve">-C® is NIP funded for 10-19 year old catch up. </w:t>
            </w:r>
          </w:p>
          <w:p w14:paraId="01706BCA" w14:textId="77777777" w:rsidR="006C314C" w:rsidRDefault="006C314C" w:rsidP="002D0668">
            <w:pPr>
              <w:pStyle w:val="BulletedList"/>
              <w:numPr>
                <w:ilvl w:val="0"/>
                <w:numId w:val="0"/>
              </w:numPr>
              <w:spacing w:before="60" w:after="60"/>
              <w:rPr>
                <w:rFonts w:eastAsia="MS PGothic"/>
                <w:iCs/>
                <w:spacing w:val="5"/>
                <w:szCs w:val="21"/>
                <w:lang w:val="en-AU"/>
              </w:rPr>
            </w:pPr>
          </w:p>
          <w:p w14:paraId="0B4FB438" w14:textId="564FB82E" w:rsidR="000C116E" w:rsidRPr="00B57C37" w:rsidRDefault="008C09E6" w:rsidP="002D0668">
            <w:pPr>
              <w:pStyle w:val="BulletedList"/>
              <w:numPr>
                <w:ilvl w:val="0"/>
                <w:numId w:val="0"/>
              </w:numPr>
              <w:spacing w:before="60" w:after="60"/>
              <w:rPr>
                <w:rFonts w:eastAsia="MS PGothic"/>
                <w:iCs/>
                <w:spacing w:val="5"/>
                <w:szCs w:val="21"/>
                <w:lang w:val="en-AU"/>
              </w:rPr>
            </w:pPr>
            <w:r>
              <w:rPr>
                <w:rFonts w:eastAsia="MS PGothic"/>
                <w:iCs/>
                <w:spacing w:val="5"/>
                <w:szCs w:val="21"/>
                <w:lang w:val="en-AU"/>
              </w:rPr>
              <w:t>All brands availab</w:t>
            </w:r>
            <w:r w:rsidR="002D0668">
              <w:rPr>
                <w:rFonts w:eastAsia="MS PGothic"/>
                <w:iCs/>
                <w:spacing w:val="5"/>
                <w:szCs w:val="21"/>
                <w:lang w:val="en-AU"/>
              </w:rPr>
              <w:t>le through private prescription.</w:t>
            </w:r>
          </w:p>
        </w:tc>
      </w:tr>
      <w:tr w:rsidR="000C116E" w14:paraId="06F22AD5" w14:textId="303A8A72" w:rsidTr="00F708F2">
        <w:trPr>
          <w:jc w:val="center"/>
        </w:trPr>
        <w:tc>
          <w:tcPr>
            <w:tcW w:w="1590" w:type="dxa"/>
            <w:shd w:val="clear" w:color="auto" w:fill="F3ECFA"/>
          </w:tcPr>
          <w:p w14:paraId="3F316B6C" w14:textId="4243E11C" w:rsidR="000C116E" w:rsidRPr="00B57C37" w:rsidRDefault="000C116E" w:rsidP="00754C84">
            <w:pPr>
              <w:pStyle w:val="BulletedList"/>
              <w:numPr>
                <w:ilvl w:val="0"/>
                <w:numId w:val="0"/>
              </w:numPr>
              <w:spacing w:before="60" w:after="60"/>
              <w:rPr>
                <w:rFonts w:eastAsia="MS PGothic"/>
                <w:iCs/>
                <w:spacing w:val="5"/>
                <w:szCs w:val="21"/>
                <w:lang w:val="en-AU"/>
              </w:rPr>
            </w:pPr>
            <w:proofErr w:type="spellStart"/>
            <w:r>
              <w:rPr>
                <w:rFonts w:eastAsia="MS PGothic"/>
                <w:iCs/>
                <w:spacing w:val="5"/>
                <w:szCs w:val="21"/>
                <w:lang w:val="en-AU"/>
              </w:rPr>
              <w:t>NeisVac</w:t>
            </w:r>
            <w:proofErr w:type="spellEnd"/>
            <w:r>
              <w:rPr>
                <w:rFonts w:eastAsia="MS PGothic"/>
                <w:iCs/>
                <w:spacing w:val="5"/>
                <w:szCs w:val="21"/>
                <w:lang w:val="en-AU"/>
              </w:rPr>
              <w:t>-C®</w:t>
            </w:r>
          </w:p>
        </w:tc>
        <w:tc>
          <w:tcPr>
            <w:tcW w:w="2360" w:type="dxa"/>
          </w:tcPr>
          <w:p w14:paraId="65F2DBDC" w14:textId="2A68538C" w:rsidR="000C116E" w:rsidRPr="00B57C37" w:rsidRDefault="000C116E" w:rsidP="00754C84">
            <w:pPr>
              <w:pStyle w:val="BulletedList"/>
              <w:numPr>
                <w:ilvl w:val="0"/>
                <w:numId w:val="0"/>
              </w:numPr>
              <w:spacing w:before="60" w:after="60"/>
              <w:rPr>
                <w:rFonts w:eastAsia="MS PGothic"/>
                <w:iCs/>
                <w:spacing w:val="5"/>
                <w:szCs w:val="21"/>
                <w:lang w:val="en-AU"/>
              </w:rPr>
            </w:pPr>
            <w:r>
              <w:rPr>
                <w:rFonts w:eastAsia="MS PGothic"/>
                <w:iCs/>
                <w:spacing w:val="5"/>
                <w:szCs w:val="21"/>
                <w:lang w:val="en-AU"/>
              </w:rPr>
              <w:t xml:space="preserve">Monovalent </w:t>
            </w:r>
            <w:proofErr w:type="spellStart"/>
            <w:r>
              <w:rPr>
                <w:rFonts w:eastAsia="MS PGothic"/>
                <w:iCs/>
                <w:spacing w:val="5"/>
                <w:szCs w:val="21"/>
                <w:lang w:val="en-AU"/>
              </w:rPr>
              <w:t>MenC</w:t>
            </w:r>
            <w:proofErr w:type="spellEnd"/>
            <w:r>
              <w:rPr>
                <w:rFonts w:eastAsia="MS PGothic"/>
                <w:iCs/>
                <w:spacing w:val="5"/>
                <w:szCs w:val="21"/>
                <w:lang w:val="en-AU"/>
              </w:rPr>
              <w:t xml:space="preserve"> conjugate</w:t>
            </w:r>
          </w:p>
        </w:tc>
        <w:tc>
          <w:tcPr>
            <w:tcW w:w="2075" w:type="dxa"/>
          </w:tcPr>
          <w:p w14:paraId="30E9731F" w14:textId="2AF22303" w:rsidR="000C116E" w:rsidRPr="00B57C37" w:rsidRDefault="000C116E" w:rsidP="00754C84">
            <w:pPr>
              <w:pStyle w:val="BulletedList"/>
              <w:spacing w:before="60" w:after="60"/>
              <w:ind w:left="0"/>
              <w:rPr>
                <w:rFonts w:eastAsia="MS PGothic"/>
                <w:iCs/>
                <w:spacing w:val="5"/>
                <w:szCs w:val="21"/>
                <w:lang w:val="en-AU"/>
              </w:rPr>
            </w:pPr>
            <w:r>
              <w:rPr>
                <w:rFonts w:eastAsia="MS PGothic"/>
                <w:iCs/>
                <w:spacing w:val="5"/>
                <w:szCs w:val="21"/>
                <w:lang w:val="en-AU"/>
              </w:rPr>
              <w:t>≥8 weeks</w:t>
            </w:r>
          </w:p>
        </w:tc>
        <w:tc>
          <w:tcPr>
            <w:tcW w:w="4431" w:type="dxa"/>
            <w:vMerge/>
          </w:tcPr>
          <w:p w14:paraId="50DE01F8" w14:textId="77777777" w:rsidR="000C116E" w:rsidRPr="00B57C37" w:rsidRDefault="000C116E" w:rsidP="00754C84">
            <w:pPr>
              <w:pStyle w:val="BulletedList"/>
              <w:numPr>
                <w:ilvl w:val="0"/>
                <w:numId w:val="0"/>
              </w:numPr>
              <w:spacing w:before="60" w:after="60"/>
              <w:rPr>
                <w:rFonts w:eastAsia="MS PGothic"/>
                <w:iCs/>
                <w:spacing w:val="5"/>
                <w:szCs w:val="21"/>
                <w:lang w:val="en-AU"/>
              </w:rPr>
            </w:pPr>
          </w:p>
        </w:tc>
      </w:tr>
    </w:tbl>
    <w:p w14:paraId="1EC9FC1E" w14:textId="77777777" w:rsidR="00E9558C" w:rsidRPr="00E9558C" w:rsidRDefault="00E9558C" w:rsidP="003E48F5">
      <w:pPr>
        <w:pStyle w:val="BulletedList"/>
        <w:numPr>
          <w:ilvl w:val="0"/>
          <w:numId w:val="0"/>
        </w:numPr>
        <w:rPr>
          <w:rFonts w:eastAsia="MS PGothic"/>
          <w:iCs/>
          <w:color w:val="57259F"/>
          <w:spacing w:val="5"/>
          <w:szCs w:val="21"/>
          <w:lang w:val="en-AU"/>
        </w:rPr>
      </w:pPr>
    </w:p>
    <w:sectPr w:rsidR="00E9558C" w:rsidRPr="00E9558C" w:rsidSect="009A6767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753AD69" w16cid:durableId="7FBFFA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AADAA" w14:textId="77777777" w:rsidR="00E644F6" w:rsidRDefault="00E644F6" w:rsidP="006C6A65">
      <w:pPr>
        <w:spacing w:after="0" w:line="240" w:lineRule="auto"/>
      </w:pPr>
      <w:r>
        <w:separator/>
      </w:r>
    </w:p>
  </w:endnote>
  <w:endnote w:type="continuationSeparator" w:id="0">
    <w:p w14:paraId="3AFF1298" w14:textId="77777777" w:rsidR="00E644F6" w:rsidRDefault="00E644F6" w:rsidP="006C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2E918ACD" w14:paraId="6E0847E2" w14:textId="77777777" w:rsidTr="2E918ACD">
      <w:tc>
        <w:tcPr>
          <w:tcW w:w="3489" w:type="dxa"/>
        </w:tcPr>
        <w:p w14:paraId="1F5DCED6" w14:textId="09AEA740" w:rsidR="2E918ACD" w:rsidRDefault="2E918ACD" w:rsidP="2E918ACD">
          <w:pPr>
            <w:pStyle w:val="Header"/>
            <w:ind w:left="-115"/>
          </w:pPr>
        </w:p>
      </w:tc>
      <w:tc>
        <w:tcPr>
          <w:tcW w:w="3489" w:type="dxa"/>
        </w:tcPr>
        <w:p w14:paraId="1D9646AB" w14:textId="5D523FF8" w:rsidR="2E918ACD" w:rsidRDefault="2E918ACD" w:rsidP="2E918ACD">
          <w:pPr>
            <w:pStyle w:val="Header"/>
            <w:jc w:val="center"/>
          </w:pPr>
        </w:p>
      </w:tc>
      <w:tc>
        <w:tcPr>
          <w:tcW w:w="3489" w:type="dxa"/>
        </w:tcPr>
        <w:p w14:paraId="0A7738D3" w14:textId="0FE982EA" w:rsidR="2E918ACD" w:rsidRDefault="2E918ACD" w:rsidP="2E918ACD">
          <w:pPr>
            <w:pStyle w:val="Header"/>
            <w:ind w:right="-115"/>
            <w:jc w:val="right"/>
          </w:pPr>
        </w:p>
      </w:tc>
    </w:tr>
  </w:tbl>
  <w:p w14:paraId="6A0BA8AB" w14:textId="1BE36C04" w:rsidR="2E918ACD" w:rsidRDefault="2E918ACD" w:rsidP="2E918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7EB1F" w14:textId="77777777" w:rsidR="00E644F6" w:rsidRDefault="00E644F6" w:rsidP="006C6A65">
      <w:pPr>
        <w:spacing w:after="0" w:line="240" w:lineRule="auto"/>
      </w:pPr>
      <w:r>
        <w:separator/>
      </w:r>
    </w:p>
  </w:footnote>
  <w:footnote w:type="continuationSeparator" w:id="0">
    <w:p w14:paraId="6D669739" w14:textId="77777777" w:rsidR="00E644F6" w:rsidRDefault="00E644F6" w:rsidP="006C6A65">
      <w:pPr>
        <w:spacing w:after="0" w:line="240" w:lineRule="auto"/>
      </w:pPr>
      <w:r>
        <w:continuationSeparator/>
      </w:r>
    </w:p>
  </w:footnote>
  <w:footnote w:id="1">
    <w:p w14:paraId="0FD6874C" w14:textId="660C2753" w:rsidR="006C6A65" w:rsidRDefault="006C6A65">
      <w:pPr>
        <w:pStyle w:val="FootnoteText"/>
      </w:pPr>
      <w:r w:rsidRPr="006C6A65">
        <w:rPr>
          <w:rStyle w:val="FootnoteReference"/>
          <w:sz w:val="21"/>
        </w:rPr>
        <w:footnoteRef/>
      </w:r>
      <w:r w:rsidRPr="006C6A65">
        <w:rPr>
          <w:rStyle w:val="FootnoteReference"/>
          <w:sz w:val="21"/>
        </w:rPr>
        <w:t xml:space="preserve"> </w:t>
      </w:r>
      <w:r w:rsidRPr="006C6A65">
        <w:rPr>
          <w:sz w:val="18"/>
          <w:szCs w:val="18"/>
          <w:lang w:val="en"/>
        </w:rPr>
        <w:t xml:space="preserve">Note that some Aboriginal and Torres Strait Islander people of these age will have received </w:t>
      </w:r>
      <w:proofErr w:type="spellStart"/>
      <w:r w:rsidRPr="006C6A65">
        <w:rPr>
          <w:sz w:val="18"/>
          <w:szCs w:val="18"/>
          <w:lang w:val="en"/>
        </w:rPr>
        <w:t>MenACWY</w:t>
      </w:r>
      <w:proofErr w:type="spellEnd"/>
      <w:r w:rsidRPr="006C6A65">
        <w:rPr>
          <w:sz w:val="18"/>
          <w:szCs w:val="18"/>
          <w:lang w:val="en"/>
        </w:rPr>
        <w:t xml:space="preserve"> vaccination as a part of state and territory outbreak response programs</w:t>
      </w:r>
      <w:r>
        <w:rPr>
          <w:sz w:val="18"/>
          <w:szCs w:val="18"/>
          <w:lang w:val="e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2E918ACD" w14:paraId="43C94EA6" w14:textId="77777777" w:rsidTr="2E918ACD">
      <w:tc>
        <w:tcPr>
          <w:tcW w:w="3489" w:type="dxa"/>
        </w:tcPr>
        <w:p w14:paraId="58F0A0CA" w14:textId="7F1FEDB7" w:rsidR="2E918ACD" w:rsidRDefault="2E918ACD" w:rsidP="2E918ACD">
          <w:pPr>
            <w:pStyle w:val="Header"/>
            <w:ind w:left="-115"/>
          </w:pPr>
        </w:p>
      </w:tc>
      <w:tc>
        <w:tcPr>
          <w:tcW w:w="3489" w:type="dxa"/>
        </w:tcPr>
        <w:p w14:paraId="26B013AC" w14:textId="71869535" w:rsidR="2E918ACD" w:rsidRDefault="2E918ACD" w:rsidP="2E918ACD">
          <w:pPr>
            <w:pStyle w:val="Header"/>
            <w:jc w:val="center"/>
          </w:pPr>
        </w:p>
      </w:tc>
      <w:tc>
        <w:tcPr>
          <w:tcW w:w="3489" w:type="dxa"/>
        </w:tcPr>
        <w:p w14:paraId="2626BC28" w14:textId="74575466" w:rsidR="2E918ACD" w:rsidRDefault="2E918ACD" w:rsidP="2E918ACD">
          <w:pPr>
            <w:pStyle w:val="Header"/>
            <w:ind w:right="-115"/>
            <w:jc w:val="right"/>
          </w:pPr>
        </w:p>
      </w:tc>
    </w:tr>
  </w:tbl>
  <w:p w14:paraId="4E9BE011" w14:textId="68BCE54B" w:rsidR="2E918ACD" w:rsidRDefault="2E918ACD" w:rsidP="2E918A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537A"/>
    <w:multiLevelType w:val="hybridMultilevel"/>
    <w:tmpl w:val="A3F46136"/>
    <w:lvl w:ilvl="0" w:tplc="BEAC84C0">
      <w:start w:val="1"/>
      <w:numFmt w:val="bullet"/>
      <w:pStyle w:val="Sub-bullettedlis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333D66"/>
    <w:multiLevelType w:val="hybridMultilevel"/>
    <w:tmpl w:val="F306D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155AE"/>
    <w:multiLevelType w:val="multilevel"/>
    <w:tmpl w:val="05387E4A"/>
    <w:lvl w:ilvl="0">
      <w:start w:val="1"/>
      <w:numFmt w:val="bullet"/>
      <w:pStyle w:val="BulletedList"/>
      <w:lvlText w:val=""/>
      <w:lvlJc w:val="left"/>
      <w:pPr>
        <w:ind w:left="93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658"/>
        </w:tabs>
        <w:ind w:left="165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18"/>
        </w:tabs>
        <w:ind w:left="381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78"/>
        </w:tabs>
        <w:ind w:left="597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98"/>
        </w:tabs>
        <w:ind w:left="6698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4A359E"/>
    <w:multiLevelType w:val="hybridMultilevel"/>
    <w:tmpl w:val="B3B84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16FEB"/>
    <w:multiLevelType w:val="hybridMultilevel"/>
    <w:tmpl w:val="B50E4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B7AFE"/>
    <w:multiLevelType w:val="hybridMultilevel"/>
    <w:tmpl w:val="743472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13D44"/>
    <w:multiLevelType w:val="hybridMultilevel"/>
    <w:tmpl w:val="56068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5"/>
  </w:num>
  <w:num w:numId="16">
    <w:abstractNumId w:val="2"/>
  </w:num>
  <w:num w:numId="17">
    <w:abstractNumId w:val="2"/>
  </w:num>
  <w:num w:numId="18">
    <w:abstractNumId w:val="2"/>
  </w:num>
  <w:num w:numId="19">
    <w:abstractNumId w:val="1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67"/>
    <w:rsid w:val="00001B00"/>
    <w:rsid w:val="000049BF"/>
    <w:rsid w:val="000152C8"/>
    <w:rsid w:val="000240BF"/>
    <w:rsid w:val="00066E1D"/>
    <w:rsid w:val="00071F54"/>
    <w:rsid w:val="000B4D34"/>
    <w:rsid w:val="000C116E"/>
    <w:rsid w:val="000C4D69"/>
    <w:rsid w:val="000E2E03"/>
    <w:rsid w:val="00131987"/>
    <w:rsid w:val="00165988"/>
    <w:rsid w:val="00235729"/>
    <w:rsid w:val="00240FF3"/>
    <w:rsid w:val="00280050"/>
    <w:rsid w:val="002C30F6"/>
    <w:rsid w:val="002D0668"/>
    <w:rsid w:val="002E50AC"/>
    <w:rsid w:val="0032513B"/>
    <w:rsid w:val="003642EE"/>
    <w:rsid w:val="00394B5A"/>
    <w:rsid w:val="003E48F5"/>
    <w:rsid w:val="003F1EE7"/>
    <w:rsid w:val="003F50F4"/>
    <w:rsid w:val="00443D88"/>
    <w:rsid w:val="004518F4"/>
    <w:rsid w:val="004A0DA4"/>
    <w:rsid w:val="004C3BAA"/>
    <w:rsid w:val="00562A4D"/>
    <w:rsid w:val="00562D68"/>
    <w:rsid w:val="005C13F7"/>
    <w:rsid w:val="005F03F0"/>
    <w:rsid w:val="00656B0E"/>
    <w:rsid w:val="006C314C"/>
    <w:rsid w:val="006C6A65"/>
    <w:rsid w:val="006D2854"/>
    <w:rsid w:val="006D3AC4"/>
    <w:rsid w:val="006F18A5"/>
    <w:rsid w:val="006F351F"/>
    <w:rsid w:val="007045E8"/>
    <w:rsid w:val="00733731"/>
    <w:rsid w:val="00754C84"/>
    <w:rsid w:val="00764EAD"/>
    <w:rsid w:val="007719EB"/>
    <w:rsid w:val="007874E2"/>
    <w:rsid w:val="00793CE4"/>
    <w:rsid w:val="007E4008"/>
    <w:rsid w:val="0087069F"/>
    <w:rsid w:val="008772B5"/>
    <w:rsid w:val="00887BD0"/>
    <w:rsid w:val="008A1765"/>
    <w:rsid w:val="008C09E6"/>
    <w:rsid w:val="008E5206"/>
    <w:rsid w:val="00913203"/>
    <w:rsid w:val="00941030"/>
    <w:rsid w:val="00971F3D"/>
    <w:rsid w:val="009A6767"/>
    <w:rsid w:val="009F63F4"/>
    <w:rsid w:val="00AD7307"/>
    <w:rsid w:val="00AE0DD4"/>
    <w:rsid w:val="00AE1B6F"/>
    <w:rsid w:val="00AF5014"/>
    <w:rsid w:val="00B37C09"/>
    <w:rsid w:val="00B5311F"/>
    <w:rsid w:val="00B57C37"/>
    <w:rsid w:val="00B90782"/>
    <w:rsid w:val="00BA2BA8"/>
    <w:rsid w:val="00BA58C8"/>
    <w:rsid w:val="00C33EDE"/>
    <w:rsid w:val="00C65C2B"/>
    <w:rsid w:val="00C96D1F"/>
    <w:rsid w:val="00CA7C97"/>
    <w:rsid w:val="00D56CD3"/>
    <w:rsid w:val="00D73EA9"/>
    <w:rsid w:val="00E3762A"/>
    <w:rsid w:val="00E644F6"/>
    <w:rsid w:val="00E65B6F"/>
    <w:rsid w:val="00E75C7A"/>
    <w:rsid w:val="00E80AB1"/>
    <w:rsid w:val="00E85A8E"/>
    <w:rsid w:val="00E9558C"/>
    <w:rsid w:val="00EE2B9B"/>
    <w:rsid w:val="00EF5D02"/>
    <w:rsid w:val="00F14D6C"/>
    <w:rsid w:val="00F21C8B"/>
    <w:rsid w:val="00F23226"/>
    <w:rsid w:val="00F32159"/>
    <w:rsid w:val="00F6018C"/>
    <w:rsid w:val="00F708F2"/>
    <w:rsid w:val="00F84DCA"/>
    <w:rsid w:val="00FA085C"/>
    <w:rsid w:val="00FC6BA4"/>
    <w:rsid w:val="00FF3139"/>
    <w:rsid w:val="1A7C1822"/>
    <w:rsid w:val="2E918ACD"/>
    <w:rsid w:val="72A7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72364"/>
  <w15:docId w15:val="{84126891-1628-451D-8F9E-352C4EAF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767"/>
    <w:pPr>
      <w:spacing w:after="200" w:line="300" w:lineRule="auto"/>
    </w:pPr>
    <w:rPr>
      <w:rFonts w:ascii="Arial" w:eastAsiaTheme="majorEastAsia" w:hAnsi="Arial" w:cs="Arial"/>
      <w:sz w:val="21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767"/>
    <w:pPr>
      <w:keepNext/>
      <w:keepLines/>
      <w:spacing w:before="240" w:after="0"/>
      <w:outlineLvl w:val="0"/>
    </w:pPr>
    <w:rPr>
      <w:rFonts w:asciiTheme="majorHAnsi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5C2B"/>
    <w:pPr>
      <w:keepNext/>
      <w:keepLines/>
      <w:spacing w:before="40" w:after="0"/>
      <w:outlineLvl w:val="1"/>
    </w:pPr>
    <w:rPr>
      <w:rFonts w:cstheme="majorBidi"/>
      <w:b/>
      <w:color w:val="7030A0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D69"/>
    <w:pPr>
      <w:keepNext/>
      <w:keepLines/>
      <w:spacing w:before="40" w:after="0"/>
      <w:outlineLvl w:val="2"/>
    </w:pPr>
    <w:rPr>
      <w:rFonts w:asciiTheme="majorHAnsi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A676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A6767"/>
    <w:rPr>
      <w:rFonts w:ascii="Arial" w:eastAsiaTheme="majorEastAsia" w:hAnsi="Arial" w:cs="Arial"/>
      <w:sz w:val="21"/>
      <w:szCs w:val="20"/>
      <w:lang w:eastAsia="en-AU"/>
    </w:rPr>
  </w:style>
  <w:style w:type="table" w:styleId="TableGrid">
    <w:name w:val="Table Grid"/>
    <w:basedOn w:val="TableNormal"/>
    <w:rsid w:val="009A6767"/>
    <w:pPr>
      <w:spacing w:after="0" w:line="240" w:lineRule="auto"/>
    </w:pPr>
    <w:rPr>
      <w:rFonts w:asciiTheme="majorHAnsi" w:eastAsiaTheme="majorEastAsia" w:hAnsiTheme="majorHAnsi" w:cstheme="majorBidi"/>
      <w:sz w:val="22"/>
      <w:szCs w:val="22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Black">
    <w:name w:val="Heading 1 Black"/>
    <w:basedOn w:val="Heading1"/>
    <w:next w:val="Normal"/>
    <w:autoRedefine/>
    <w:qFormat/>
    <w:rsid w:val="009A6767"/>
    <w:pPr>
      <w:keepNext w:val="0"/>
      <w:keepLines w:val="0"/>
      <w:pBdr>
        <w:left w:val="single" w:sz="48" w:space="8" w:color="57259F"/>
      </w:pBdr>
      <w:spacing w:before="0" w:after="120"/>
      <w:ind w:left="284"/>
    </w:pPr>
    <w:rPr>
      <w:rFonts w:ascii="Arial" w:hAnsi="Arial" w:cs="Arial"/>
      <w:bCs/>
      <w:cap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9A676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paragraph" w:customStyle="1" w:styleId="Sub-bullettedlist">
    <w:name w:val="Sub-bulletted list"/>
    <w:basedOn w:val="Normal"/>
    <w:qFormat/>
    <w:rsid w:val="009A6767"/>
    <w:pPr>
      <w:numPr>
        <w:numId w:val="1"/>
      </w:numPr>
      <w:spacing w:after="120"/>
    </w:pPr>
    <w:rPr>
      <w:i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C65C2B"/>
    <w:rPr>
      <w:rFonts w:ascii="Arial" w:eastAsiaTheme="majorEastAsia" w:hAnsi="Arial" w:cstheme="majorBidi"/>
      <w:b/>
      <w:color w:val="7030A0"/>
      <w:sz w:val="22"/>
      <w:szCs w:val="26"/>
      <w:lang w:eastAsia="en-AU"/>
    </w:rPr>
  </w:style>
  <w:style w:type="paragraph" w:customStyle="1" w:styleId="BulletedList">
    <w:name w:val="Bulleted List"/>
    <w:basedOn w:val="Normal"/>
    <w:qFormat/>
    <w:rsid w:val="000C4D69"/>
    <w:pPr>
      <w:numPr>
        <w:numId w:val="2"/>
      </w:numPr>
      <w:spacing w:after="0"/>
      <w:contextualSpacing/>
    </w:pPr>
    <w:rPr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D69"/>
    <w:rPr>
      <w:rFonts w:asciiTheme="majorHAnsi" w:eastAsiaTheme="majorEastAsia" w:hAnsiTheme="majorHAnsi" w:cstheme="majorBidi"/>
      <w:color w:val="1F4D78" w:themeColor="accent1" w:themeShade="7F"/>
      <w:lang w:eastAsia="en-AU"/>
    </w:rPr>
  </w:style>
  <w:style w:type="paragraph" w:styleId="ListParagraph">
    <w:name w:val="List Paragraph"/>
    <w:basedOn w:val="Normal"/>
    <w:uiPriority w:val="1"/>
    <w:qFormat/>
    <w:rsid w:val="00F32159"/>
    <w:pPr>
      <w:widowControl w:val="0"/>
      <w:autoSpaceDE w:val="0"/>
      <w:autoSpaceDN w:val="0"/>
      <w:spacing w:before="87" w:after="0" w:line="240" w:lineRule="auto"/>
      <w:ind w:left="513" w:hanging="170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paragraph" w:styleId="NoSpacing">
    <w:name w:val="No Spacing"/>
    <w:uiPriority w:val="1"/>
    <w:qFormat/>
    <w:rsid w:val="003F50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706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069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069F"/>
    <w:rPr>
      <w:rFonts w:ascii="Arial" w:eastAsiaTheme="majorEastAsia" w:hAnsi="Arial" w:cs="Arial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6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69F"/>
    <w:rPr>
      <w:rFonts w:ascii="Arial" w:eastAsiaTheme="majorEastAsia" w:hAnsi="Arial" w:cs="Arial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69F"/>
    <w:rPr>
      <w:rFonts w:ascii="Segoe UI" w:eastAsiaTheme="majorEastAsia" w:hAnsi="Segoe UI" w:cs="Segoe UI"/>
      <w:sz w:val="18"/>
      <w:szCs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87069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5B6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A58C8"/>
    <w:pPr>
      <w:spacing w:after="0" w:line="240" w:lineRule="auto"/>
    </w:pPr>
    <w:rPr>
      <w:rFonts w:ascii="Arial" w:eastAsiaTheme="majorEastAsia" w:hAnsi="Arial" w:cs="Arial"/>
      <w:sz w:val="21"/>
      <w:szCs w:val="20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6A65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6A65"/>
    <w:rPr>
      <w:rFonts w:ascii="Arial" w:eastAsiaTheme="majorEastAsia" w:hAnsi="Arial" w:cs="Arial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6C6A65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65C2B"/>
    <w:pPr>
      <w:spacing w:before="480" w:after="480" w:line="240" w:lineRule="auto"/>
      <w:contextualSpacing/>
    </w:pPr>
    <w:rPr>
      <w:rFonts w:cstheme="majorBidi"/>
      <w:color w:val="FFFFFF" w:themeColor="background1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5C2B"/>
    <w:rPr>
      <w:rFonts w:ascii="Arial" w:eastAsiaTheme="majorEastAsia" w:hAnsi="Arial" w:cstheme="majorBidi"/>
      <w:color w:val="FFFFFF" w:themeColor="background1"/>
      <w:spacing w:val="-10"/>
      <w:kern w:val="28"/>
      <w:sz w:val="32"/>
      <w:szCs w:val="5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5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7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4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39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86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85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36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munisationhandbook.health.gov.au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mmunisationhandbook.health.gov.au/" TargetMode="External"/><Relationship Id="rId17" Type="http://schemas.openxmlformats.org/officeDocument/2006/relationships/theme" Target="theme/theme1.xml"/><Relationship Id="R399073b354f64621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0361B2D965776F46A203A558DA3BDE9C010068A92C094D8C8E439A2AE59D29D483FC" ma:contentTypeVersion="11" ma:contentTypeDescription="" ma:contentTypeScope="" ma:versionID="fda28e8f4d81d3bda79cafce45542f99">
  <xsd:schema xmlns:xsd="http://www.w3.org/2001/XMLSchema" xmlns:xs="http://www.w3.org/2001/XMLSchema" xmlns:p="http://schemas.microsoft.com/office/2006/metadata/properties" xmlns:ns1="http://schemas.microsoft.com/sharepoint/v3" xmlns:ns2="2bd5d25a-ed67-4748-9d94-e4b1e4baa595" xmlns:ns4="http://schemas.microsoft.com/sharepoint/v4" targetNamespace="http://schemas.microsoft.com/office/2006/metadata/properties" ma:root="true" ma:fieldsID="d54c29beb52bb81063455bddecc952cc" ns1:_="" ns2:_="" ns4:_="">
    <xsd:import namespace="http://schemas.microsoft.com/sharepoint/v3"/>
    <xsd:import namespace="2bd5d25a-ed67-4748-9d94-e4b1e4baa59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ublishing_x0020_Required_x0020_By" minOccurs="0"/>
                <xsd:element ref="ns2:Package_x0020_Status" minOccurs="0"/>
                <xsd:element ref="ns2:Content_x0020_Owner_x0020_Designation" minOccurs="0"/>
                <xsd:element ref="ns2:Content_x0020_Owner_x0020_Section" minOccurs="0"/>
                <xsd:element ref="ns2:Content_x0020_Owner_x0020_Division" minOccurs="0"/>
                <xsd:element ref="ns2:Content_x0020_Owner_x0020_Branch" minOccurs="0"/>
                <xsd:element ref="ns2:Approved_x0020_Date" minOccurs="0"/>
                <xsd:element ref="ns2:Content_x0020_Owner"/>
                <xsd:element ref="ns2:Quality_x0020_Reviewer_x0028_s_x0029_"/>
                <xsd:element ref="ns2:Peer_x0020_Review_x0020_Required_x0020_By" minOccurs="0"/>
                <xsd:element ref="ns2:Content_x0020_Approver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5d25a-ed67-4748-9d94-e4b1e4baa595" elementFormDefault="qualified">
    <xsd:import namespace="http://schemas.microsoft.com/office/2006/documentManagement/types"/>
    <xsd:import namespace="http://schemas.microsoft.com/office/infopath/2007/PartnerControls"/>
    <xsd:element name="Publishing_x0020_Required_x0020_By" ma:index="8" nillable="true" ma:displayName="Publishing Required By" ma:description="Select the date this web page is due to be published." ma:format="DateOnly" ma:internalName="Publishing_x0020_Required_x0020_By">
      <xsd:simpleType>
        <xsd:restriction base="dms:DateTime"/>
      </xsd:simpleType>
    </xsd:element>
    <xsd:element name="Package_x0020_Status" ma:index="9" nillable="true" ma:displayName="Package Status" ma:default="Draft" ma:description="Note: DO NOT ADD A VALUE TO THIS" ma:format="Dropdown" ma:internalName="Package_x0020_Status">
      <xsd:simpleType>
        <xsd:restriction base="dms:Choice">
          <xsd:enumeration value="Draft"/>
          <xsd:enumeration value="Peer Review In Progress"/>
          <xsd:enumeration value="Quality Review In Progress"/>
          <xsd:enumeration value="Content Approval In Progress"/>
          <xsd:enumeration value="Approved"/>
          <xsd:enumeration value="Published"/>
        </xsd:restriction>
      </xsd:simpleType>
    </xsd:element>
    <xsd:element name="Content_x0020_Owner_x0020_Designation" ma:index="10" nillable="true" ma:displayName="Content Owner Designation" ma:description="Note: Leave this field blank to have it automatically populated via workflow" ma:internalName="Content_x0020_Owner_x0020_Designation">
      <xsd:simpleType>
        <xsd:restriction base="dms:Text">
          <xsd:maxLength value="255"/>
        </xsd:restriction>
      </xsd:simpleType>
    </xsd:element>
    <xsd:element name="Content_x0020_Owner_x0020_Section" ma:index="11" nillable="true" ma:displayName="Content Owner Section" ma:description="Note: Leave this field blank to have it automatically populated via workflow" ma:internalName="Content_x0020_Owner_x0020_Section">
      <xsd:simpleType>
        <xsd:restriction base="dms:Text">
          <xsd:maxLength value="255"/>
        </xsd:restriction>
      </xsd:simpleType>
    </xsd:element>
    <xsd:element name="Content_x0020_Owner_x0020_Division" ma:index="12" nillable="true" ma:displayName="Content Owner Division" ma:description="Note: Leave this field blank to have it automatically populated via workflow" ma:internalName="Content_x0020_Owner_x0020_Division">
      <xsd:simpleType>
        <xsd:restriction base="dms:Text">
          <xsd:maxLength value="255"/>
        </xsd:restriction>
      </xsd:simpleType>
    </xsd:element>
    <xsd:element name="Content_x0020_Owner_x0020_Branch" ma:index="13" nillable="true" ma:displayName="Content Owner Branch" ma:description="Note: Leave this field blank to have it automatically populated via workflow" ma:internalName="Content_x0020_Owner_x0020_Branch">
      <xsd:simpleType>
        <xsd:restriction base="dms:Text">
          <xsd:maxLength value="255"/>
        </xsd:restriction>
      </xsd:simpleType>
    </xsd:element>
    <xsd:element name="Approved_x0020_Date" ma:index="14" nillable="true" ma:displayName="Approved Date" ma:description="Note: DO NOT ADD A VALUE TO THIS" ma:format="DateOnly" ma:internalName="Approved_x0020_Date">
      <xsd:simpleType>
        <xsd:restriction base="dms:DateTime"/>
      </xsd:simpleType>
    </xsd:element>
    <xsd:element name="Content_x0020_Owner" ma:index="17" ma:displayName="Content Owner" ma:description="Specify the owner (Branch Head) of the content" ma:list="UserInfo" ma:SharePointGroup="0" ma:internalName="Cont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uality_x0020_Reviewer_x0028_s_x0029_" ma:index="18" ma:displayName="Quality Reviewer(s)" ma:list="UserInfo" ma:SharePointGroup="0" ma:internalName="Quality_x0020_Reviewer_x0028_s_x0029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eer_x0020_Review_x0020_Required_x0020_By" ma:index="19" nillable="true" ma:displayName="Peer Review Required By" ma:list="UserInfo" ma:SharePointGroup="0" ma:internalName="Peer_x0020_Review_x0020_Required_x0020_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Approver" ma:index="20" ma:displayName="Content Approver" ma:description="Specify the Content Approver (EL2 or above) to approve your content" ma:list="UserInfo" ma:SharePointGroup="0" ma:internalName="Content_x0020_Approv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ty_x0020_Reviewer_x0028_s_x0029_ xmlns="2bd5d25a-ed67-4748-9d94-e4b1e4baa595">
      <UserInfo>
        <DisplayName>Breugelmans, Kristy</DisplayName>
        <AccountId>2488</AccountId>
        <AccountType/>
      </UserInfo>
    </Quality_x0020_Reviewer_x0028_s_x0029_>
    <Content_x0020_Owner_x0020_Designation xmlns="2bd5d25a-ed67-4748-9d94-e4b1e4baa595" xsi:nil="true"/>
    <Publishing_x0020_Required_x0020_By xmlns="2bd5d25a-ed67-4748-9d94-e4b1e4baa595">2019-04-04T13:00:00+00:00</Publishing_x0020_Required_x0020_By>
    <Approved_x0020_Date xmlns="2bd5d25a-ed67-4748-9d94-e4b1e4baa595">2019-04-04T13:00:00+00:00</Approved_x0020_Date>
    <IconOverlay xmlns="http://schemas.microsoft.com/sharepoint/v4" xsi:nil="true"/>
    <Content_x0020_Approver xmlns="2bd5d25a-ed67-4748-9d94-e4b1e4baa595">
      <UserInfo>
        <DisplayName>SOMI, Masha</DisplayName>
        <AccountId>904</AccountId>
        <AccountType/>
      </UserInfo>
    </Content_x0020_Approver>
    <Content_x0020_Owner_x0020_Division xmlns="2bd5d25a-ed67-4748-9d94-e4b1e4baa595" xsi:nil="true"/>
    <Content_x0020_Owner_x0020_Branch xmlns="2bd5d25a-ed67-4748-9d94-e4b1e4baa595" xsi:nil="true"/>
    <Package_x0020_Status xmlns="2bd5d25a-ed67-4748-9d94-e4b1e4baa595">Approved</Package_x0020_Status>
    <Content_x0020_Owner_x0020_Section xmlns="2bd5d25a-ed67-4748-9d94-e4b1e4baa595" xsi:nil="true"/>
    <Peer_x0020_Review_x0020_Required_x0020_By xmlns="2bd5d25a-ed67-4748-9d94-e4b1e4baa595">
      <UserInfo>
        <DisplayName>MAYER, Ingrid</DisplayName>
        <AccountId>3966</AccountId>
        <AccountType/>
      </UserInfo>
    </Peer_x0020_Review_x0020_Required_x0020_By>
    <Content_x0020_Owner xmlns="2bd5d25a-ed67-4748-9d94-e4b1e4baa595">
      <UserInfo>
        <DisplayName>SOMI, Masha</DisplayName>
        <AccountId>904</AccountId>
        <AccountType/>
      </UserInfo>
    </Content_x0020_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8EE26-8234-4611-BC07-9A9246FDC6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26676D-D0AD-4196-A4D9-65AB8B18E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d5d25a-ed67-4748-9d94-e4b1e4baa59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A1A948-458C-4312-9492-E48F1591D0A3}">
  <ds:schemaRefs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bd5d25a-ed67-4748-9d94-e4b1e4baa595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42BD895-FAF7-4086-939D-35349D625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Technical Advisory Group on Immunisation (ATAGI) Clinical Advice</vt:lpstr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Technical Advisory Group on Immunisation (ATAGI) Clinical Advice</dc:title>
  <dc:creator>Department of Health</dc:creator>
  <cp:lastModifiedBy>RYAN, Kimberley</cp:lastModifiedBy>
  <cp:revision>9</cp:revision>
  <dcterms:created xsi:type="dcterms:W3CDTF">2019-04-04T01:20:00Z</dcterms:created>
  <dcterms:modified xsi:type="dcterms:W3CDTF">2019-04-05T03:00:00Z</dcterms:modified>
  <cp:category>Immunisation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0x0101000361B2D965776F46A203A558DA3BDE9C010068A92C094D8C8E439A2AE59D29D483FC</vt:lpwstr>
  </property>
  <property fmtid="{D5CDD505-2E9C-101B-9397-08002B2CF9AE}" pid="3" name="_docset_NoMedatataSyncRequired">
    <vt:lpwstr>False</vt:lpwstr>
  </property>
  <property fmtid="{D5CDD505-2E9C-101B-9397-08002B2CF9AE}" pid="4" name="WorkflowChangePath">
    <vt:lpwstr>b55235ed-5ca5-4ec6-8961-3a05ae543b2a,4;b55235ed-5ca5-4ec6-8961-3a05ae543b2a,4;b55235ed-5ca5-4ec6-8961-3a05ae543b2a,4;b55235ed-5ca5-4ec6-8961-3a05ae543b2a,4;</vt:lpwstr>
  </property>
</Properties>
</file>