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28ABE" w14:textId="0329AE91" w:rsidR="009C3446" w:rsidRPr="0019116F" w:rsidRDefault="009C3446" w:rsidP="00CC0C67">
      <w:pPr>
        <w:pStyle w:val="Subtitle"/>
        <w:rPr>
          <w:sz w:val="26"/>
          <w:szCs w:val="26"/>
        </w:rPr>
      </w:pPr>
      <w:r w:rsidRPr="0019116F">
        <w:rPr>
          <w:sz w:val="26"/>
          <w:szCs w:val="26"/>
        </w:rPr>
        <w:t>Australian Technical Advisory Group on Immunisation (ATAGI</w:t>
      </w:r>
      <w:r w:rsidR="00FA3FC3" w:rsidRPr="0019116F">
        <w:rPr>
          <w:sz w:val="26"/>
          <w:szCs w:val="26"/>
        </w:rPr>
        <w:t xml:space="preserve">) </w:t>
      </w:r>
      <w:r w:rsidR="006A6BDE" w:rsidRPr="0019116F">
        <w:rPr>
          <w:sz w:val="26"/>
          <w:szCs w:val="26"/>
        </w:rPr>
        <w:br/>
      </w:r>
      <w:r w:rsidR="00CA6FC5" w:rsidRPr="0019116F">
        <w:rPr>
          <w:sz w:val="26"/>
          <w:szCs w:val="26"/>
        </w:rPr>
        <w:t>6</w:t>
      </w:r>
      <w:r w:rsidR="00CA3C29" w:rsidRPr="0019116F">
        <w:rPr>
          <w:sz w:val="26"/>
          <w:szCs w:val="26"/>
        </w:rPr>
        <w:t>8</w:t>
      </w:r>
      <w:r w:rsidR="00CA6FC5" w:rsidRPr="0019116F">
        <w:rPr>
          <w:sz w:val="26"/>
          <w:szCs w:val="26"/>
        </w:rPr>
        <w:t xml:space="preserve">th </w:t>
      </w:r>
      <w:r w:rsidRPr="0019116F">
        <w:rPr>
          <w:sz w:val="26"/>
          <w:szCs w:val="26"/>
        </w:rPr>
        <w:t>meeting</w:t>
      </w:r>
      <w:r w:rsidR="006A6BDE" w:rsidRPr="0019116F">
        <w:rPr>
          <w:sz w:val="26"/>
          <w:szCs w:val="26"/>
        </w:rPr>
        <w:br/>
      </w:r>
      <w:r w:rsidR="00CA3C29" w:rsidRPr="0019116F">
        <w:rPr>
          <w:sz w:val="26"/>
          <w:szCs w:val="26"/>
        </w:rPr>
        <w:t>14 and 15</w:t>
      </w:r>
      <w:r w:rsidR="002E6004" w:rsidRPr="0019116F">
        <w:rPr>
          <w:sz w:val="26"/>
          <w:szCs w:val="26"/>
        </w:rPr>
        <w:t xml:space="preserve"> </w:t>
      </w:r>
      <w:r w:rsidR="00CA3C29" w:rsidRPr="0019116F">
        <w:rPr>
          <w:sz w:val="26"/>
          <w:szCs w:val="26"/>
        </w:rPr>
        <w:t>February</w:t>
      </w:r>
      <w:r w:rsidR="00057608" w:rsidRPr="0019116F">
        <w:rPr>
          <w:sz w:val="26"/>
          <w:szCs w:val="26"/>
        </w:rPr>
        <w:t xml:space="preserve"> 201</w:t>
      </w:r>
      <w:r w:rsidR="00CA3C29" w:rsidRPr="0019116F">
        <w:rPr>
          <w:sz w:val="26"/>
          <w:szCs w:val="26"/>
        </w:rPr>
        <w:t>9</w:t>
      </w:r>
    </w:p>
    <w:p w14:paraId="18818F9D" w14:textId="77777777" w:rsidR="009C3446" w:rsidRPr="0019116F" w:rsidRDefault="009C3446" w:rsidP="00CC0C67">
      <w:pPr>
        <w:pStyle w:val="Subtitle"/>
        <w:rPr>
          <w:sz w:val="26"/>
          <w:szCs w:val="26"/>
        </w:rPr>
      </w:pPr>
      <w:r w:rsidRPr="0019116F">
        <w:rPr>
          <w:sz w:val="26"/>
          <w:szCs w:val="26"/>
        </w:rPr>
        <w:t>ATAGI BULLETIN</w:t>
      </w:r>
    </w:p>
    <w:p w14:paraId="566FE28B" w14:textId="0C1028A9" w:rsidR="008C716C" w:rsidRPr="0019116F" w:rsidRDefault="009C3446" w:rsidP="00CC0C67">
      <w:r w:rsidRPr="0019116F">
        <w:t xml:space="preserve">The Australian Technical Advisory Group on Immunisation (ATAGI) </w:t>
      </w:r>
      <w:r w:rsidR="002E6A39" w:rsidRPr="0019116F">
        <w:t>6</w:t>
      </w:r>
      <w:r w:rsidR="00CA3C29" w:rsidRPr="0019116F">
        <w:t>8</w:t>
      </w:r>
      <w:r w:rsidR="00CA6FC5" w:rsidRPr="0019116F">
        <w:t xml:space="preserve">th </w:t>
      </w:r>
      <w:r w:rsidRPr="0019116F">
        <w:t xml:space="preserve">face-to-face meeting was held on </w:t>
      </w:r>
      <w:r w:rsidR="00CA3C29" w:rsidRPr="0019116F">
        <w:t>14 and 15 February 2019</w:t>
      </w:r>
      <w:r w:rsidRPr="0019116F">
        <w:t xml:space="preserve"> in Canberra.</w:t>
      </w:r>
    </w:p>
    <w:p w14:paraId="51308422" w14:textId="4D49E48B" w:rsidR="002E6A39" w:rsidRPr="0019116F" w:rsidRDefault="002E6A39" w:rsidP="00CC0C67">
      <w:pPr>
        <w:pStyle w:val="Heading3"/>
      </w:pPr>
      <w:r w:rsidRPr="0019116F">
        <w:t>Influenza</w:t>
      </w:r>
    </w:p>
    <w:p w14:paraId="31B25DB7" w14:textId="51016D34" w:rsidR="00001C32" w:rsidRPr="0019116F" w:rsidRDefault="00001C32" w:rsidP="00CC0C67">
      <w:pPr>
        <w:pStyle w:val="BulletBeforeDash"/>
        <w:spacing w:after="240"/>
      </w:pPr>
      <w:r w:rsidRPr="0019116F">
        <w:t xml:space="preserve">ATAGI was pleased to note </w:t>
      </w:r>
      <w:r w:rsidR="00DC3976" w:rsidRPr="0019116F">
        <w:t xml:space="preserve">that from 2019, all Aboriginal and Torres Strait Islander people </w:t>
      </w:r>
      <w:r w:rsidR="002C506D" w:rsidRPr="0019116F">
        <w:t xml:space="preserve">aged </w:t>
      </w:r>
      <w:r w:rsidR="00DC3976" w:rsidRPr="0019116F">
        <w:t xml:space="preserve">6 months </w:t>
      </w:r>
      <w:r w:rsidR="002C506D" w:rsidRPr="0019116F">
        <w:t>and over</w:t>
      </w:r>
      <w:r w:rsidR="00DC3976" w:rsidRPr="0019116F">
        <w:t xml:space="preserve"> can receive </w:t>
      </w:r>
      <w:r w:rsidR="003E3DE6" w:rsidRPr="0019116F">
        <w:t xml:space="preserve">a </w:t>
      </w:r>
      <w:r w:rsidR="00DC3976" w:rsidRPr="0019116F">
        <w:t>funded influenza vaccine each year</w:t>
      </w:r>
      <w:r w:rsidR="002C506D" w:rsidRPr="0019116F">
        <w:t xml:space="preserve"> through the National Immunisation Program</w:t>
      </w:r>
      <w:r w:rsidR="002965EF">
        <w:t xml:space="preserve"> (NIP)</w:t>
      </w:r>
      <w:r w:rsidR="00DC3976" w:rsidRPr="0019116F">
        <w:t xml:space="preserve">. This </w:t>
      </w:r>
      <w:r w:rsidR="001E4859" w:rsidRPr="0019116F">
        <w:t xml:space="preserve">follows </w:t>
      </w:r>
      <w:r w:rsidR="00DC3976" w:rsidRPr="0019116F">
        <w:t xml:space="preserve">the </w:t>
      </w:r>
      <w:r w:rsidR="00D01B8C" w:rsidRPr="0019116F">
        <w:t xml:space="preserve">Australian Government’s implementation of a recommendation from </w:t>
      </w:r>
      <w:r w:rsidR="001E4859" w:rsidRPr="0019116F">
        <w:t xml:space="preserve">the </w:t>
      </w:r>
      <w:r w:rsidR="00DC3976" w:rsidRPr="0019116F">
        <w:t xml:space="preserve">Pharmaceutical Benefits Advisory Committee (PBAC) </w:t>
      </w:r>
      <w:r w:rsidRPr="0019116F">
        <w:t>to include seasonal influenza vaccine for</w:t>
      </w:r>
      <w:r w:rsidR="002C506D" w:rsidRPr="002B29DD">
        <w:t xml:space="preserve"> all</w:t>
      </w:r>
      <w:r w:rsidRPr="0019116F">
        <w:t xml:space="preserve"> Aboriginal and Torres St</w:t>
      </w:r>
      <w:r w:rsidR="00D01B8C" w:rsidRPr="0019116F">
        <w:t>rait Islander children aged 5–14</w:t>
      </w:r>
      <w:r w:rsidRPr="0019116F">
        <w:t xml:space="preserve"> years on the NIP. </w:t>
      </w:r>
    </w:p>
    <w:p w14:paraId="2C3D2CDE" w14:textId="3E82E69E" w:rsidR="004763C1" w:rsidRPr="0019116F" w:rsidRDefault="004763C1" w:rsidP="00CC0C67">
      <w:pPr>
        <w:pStyle w:val="BulletBeforeDash"/>
        <w:spacing w:after="240"/>
      </w:pPr>
      <w:r w:rsidRPr="00CC0C67">
        <w:t xml:space="preserve">ATAGI endorsed </w:t>
      </w:r>
      <w:r w:rsidR="002965EF">
        <w:t>its</w:t>
      </w:r>
      <w:r w:rsidR="002965EF" w:rsidRPr="00CC0C67">
        <w:t xml:space="preserve"> </w:t>
      </w:r>
      <w:r w:rsidRPr="00CC0C67">
        <w:t>influenza statement for 2019</w:t>
      </w:r>
      <w:r w:rsidRPr="0019116F">
        <w:t xml:space="preserve">, and the </w:t>
      </w:r>
      <w:hyperlink r:id="rId11" w:history="1">
        <w:r w:rsidRPr="0019116F">
          <w:rPr>
            <w:rStyle w:val="Hyperlink"/>
          </w:rPr>
          <w:t>influenza chapter update for the Australian Immunisation Handbook</w:t>
        </w:r>
      </w:hyperlink>
      <w:r w:rsidR="000A6DB4">
        <w:t xml:space="preserve"> (the Handbook).</w:t>
      </w:r>
      <w:r w:rsidRPr="0019116F">
        <w:t xml:space="preserve"> </w:t>
      </w:r>
      <w:r w:rsidR="00CC0C67">
        <w:t xml:space="preserve">The statement is available on </w:t>
      </w:r>
      <w:hyperlink r:id="rId12" w:history="1">
        <w:r w:rsidR="00CC0C67" w:rsidRPr="00CC0C67">
          <w:rPr>
            <w:rStyle w:val="Hyperlink"/>
          </w:rPr>
          <w:t>health.gov.au</w:t>
        </w:r>
      </w:hyperlink>
      <w:r w:rsidR="00CC0C67">
        <w:t xml:space="preserve">. </w:t>
      </w:r>
    </w:p>
    <w:p w14:paraId="4E2D8742" w14:textId="63E30427" w:rsidR="00453C5A" w:rsidRPr="0019116F" w:rsidRDefault="6E597D01" w:rsidP="00CC0C67">
      <w:pPr>
        <w:pStyle w:val="BulletBeforeDash"/>
        <w:spacing w:after="240"/>
      </w:pPr>
      <w:r w:rsidRPr="0019116F">
        <w:t xml:space="preserve">ATAGI reviewed </w:t>
      </w:r>
      <w:r w:rsidR="33C23513" w:rsidRPr="002B29DD">
        <w:t>current</w:t>
      </w:r>
      <w:r w:rsidRPr="0019116F">
        <w:t xml:space="preserve"> evidence on enhanced trivalent influenza vaccines (high-dose and adjuvanted vaccines) in people aged 65 years and over. ATAGI continues to recommend either high-dose or adjuvanted trivalent influenza vaccine over standard-dose trivalent or quadrivalent influenza vaccines for people in this age group. ATAGI did not consider that there was </w:t>
      </w:r>
      <w:r w:rsidR="33C23513" w:rsidRPr="002B29DD">
        <w:t>sufficient</w:t>
      </w:r>
      <w:r w:rsidRPr="0019116F">
        <w:t xml:space="preserve"> evidence to recommend one enhanced vaccine over the other</w:t>
      </w:r>
      <w:r w:rsidR="000A6DB4">
        <w:t>,</w:t>
      </w:r>
      <w:r w:rsidR="33C23513" w:rsidRPr="002B29DD">
        <w:t xml:space="preserve"> but noted th</w:t>
      </w:r>
      <w:r w:rsidR="33C23513" w:rsidRPr="0019116F">
        <w:t>is is a rapidly evolving area of research.</w:t>
      </w:r>
      <w:r w:rsidRPr="0019116F">
        <w:t xml:space="preserve"> Additional data on the efficacy, effectiveness and safety of these and other influenza vaccines will continue to be reviewed, as it becomes available.</w:t>
      </w:r>
    </w:p>
    <w:p w14:paraId="3F32D86A" w14:textId="6BEEE1BC" w:rsidR="00453C5A" w:rsidRPr="0019116F" w:rsidRDefault="00453C5A" w:rsidP="00CC0C67">
      <w:pPr>
        <w:pStyle w:val="BulletBeforeDash"/>
        <w:spacing w:after="240"/>
      </w:pPr>
      <w:r w:rsidRPr="0019116F">
        <w:lastRenderedPageBreak/>
        <w:t>For people aged 65 and over, ATAGI noted that only Fluad</w:t>
      </w:r>
      <w:r w:rsidR="004763C1" w:rsidRPr="0019116F">
        <w:t>®</w:t>
      </w:r>
      <w:r w:rsidRPr="0019116F">
        <w:t xml:space="preserve"> (adjuvanted influenza vaccine) will be available on the NIP in 2019, and Fluzone High Dose</w:t>
      </w:r>
      <w:r w:rsidR="004763C1" w:rsidRPr="0019116F">
        <w:t>®</w:t>
      </w:r>
      <w:r w:rsidRPr="0019116F">
        <w:t xml:space="preserve"> (high-dose influenza vaccine) will be available on the private market.</w:t>
      </w:r>
    </w:p>
    <w:p w14:paraId="7709A6F1" w14:textId="151BB36B" w:rsidR="00001C32" w:rsidRPr="0019116F" w:rsidRDefault="5C46E96E" w:rsidP="00CC0C67">
      <w:pPr>
        <w:pStyle w:val="BulletBeforeDash"/>
        <w:spacing w:after="240"/>
      </w:pPr>
      <w:r w:rsidRPr="0019116F">
        <w:t>ATAGI noted a mathematical modelling study on influenza that had been commissioned by the Department. A presentation of preliminary outcomes from the study was provided.</w:t>
      </w:r>
    </w:p>
    <w:p w14:paraId="746D8804" w14:textId="77777777" w:rsidR="002E6A39" w:rsidRPr="0019116F" w:rsidRDefault="002E6A39" w:rsidP="00CC0C67">
      <w:pPr>
        <w:pStyle w:val="Heading3"/>
      </w:pPr>
      <w:r w:rsidRPr="0019116F">
        <w:t>Meningococcal disease</w:t>
      </w:r>
    </w:p>
    <w:p w14:paraId="7BBD22B6" w14:textId="17814D65" w:rsidR="002E6A39" w:rsidRPr="0019116F" w:rsidRDefault="5C46E96E" w:rsidP="00CC0C67">
      <w:pPr>
        <w:pStyle w:val="BulletBeforeDash"/>
        <w:spacing w:after="240"/>
      </w:pPr>
      <w:r w:rsidRPr="0019116F">
        <w:t xml:space="preserve">ATAGI reviewed updated analysis of the recent epidemiology of meningococcal disease. </w:t>
      </w:r>
    </w:p>
    <w:p w14:paraId="514BDAF1" w14:textId="4DAF593A" w:rsidR="004763C1" w:rsidRPr="0019116F" w:rsidRDefault="5C46E96E" w:rsidP="00CC0C67">
      <w:pPr>
        <w:pStyle w:val="BulletBeforeDash"/>
        <w:spacing w:after="240"/>
        <w:rPr>
          <w:color w:val="000000" w:themeColor="text1"/>
          <w:szCs w:val="24"/>
        </w:rPr>
      </w:pPr>
      <w:r w:rsidRPr="0019116F">
        <w:t>ATAGI noted that meningococcal ACWY vaccine will be provided to adolescents through the NIP from April 2019</w:t>
      </w:r>
      <w:r w:rsidR="000A6DB4">
        <w:t>.</w:t>
      </w:r>
      <w:r w:rsidRPr="0019116F">
        <w:t xml:space="preserve"> </w:t>
      </w:r>
      <w:r w:rsidR="000A6DB4">
        <w:t>ATAGI</w:t>
      </w:r>
      <w:r w:rsidRPr="0019116F">
        <w:t xml:space="preserve"> is finalising a statement to be distributed regarding the use of meningococcal ACWY vaccine, to supplement information available in the Handbook.</w:t>
      </w:r>
    </w:p>
    <w:p w14:paraId="0FAD2841" w14:textId="21ADFB51" w:rsidR="006520AF" w:rsidRPr="0019116F" w:rsidRDefault="000B3BF4" w:rsidP="00CC0C67">
      <w:pPr>
        <w:pStyle w:val="BulletBeforeDash"/>
        <w:spacing w:after="240"/>
      </w:pPr>
      <w:r w:rsidRPr="0019116F">
        <w:t xml:space="preserve">ATAGI reviewed the evidence on interference of antibody responses </w:t>
      </w:r>
      <w:r w:rsidR="005C65DE">
        <w:t xml:space="preserve">when </w:t>
      </w:r>
      <w:r w:rsidRPr="0019116F">
        <w:t>meningococcal ACWY vaccines and other vaccines contain</w:t>
      </w:r>
      <w:r w:rsidR="005C65DE">
        <w:t>ing</w:t>
      </w:r>
      <w:r w:rsidRPr="0019116F">
        <w:t xml:space="preserve"> similar carrier proteins or antigens</w:t>
      </w:r>
      <w:r w:rsidR="005C65DE">
        <w:t xml:space="preserve"> are administered</w:t>
      </w:r>
      <w:r w:rsidRPr="0019116F">
        <w:t xml:space="preserve">. ATAGI noted that the clinical significance of these interactions is uncertain. </w:t>
      </w:r>
      <w:r w:rsidR="00E23145" w:rsidRPr="0019116F">
        <w:t xml:space="preserve">The </w:t>
      </w:r>
      <w:r w:rsidR="004763C1" w:rsidRPr="0019116F">
        <w:t xml:space="preserve">Australian Immunisation </w:t>
      </w:r>
      <w:r w:rsidR="00E23145" w:rsidRPr="0019116F">
        <w:t>Handbook will be updated to include this advice.</w:t>
      </w:r>
    </w:p>
    <w:p w14:paraId="30C51C10" w14:textId="66FD1CE6" w:rsidR="0016003B" w:rsidRPr="0019116F" w:rsidRDefault="0016003B" w:rsidP="00CC0C67">
      <w:pPr>
        <w:pStyle w:val="Heading3"/>
      </w:pPr>
      <w:r w:rsidRPr="0019116F">
        <w:t>Pneumococcal disease</w:t>
      </w:r>
    </w:p>
    <w:p w14:paraId="4C5A5DC8" w14:textId="44E5BFCE" w:rsidR="00754506" w:rsidRPr="0019116F" w:rsidRDefault="5C46E96E" w:rsidP="00CC0C67">
      <w:pPr>
        <w:pStyle w:val="BulletBeforeDash"/>
        <w:spacing w:after="240"/>
      </w:pPr>
      <w:r w:rsidRPr="0019116F">
        <w:t xml:space="preserve">ATAGI provided additional advice to the PBAC on </w:t>
      </w:r>
      <w:r w:rsidR="005C65DE">
        <w:t xml:space="preserve">vaccines to prevent </w:t>
      </w:r>
      <w:r w:rsidRPr="0019116F">
        <w:t xml:space="preserve">invasive pneumococcal disease in people with medical conditions that increase their risk of pneumococcal disease and in older </w:t>
      </w:r>
      <w:r w:rsidR="000A6DB4">
        <w:t>people</w:t>
      </w:r>
      <w:r w:rsidRPr="0019116F">
        <w:t>.</w:t>
      </w:r>
    </w:p>
    <w:p w14:paraId="0B689931" w14:textId="4160FB4A" w:rsidR="001745CE" w:rsidRPr="0019116F" w:rsidRDefault="001745CE" w:rsidP="00CC0C67">
      <w:pPr>
        <w:pStyle w:val="Heading3"/>
      </w:pPr>
      <w:r w:rsidRPr="0019116F">
        <w:t>Dengue</w:t>
      </w:r>
    </w:p>
    <w:p w14:paraId="4B3FF0A5" w14:textId="5E54F0FA" w:rsidR="008D2E67" w:rsidRPr="0019116F" w:rsidRDefault="008D2E67" w:rsidP="00CC0C67">
      <w:pPr>
        <w:pStyle w:val="BulletBeforeDash"/>
        <w:spacing w:after="240"/>
      </w:pPr>
      <w:r w:rsidRPr="0019116F">
        <w:t xml:space="preserve">ATAGI </w:t>
      </w:r>
      <w:r w:rsidR="008B47C9" w:rsidRPr="0019116F">
        <w:t xml:space="preserve">reviewed and discussed </w:t>
      </w:r>
      <w:r w:rsidR="004763C1" w:rsidRPr="0019116F">
        <w:t xml:space="preserve">its </w:t>
      </w:r>
      <w:r w:rsidR="008B47C9" w:rsidRPr="0019116F">
        <w:t xml:space="preserve">draft clinical advice on </w:t>
      </w:r>
      <w:r w:rsidR="004763C1" w:rsidRPr="0019116F">
        <w:t xml:space="preserve">the </w:t>
      </w:r>
      <w:r w:rsidR="008B47C9" w:rsidRPr="0019116F">
        <w:t>use of dengue vaccine for Australians</w:t>
      </w:r>
      <w:r w:rsidR="003407DC" w:rsidRPr="0019116F">
        <w:t>.</w:t>
      </w:r>
      <w:r w:rsidR="008B47C9" w:rsidRPr="0019116F">
        <w:t xml:space="preserve"> Further expert input will be sought before the statement is published.</w:t>
      </w:r>
    </w:p>
    <w:p w14:paraId="4088A62F" w14:textId="49C921D6" w:rsidR="008D2E67" w:rsidRPr="0019116F" w:rsidRDefault="008D2E67" w:rsidP="00CC0C67">
      <w:pPr>
        <w:pStyle w:val="Heading3"/>
      </w:pPr>
      <w:r w:rsidRPr="0019116F">
        <w:lastRenderedPageBreak/>
        <w:t>Measles</w:t>
      </w:r>
    </w:p>
    <w:p w14:paraId="29BDA0CE" w14:textId="05543569" w:rsidR="003C3FC6" w:rsidRPr="0019116F" w:rsidRDefault="5C46E96E" w:rsidP="00CC0C67">
      <w:pPr>
        <w:pStyle w:val="BulletBeforeDash"/>
        <w:spacing w:after="240"/>
      </w:pPr>
      <w:r w:rsidRPr="0019116F">
        <w:t>ATAGI noted the current outbreaks of measles in multiple settings, including the Philippines and Europe, and the recent cases of measles in people returning to Australia after travelling. Measles importation after international travel is the most significant source of measles cases in Australia.</w:t>
      </w:r>
    </w:p>
    <w:p w14:paraId="6B7D3BF4" w14:textId="398F9B6D" w:rsidR="003C3FC6" w:rsidRPr="0019116F" w:rsidRDefault="5C46E96E" w:rsidP="00CC0C67">
      <w:pPr>
        <w:pStyle w:val="BulletBeforeDash"/>
        <w:spacing w:after="240"/>
      </w:pPr>
      <w:r w:rsidRPr="0019116F">
        <w:t xml:space="preserve">The Australian Immunisation Handbook states that travellers are strongly recommended to have received 2 doses of measles-containing vaccine if they do not have pre-existing immunity to measles. </w:t>
      </w:r>
    </w:p>
    <w:p w14:paraId="025A9DE1" w14:textId="155DF51D" w:rsidR="00B46B82" w:rsidRPr="0019116F" w:rsidRDefault="5C46E96E" w:rsidP="00CC0C67">
      <w:pPr>
        <w:pStyle w:val="BulletBeforeDash"/>
        <w:spacing w:after="240"/>
      </w:pPr>
      <w:r w:rsidRPr="0019116F">
        <w:t xml:space="preserve">ATAGI also noted the recent cases of measles in children under 12 months of age who have travelled to measles-endemic areas. ATAGI reviewed the evidence on antibody responses to measles vaccine in </w:t>
      </w:r>
      <w:r w:rsidR="005C65DE">
        <w:t>children under 12 months</w:t>
      </w:r>
      <w:r w:rsidRPr="0019116F">
        <w:t xml:space="preserve"> and international best practice on this issue</w:t>
      </w:r>
      <w:r w:rsidR="005C65DE">
        <w:t>. This review will</w:t>
      </w:r>
      <w:r w:rsidRPr="0019116F">
        <w:t xml:space="preserve"> inform </w:t>
      </w:r>
      <w:r w:rsidR="000A6DB4">
        <w:t>ATAGI’s</w:t>
      </w:r>
      <w:r w:rsidR="000A6DB4" w:rsidRPr="0019116F">
        <w:t xml:space="preserve"> </w:t>
      </w:r>
      <w:r w:rsidRPr="0019116F">
        <w:t xml:space="preserve">advice to protect travelling infants, and will include updated advice in the Australian Immunisation Handbook on this issue in the near future. </w:t>
      </w:r>
    </w:p>
    <w:p w14:paraId="5B590857" w14:textId="4496B3BD" w:rsidR="00A123E4" w:rsidRPr="0019116F" w:rsidRDefault="00A123E4" w:rsidP="00CC0C67">
      <w:pPr>
        <w:pStyle w:val="Heading3"/>
      </w:pPr>
      <w:r w:rsidRPr="0019116F">
        <w:t>Special risk groups</w:t>
      </w:r>
    </w:p>
    <w:p w14:paraId="2AD9F335" w14:textId="3818C724" w:rsidR="00A123E4" w:rsidRPr="0019116F" w:rsidRDefault="00A123E4" w:rsidP="00CC0C67">
      <w:pPr>
        <w:pStyle w:val="BulletBeforeDash"/>
        <w:spacing w:after="240"/>
      </w:pPr>
      <w:r w:rsidRPr="0019116F">
        <w:t xml:space="preserve">ATAGI provided advice to the PBAC </w:t>
      </w:r>
      <w:r w:rsidR="00D01B8C" w:rsidRPr="0019116F">
        <w:t xml:space="preserve">and </w:t>
      </w:r>
      <w:r w:rsidR="000A6DB4">
        <w:t xml:space="preserve">the </w:t>
      </w:r>
      <w:r w:rsidR="00D01B8C" w:rsidRPr="0019116F">
        <w:t xml:space="preserve">Department </w:t>
      </w:r>
      <w:r w:rsidRPr="0019116F">
        <w:t>on recommended vaccinations for people with asplenia, hyposplenia or complement deficiency, and people being treated with eculizumab.</w:t>
      </w:r>
    </w:p>
    <w:p w14:paraId="793DF4C9" w14:textId="1405E0AA" w:rsidR="0016003B" w:rsidRPr="0019116F" w:rsidRDefault="0016003B" w:rsidP="00CC0C67">
      <w:pPr>
        <w:pStyle w:val="Heading3"/>
      </w:pPr>
      <w:r w:rsidRPr="0019116F">
        <w:t>Australian Immunisation Handbook</w:t>
      </w:r>
    </w:p>
    <w:p w14:paraId="6FD0A9BE" w14:textId="5A5B62E1" w:rsidR="008B47C9" w:rsidRPr="0019116F" w:rsidRDefault="008B47C9" w:rsidP="00CC0C67">
      <w:pPr>
        <w:pStyle w:val="BulletBeforeDash"/>
        <w:spacing w:after="240"/>
      </w:pPr>
      <w:r w:rsidRPr="0019116F">
        <w:t xml:space="preserve">ATAGI was pleased to note the high level of engagement during public consultation on changes to the recommendations for maternal pertussis vaccination, and welcomed the constructive feedback received. </w:t>
      </w:r>
      <w:r w:rsidR="00A123E4" w:rsidRPr="0019116F">
        <w:t xml:space="preserve">ATAGI endorsed the changes relating to maternal pertussis vaccination; the Handbook </w:t>
      </w:r>
      <w:r w:rsidR="002C506D" w:rsidRPr="0019116F">
        <w:t>was</w:t>
      </w:r>
      <w:r w:rsidR="00A123E4" w:rsidRPr="0019116F">
        <w:t xml:space="preserve"> updated following endorsement</w:t>
      </w:r>
      <w:r w:rsidR="00527909" w:rsidRPr="0019116F">
        <w:t xml:space="preserve"> by the National Health and Medical Research Council</w:t>
      </w:r>
      <w:r w:rsidR="002C506D" w:rsidRPr="0019116F">
        <w:t xml:space="preserve"> in March 2019</w:t>
      </w:r>
      <w:r w:rsidR="00A123E4" w:rsidRPr="0019116F">
        <w:t>.</w:t>
      </w:r>
    </w:p>
    <w:p w14:paraId="6CA8983B" w14:textId="2EF13DF7" w:rsidR="008B47C9" w:rsidRPr="0019116F" w:rsidRDefault="5C46E96E" w:rsidP="00CC0C67">
      <w:pPr>
        <w:pStyle w:val="BulletBeforeDash"/>
        <w:spacing w:after="240"/>
      </w:pPr>
      <w:r w:rsidRPr="0019116F">
        <w:lastRenderedPageBreak/>
        <w:t xml:space="preserve">ATAGI also noted minor updates to the Handbook based on feedback provided through the Handbook website. </w:t>
      </w:r>
      <w:r w:rsidR="00F458F5" w:rsidRPr="0019116F">
        <w:t>A range of</w:t>
      </w:r>
      <w:r w:rsidRPr="0019116F">
        <w:t xml:space="preserve"> identified changes to the Handbook since digital publication have been made</w:t>
      </w:r>
      <w:r w:rsidR="00F458F5" w:rsidRPr="0019116F">
        <w:t>.</w:t>
      </w:r>
      <w:r w:rsidRPr="0019116F">
        <w:t xml:space="preserve"> </w:t>
      </w:r>
    </w:p>
    <w:p w14:paraId="1B9517A2" w14:textId="026E41CE" w:rsidR="004677F4" w:rsidRPr="0019116F" w:rsidRDefault="5C46E96E" w:rsidP="00CC0C67">
      <w:pPr>
        <w:pStyle w:val="BulletBeforeDash"/>
        <w:spacing w:after="240"/>
      </w:pPr>
      <w:r w:rsidRPr="0019116F">
        <w:t xml:space="preserve">ATAGI discussed and endorsed proposed new minor updates to the Handbook. </w:t>
      </w:r>
    </w:p>
    <w:p w14:paraId="36F4BD6B" w14:textId="5CEA3306" w:rsidR="008B47C9" w:rsidRPr="0019116F" w:rsidRDefault="008B47C9" w:rsidP="00CC0C67">
      <w:pPr>
        <w:pStyle w:val="BulletBeforeDash"/>
        <w:spacing w:after="240"/>
      </w:pPr>
      <w:r w:rsidRPr="0019116F">
        <w:t>ATAGI was pleased to hear progress on future developments for the Handbook, including an app and a national catch-up calculator.</w:t>
      </w:r>
    </w:p>
    <w:p w14:paraId="091E6044" w14:textId="143CD318" w:rsidR="00A55951" w:rsidRPr="0019116F" w:rsidRDefault="00A55951" w:rsidP="00CC0C67">
      <w:pPr>
        <w:pStyle w:val="Heading3"/>
      </w:pPr>
      <w:r w:rsidRPr="0019116F">
        <w:t>Other ATAGI business</w:t>
      </w:r>
    </w:p>
    <w:p w14:paraId="4AEA1A1F" w14:textId="17A44FDB" w:rsidR="00527909" w:rsidRPr="0019116F" w:rsidRDefault="00527909" w:rsidP="00CC0C67">
      <w:pPr>
        <w:pStyle w:val="BulletBeforeDash"/>
        <w:spacing w:after="240"/>
      </w:pPr>
      <w:r w:rsidRPr="0019116F">
        <w:t xml:space="preserve">ATAGI discussed upcoming changes to its structure, role and membership. Expressions of interest for new ATAGI members </w:t>
      </w:r>
      <w:r w:rsidR="00D01B8C" w:rsidRPr="0019116F">
        <w:t>were sought in February and March 2019</w:t>
      </w:r>
      <w:r w:rsidRPr="0019116F">
        <w:t>.</w:t>
      </w:r>
    </w:p>
    <w:p w14:paraId="66EB9844" w14:textId="04A59A43" w:rsidR="00001C32" w:rsidRPr="0019116F" w:rsidRDefault="00527909" w:rsidP="00CC0C67">
      <w:pPr>
        <w:pStyle w:val="BulletBeforeDash"/>
        <w:spacing w:after="240"/>
      </w:pPr>
      <w:r w:rsidRPr="0019116F">
        <w:t>Updated d</w:t>
      </w:r>
      <w:r w:rsidR="00001C32" w:rsidRPr="0019116F">
        <w:t xml:space="preserve">ocuments relating to </w:t>
      </w:r>
      <w:hyperlink r:id="rId13" w:history="1">
        <w:r w:rsidRPr="0019116F">
          <w:rPr>
            <w:rStyle w:val="Hyperlink"/>
          </w:rPr>
          <w:t xml:space="preserve">ATAGI </w:t>
        </w:r>
        <w:r w:rsidR="00001C32" w:rsidRPr="0019116F">
          <w:rPr>
            <w:rStyle w:val="Hyperlink"/>
          </w:rPr>
          <w:t>policies, procedures, guidelines and templates</w:t>
        </w:r>
      </w:hyperlink>
      <w:r w:rsidR="00001C32" w:rsidRPr="0019116F">
        <w:t xml:space="preserve"> </w:t>
      </w:r>
      <w:r w:rsidR="002C506D" w:rsidRPr="002B29DD">
        <w:t>are</w:t>
      </w:r>
      <w:r w:rsidR="005D144C" w:rsidRPr="0019116F">
        <w:t xml:space="preserve"> available</w:t>
      </w:r>
      <w:r w:rsidR="00001C32" w:rsidRPr="0019116F">
        <w:t xml:space="preserve"> </w:t>
      </w:r>
      <w:r w:rsidRPr="0019116F">
        <w:t>on the Department’s website</w:t>
      </w:r>
      <w:r w:rsidR="00001C32" w:rsidRPr="0019116F">
        <w:t>.</w:t>
      </w:r>
    </w:p>
    <w:p w14:paraId="2B83ADEE" w14:textId="0A4A2FE4" w:rsidR="000B3BF4" w:rsidRPr="0019116F" w:rsidRDefault="5C46E96E" w:rsidP="00CC0C67">
      <w:pPr>
        <w:pStyle w:val="BulletBeforeDash"/>
        <w:spacing w:after="240"/>
      </w:pPr>
      <w:r w:rsidRPr="0019116F">
        <w:t xml:space="preserve">Members noted that Dr Bennett’s term with ATAGI will be expiring and that a new representative from </w:t>
      </w:r>
      <w:r w:rsidR="000A6DB4">
        <w:t xml:space="preserve">the </w:t>
      </w:r>
      <w:r w:rsidRPr="0019116F">
        <w:t xml:space="preserve">Communicable Diseases Network Australia (CDNA) would be appointed. </w:t>
      </w:r>
    </w:p>
    <w:p w14:paraId="725577FF" w14:textId="0D1468C5" w:rsidR="006C5EF8" w:rsidRPr="0019116F" w:rsidRDefault="0047782A" w:rsidP="00CC0C67">
      <w:pPr>
        <w:pStyle w:val="Heading3"/>
      </w:pPr>
      <w:r w:rsidRPr="0019116F">
        <w:t>Other issues in immunisation</w:t>
      </w:r>
    </w:p>
    <w:p w14:paraId="6735A767" w14:textId="74584DF4" w:rsidR="00225104" w:rsidRPr="0019116F" w:rsidRDefault="534E9160" w:rsidP="00CC0C67">
      <w:pPr>
        <w:pStyle w:val="BulletBeforeDash"/>
        <w:spacing w:after="240"/>
      </w:pPr>
      <w:r w:rsidRPr="0019116F">
        <w:t xml:space="preserve">ATAGI received an update on epidemiology of vaccine-preventable diseases from the CDNA and a summary of recent deliberations and recommendations from key immunisation technical advisory groups of interest from the National Centre for Immunisation Research and Surveillance (NCIRS). </w:t>
      </w:r>
    </w:p>
    <w:p w14:paraId="0C4CAA59" w14:textId="09463AA7" w:rsidR="006A6BDE" w:rsidRPr="0019116F" w:rsidRDefault="006A6BDE" w:rsidP="00CC0C67">
      <w:pPr>
        <w:pStyle w:val="Heading3"/>
      </w:pPr>
      <w:r w:rsidRPr="0019116F">
        <w:t>Notes</w:t>
      </w:r>
      <w:r w:rsidR="00A91BDD" w:rsidRPr="0019116F">
        <w:t xml:space="preserve"> and resources</w:t>
      </w:r>
      <w:bookmarkStart w:id="0" w:name="_GoBack"/>
      <w:bookmarkEnd w:id="0"/>
    </w:p>
    <w:p w14:paraId="742FC86F" w14:textId="6A589597" w:rsidR="00A91BDD" w:rsidRPr="0019116F" w:rsidRDefault="000A6DB4" w:rsidP="00CC0C67">
      <w:pPr>
        <w:pStyle w:val="BulletBeforeDash"/>
        <w:spacing w:after="120"/>
        <w:ind w:left="357" w:hanging="357"/>
      </w:pPr>
      <w:r w:rsidRPr="00980F60">
        <w:t>ATAGI’s membership</w:t>
      </w:r>
      <w:r w:rsidR="00A91BDD" w:rsidRPr="0019116F">
        <w:t>, terms of reference and conflict of interest information are available on the</w:t>
      </w:r>
      <w:r w:rsidR="00352DE1" w:rsidRPr="0019116F">
        <w:t xml:space="preserve"> </w:t>
      </w:r>
      <w:hyperlink r:id="rId14" w:history="1">
        <w:r w:rsidR="00352DE1" w:rsidRPr="000A6DB4">
          <w:rPr>
            <w:rStyle w:val="Hyperlink"/>
          </w:rPr>
          <w:t>Department of Health website</w:t>
        </w:r>
      </w:hyperlink>
      <w:r w:rsidR="00A91BDD" w:rsidRPr="0019116F">
        <w:t>.</w:t>
      </w:r>
    </w:p>
    <w:p w14:paraId="68293BB0" w14:textId="6051E3FC" w:rsidR="00A91BDD" w:rsidRPr="0019116F" w:rsidRDefault="00A91BDD" w:rsidP="00CC0C67">
      <w:pPr>
        <w:pStyle w:val="BulletBeforeDash"/>
        <w:spacing w:after="120"/>
        <w:ind w:left="357" w:hanging="357"/>
      </w:pPr>
      <w:r w:rsidRPr="0019116F">
        <w:lastRenderedPageBreak/>
        <w:t>The</w:t>
      </w:r>
      <w:r w:rsidR="002E6004" w:rsidRPr="0019116F">
        <w:t xml:space="preserve"> new digital</w:t>
      </w:r>
      <w:r w:rsidRPr="0019116F">
        <w:t> </w:t>
      </w:r>
      <w:hyperlink r:id="rId15" w:history="1">
        <w:r w:rsidRPr="0019116F">
          <w:rPr>
            <w:rStyle w:val="Hyperlink"/>
            <w:iCs/>
          </w:rPr>
          <w:t>Australian Immunisation Handbook</w:t>
        </w:r>
        <w:r w:rsidRPr="0019116F">
          <w:rPr>
            <w:rStyle w:val="Hyperlink"/>
          </w:rPr>
          <w:t> </w:t>
        </w:r>
      </w:hyperlink>
      <w:r w:rsidRPr="0019116F">
        <w:t>is available on the </w:t>
      </w:r>
      <w:r w:rsidR="00AA2D41" w:rsidRPr="0019116F">
        <w:t>Department’s</w:t>
      </w:r>
      <w:r w:rsidRPr="0019116F">
        <w:t xml:space="preserve"> website.</w:t>
      </w:r>
    </w:p>
    <w:p w14:paraId="10E3C866" w14:textId="035F828A" w:rsidR="00A91BDD" w:rsidRPr="0019116F" w:rsidRDefault="00A91BDD" w:rsidP="00CC0C67">
      <w:pPr>
        <w:pStyle w:val="BulletBeforeDash"/>
        <w:spacing w:after="120"/>
        <w:ind w:left="357" w:hanging="357"/>
      </w:pPr>
      <w:r w:rsidRPr="0019116F">
        <w:t xml:space="preserve">The </w:t>
      </w:r>
      <w:r w:rsidR="000A6DB4" w:rsidRPr="00980F60">
        <w:t>summary of decisions</w:t>
      </w:r>
      <w:r w:rsidR="00CC0C67">
        <w:t xml:space="preserve"> </w:t>
      </w:r>
      <w:r w:rsidRPr="0019116F">
        <w:t>of key immunisation technical advisory groups of interest report will be available on the </w:t>
      </w:r>
      <w:hyperlink r:id="rId16" w:history="1">
        <w:r w:rsidRPr="000A6DB4">
          <w:rPr>
            <w:rStyle w:val="Hyperlink"/>
          </w:rPr>
          <w:t>NCIRS website</w:t>
        </w:r>
      </w:hyperlink>
      <w:r w:rsidRPr="0019116F">
        <w:t>.</w:t>
      </w:r>
    </w:p>
    <w:p w14:paraId="0D8BB565" w14:textId="230BA996" w:rsidR="00A91BDD" w:rsidRPr="0019116F" w:rsidRDefault="000A6DB4" w:rsidP="00CC0C67">
      <w:pPr>
        <w:pStyle w:val="BulletBeforeDash"/>
        <w:spacing w:after="120"/>
        <w:ind w:left="357" w:hanging="357"/>
      </w:pPr>
      <w:r w:rsidRPr="00980F60">
        <w:t>Information on NITAGs</w:t>
      </w:r>
      <w:r w:rsidR="00A91BDD" w:rsidRPr="0019116F">
        <w:t xml:space="preserve"> worldwide is available on the </w:t>
      </w:r>
      <w:hyperlink r:id="rId17" w:history="1">
        <w:r w:rsidR="00A91BDD" w:rsidRPr="000A6DB4">
          <w:rPr>
            <w:rStyle w:val="Hyperlink"/>
          </w:rPr>
          <w:t>NITAG Resource Centre website</w:t>
        </w:r>
      </w:hyperlink>
      <w:r w:rsidR="00A91BDD" w:rsidRPr="0019116F">
        <w:t>.</w:t>
      </w:r>
    </w:p>
    <w:p w14:paraId="664C350D" w14:textId="0C24F7A2" w:rsidR="005F1827" w:rsidRPr="0019116F" w:rsidRDefault="00A91BDD" w:rsidP="00CC0C67">
      <w:pPr>
        <w:pStyle w:val="BulletBeforeDash"/>
        <w:spacing w:after="120"/>
        <w:ind w:left="357" w:hanging="357"/>
      </w:pPr>
      <w:r w:rsidRPr="0019116F">
        <w:t xml:space="preserve">Next ATAGI meeting: Thursday </w:t>
      </w:r>
      <w:r w:rsidR="00A123E4" w:rsidRPr="0019116F">
        <w:t>13 June</w:t>
      </w:r>
      <w:r w:rsidRPr="0019116F">
        <w:t xml:space="preserve"> to Friday </w:t>
      </w:r>
      <w:r w:rsidR="00A123E4" w:rsidRPr="0019116F">
        <w:t>14 June</w:t>
      </w:r>
      <w:r w:rsidR="002E6004" w:rsidRPr="0019116F">
        <w:t xml:space="preserve"> 2019</w:t>
      </w:r>
      <w:r w:rsidRPr="0019116F">
        <w:t xml:space="preserve">. The </w:t>
      </w:r>
      <w:hyperlink r:id="rId18" w:history="1">
        <w:r w:rsidRPr="0019116F">
          <w:rPr>
            <w:rStyle w:val="Hyperlink"/>
          </w:rPr>
          <w:t>meeting agenda</w:t>
        </w:r>
      </w:hyperlink>
      <w:r w:rsidRPr="0019116F">
        <w:t xml:space="preserve"> will be published on the </w:t>
      </w:r>
      <w:r w:rsidR="00200559" w:rsidRPr="0019116F">
        <w:t xml:space="preserve">Department of Health </w:t>
      </w:r>
      <w:r w:rsidRPr="0019116F">
        <w:t>website shortly before the meeting.</w:t>
      </w:r>
    </w:p>
    <w:sectPr w:rsidR="005F1827" w:rsidRPr="0019116F" w:rsidSect="00BB70BC">
      <w:footerReference w:type="even" r:id="rId19"/>
      <w:footerReference w:type="default" r:id="rId20"/>
      <w:footerReference w:type="first" r:id="rId21"/>
      <w:footnotePr>
        <w:numRestart w:val="eachSect"/>
      </w:footnotePr>
      <w:type w:val="oddPage"/>
      <w:pgSz w:w="11906" w:h="16838" w:code="9"/>
      <w:pgMar w:top="1440" w:right="1440" w:bottom="1440" w:left="1440" w:header="576"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34850" w16cid:durableId="205EC7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23AC" w14:textId="77777777" w:rsidR="00930CDB" w:rsidRDefault="00930CDB">
      <w:pPr>
        <w:spacing w:after="0"/>
      </w:pPr>
      <w:r>
        <w:separator/>
      </w:r>
    </w:p>
  </w:endnote>
  <w:endnote w:type="continuationSeparator" w:id="0">
    <w:p w14:paraId="0F7535F9" w14:textId="77777777" w:rsidR="00930CDB" w:rsidRDefault="00930CDB">
      <w:pPr>
        <w:spacing w:after="0"/>
      </w:pPr>
      <w:r>
        <w:continuationSeparator/>
      </w:r>
    </w:p>
  </w:endnote>
  <w:endnote w:type="continuationNotice" w:id="1">
    <w:p w14:paraId="20A762F8" w14:textId="77777777" w:rsidR="00930CDB" w:rsidRDefault="00930C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DADC" w14:textId="77777777" w:rsidR="00534671" w:rsidRDefault="00534671" w:rsidP="005346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2453DC" w14:textId="5E623E21" w:rsidR="00534671" w:rsidRDefault="00534671" w:rsidP="00AA68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CFEB" w14:textId="212A0F0D" w:rsidR="00534671" w:rsidRDefault="00534671" w:rsidP="005346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E77">
      <w:rPr>
        <w:rStyle w:val="PageNumber"/>
        <w:noProof/>
      </w:rPr>
      <w:t>2</w:t>
    </w:r>
    <w:r>
      <w:rPr>
        <w:rStyle w:val="PageNumber"/>
      </w:rPr>
      <w:fldChar w:fldCharType="end"/>
    </w:r>
  </w:p>
  <w:p w14:paraId="62C3B18F" w14:textId="77777777" w:rsidR="00534671" w:rsidRDefault="00534671" w:rsidP="00AA68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751398"/>
      <w:docPartObj>
        <w:docPartGallery w:val="Page Numbers (Bottom of Page)"/>
        <w:docPartUnique/>
      </w:docPartObj>
    </w:sdtPr>
    <w:sdtEndPr>
      <w:rPr>
        <w:noProof/>
      </w:rPr>
    </w:sdtEndPr>
    <w:sdtContent>
      <w:p w14:paraId="1A7DF607" w14:textId="77777777" w:rsidR="00534671" w:rsidRDefault="00534671" w:rsidP="005A72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A27B2" w14:textId="77777777" w:rsidR="00930CDB" w:rsidRDefault="00930CDB">
      <w:pPr>
        <w:spacing w:after="0"/>
      </w:pPr>
      <w:r>
        <w:separator/>
      </w:r>
    </w:p>
  </w:footnote>
  <w:footnote w:type="continuationSeparator" w:id="0">
    <w:p w14:paraId="70C73588" w14:textId="77777777" w:rsidR="00930CDB" w:rsidRDefault="00930CDB">
      <w:pPr>
        <w:spacing w:after="0"/>
      </w:pPr>
      <w:r>
        <w:continuationSeparator/>
      </w:r>
    </w:p>
  </w:footnote>
  <w:footnote w:type="continuationNotice" w:id="1">
    <w:p w14:paraId="11F2467E" w14:textId="77777777" w:rsidR="00930CDB" w:rsidRDefault="00930C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7393A"/>
    <w:multiLevelType w:val="multilevel"/>
    <w:tmpl w:val="5BC8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51309"/>
    <w:multiLevelType w:val="hybridMultilevel"/>
    <w:tmpl w:val="DB4C7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81FDC"/>
    <w:multiLevelType w:val="hybridMultilevel"/>
    <w:tmpl w:val="F9FC00C8"/>
    <w:lvl w:ilvl="0" w:tplc="0C090001">
      <w:start w:val="1"/>
      <w:numFmt w:val="bullet"/>
      <w:pStyle w:val="BulletBeforeDash"/>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27"/>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15"/>
  </w:num>
  <w:num w:numId="19">
    <w:abstractNumId w:val="26"/>
  </w:num>
  <w:num w:numId="20">
    <w:abstractNumId w:val="16"/>
  </w:num>
  <w:num w:numId="21">
    <w:abstractNumId w:val="26"/>
  </w:num>
  <w:num w:numId="22">
    <w:abstractNumId w:val="18"/>
  </w:num>
  <w:num w:numId="23">
    <w:abstractNumId w:val="19"/>
  </w:num>
  <w:num w:numId="24">
    <w:abstractNumId w:val="13"/>
  </w:num>
  <w:num w:numId="25">
    <w:abstractNumId w:val="17"/>
  </w:num>
  <w:num w:numId="26">
    <w:abstractNumId w:val="24"/>
  </w:num>
  <w:num w:numId="27">
    <w:abstractNumId w:val="22"/>
  </w:num>
  <w:num w:numId="28">
    <w:abstractNumId w:val="20"/>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1101" w:allStyles="1" w:customStyles="0" w:latentStyles="0" w:stylesInUse="0" w:headingStyles="0" w:numberingStyles="0" w:tableStyles="0" w:directFormattingOnRuns="1"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46"/>
    <w:rsid w:val="00001C32"/>
    <w:rsid w:val="00001F7A"/>
    <w:rsid w:val="00011734"/>
    <w:rsid w:val="00013A29"/>
    <w:rsid w:val="00016FFA"/>
    <w:rsid w:val="00032AFA"/>
    <w:rsid w:val="00046581"/>
    <w:rsid w:val="00053D9D"/>
    <w:rsid w:val="00057608"/>
    <w:rsid w:val="00073A19"/>
    <w:rsid w:val="0007619D"/>
    <w:rsid w:val="00077176"/>
    <w:rsid w:val="00080EA9"/>
    <w:rsid w:val="000820AE"/>
    <w:rsid w:val="00083947"/>
    <w:rsid w:val="00095BA1"/>
    <w:rsid w:val="000A1D52"/>
    <w:rsid w:val="000A6DB4"/>
    <w:rsid w:val="000B06D7"/>
    <w:rsid w:val="000B3BF4"/>
    <w:rsid w:val="000C10BA"/>
    <w:rsid w:val="000C41BD"/>
    <w:rsid w:val="000C4947"/>
    <w:rsid w:val="000C72A8"/>
    <w:rsid w:val="000D3CF0"/>
    <w:rsid w:val="000E5D19"/>
    <w:rsid w:val="000F1020"/>
    <w:rsid w:val="000F1F3B"/>
    <w:rsid w:val="000F63DA"/>
    <w:rsid w:val="00100909"/>
    <w:rsid w:val="00101545"/>
    <w:rsid w:val="00104E39"/>
    <w:rsid w:val="00114BAC"/>
    <w:rsid w:val="00117552"/>
    <w:rsid w:val="00117992"/>
    <w:rsid w:val="00122E21"/>
    <w:rsid w:val="0012620B"/>
    <w:rsid w:val="00131E58"/>
    <w:rsid w:val="001417DA"/>
    <w:rsid w:val="00150839"/>
    <w:rsid w:val="00155459"/>
    <w:rsid w:val="0016003B"/>
    <w:rsid w:val="001745CE"/>
    <w:rsid w:val="00177FCF"/>
    <w:rsid w:val="00183970"/>
    <w:rsid w:val="0019116F"/>
    <w:rsid w:val="00192049"/>
    <w:rsid w:val="001A412F"/>
    <w:rsid w:val="001A44D1"/>
    <w:rsid w:val="001A5B38"/>
    <w:rsid w:val="001B7C05"/>
    <w:rsid w:val="001C4E16"/>
    <w:rsid w:val="001D4D1F"/>
    <w:rsid w:val="001D4EB2"/>
    <w:rsid w:val="001D5B62"/>
    <w:rsid w:val="001D6F7D"/>
    <w:rsid w:val="001E4859"/>
    <w:rsid w:val="001E5BCD"/>
    <w:rsid w:val="001F5598"/>
    <w:rsid w:val="00200559"/>
    <w:rsid w:val="002013E4"/>
    <w:rsid w:val="0020319C"/>
    <w:rsid w:val="002078C6"/>
    <w:rsid w:val="00212BE4"/>
    <w:rsid w:val="00215F3E"/>
    <w:rsid w:val="00220364"/>
    <w:rsid w:val="002211AC"/>
    <w:rsid w:val="00223521"/>
    <w:rsid w:val="00225104"/>
    <w:rsid w:val="00227477"/>
    <w:rsid w:val="00235185"/>
    <w:rsid w:val="002429C6"/>
    <w:rsid w:val="0026101A"/>
    <w:rsid w:val="002616CB"/>
    <w:rsid w:val="00264AE1"/>
    <w:rsid w:val="00265E77"/>
    <w:rsid w:val="00267760"/>
    <w:rsid w:val="00271B40"/>
    <w:rsid w:val="00276184"/>
    <w:rsid w:val="00280152"/>
    <w:rsid w:val="00281283"/>
    <w:rsid w:val="00284611"/>
    <w:rsid w:val="00286FCD"/>
    <w:rsid w:val="0029345F"/>
    <w:rsid w:val="002951DE"/>
    <w:rsid w:val="002959DE"/>
    <w:rsid w:val="002965EF"/>
    <w:rsid w:val="002A2574"/>
    <w:rsid w:val="002B3819"/>
    <w:rsid w:val="002B3886"/>
    <w:rsid w:val="002C0D7A"/>
    <w:rsid w:val="002C19BF"/>
    <w:rsid w:val="002C3F92"/>
    <w:rsid w:val="002C506D"/>
    <w:rsid w:val="002C61F5"/>
    <w:rsid w:val="002D0313"/>
    <w:rsid w:val="002E1920"/>
    <w:rsid w:val="002E2ACD"/>
    <w:rsid w:val="002E6004"/>
    <w:rsid w:val="002E6060"/>
    <w:rsid w:val="002E6A39"/>
    <w:rsid w:val="002F394C"/>
    <w:rsid w:val="00300A30"/>
    <w:rsid w:val="0030386E"/>
    <w:rsid w:val="003048B2"/>
    <w:rsid w:val="00306423"/>
    <w:rsid w:val="0030681E"/>
    <w:rsid w:val="00307EBE"/>
    <w:rsid w:val="00311460"/>
    <w:rsid w:val="00312F7A"/>
    <w:rsid w:val="00315ACB"/>
    <w:rsid w:val="00317E28"/>
    <w:rsid w:val="00322D7D"/>
    <w:rsid w:val="003264DA"/>
    <w:rsid w:val="00327906"/>
    <w:rsid w:val="00331443"/>
    <w:rsid w:val="0033188B"/>
    <w:rsid w:val="003375F1"/>
    <w:rsid w:val="003407DC"/>
    <w:rsid w:val="0034366B"/>
    <w:rsid w:val="00346E91"/>
    <w:rsid w:val="0035073A"/>
    <w:rsid w:val="00350AED"/>
    <w:rsid w:val="00351EE5"/>
    <w:rsid w:val="00352DE1"/>
    <w:rsid w:val="00361501"/>
    <w:rsid w:val="00377B0B"/>
    <w:rsid w:val="0038007D"/>
    <w:rsid w:val="00384EAE"/>
    <w:rsid w:val="0039361E"/>
    <w:rsid w:val="003938FD"/>
    <w:rsid w:val="003A04A0"/>
    <w:rsid w:val="003A0B59"/>
    <w:rsid w:val="003B0320"/>
    <w:rsid w:val="003B0564"/>
    <w:rsid w:val="003C3FC6"/>
    <w:rsid w:val="003C74A9"/>
    <w:rsid w:val="003C7CDD"/>
    <w:rsid w:val="003D0620"/>
    <w:rsid w:val="003D390C"/>
    <w:rsid w:val="003D420B"/>
    <w:rsid w:val="003E3DE6"/>
    <w:rsid w:val="003F6FF6"/>
    <w:rsid w:val="00400145"/>
    <w:rsid w:val="0040482D"/>
    <w:rsid w:val="00412D79"/>
    <w:rsid w:val="00413D78"/>
    <w:rsid w:val="00413FF4"/>
    <w:rsid w:val="0041490A"/>
    <w:rsid w:val="00422EF0"/>
    <w:rsid w:val="00430678"/>
    <w:rsid w:val="00431C86"/>
    <w:rsid w:val="0043274A"/>
    <w:rsid w:val="0043369F"/>
    <w:rsid w:val="00437989"/>
    <w:rsid w:val="0044143B"/>
    <w:rsid w:val="004521BE"/>
    <w:rsid w:val="00453A25"/>
    <w:rsid w:val="00453C5A"/>
    <w:rsid w:val="0045442B"/>
    <w:rsid w:val="00462030"/>
    <w:rsid w:val="004677F4"/>
    <w:rsid w:val="00473A3F"/>
    <w:rsid w:val="004763C1"/>
    <w:rsid w:val="0047782A"/>
    <w:rsid w:val="004822BC"/>
    <w:rsid w:val="0048295D"/>
    <w:rsid w:val="0048440C"/>
    <w:rsid w:val="00485FA4"/>
    <w:rsid w:val="0048672F"/>
    <w:rsid w:val="0048716B"/>
    <w:rsid w:val="004900B9"/>
    <w:rsid w:val="004957C3"/>
    <w:rsid w:val="00497D20"/>
    <w:rsid w:val="004A5E88"/>
    <w:rsid w:val="004B1E09"/>
    <w:rsid w:val="004B4A46"/>
    <w:rsid w:val="004C662E"/>
    <w:rsid w:val="004C739D"/>
    <w:rsid w:val="004D1BFC"/>
    <w:rsid w:val="004D4B62"/>
    <w:rsid w:val="004D79BE"/>
    <w:rsid w:val="004E3652"/>
    <w:rsid w:val="004F407F"/>
    <w:rsid w:val="005051A6"/>
    <w:rsid w:val="00505CA2"/>
    <w:rsid w:val="00506298"/>
    <w:rsid w:val="005114D3"/>
    <w:rsid w:val="00511AA2"/>
    <w:rsid w:val="00517EEE"/>
    <w:rsid w:val="00526385"/>
    <w:rsid w:val="00527909"/>
    <w:rsid w:val="0053029A"/>
    <w:rsid w:val="00534671"/>
    <w:rsid w:val="0053636B"/>
    <w:rsid w:val="0055037C"/>
    <w:rsid w:val="005529A9"/>
    <w:rsid w:val="0056601D"/>
    <w:rsid w:val="00567063"/>
    <w:rsid w:val="00575BBB"/>
    <w:rsid w:val="00576CCC"/>
    <w:rsid w:val="0058269D"/>
    <w:rsid w:val="00582B6A"/>
    <w:rsid w:val="00584A10"/>
    <w:rsid w:val="00585B4F"/>
    <w:rsid w:val="00587AB1"/>
    <w:rsid w:val="00591039"/>
    <w:rsid w:val="005945D9"/>
    <w:rsid w:val="005A03FB"/>
    <w:rsid w:val="005A3244"/>
    <w:rsid w:val="005A4F56"/>
    <w:rsid w:val="005A72C4"/>
    <w:rsid w:val="005B1062"/>
    <w:rsid w:val="005B2349"/>
    <w:rsid w:val="005C65DE"/>
    <w:rsid w:val="005C7EC4"/>
    <w:rsid w:val="005D144C"/>
    <w:rsid w:val="005E013D"/>
    <w:rsid w:val="005E04DB"/>
    <w:rsid w:val="005F1827"/>
    <w:rsid w:val="005F36B0"/>
    <w:rsid w:val="00600CB3"/>
    <w:rsid w:val="00600D70"/>
    <w:rsid w:val="00604091"/>
    <w:rsid w:val="00604DF5"/>
    <w:rsid w:val="0060565C"/>
    <w:rsid w:val="00613CC8"/>
    <w:rsid w:val="006241A9"/>
    <w:rsid w:val="00625EE6"/>
    <w:rsid w:val="00630EC3"/>
    <w:rsid w:val="006336AA"/>
    <w:rsid w:val="00647448"/>
    <w:rsid w:val="006503BB"/>
    <w:rsid w:val="006520AF"/>
    <w:rsid w:val="00654935"/>
    <w:rsid w:val="00656EBA"/>
    <w:rsid w:val="00657121"/>
    <w:rsid w:val="0065780B"/>
    <w:rsid w:val="00663C17"/>
    <w:rsid w:val="00664BCA"/>
    <w:rsid w:val="00670791"/>
    <w:rsid w:val="006830AC"/>
    <w:rsid w:val="006924B7"/>
    <w:rsid w:val="006928ED"/>
    <w:rsid w:val="00692B58"/>
    <w:rsid w:val="00697DA7"/>
    <w:rsid w:val="006A120B"/>
    <w:rsid w:val="006A3A42"/>
    <w:rsid w:val="006A6710"/>
    <w:rsid w:val="006A6BDE"/>
    <w:rsid w:val="006B4086"/>
    <w:rsid w:val="006C5EF8"/>
    <w:rsid w:val="006C62B2"/>
    <w:rsid w:val="006D472F"/>
    <w:rsid w:val="006D49ED"/>
    <w:rsid w:val="006D5C15"/>
    <w:rsid w:val="006E7216"/>
    <w:rsid w:val="006F3E72"/>
    <w:rsid w:val="006F5743"/>
    <w:rsid w:val="006F69BB"/>
    <w:rsid w:val="006F7F1C"/>
    <w:rsid w:val="00704FE3"/>
    <w:rsid w:val="007050F4"/>
    <w:rsid w:val="00705602"/>
    <w:rsid w:val="00706E21"/>
    <w:rsid w:val="00710FA9"/>
    <w:rsid w:val="007112F3"/>
    <w:rsid w:val="00714BF3"/>
    <w:rsid w:val="007200B2"/>
    <w:rsid w:val="00721310"/>
    <w:rsid w:val="007216E7"/>
    <w:rsid w:val="007251B6"/>
    <w:rsid w:val="00725DC4"/>
    <w:rsid w:val="00736D93"/>
    <w:rsid w:val="0074185D"/>
    <w:rsid w:val="007441FC"/>
    <w:rsid w:val="0075078C"/>
    <w:rsid w:val="007532F6"/>
    <w:rsid w:val="00753F74"/>
    <w:rsid w:val="00754506"/>
    <w:rsid w:val="00770969"/>
    <w:rsid w:val="00772D67"/>
    <w:rsid w:val="00773806"/>
    <w:rsid w:val="007754ED"/>
    <w:rsid w:val="0077699C"/>
    <w:rsid w:val="00780495"/>
    <w:rsid w:val="00792907"/>
    <w:rsid w:val="00793655"/>
    <w:rsid w:val="00793721"/>
    <w:rsid w:val="007A053A"/>
    <w:rsid w:val="007B0709"/>
    <w:rsid w:val="007B0968"/>
    <w:rsid w:val="007B14AC"/>
    <w:rsid w:val="007B28DD"/>
    <w:rsid w:val="007B4E8B"/>
    <w:rsid w:val="007B6376"/>
    <w:rsid w:val="007C1D1B"/>
    <w:rsid w:val="007C3B62"/>
    <w:rsid w:val="007C6088"/>
    <w:rsid w:val="007C7245"/>
    <w:rsid w:val="007D4D9A"/>
    <w:rsid w:val="007E77CC"/>
    <w:rsid w:val="007F364E"/>
    <w:rsid w:val="007F4FCE"/>
    <w:rsid w:val="007F4FE9"/>
    <w:rsid w:val="0080415A"/>
    <w:rsid w:val="008121F8"/>
    <w:rsid w:val="00827FD5"/>
    <w:rsid w:val="008316BC"/>
    <w:rsid w:val="0084247E"/>
    <w:rsid w:val="00845752"/>
    <w:rsid w:val="00851934"/>
    <w:rsid w:val="00854A47"/>
    <w:rsid w:val="008609EF"/>
    <w:rsid w:val="008719CA"/>
    <w:rsid w:val="0087490C"/>
    <w:rsid w:val="0088030E"/>
    <w:rsid w:val="008957AC"/>
    <w:rsid w:val="008A24D7"/>
    <w:rsid w:val="008A5F1B"/>
    <w:rsid w:val="008B2A1B"/>
    <w:rsid w:val="008B47C9"/>
    <w:rsid w:val="008B7077"/>
    <w:rsid w:val="008B7F09"/>
    <w:rsid w:val="008C716C"/>
    <w:rsid w:val="008D09FB"/>
    <w:rsid w:val="008D2E67"/>
    <w:rsid w:val="008D32BA"/>
    <w:rsid w:val="008D5825"/>
    <w:rsid w:val="008E1DAB"/>
    <w:rsid w:val="008E563E"/>
    <w:rsid w:val="008F036B"/>
    <w:rsid w:val="008F3AA8"/>
    <w:rsid w:val="008F515B"/>
    <w:rsid w:val="009105FD"/>
    <w:rsid w:val="009158D7"/>
    <w:rsid w:val="0091620E"/>
    <w:rsid w:val="00930679"/>
    <w:rsid w:val="00930CDB"/>
    <w:rsid w:val="0093158D"/>
    <w:rsid w:val="009326EB"/>
    <w:rsid w:val="00932C6D"/>
    <w:rsid w:val="00935818"/>
    <w:rsid w:val="009358B1"/>
    <w:rsid w:val="00936344"/>
    <w:rsid w:val="0093797E"/>
    <w:rsid w:val="00945E3D"/>
    <w:rsid w:val="00950427"/>
    <w:rsid w:val="009506D0"/>
    <w:rsid w:val="00950E0F"/>
    <w:rsid w:val="00955E79"/>
    <w:rsid w:val="0096081E"/>
    <w:rsid w:val="00961243"/>
    <w:rsid w:val="00971227"/>
    <w:rsid w:val="009746DD"/>
    <w:rsid w:val="00976D59"/>
    <w:rsid w:val="00980B5A"/>
    <w:rsid w:val="00980F60"/>
    <w:rsid w:val="00982A0A"/>
    <w:rsid w:val="009878C1"/>
    <w:rsid w:val="009A25AB"/>
    <w:rsid w:val="009A7D29"/>
    <w:rsid w:val="009B2374"/>
    <w:rsid w:val="009B5CD3"/>
    <w:rsid w:val="009B7E77"/>
    <w:rsid w:val="009C3446"/>
    <w:rsid w:val="009C3DC2"/>
    <w:rsid w:val="009C7BA5"/>
    <w:rsid w:val="009D2B03"/>
    <w:rsid w:val="009D4420"/>
    <w:rsid w:val="009E3B68"/>
    <w:rsid w:val="009F3839"/>
    <w:rsid w:val="009F3AA0"/>
    <w:rsid w:val="00A04C26"/>
    <w:rsid w:val="00A123E4"/>
    <w:rsid w:val="00A145FE"/>
    <w:rsid w:val="00A17DF5"/>
    <w:rsid w:val="00A268F2"/>
    <w:rsid w:val="00A27044"/>
    <w:rsid w:val="00A27BB4"/>
    <w:rsid w:val="00A4019C"/>
    <w:rsid w:val="00A43FCF"/>
    <w:rsid w:val="00A4455E"/>
    <w:rsid w:val="00A45AC6"/>
    <w:rsid w:val="00A500D4"/>
    <w:rsid w:val="00A53057"/>
    <w:rsid w:val="00A536D0"/>
    <w:rsid w:val="00A55951"/>
    <w:rsid w:val="00A564A7"/>
    <w:rsid w:val="00A579F4"/>
    <w:rsid w:val="00A621E0"/>
    <w:rsid w:val="00A65C61"/>
    <w:rsid w:val="00A7719F"/>
    <w:rsid w:val="00A803C6"/>
    <w:rsid w:val="00A91BDD"/>
    <w:rsid w:val="00A9331B"/>
    <w:rsid w:val="00A939B6"/>
    <w:rsid w:val="00A97ED4"/>
    <w:rsid w:val="00AA2D41"/>
    <w:rsid w:val="00AA44A5"/>
    <w:rsid w:val="00AA50A5"/>
    <w:rsid w:val="00AA6868"/>
    <w:rsid w:val="00AB1DE8"/>
    <w:rsid w:val="00AB62BD"/>
    <w:rsid w:val="00AC5B91"/>
    <w:rsid w:val="00AD043A"/>
    <w:rsid w:val="00AD0CD0"/>
    <w:rsid w:val="00AD0FF1"/>
    <w:rsid w:val="00AD5C74"/>
    <w:rsid w:val="00AE04CF"/>
    <w:rsid w:val="00AE21C1"/>
    <w:rsid w:val="00AF1D78"/>
    <w:rsid w:val="00AF3305"/>
    <w:rsid w:val="00AF5AFA"/>
    <w:rsid w:val="00B03368"/>
    <w:rsid w:val="00B0544E"/>
    <w:rsid w:val="00B138E8"/>
    <w:rsid w:val="00B1647E"/>
    <w:rsid w:val="00B16951"/>
    <w:rsid w:val="00B20A7F"/>
    <w:rsid w:val="00B2246D"/>
    <w:rsid w:val="00B30DD6"/>
    <w:rsid w:val="00B317D9"/>
    <w:rsid w:val="00B34E54"/>
    <w:rsid w:val="00B34EA8"/>
    <w:rsid w:val="00B3560B"/>
    <w:rsid w:val="00B45A27"/>
    <w:rsid w:val="00B46B82"/>
    <w:rsid w:val="00B50D30"/>
    <w:rsid w:val="00B53C7B"/>
    <w:rsid w:val="00B55F41"/>
    <w:rsid w:val="00B64994"/>
    <w:rsid w:val="00B7037D"/>
    <w:rsid w:val="00B72232"/>
    <w:rsid w:val="00B743B7"/>
    <w:rsid w:val="00B75555"/>
    <w:rsid w:val="00B859E2"/>
    <w:rsid w:val="00BA4E76"/>
    <w:rsid w:val="00BA5E96"/>
    <w:rsid w:val="00BA7CAC"/>
    <w:rsid w:val="00BB1574"/>
    <w:rsid w:val="00BB5800"/>
    <w:rsid w:val="00BB70BC"/>
    <w:rsid w:val="00BC257B"/>
    <w:rsid w:val="00BC4D56"/>
    <w:rsid w:val="00BC53CB"/>
    <w:rsid w:val="00BD346C"/>
    <w:rsid w:val="00BE1BDF"/>
    <w:rsid w:val="00BE29D4"/>
    <w:rsid w:val="00BF094E"/>
    <w:rsid w:val="00BF3753"/>
    <w:rsid w:val="00C049B6"/>
    <w:rsid w:val="00C0665D"/>
    <w:rsid w:val="00C12B1E"/>
    <w:rsid w:val="00C14A86"/>
    <w:rsid w:val="00C16645"/>
    <w:rsid w:val="00C217C2"/>
    <w:rsid w:val="00C25484"/>
    <w:rsid w:val="00C34CD2"/>
    <w:rsid w:val="00C359D4"/>
    <w:rsid w:val="00C379AC"/>
    <w:rsid w:val="00C45BAC"/>
    <w:rsid w:val="00C45C28"/>
    <w:rsid w:val="00C54EDA"/>
    <w:rsid w:val="00C56736"/>
    <w:rsid w:val="00C63124"/>
    <w:rsid w:val="00C6368E"/>
    <w:rsid w:val="00C65336"/>
    <w:rsid w:val="00C679A3"/>
    <w:rsid w:val="00C736E5"/>
    <w:rsid w:val="00C75DE5"/>
    <w:rsid w:val="00C823C1"/>
    <w:rsid w:val="00C831DF"/>
    <w:rsid w:val="00C843C1"/>
    <w:rsid w:val="00C86FDA"/>
    <w:rsid w:val="00C90100"/>
    <w:rsid w:val="00C91503"/>
    <w:rsid w:val="00C92341"/>
    <w:rsid w:val="00C9562E"/>
    <w:rsid w:val="00CA15C8"/>
    <w:rsid w:val="00CA2CFB"/>
    <w:rsid w:val="00CA3C29"/>
    <w:rsid w:val="00CA6FC5"/>
    <w:rsid w:val="00CB2308"/>
    <w:rsid w:val="00CC0C67"/>
    <w:rsid w:val="00CD4E02"/>
    <w:rsid w:val="00CE1DD8"/>
    <w:rsid w:val="00CE5F5B"/>
    <w:rsid w:val="00CF0EFA"/>
    <w:rsid w:val="00CF4C32"/>
    <w:rsid w:val="00CF4F64"/>
    <w:rsid w:val="00CF6C64"/>
    <w:rsid w:val="00CF7DEB"/>
    <w:rsid w:val="00D00A24"/>
    <w:rsid w:val="00D01B8C"/>
    <w:rsid w:val="00D04FBA"/>
    <w:rsid w:val="00D138AE"/>
    <w:rsid w:val="00D1760A"/>
    <w:rsid w:val="00D20FD9"/>
    <w:rsid w:val="00D23734"/>
    <w:rsid w:val="00D316A9"/>
    <w:rsid w:val="00D46D80"/>
    <w:rsid w:val="00D55CBF"/>
    <w:rsid w:val="00D5608C"/>
    <w:rsid w:val="00D625B9"/>
    <w:rsid w:val="00D6355C"/>
    <w:rsid w:val="00D664D6"/>
    <w:rsid w:val="00D731E1"/>
    <w:rsid w:val="00D76898"/>
    <w:rsid w:val="00D85147"/>
    <w:rsid w:val="00D93471"/>
    <w:rsid w:val="00D96F7C"/>
    <w:rsid w:val="00DB23FD"/>
    <w:rsid w:val="00DB404C"/>
    <w:rsid w:val="00DB672C"/>
    <w:rsid w:val="00DC122C"/>
    <w:rsid w:val="00DC3976"/>
    <w:rsid w:val="00DC65CA"/>
    <w:rsid w:val="00DE00E1"/>
    <w:rsid w:val="00DE03A4"/>
    <w:rsid w:val="00DE195A"/>
    <w:rsid w:val="00DE3FBF"/>
    <w:rsid w:val="00DF56DD"/>
    <w:rsid w:val="00E02652"/>
    <w:rsid w:val="00E0453A"/>
    <w:rsid w:val="00E06811"/>
    <w:rsid w:val="00E06C40"/>
    <w:rsid w:val="00E23145"/>
    <w:rsid w:val="00E31DDC"/>
    <w:rsid w:val="00E35DF1"/>
    <w:rsid w:val="00E414CD"/>
    <w:rsid w:val="00E437BF"/>
    <w:rsid w:val="00E50CBE"/>
    <w:rsid w:val="00E61CC5"/>
    <w:rsid w:val="00E66D1E"/>
    <w:rsid w:val="00E71414"/>
    <w:rsid w:val="00E72BCF"/>
    <w:rsid w:val="00E85DD3"/>
    <w:rsid w:val="00E914CA"/>
    <w:rsid w:val="00EA522B"/>
    <w:rsid w:val="00EA76F8"/>
    <w:rsid w:val="00EB212D"/>
    <w:rsid w:val="00EE7B06"/>
    <w:rsid w:val="00EF4B9B"/>
    <w:rsid w:val="00F22754"/>
    <w:rsid w:val="00F437D7"/>
    <w:rsid w:val="00F458F5"/>
    <w:rsid w:val="00F71394"/>
    <w:rsid w:val="00F71BDD"/>
    <w:rsid w:val="00F75DCD"/>
    <w:rsid w:val="00F773D7"/>
    <w:rsid w:val="00F84C28"/>
    <w:rsid w:val="00F87431"/>
    <w:rsid w:val="00F87F79"/>
    <w:rsid w:val="00F91148"/>
    <w:rsid w:val="00F9550C"/>
    <w:rsid w:val="00F97DA5"/>
    <w:rsid w:val="00FA31C4"/>
    <w:rsid w:val="00FA3FC3"/>
    <w:rsid w:val="00FA5DE1"/>
    <w:rsid w:val="00FA62FC"/>
    <w:rsid w:val="00FB1AC2"/>
    <w:rsid w:val="00FB2918"/>
    <w:rsid w:val="00FB798A"/>
    <w:rsid w:val="00FC4932"/>
    <w:rsid w:val="00FC4D99"/>
    <w:rsid w:val="00FD03E1"/>
    <w:rsid w:val="00FD2FAD"/>
    <w:rsid w:val="00FD3C7A"/>
    <w:rsid w:val="00FD491C"/>
    <w:rsid w:val="00FD6235"/>
    <w:rsid w:val="00FE2C92"/>
    <w:rsid w:val="00FF0085"/>
    <w:rsid w:val="00FF1ED8"/>
    <w:rsid w:val="0CA2C6BD"/>
    <w:rsid w:val="1CAA8FA9"/>
    <w:rsid w:val="1CE9C7B5"/>
    <w:rsid w:val="2A8CCF93"/>
    <w:rsid w:val="33C23513"/>
    <w:rsid w:val="367B6ADE"/>
    <w:rsid w:val="3A78B780"/>
    <w:rsid w:val="4C4F7472"/>
    <w:rsid w:val="4CD9F9C8"/>
    <w:rsid w:val="534E9160"/>
    <w:rsid w:val="53B4AE90"/>
    <w:rsid w:val="5C46E96E"/>
    <w:rsid w:val="6193CEAC"/>
    <w:rsid w:val="6D8ADDAD"/>
    <w:rsid w:val="6E597D01"/>
    <w:rsid w:val="6FD60D9A"/>
    <w:rsid w:val="7249AE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C8983"/>
  <w15:docId w15:val="{A727B8C7-8FDE-43DB-8269-264F3DA4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BE"/>
    <w:pPr>
      <w:spacing w:after="240"/>
    </w:pPr>
    <w:rPr>
      <w:color w:val="000000"/>
      <w:sz w:val="24"/>
    </w:rPr>
  </w:style>
  <w:style w:type="paragraph" w:styleId="Heading1">
    <w:name w:val="heading 1"/>
    <w:basedOn w:val="Normal"/>
    <w:next w:val="Normal"/>
    <w:qFormat/>
    <w:rsid w:val="00F75DCD"/>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0C10BA"/>
    <w:pPr>
      <w:numPr>
        <w:ilvl w:val="1"/>
      </w:numPr>
      <w:jc w:val="center"/>
    </w:pPr>
    <w:rPr>
      <w:rFonts w:ascii="Times New Roman Bold" w:eastAsiaTheme="majorEastAsia" w:hAnsi="Times New Roman Bold" w:cstheme="majorBidi"/>
      <w:b/>
      <w:iCs/>
      <w:color w:val="auto"/>
      <w:sz w:val="40"/>
      <w:szCs w:val="24"/>
    </w:rPr>
  </w:style>
  <w:style w:type="paragraph" w:customStyle="1" w:styleId="PullQuote">
    <w:name w:val="PullQuote"/>
    <w:basedOn w:val="Normal"/>
    <w:next w:val="Normal"/>
    <w:rsid w:val="000C10BA"/>
    <w:rPr>
      <w:rFonts w:ascii="Times New Roman Bold" w:hAnsi="Times New Roman Bold"/>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D20FD9"/>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0C10BA"/>
    <w:pPr>
      <w:spacing w:after="300"/>
      <w:contextualSpacing/>
      <w:jc w:val="center"/>
    </w:pPr>
    <w:rPr>
      <w:rFonts w:ascii="Times New Roman Bold" w:eastAsiaTheme="majorEastAsia" w:hAnsi="Times New Roman Bold" w:cstheme="majorBidi"/>
      <w:b/>
      <w:color w:val="auto"/>
      <w:spacing w:val="5"/>
      <w:kern w:val="28"/>
      <w:sz w:val="48"/>
      <w:szCs w:val="52"/>
    </w:rPr>
  </w:style>
  <w:style w:type="character" w:customStyle="1" w:styleId="TitleChar">
    <w:name w:val="Title Char"/>
    <w:basedOn w:val="DefaultParagraphFont"/>
    <w:link w:val="Title"/>
    <w:uiPriority w:val="10"/>
    <w:rsid w:val="000C10BA"/>
    <w:rPr>
      <w:rFonts w:ascii="Times New Roman Bold" w:eastAsiaTheme="majorEastAsia" w:hAnsi="Times New Roman Bold" w:cstheme="majorBidi"/>
      <w:b/>
      <w:spacing w:val="5"/>
      <w:kern w:val="28"/>
      <w:sz w:val="48"/>
      <w:szCs w:val="52"/>
    </w:rPr>
  </w:style>
  <w:style w:type="character" w:customStyle="1" w:styleId="SubtitleChar">
    <w:name w:val="Subtitle Char"/>
    <w:basedOn w:val="DefaultParagraphFont"/>
    <w:link w:val="Subtitle"/>
    <w:uiPriority w:val="11"/>
    <w:rsid w:val="000C10BA"/>
    <w:rPr>
      <w:rFonts w:ascii="Times New Roman Bold" w:eastAsiaTheme="majorEastAsia" w:hAnsi="Times New Roman Bold"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312F7A"/>
    <w:pPr>
      <w:numPr>
        <w:numId w:val="28"/>
      </w:numPr>
      <w:ind w:left="357" w:hanging="357"/>
    </w:pPr>
  </w:style>
  <w:style w:type="character" w:customStyle="1" w:styleId="StrongEmphasis">
    <w:name w:val="StrongEmphasis"/>
    <w:basedOn w:val="DefaultParagraphFont"/>
    <w:rsid w:val="005E04DB"/>
    <w:rPr>
      <w:b/>
      <w:bCs/>
      <w:i/>
      <w:iCs/>
    </w:rPr>
  </w:style>
  <w:style w:type="character" w:styleId="Hyperlink">
    <w:name w:val="Hyperlink"/>
    <w:basedOn w:val="DefaultParagraphFont"/>
    <w:uiPriority w:val="99"/>
    <w:unhideWhenUsed/>
    <w:rsid w:val="006A6BDE"/>
    <w:rPr>
      <w:color w:val="0000FF" w:themeColor="hyperlink"/>
      <w:u w:val="single"/>
    </w:rPr>
  </w:style>
  <w:style w:type="character" w:styleId="CommentReference">
    <w:name w:val="annotation reference"/>
    <w:uiPriority w:val="99"/>
    <w:semiHidden/>
    <w:rsid w:val="00A91BDD"/>
    <w:rPr>
      <w:rFonts w:cs="Times New Roman"/>
      <w:sz w:val="16"/>
      <w:szCs w:val="16"/>
    </w:rPr>
  </w:style>
  <w:style w:type="paragraph" w:styleId="CommentText">
    <w:name w:val="annotation text"/>
    <w:basedOn w:val="Normal"/>
    <w:link w:val="CommentTextChar"/>
    <w:uiPriority w:val="99"/>
    <w:unhideWhenUsed/>
    <w:rsid w:val="00A91BDD"/>
    <w:pPr>
      <w:ind w:left="720"/>
    </w:pPr>
    <w:rPr>
      <w:sz w:val="20"/>
    </w:rPr>
  </w:style>
  <w:style w:type="character" w:customStyle="1" w:styleId="CommentTextChar">
    <w:name w:val="Comment Text Char"/>
    <w:basedOn w:val="DefaultParagraphFont"/>
    <w:link w:val="CommentText"/>
    <w:uiPriority w:val="99"/>
    <w:rsid w:val="00A91BDD"/>
    <w:rPr>
      <w:color w:val="000000"/>
    </w:rPr>
  </w:style>
  <w:style w:type="paragraph" w:styleId="CommentSubject">
    <w:name w:val="annotation subject"/>
    <w:basedOn w:val="CommentText"/>
    <w:next w:val="CommentText"/>
    <w:link w:val="CommentSubjectChar"/>
    <w:uiPriority w:val="99"/>
    <w:semiHidden/>
    <w:unhideWhenUsed/>
    <w:rsid w:val="0093797E"/>
    <w:pPr>
      <w:ind w:left="0"/>
    </w:pPr>
    <w:rPr>
      <w:b/>
      <w:bCs/>
    </w:rPr>
  </w:style>
  <w:style w:type="character" w:customStyle="1" w:styleId="CommentSubjectChar">
    <w:name w:val="Comment Subject Char"/>
    <w:basedOn w:val="CommentTextChar"/>
    <w:link w:val="CommentSubject"/>
    <w:uiPriority w:val="99"/>
    <w:semiHidden/>
    <w:rsid w:val="0093797E"/>
    <w:rPr>
      <w:b/>
      <w:bCs/>
      <w:color w:val="000000"/>
    </w:rPr>
  </w:style>
  <w:style w:type="paragraph" w:styleId="Revision">
    <w:name w:val="Revision"/>
    <w:hidden/>
    <w:uiPriority w:val="99"/>
    <w:semiHidden/>
    <w:rsid w:val="0093797E"/>
    <w:rPr>
      <w:color w:val="000000"/>
      <w:sz w:val="24"/>
    </w:rPr>
  </w:style>
  <w:style w:type="paragraph" w:styleId="DocumentMap">
    <w:name w:val="Document Map"/>
    <w:basedOn w:val="Normal"/>
    <w:link w:val="DocumentMapChar"/>
    <w:uiPriority w:val="99"/>
    <w:semiHidden/>
    <w:unhideWhenUsed/>
    <w:rsid w:val="00192049"/>
    <w:pPr>
      <w:spacing w:after="0"/>
    </w:pPr>
    <w:rPr>
      <w:szCs w:val="24"/>
    </w:rPr>
  </w:style>
  <w:style w:type="character" w:customStyle="1" w:styleId="DocumentMapChar">
    <w:name w:val="Document Map Char"/>
    <w:basedOn w:val="DefaultParagraphFont"/>
    <w:link w:val="DocumentMap"/>
    <w:uiPriority w:val="99"/>
    <w:semiHidden/>
    <w:rsid w:val="00192049"/>
    <w:rPr>
      <w:color w:val="000000"/>
      <w:sz w:val="24"/>
      <w:szCs w:val="24"/>
    </w:rPr>
  </w:style>
  <w:style w:type="paragraph" w:customStyle="1" w:styleId="Default">
    <w:name w:val="Default"/>
    <w:basedOn w:val="Normal"/>
    <w:rsid w:val="004521BE"/>
    <w:pPr>
      <w:autoSpaceDE w:val="0"/>
      <w:autoSpaceDN w:val="0"/>
      <w:spacing w:after="0"/>
    </w:pPr>
    <w:rPr>
      <w:rFonts w:ascii="Calibri" w:eastAsiaTheme="minorHAnsi" w:hAnsi="Calibri"/>
      <w:szCs w:val="24"/>
    </w:rPr>
  </w:style>
  <w:style w:type="character" w:styleId="FollowedHyperlink">
    <w:name w:val="FollowedHyperlink"/>
    <w:basedOn w:val="DefaultParagraphFont"/>
    <w:uiPriority w:val="99"/>
    <w:semiHidden/>
    <w:unhideWhenUsed/>
    <w:rsid w:val="0047782A"/>
    <w:rPr>
      <w:color w:val="800080" w:themeColor="followedHyperlink"/>
      <w:u w:val="single"/>
    </w:rPr>
  </w:style>
  <w:style w:type="character" w:customStyle="1" w:styleId="Heading3Char">
    <w:name w:val="Heading 3 Char"/>
    <w:basedOn w:val="DefaultParagraphFont"/>
    <w:link w:val="Heading3"/>
    <w:rsid w:val="002E6A39"/>
    <w:rPr>
      <w:rFonts w:cs="Arial"/>
      <w:b/>
      <w:bCs/>
      <w:color w:val="000000"/>
      <w:sz w:val="24"/>
      <w:szCs w:val="26"/>
    </w:rPr>
  </w:style>
  <w:style w:type="character" w:customStyle="1" w:styleId="UnresolvedMention1">
    <w:name w:val="Unresolved Mention1"/>
    <w:basedOn w:val="DefaultParagraphFont"/>
    <w:uiPriority w:val="99"/>
    <w:rsid w:val="001745CE"/>
    <w:rPr>
      <w:color w:val="605E5C"/>
      <w:shd w:val="clear" w:color="auto" w:fill="E1DFDD"/>
    </w:rPr>
  </w:style>
  <w:style w:type="character" w:customStyle="1" w:styleId="UnresolvedMention2">
    <w:name w:val="Unresolved Mention2"/>
    <w:basedOn w:val="DefaultParagraphFont"/>
    <w:uiPriority w:val="99"/>
    <w:semiHidden/>
    <w:unhideWhenUsed/>
    <w:rsid w:val="00117552"/>
    <w:rPr>
      <w:color w:val="605E5C"/>
      <w:shd w:val="clear" w:color="auto" w:fill="E1DFDD"/>
    </w:rPr>
  </w:style>
  <w:style w:type="character" w:customStyle="1" w:styleId="UnresolvedMention">
    <w:name w:val="Unresolved Mention"/>
    <w:basedOn w:val="DefaultParagraphFont"/>
    <w:uiPriority w:val="99"/>
    <w:semiHidden/>
    <w:unhideWhenUsed/>
    <w:rsid w:val="000A6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698">
      <w:bodyDiv w:val="1"/>
      <w:marLeft w:val="0"/>
      <w:marRight w:val="0"/>
      <w:marTop w:val="0"/>
      <w:marBottom w:val="0"/>
      <w:divBdr>
        <w:top w:val="none" w:sz="0" w:space="0" w:color="auto"/>
        <w:left w:val="none" w:sz="0" w:space="0" w:color="auto"/>
        <w:bottom w:val="none" w:sz="0" w:space="0" w:color="auto"/>
        <w:right w:val="none" w:sz="0" w:space="0" w:color="auto"/>
      </w:divBdr>
    </w:div>
    <w:div w:id="213126572">
      <w:bodyDiv w:val="1"/>
      <w:marLeft w:val="0"/>
      <w:marRight w:val="0"/>
      <w:marTop w:val="0"/>
      <w:marBottom w:val="0"/>
      <w:divBdr>
        <w:top w:val="none" w:sz="0" w:space="0" w:color="auto"/>
        <w:left w:val="none" w:sz="0" w:space="0" w:color="auto"/>
        <w:bottom w:val="none" w:sz="0" w:space="0" w:color="auto"/>
        <w:right w:val="none" w:sz="0" w:space="0" w:color="auto"/>
      </w:divBdr>
    </w:div>
    <w:div w:id="312636557">
      <w:bodyDiv w:val="1"/>
      <w:marLeft w:val="0"/>
      <w:marRight w:val="0"/>
      <w:marTop w:val="0"/>
      <w:marBottom w:val="0"/>
      <w:divBdr>
        <w:top w:val="none" w:sz="0" w:space="0" w:color="auto"/>
        <w:left w:val="none" w:sz="0" w:space="0" w:color="auto"/>
        <w:bottom w:val="none" w:sz="0" w:space="0" w:color="auto"/>
        <w:right w:val="none" w:sz="0" w:space="0" w:color="auto"/>
      </w:divBdr>
    </w:div>
    <w:div w:id="468328288">
      <w:bodyDiv w:val="1"/>
      <w:marLeft w:val="0"/>
      <w:marRight w:val="0"/>
      <w:marTop w:val="0"/>
      <w:marBottom w:val="0"/>
      <w:divBdr>
        <w:top w:val="none" w:sz="0" w:space="0" w:color="auto"/>
        <w:left w:val="none" w:sz="0" w:space="0" w:color="auto"/>
        <w:bottom w:val="none" w:sz="0" w:space="0" w:color="auto"/>
        <w:right w:val="none" w:sz="0" w:space="0" w:color="auto"/>
      </w:divBdr>
    </w:div>
    <w:div w:id="493494980">
      <w:bodyDiv w:val="1"/>
      <w:marLeft w:val="0"/>
      <w:marRight w:val="0"/>
      <w:marTop w:val="0"/>
      <w:marBottom w:val="0"/>
      <w:divBdr>
        <w:top w:val="none" w:sz="0" w:space="0" w:color="auto"/>
        <w:left w:val="none" w:sz="0" w:space="0" w:color="auto"/>
        <w:bottom w:val="none" w:sz="0" w:space="0" w:color="auto"/>
        <w:right w:val="none" w:sz="0" w:space="0" w:color="auto"/>
      </w:divBdr>
    </w:div>
    <w:div w:id="531378915">
      <w:bodyDiv w:val="1"/>
      <w:marLeft w:val="0"/>
      <w:marRight w:val="0"/>
      <w:marTop w:val="0"/>
      <w:marBottom w:val="0"/>
      <w:divBdr>
        <w:top w:val="none" w:sz="0" w:space="0" w:color="auto"/>
        <w:left w:val="none" w:sz="0" w:space="0" w:color="auto"/>
        <w:bottom w:val="none" w:sz="0" w:space="0" w:color="auto"/>
        <w:right w:val="none" w:sz="0" w:space="0" w:color="auto"/>
      </w:divBdr>
    </w:div>
    <w:div w:id="740056163">
      <w:bodyDiv w:val="1"/>
      <w:marLeft w:val="0"/>
      <w:marRight w:val="0"/>
      <w:marTop w:val="0"/>
      <w:marBottom w:val="0"/>
      <w:divBdr>
        <w:top w:val="none" w:sz="0" w:space="0" w:color="auto"/>
        <w:left w:val="none" w:sz="0" w:space="0" w:color="auto"/>
        <w:bottom w:val="none" w:sz="0" w:space="0" w:color="auto"/>
        <w:right w:val="none" w:sz="0" w:space="0" w:color="auto"/>
      </w:divBdr>
    </w:div>
    <w:div w:id="813840549">
      <w:bodyDiv w:val="1"/>
      <w:marLeft w:val="0"/>
      <w:marRight w:val="0"/>
      <w:marTop w:val="0"/>
      <w:marBottom w:val="0"/>
      <w:divBdr>
        <w:top w:val="none" w:sz="0" w:space="0" w:color="auto"/>
        <w:left w:val="none" w:sz="0" w:space="0" w:color="auto"/>
        <w:bottom w:val="none" w:sz="0" w:space="0" w:color="auto"/>
        <w:right w:val="none" w:sz="0" w:space="0" w:color="auto"/>
      </w:divBdr>
    </w:div>
    <w:div w:id="942424014">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989360289">
      <w:bodyDiv w:val="1"/>
      <w:marLeft w:val="0"/>
      <w:marRight w:val="0"/>
      <w:marTop w:val="0"/>
      <w:marBottom w:val="0"/>
      <w:divBdr>
        <w:top w:val="none" w:sz="0" w:space="0" w:color="auto"/>
        <w:left w:val="none" w:sz="0" w:space="0" w:color="auto"/>
        <w:bottom w:val="none" w:sz="0" w:space="0" w:color="auto"/>
        <w:right w:val="none" w:sz="0" w:space="0" w:color="auto"/>
      </w:divBdr>
    </w:div>
    <w:div w:id="1131166470">
      <w:bodyDiv w:val="1"/>
      <w:marLeft w:val="0"/>
      <w:marRight w:val="0"/>
      <w:marTop w:val="0"/>
      <w:marBottom w:val="0"/>
      <w:divBdr>
        <w:top w:val="none" w:sz="0" w:space="0" w:color="auto"/>
        <w:left w:val="none" w:sz="0" w:space="0" w:color="auto"/>
        <w:bottom w:val="none" w:sz="0" w:space="0" w:color="auto"/>
        <w:right w:val="none" w:sz="0" w:space="0" w:color="auto"/>
      </w:divBdr>
    </w:div>
    <w:div w:id="134828927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88266256">
      <w:bodyDiv w:val="1"/>
      <w:marLeft w:val="0"/>
      <w:marRight w:val="0"/>
      <w:marTop w:val="0"/>
      <w:marBottom w:val="0"/>
      <w:divBdr>
        <w:top w:val="none" w:sz="0" w:space="0" w:color="auto"/>
        <w:left w:val="none" w:sz="0" w:space="0" w:color="auto"/>
        <w:bottom w:val="none" w:sz="0" w:space="0" w:color="auto"/>
        <w:right w:val="none" w:sz="0" w:space="0" w:color="auto"/>
      </w:divBdr>
    </w:div>
    <w:div w:id="1667243627">
      <w:bodyDiv w:val="1"/>
      <w:marLeft w:val="0"/>
      <w:marRight w:val="0"/>
      <w:marTop w:val="0"/>
      <w:marBottom w:val="0"/>
      <w:divBdr>
        <w:top w:val="none" w:sz="0" w:space="0" w:color="auto"/>
        <w:left w:val="none" w:sz="0" w:space="0" w:color="auto"/>
        <w:bottom w:val="none" w:sz="0" w:space="0" w:color="auto"/>
        <w:right w:val="none" w:sz="0" w:space="0" w:color="auto"/>
      </w:divBdr>
    </w:div>
    <w:div w:id="1744524822">
      <w:bodyDiv w:val="1"/>
      <w:marLeft w:val="0"/>
      <w:marRight w:val="0"/>
      <w:marTop w:val="0"/>
      <w:marBottom w:val="0"/>
      <w:divBdr>
        <w:top w:val="none" w:sz="0" w:space="0" w:color="auto"/>
        <w:left w:val="none" w:sz="0" w:space="0" w:color="auto"/>
        <w:bottom w:val="none" w:sz="0" w:space="0" w:color="auto"/>
        <w:right w:val="none" w:sz="0" w:space="0" w:color="auto"/>
      </w:divBdr>
    </w:div>
    <w:div w:id="1751780045">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82457448">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51681108">
      <w:bodyDiv w:val="1"/>
      <w:marLeft w:val="0"/>
      <w:marRight w:val="0"/>
      <w:marTop w:val="0"/>
      <w:marBottom w:val="0"/>
      <w:divBdr>
        <w:top w:val="none" w:sz="0" w:space="0" w:color="auto"/>
        <w:left w:val="none" w:sz="0" w:space="0" w:color="auto"/>
        <w:bottom w:val="none" w:sz="0" w:space="0" w:color="auto"/>
        <w:right w:val="none" w:sz="0" w:space="0" w:color="auto"/>
      </w:divBdr>
    </w:div>
    <w:div w:id="2075422219">
      <w:bodyDiv w:val="1"/>
      <w:marLeft w:val="0"/>
      <w:marRight w:val="0"/>
      <w:marTop w:val="0"/>
      <w:marBottom w:val="0"/>
      <w:divBdr>
        <w:top w:val="none" w:sz="0" w:space="0" w:color="auto"/>
        <w:left w:val="none" w:sz="0" w:space="0" w:color="auto"/>
        <w:bottom w:val="none" w:sz="0" w:space="0" w:color="auto"/>
        <w:right w:val="none" w:sz="0" w:space="0" w:color="auto"/>
      </w:divBdr>
    </w:div>
    <w:div w:id="20969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health.gov.au/resources/publications/policies-and-procedures-for-the-administration-and-governance-of-atagi" TargetMode="External"/><Relationship Id="rId18" Type="http://schemas.openxmlformats.org/officeDocument/2006/relationships/hyperlink" Target="https://beta.health.gov.au/committees-and-groups/australian-technical-advisory-group-on-immunisa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eta.health.gov.au/resources/publications/atagi-advice-on-seasonal-influenza-vaccines-in-2019" TargetMode="External"/><Relationship Id="rId17" Type="http://schemas.openxmlformats.org/officeDocument/2006/relationships/hyperlink" Target="http://www.nitag-resource.org/" TargetMode="External"/><Relationship Id="rId2" Type="http://schemas.openxmlformats.org/officeDocument/2006/relationships/customXml" Target="../customXml/item2.xml"/><Relationship Id="rId16" Type="http://schemas.openxmlformats.org/officeDocument/2006/relationships/hyperlink" Target="http://www.ncirs.org.au/our-work/research-inform-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unisationhandbook.health.gov.au/vaccine-preventable-diseases/influenza-flu"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immunisationhandbook.health.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health.gov.au/committees-and-groups/australian-technical-advisory-group-on-immunisa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BT_basic(20No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2019-04-14T14:00:00+00:00</Approved_x0020_Date>
    <IconOverlay xmlns="http://schemas.microsoft.com/sharepoint/v4" xsi:nil="true"/>
    <Content_x0020_Approver xmlns="2bd5d25a-ed67-4748-9d94-e4b1e4baa595">
      <UserInfo>
        <DisplayName>EVERETT, Darius</DisplayName>
        <AccountId>1510</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CFC5-3D92-4C82-88B5-C6D3B9330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F7F831-7168-41B9-9FE6-07C7EDD8F6F6}">
  <ds:schemaRefs>
    <ds:schemaRef ds:uri="http://schemas.microsoft.com/sharepoint/v3/contenttype/forms"/>
  </ds:schemaRefs>
</ds:datastoreItem>
</file>

<file path=customXml/itemProps3.xml><?xml version="1.0" encoding="utf-8"?>
<ds:datastoreItem xmlns:ds="http://schemas.openxmlformats.org/officeDocument/2006/customXml" ds:itemID="{EF434E3C-E3BC-4BE6-A221-AC338005DEBD}"/>
</file>

<file path=customXml/itemProps4.xml><?xml version="1.0" encoding="utf-8"?>
<ds:datastoreItem xmlns:ds="http://schemas.openxmlformats.org/officeDocument/2006/customXml" ds:itemID="{8AAB19E6-FCC0-46E2-A439-39B8DC84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BT_basic(20Nov12)</Template>
  <TotalTime>3</TotalTime>
  <Pages>3</Pages>
  <Words>937</Words>
  <Characters>5508</Characters>
  <Application>Microsoft Office Word</Application>
  <DocSecurity>4</DocSecurity>
  <Lines>100</Lines>
  <Paragraphs>40</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Biotext</dc:creator>
  <cp:lastModifiedBy>CURRIE, Courtney</cp:lastModifiedBy>
  <cp:revision>2</cp:revision>
  <cp:lastPrinted>2019-04-14T22:45:00Z</cp:lastPrinted>
  <dcterms:created xsi:type="dcterms:W3CDTF">2019-04-15T00:12:00Z</dcterms:created>
  <dcterms:modified xsi:type="dcterms:W3CDTF">2019-04-15T00:12:00Z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b55235ed-5ca5-4ec6-8961-3a05ae543b2a,4;b55235ed-5ca5-4ec6-8961-3a05ae543b2a,4;b55235ed-5ca5-4ec6-8961-3a05ae543b2a,4;b55235ed-5ca5-4ec6-8961-3a05ae543b2a,4;</vt:lpwstr>
  </property>
</Properties>
</file>