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Aus Gov and ATAGI header"/>
      </w:tblPr>
      <w:tblGrid>
        <w:gridCol w:w="3226"/>
        <w:gridCol w:w="6980"/>
      </w:tblGrid>
      <w:tr w:rsidR="004F3AA0" w14:paraId="44C418B3" w14:textId="77777777" w:rsidTr="00083432">
        <w:trPr>
          <w:trHeight w:val="1831"/>
          <w:tblHeader/>
        </w:trPr>
        <w:tc>
          <w:tcPr>
            <w:tcW w:w="3226" w:type="dxa"/>
            <w:shd w:val="clear" w:color="auto" w:fill="55259E"/>
            <w:vAlign w:val="center"/>
          </w:tcPr>
          <w:p w14:paraId="54D39D14" w14:textId="441829BE" w:rsidR="004F3AA0" w:rsidRPr="004F3AA0" w:rsidRDefault="004F3AA0" w:rsidP="004F3AA0">
            <w:bookmarkStart w:id="0" w:name="_GoBack"/>
            <w:bookmarkEnd w:id="0"/>
            <w:r w:rsidRPr="004F3AA0">
              <w:rPr>
                <w:noProof/>
              </w:rPr>
              <w:drawing>
                <wp:anchor distT="0" distB="0" distL="114300" distR="114300" simplePos="0" relativeHeight="251658240" behindDoc="0" locked="0" layoutInCell="1" allowOverlap="1" wp14:anchorId="21C50B33" wp14:editId="4D3B3D50">
                  <wp:simplePos x="718185" y="544195"/>
                  <wp:positionH relativeFrom="margin">
                    <wp:align>center</wp:align>
                  </wp:positionH>
                  <wp:positionV relativeFrom="margin">
                    <wp:align>center</wp:align>
                  </wp:positionV>
                  <wp:extent cx="1477010" cy="979170"/>
                  <wp:effectExtent l="0" t="0" r="8890" b="0"/>
                  <wp:wrapNone/>
                  <wp:docPr id="1" name="Picture 1" title="Aus Gov - Healt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stacked_white.png"/>
                          <pic:cNvPicPr/>
                        </pic:nvPicPr>
                        <pic:blipFill>
                          <a:blip r:embed="rId12">
                            <a:extLst>
                              <a:ext uri="{28A0092B-C50C-407E-A947-70E740481C1C}">
                                <a14:useLocalDpi xmlns:a14="http://schemas.microsoft.com/office/drawing/2010/main" val="0"/>
                              </a:ext>
                            </a:extLst>
                          </a:blip>
                          <a:stretch>
                            <a:fillRect/>
                          </a:stretch>
                        </pic:blipFill>
                        <pic:spPr>
                          <a:xfrm>
                            <a:off x="0" y="0"/>
                            <a:ext cx="1477010" cy="979170"/>
                          </a:xfrm>
                          <a:prstGeom prst="rect">
                            <a:avLst/>
                          </a:prstGeom>
                          <a:solidFill>
                            <a:srgbClr val="57259F"/>
                          </a:solidFill>
                        </pic:spPr>
                      </pic:pic>
                    </a:graphicData>
                  </a:graphic>
                  <wp14:sizeRelH relativeFrom="margin">
                    <wp14:pctWidth>0</wp14:pctWidth>
                  </wp14:sizeRelH>
                  <wp14:sizeRelV relativeFrom="margin">
                    <wp14:pctHeight>0</wp14:pctHeight>
                  </wp14:sizeRelV>
                </wp:anchor>
              </w:drawing>
            </w:r>
          </w:p>
        </w:tc>
        <w:tc>
          <w:tcPr>
            <w:tcW w:w="6980" w:type="dxa"/>
            <w:shd w:val="clear" w:color="auto" w:fill="55259E"/>
            <w:vAlign w:val="center"/>
          </w:tcPr>
          <w:p w14:paraId="31C0D79D" w14:textId="77777777" w:rsidR="004F3AA0" w:rsidRPr="003021C5" w:rsidRDefault="003021C5" w:rsidP="003021C5">
            <w:pPr>
              <w:ind w:right="175"/>
              <w:jc w:val="right"/>
              <w:rPr>
                <w:color w:val="FFFFFF" w:themeColor="background1"/>
                <w:sz w:val="28"/>
              </w:rPr>
            </w:pPr>
            <w:r w:rsidRPr="003021C5">
              <w:rPr>
                <w:color w:val="FFFFFF" w:themeColor="background1"/>
                <w:sz w:val="28"/>
              </w:rPr>
              <w:t>AUSTRALIAN TECHNICAL ADVISORY GROUP ON</w:t>
            </w:r>
          </w:p>
          <w:p w14:paraId="553DF3F0" w14:textId="29160181" w:rsidR="003021C5" w:rsidRPr="004F3AA0" w:rsidRDefault="003021C5" w:rsidP="003021C5">
            <w:pPr>
              <w:ind w:right="175"/>
              <w:jc w:val="right"/>
            </w:pPr>
            <w:r w:rsidRPr="003021C5">
              <w:rPr>
                <w:color w:val="FFFFFF" w:themeColor="background1"/>
                <w:sz w:val="28"/>
              </w:rPr>
              <w:t>IMMUNISATION (ATAGI) |</w:t>
            </w:r>
            <w:r w:rsidRPr="003021C5">
              <w:rPr>
                <w:b/>
                <w:color w:val="FFFFFF" w:themeColor="background1"/>
                <w:sz w:val="28"/>
              </w:rPr>
              <w:t xml:space="preserve"> CLINICAL ADVICE</w:t>
            </w:r>
          </w:p>
        </w:tc>
      </w:tr>
      <w:tr w:rsidR="004F3AA0" w14:paraId="203AFD90" w14:textId="77777777" w:rsidTr="003021C5">
        <w:tc>
          <w:tcPr>
            <w:tcW w:w="3226" w:type="dxa"/>
            <w:shd w:val="clear" w:color="auto" w:fill="55259E"/>
          </w:tcPr>
          <w:p w14:paraId="31F4750D" w14:textId="4E1C6B9D" w:rsidR="004F3AA0" w:rsidRPr="004F3AA0" w:rsidRDefault="004F3AA0" w:rsidP="004F3AA0"/>
        </w:tc>
        <w:tc>
          <w:tcPr>
            <w:tcW w:w="6980" w:type="dxa"/>
            <w:shd w:val="clear" w:color="auto" w:fill="55259E"/>
            <w:vAlign w:val="center"/>
          </w:tcPr>
          <w:p w14:paraId="0A3B4E64" w14:textId="00CDB28B" w:rsidR="004F3AA0" w:rsidRPr="003021C5" w:rsidRDefault="00183FB0" w:rsidP="00183FB0">
            <w:pPr>
              <w:pStyle w:val="BodyText"/>
              <w:ind w:right="175"/>
              <w:jc w:val="right"/>
              <w:rPr>
                <w:b/>
                <w:color w:val="FFFFFF" w:themeColor="background1"/>
              </w:rPr>
            </w:pPr>
            <w:r>
              <w:rPr>
                <w:b/>
                <w:color w:val="FFFFFF" w:themeColor="background1"/>
              </w:rPr>
              <w:t xml:space="preserve">Issue date: </w:t>
            </w:r>
            <w:r w:rsidR="00826860">
              <w:rPr>
                <w:b/>
                <w:color w:val="FFFFFF" w:themeColor="background1"/>
              </w:rPr>
              <w:t>February 2018</w:t>
            </w:r>
          </w:p>
        </w:tc>
      </w:tr>
      <w:tr w:rsidR="004F3AA0" w14:paraId="4F27D70B" w14:textId="77777777" w:rsidTr="003021C5">
        <w:trPr>
          <w:trHeight w:val="437"/>
        </w:trPr>
        <w:tc>
          <w:tcPr>
            <w:tcW w:w="3226" w:type="dxa"/>
            <w:shd w:val="clear" w:color="auto" w:fill="auto"/>
          </w:tcPr>
          <w:p w14:paraId="32288B2B" w14:textId="77777777" w:rsidR="004F3AA0" w:rsidRPr="004F3AA0" w:rsidRDefault="004F3AA0" w:rsidP="004F3AA0"/>
        </w:tc>
        <w:tc>
          <w:tcPr>
            <w:tcW w:w="6980" w:type="dxa"/>
            <w:shd w:val="clear" w:color="auto" w:fill="auto"/>
          </w:tcPr>
          <w:p w14:paraId="586FAC0A" w14:textId="77777777" w:rsidR="004F3AA0" w:rsidRPr="004F3AA0" w:rsidRDefault="004F3AA0" w:rsidP="004F3AA0"/>
        </w:tc>
      </w:tr>
    </w:tbl>
    <w:p w14:paraId="402FA38C" w14:textId="1A77546D" w:rsidR="005E0FAB" w:rsidRPr="00AC23C0" w:rsidRDefault="00183FB0" w:rsidP="00826860">
      <w:pPr>
        <w:pStyle w:val="Heading1Black"/>
        <w:spacing w:after="0"/>
        <w:rPr>
          <w:sz w:val="28"/>
          <w:szCs w:val="30"/>
        </w:rPr>
      </w:pPr>
      <w:r>
        <w:rPr>
          <w:sz w:val="28"/>
          <w:szCs w:val="30"/>
        </w:rPr>
        <w:t>UPDATED ATAGI CLINICAL ADVICE REGARDING ALTERNATIVES DURING SUPPLY SHORTAGE OF THE ADULT FORMULATIONS OF HEPATITIS B VACCINES</w:t>
      </w:r>
    </w:p>
    <w:p w14:paraId="48DB9087" w14:textId="66D22128" w:rsidR="006B5200" w:rsidRDefault="006B5200" w:rsidP="007D71AA">
      <w:pPr>
        <w:pStyle w:val="Sub-bullettedlist"/>
        <w:numPr>
          <w:ilvl w:val="0"/>
          <w:numId w:val="0"/>
        </w:numPr>
        <w:spacing w:before="240"/>
        <w:ind w:left="284"/>
        <w:rPr>
          <w:szCs w:val="21"/>
        </w:rPr>
      </w:pPr>
      <w:r w:rsidRPr="00AC23C0">
        <w:rPr>
          <w:szCs w:val="21"/>
        </w:rPr>
        <w:t xml:space="preserve">It is important to read this statement in conjunction with the current online version of The Australian Immunisation Handbook available on the </w:t>
      </w:r>
      <w:hyperlink r:id="rId13" w:history="1">
        <w:r w:rsidRPr="00AC23C0">
          <w:rPr>
            <w:rStyle w:val="Hyperlink"/>
            <w:color w:val="57259F"/>
            <w:szCs w:val="21"/>
          </w:rPr>
          <w:t>Immunise Australia</w:t>
        </w:r>
      </w:hyperlink>
      <w:r w:rsidRPr="00AC23C0">
        <w:rPr>
          <w:szCs w:val="21"/>
        </w:rPr>
        <w:t xml:space="preserve"> website (</w:t>
      </w:r>
      <w:hyperlink r:id="rId14" w:history="1">
        <w:r w:rsidR="00183FB0" w:rsidRPr="00B06A18">
          <w:rPr>
            <w:rStyle w:val="Hyperlink"/>
            <w:szCs w:val="21"/>
          </w:rPr>
          <w:t>www.immunise.health.gov.au</w:t>
        </w:r>
      </w:hyperlink>
      <w:r w:rsidRPr="00AC23C0">
        <w:rPr>
          <w:szCs w:val="21"/>
        </w:rPr>
        <w:t>).</w:t>
      </w:r>
    </w:p>
    <w:p w14:paraId="6696D9B3" w14:textId="77777777" w:rsidR="00183FB0" w:rsidRPr="003D47AE" w:rsidRDefault="00183FB0" w:rsidP="00183FB0">
      <w:pPr>
        <w:pBdr>
          <w:top w:val="single" w:sz="12" w:space="1" w:color="auto"/>
          <w:left w:val="single" w:sz="12" w:space="4" w:color="auto"/>
          <w:bottom w:val="single" w:sz="12" w:space="1" w:color="auto"/>
          <w:right w:val="single" w:sz="12" w:space="4" w:color="auto"/>
        </w:pBdr>
        <w:spacing w:after="0" w:line="240" w:lineRule="auto"/>
        <w:rPr>
          <w:sz w:val="18"/>
          <w:szCs w:val="18"/>
        </w:rPr>
      </w:pPr>
      <w:r w:rsidRPr="003D47AE">
        <w:rPr>
          <w:sz w:val="18"/>
          <w:szCs w:val="18"/>
        </w:rPr>
        <w:t>The substitute options that the Australian Technical Advisory Group on Immunisation (ATAGI) recommends for adult hepatitis B vaccination in the event of unavailability of either of the two brands of the adult formulation of hepatitis B vaccines (1mL per dose) are either:</w:t>
      </w:r>
    </w:p>
    <w:p w14:paraId="442A82FE" w14:textId="77777777" w:rsidR="00183FB0" w:rsidRPr="003D47AE" w:rsidRDefault="00183FB0" w:rsidP="00183FB0">
      <w:pPr>
        <w:pStyle w:val="ListParagraph"/>
        <w:numPr>
          <w:ilvl w:val="0"/>
          <w:numId w:val="12"/>
        </w:numPr>
        <w:pBdr>
          <w:top w:val="single" w:sz="12" w:space="1" w:color="auto"/>
          <w:left w:val="single" w:sz="12" w:space="4" w:color="auto"/>
          <w:bottom w:val="single" w:sz="12" w:space="1" w:color="auto"/>
          <w:right w:val="single" w:sz="12" w:space="4" w:color="auto"/>
        </w:pBdr>
        <w:spacing w:after="120" w:line="240" w:lineRule="auto"/>
        <w:ind w:left="426" w:hanging="426"/>
        <w:rPr>
          <w:rFonts w:ascii="Arial" w:hAnsi="Arial" w:cs="Arial"/>
          <w:sz w:val="18"/>
          <w:szCs w:val="18"/>
        </w:rPr>
      </w:pPr>
      <w:r w:rsidRPr="003D47AE">
        <w:rPr>
          <w:rFonts w:ascii="Arial" w:hAnsi="Arial" w:cs="Arial"/>
          <w:sz w:val="18"/>
          <w:szCs w:val="18"/>
        </w:rPr>
        <w:t xml:space="preserve">Concurrent* administration of two doses of the paediatric formulation of a hepatitis B vaccine (0.5 mL per dose), </w:t>
      </w:r>
      <w:r w:rsidRPr="003D47AE">
        <w:rPr>
          <w:rFonts w:ascii="Arial" w:hAnsi="Arial" w:cs="Arial"/>
          <w:i/>
          <w:sz w:val="18"/>
          <w:szCs w:val="18"/>
        </w:rPr>
        <w:t>OR</w:t>
      </w:r>
    </w:p>
    <w:p w14:paraId="2DF01162" w14:textId="77777777" w:rsidR="00183FB0" w:rsidRPr="003D47AE" w:rsidRDefault="00183FB0" w:rsidP="00183FB0">
      <w:pPr>
        <w:pStyle w:val="ListParagraph"/>
        <w:numPr>
          <w:ilvl w:val="0"/>
          <w:numId w:val="12"/>
        </w:numPr>
        <w:pBdr>
          <w:top w:val="single" w:sz="12" w:space="1" w:color="auto"/>
          <w:left w:val="single" w:sz="12" w:space="4" w:color="auto"/>
          <w:bottom w:val="single" w:sz="12" w:space="1" w:color="auto"/>
          <w:right w:val="single" w:sz="12" w:space="4" w:color="auto"/>
        </w:pBdr>
        <w:spacing w:after="120" w:line="240" w:lineRule="auto"/>
        <w:ind w:left="426" w:hanging="426"/>
        <w:rPr>
          <w:rFonts w:ascii="Arial" w:hAnsi="Arial" w:cs="Arial"/>
          <w:sz w:val="18"/>
          <w:szCs w:val="18"/>
        </w:rPr>
      </w:pPr>
      <w:r w:rsidRPr="003D47AE">
        <w:rPr>
          <w:rFonts w:ascii="Arial" w:hAnsi="Arial" w:cs="Arial"/>
          <w:sz w:val="18"/>
          <w:szCs w:val="18"/>
        </w:rPr>
        <w:t>Administration of an adult dose of the combined hepatitis A and hepatitis B vaccine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xml:space="preserve">) – there may be further dose requirements of hepatitis A-containing vaccine if protection against hepatitis A is also desired. If the adult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 xml:space="preserve">® </w:t>
      </w:r>
      <w:r w:rsidRPr="003D47AE">
        <w:rPr>
          <w:rFonts w:ascii="Arial" w:hAnsi="Arial" w:cs="Arial"/>
          <w:sz w:val="18"/>
          <w:szCs w:val="18"/>
        </w:rPr>
        <w:t xml:space="preserve">formulation is not available, each of the required adult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 xml:space="preserve">® </w:t>
      </w:r>
      <w:r w:rsidRPr="003D47AE">
        <w:rPr>
          <w:rFonts w:ascii="Arial" w:hAnsi="Arial" w:cs="Arial"/>
          <w:sz w:val="18"/>
          <w:szCs w:val="18"/>
        </w:rPr>
        <w:t xml:space="preserve">dose can be substituted by 2 concurrently* administered doses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 xml:space="preserve">® </w:t>
      </w:r>
      <w:r w:rsidRPr="003D47AE">
        <w:rPr>
          <w:rFonts w:ascii="Arial" w:hAnsi="Arial" w:cs="Arial"/>
          <w:sz w:val="18"/>
          <w:szCs w:val="18"/>
        </w:rPr>
        <w:t>Junior.</w:t>
      </w:r>
    </w:p>
    <w:p w14:paraId="6DD79E89" w14:textId="77777777" w:rsidR="00183FB0" w:rsidRPr="003D47AE" w:rsidRDefault="00183FB0" w:rsidP="00183FB0">
      <w:pPr>
        <w:pBdr>
          <w:top w:val="single" w:sz="12" w:space="1" w:color="auto"/>
          <w:left w:val="single" w:sz="12" w:space="4" w:color="auto"/>
          <w:bottom w:val="single" w:sz="12" w:space="1" w:color="auto"/>
          <w:right w:val="single" w:sz="12" w:space="4" w:color="auto"/>
        </w:pBdr>
        <w:spacing w:after="120" w:line="240" w:lineRule="auto"/>
        <w:rPr>
          <w:sz w:val="18"/>
          <w:szCs w:val="18"/>
        </w:rPr>
      </w:pPr>
      <w:r w:rsidRPr="003D47AE">
        <w:rPr>
          <w:sz w:val="18"/>
          <w:szCs w:val="18"/>
        </w:rPr>
        <w:t xml:space="preserve">* The doses can be concurrently administered at adjacent sites (≥2.5 cm apart) on the same arm </w:t>
      </w:r>
      <w:r w:rsidRPr="003D47AE">
        <w:rPr>
          <w:sz w:val="18"/>
          <w:szCs w:val="18"/>
          <w:u w:val="single"/>
        </w:rPr>
        <w:t>or</w:t>
      </w:r>
      <w:r w:rsidRPr="003D47AE">
        <w:rPr>
          <w:sz w:val="18"/>
          <w:szCs w:val="18"/>
        </w:rPr>
        <w:t xml:space="preserve"> separately with one dose in each arm </w:t>
      </w:r>
    </w:p>
    <w:p w14:paraId="03E9E7FB" w14:textId="77777777" w:rsidR="00183FB0" w:rsidRPr="003D47AE" w:rsidRDefault="00183FB0" w:rsidP="00183FB0">
      <w:pPr>
        <w:pBdr>
          <w:top w:val="single" w:sz="12" w:space="1" w:color="auto"/>
          <w:left w:val="single" w:sz="12" w:space="4" w:color="auto"/>
          <w:bottom w:val="single" w:sz="12" w:space="1" w:color="auto"/>
          <w:right w:val="single" w:sz="12" w:space="4" w:color="auto"/>
        </w:pBdr>
        <w:spacing w:after="120" w:line="240" w:lineRule="auto"/>
        <w:rPr>
          <w:sz w:val="18"/>
          <w:szCs w:val="18"/>
        </w:rPr>
      </w:pPr>
      <w:r w:rsidRPr="003D47AE">
        <w:rPr>
          <w:sz w:val="18"/>
          <w:szCs w:val="18"/>
        </w:rPr>
        <w:t>The original vaccination schedule should be maintained. While using the same brand product is preferable, use of the alternative brand product to complete the vaccination course is acceptable.</w:t>
      </w:r>
    </w:p>
    <w:p w14:paraId="3F75458D" w14:textId="77777777" w:rsidR="00183FB0" w:rsidRPr="003D47AE" w:rsidRDefault="00183FB0" w:rsidP="00183FB0">
      <w:pPr>
        <w:pBdr>
          <w:top w:val="single" w:sz="12" w:space="1" w:color="auto"/>
          <w:left w:val="single" w:sz="12" w:space="4" w:color="auto"/>
          <w:bottom w:val="single" w:sz="12" w:space="1" w:color="auto"/>
          <w:right w:val="single" w:sz="12" w:space="4" w:color="auto"/>
        </w:pBdr>
        <w:spacing w:after="120" w:line="240" w:lineRule="auto"/>
        <w:rPr>
          <w:sz w:val="18"/>
          <w:szCs w:val="18"/>
        </w:rPr>
      </w:pPr>
      <w:r w:rsidRPr="003D47AE">
        <w:rPr>
          <w:sz w:val="18"/>
          <w:szCs w:val="18"/>
        </w:rPr>
        <w:t xml:space="preserve">For immunocompetent individuals with documented serology results demonstrating an adequate immune response to hepatitis B vaccination at any time at least 4 weeks after completion of the primary course (hepatitis B surface antibody [anti-HBs antibody] levels ≥10 </w:t>
      </w:r>
      <w:proofErr w:type="spellStart"/>
      <w:r w:rsidRPr="003D47AE">
        <w:rPr>
          <w:sz w:val="18"/>
          <w:szCs w:val="18"/>
        </w:rPr>
        <w:t>mIU</w:t>
      </w:r>
      <w:proofErr w:type="spellEnd"/>
      <w:r w:rsidRPr="003D47AE">
        <w:rPr>
          <w:sz w:val="18"/>
          <w:szCs w:val="18"/>
        </w:rPr>
        <w:t xml:space="preserve">/mL tested at least 4 weeks after the final dose), further booster dose of hepatitis B vaccination </w:t>
      </w:r>
      <w:r w:rsidRPr="003D47AE">
        <w:rPr>
          <w:b/>
          <w:sz w:val="18"/>
          <w:szCs w:val="18"/>
        </w:rPr>
        <w:t>are not necessary</w:t>
      </w:r>
      <w:r w:rsidRPr="003D47AE">
        <w:rPr>
          <w:sz w:val="18"/>
          <w:szCs w:val="18"/>
        </w:rPr>
        <w:t xml:space="preserve"> and </w:t>
      </w:r>
      <w:r w:rsidRPr="003D47AE">
        <w:rPr>
          <w:b/>
          <w:sz w:val="18"/>
          <w:szCs w:val="18"/>
        </w:rPr>
        <w:t>are</w:t>
      </w:r>
      <w:r w:rsidRPr="003D47AE">
        <w:rPr>
          <w:sz w:val="18"/>
          <w:szCs w:val="18"/>
        </w:rPr>
        <w:t xml:space="preserve"> </w:t>
      </w:r>
      <w:r w:rsidRPr="003D47AE">
        <w:rPr>
          <w:b/>
          <w:sz w:val="18"/>
          <w:szCs w:val="18"/>
        </w:rPr>
        <w:t>therefore</w:t>
      </w:r>
      <w:r w:rsidRPr="003D47AE">
        <w:rPr>
          <w:sz w:val="18"/>
          <w:szCs w:val="18"/>
        </w:rPr>
        <w:t xml:space="preserve"> </w:t>
      </w:r>
      <w:r w:rsidRPr="003D47AE">
        <w:rPr>
          <w:b/>
          <w:sz w:val="18"/>
          <w:szCs w:val="18"/>
        </w:rPr>
        <w:t>not recommended</w:t>
      </w:r>
      <w:r w:rsidRPr="003D47AE">
        <w:rPr>
          <w:sz w:val="18"/>
          <w:szCs w:val="18"/>
        </w:rPr>
        <w:t>.</w:t>
      </w:r>
    </w:p>
    <w:p w14:paraId="10FA0300" w14:textId="77777777" w:rsidR="00183FB0" w:rsidRPr="003D47AE" w:rsidRDefault="00183FB0" w:rsidP="00183FB0">
      <w:pPr>
        <w:pStyle w:val="Heading2"/>
        <w:spacing w:before="240" w:after="120" w:line="240" w:lineRule="auto"/>
        <w:rPr>
          <w:sz w:val="20"/>
          <w:szCs w:val="20"/>
        </w:rPr>
      </w:pPr>
      <w:r w:rsidRPr="003D47AE">
        <w:rPr>
          <w:sz w:val="20"/>
          <w:szCs w:val="20"/>
        </w:rPr>
        <w:t>Background: supply shortage of the adult formulation of hepatitis B vaccines</w:t>
      </w:r>
    </w:p>
    <w:p w14:paraId="6251C322" w14:textId="77777777" w:rsidR="00183FB0" w:rsidRPr="003D47AE" w:rsidRDefault="00183FB0" w:rsidP="00183FB0">
      <w:pPr>
        <w:spacing w:after="120" w:line="240" w:lineRule="auto"/>
        <w:rPr>
          <w:sz w:val="18"/>
          <w:szCs w:val="18"/>
        </w:rPr>
      </w:pPr>
      <w:r w:rsidRPr="003D47AE">
        <w:rPr>
          <w:sz w:val="18"/>
          <w:szCs w:val="18"/>
        </w:rPr>
        <w:t xml:space="preserve">Due to a manufacturing halt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from November 2016, there is currently a shortage of the adult formulation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available to Australia,</w:t>
      </w:r>
      <w:hyperlink w:anchor="_ENREF_1" w:tooltip="GlaxoSmithKline, 2017 #1" w:history="1">
        <w:r w:rsidRPr="003D47AE">
          <w:rPr>
            <w:sz w:val="18"/>
            <w:szCs w:val="18"/>
          </w:rPr>
          <w:fldChar w:fldCharType="begin"/>
        </w:r>
        <w:r w:rsidRPr="003D47AE">
          <w:rPr>
            <w:sz w:val="18"/>
            <w:szCs w:val="18"/>
          </w:rPr>
          <w:instrText xml:space="preserve"> ADDIN EN.CITE &lt;EndNote&gt;&lt;Cite&gt;&lt;Author&gt;GlaxoSmithKline&lt;/Author&gt;&lt;Year&gt;2017&lt;/Year&gt;&lt;RecNum&gt;1&lt;/RecNum&gt;&lt;DisplayText&gt;&lt;style face="superscript"&gt;1&lt;/style&gt;&lt;/DisplayText&gt;&lt;record&gt;&lt;rec-number&gt;1&lt;/rec-number&gt;&lt;foreign-keys&gt;&lt;key app="EN" db-id="a29repxf7tsvw4efw08xprt4e0z9f0z2dax5"&gt;1&lt;/key&gt;&lt;/foreign-keys&gt;&lt;ref-type name="Web Page"&gt;12&lt;/ref-type&gt;&lt;contributors&gt;&lt;authors&gt;&lt;author&gt;GlaxoSmithKline&lt;/author&gt;&lt;/authors&gt;&lt;/contributors&gt;&lt;titles&gt;&lt;title&gt;Engerix-B (hepatitis B vaccine) availability&lt;/title&gt;&lt;/titles&gt;&lt;volume&gt;2017&lt;/volume&gt;&lt;number&gt;8th August&lt;/number&gt;&lt;dates&gt;&lt;year&gt;2017&lt;/year&gt;&lt;/dates&gt;&lt;pub-location&gt;Boronia, VIC&lt;/pub-location&gt;&lt;publisher&gt;GlaxoSmithKline&lt;/publisher&gt;&lt;urls&gt;&lt;related-urls&gt;&lt;url&gt;http://au.gsk.com/en-au/media/press-releases/2017/engerix-b-hepatitis-b-vaccine-availability/&lt;/url&gt;&lt;/related-urls&gt;&lt;/urls&gt;&lt;custom1&gt;2017&lt;/custom1&gt;&lt;custom2&gt;8th August&lt;/custom2&gt;&lt;/record&gt;&lt;/Cite&gt;&lt;/EndNote&gt;</w:instrText>
        </w:r>
        <w:r w:rsidRPr="003D47AE">
          <w:rPr>
            <w:sz w:val="18"/>
            <w:szCs w:val="18"/>
          </w:rPr>
          <w:fldChar w:fldCharType="separate"/>
        </w:r>
        <w:r w:rsidRPr="003D47AE">
          <w:rPr>
            <w:noProof/>
            <w:sz w:val="18"/>
            <w:szCs w:val="18"/>
            <w:vertAlign w:val="superscript"/>
          </w:rPr>
          <w:t>1</w:t>
        </w:r>
        <w:r w:rsidRPr="003D47AE">
          <w:rPr>
            <w:sz w:val="18"/>
            <w:szCs w:val="18"/>
          </w:rPr>
          <w:fldChar w:fldCharType="end"/>
        </w:r>
      </w:hyperlink>
      <w:r w:rsidRPr="003D47AE">
        <w:rPr>
          <w:sz w:val="18"/>
          <w:szCs w:val="18"/>
        </w:rPr>
        <w:t xml:space="preserve"> which is expected to continue until at least February 2018.</w:t>
      </w:r>
      <w:hyperlink w:anchor="_ENREF_2" w:tooltip="Therapeutic Goods Administration (TGA), 2017 #2" w:history="1">
        <w:r w:rsidRPr="003D47AE">
          <w:rPr>
            <w:sz w:val="18"/>
            <w:szCs w:val="18"/>
          </w:rPr>
          <w:fldChar w:fldCharType="begin"/>
        </w:r>
        <w:r w:rsidRPr="003D47AE">
          <w:rPr>
            <w:sz w:val="18"/>
            <w:szCs w:val="18"/>
          </w:rPr>
          <w:instrText xml:space="preserve"> ADDIN EN.CITE &lt;EndNote&gt;&lt;Cite&gt;&lt;Author&gt;TGA&lt;/Author&gt;&lt;Year&gt;2017&lt;/Year&gt;&lt;RecNum&gt;2&lt;/RecNum&gt;&lt;DisplayText&gt;&lt;style face="superscript"&gt;2&lt;/style&gt;&lt;/DisplayText&gt;&lt;record&gt;&lt;rec-number&gt;2&lt;/rec-number&gt;&lt;foreign-keys&gt;&lt;key app="EN" db-id="a29repxf7tsvw4efw08xprt4e0z9f0z2dax5"&gt;2&lt;/key&gt;&lt;/foreign-keys&gt;&lt;ref-type name="Web Page"&gt;12&lt;/ref-type&gt;&lt;contributors&gt;&lt;authors&gt;&lt;author&gt;Therapeutic Goods Administration (TGA),&lt;/author&gt;&lt;/authors&gt;&lt;/contributors&gt;&lt;titles&gt;&lt;title&gt;Hepatitis B surface antigen recombinant - medicine shortage information&lt;/title&gt;&lt;/titles&gt;&lt;volume&gt;2017&lt;/volume&gt;&lt;number&gt;8th August&lt;/number&gt;&lt;dates&gt;&lt;year&gt;2017&lt;/year&gt;&lt;/dates&gt;&lt;pub-location&gt;Symonston, ACT&lt;/pub-location&gt;&lt;publisher&gt;Therapeutic Goods Administration&lt;/publisher&gt;&lt;urls&gt;&lt;related-urls&gt;&lt;url&gt;http://apps.tga.gov.au/Prod/msi/Search/Details/hepatitis-b-surface-antigen-recombinant&lt;/url&gt;&lt;/related-urls&gt;&lt;/urls&gt;&lt;custom1&gt;2017&lt;/custom1&gt;&lt;custom2&gt;8th August&lt;/custom2&gt;&lt;/record&gt;&lt;/Cite&gt;&lt;/EndNote&gt;</w:instrText>
        </w:r>
        <w:r w:rsidRPr="003D47AE">
          <w:rPr>
            <w:sz w:val="18"/>
            <w:szCs w:val="18"/>
          </w:rPr>
          <w:fldChar w:fldCharType="separate"/>
        </w:r>
        <w:r w:rsidRPr="003D47AE">
          <w:rPr>
            <w:noProof/>
            <w:sz w:val="18"/>
            <w:szCs w:val="18"/>
            <w:vertAlign w:val="superscript"/>
          </w:rPr>
          <w:t>2</w:t>
        </w:r>
        <w:r w:rsidRPr="003D47AE">
          <w:rPr>
            <w:sz w:val="18"/>
            <w:szCs w:val="18"/>
          </w:rPr>
          <w:fldChar w:fldCharType="end"/>
        </w:r>
      </w:hyperlink>
      <w:r w:rsidRPr="003D47AE">
        <w:rPr>
          <w:sz w:val="18"/>
          <w:szCs w:val="18"/>
        </w:rPr>
        <w:t xml:space="preserve"> Subsequent to this, there have also been periods of shortage of both the adult and the paediatric formulation of the alternative brand, H-B-Vax II</w:t>
      </w:r>
      <w:r w:rsidRPr="003D47AE">
        <w:rPr>
          <w:sz w:val="18"/>
          <w:szCs w:val="18"/>
          <w:vertAlign w:val="superscript"/>
        </w:rPr>
        <w:t>®</w:t>
      </w:r>
      <w:r w:rsidRPr="003D47AE">
        <w:rPr>
          <w:sz w:val="18"/>
          <w:szCs w:val="18"/>
        </w:rPr>
        <w:t xml:space="preserve">, as well as </w:t>
      </w:r>
      <w:proofErr w:type="spellStart"/>
      <w:r w:rsidRPr="003D47AE">
        <w:rPr>
          <w:sz w:val="18"/>
          <w:szCs w:val="18"/>
        </w:rPr>
        <w:t>Twinrix</w:t>
      </w:r>
      <w:proofErr w:type="spellEnd"/>
      <w:r w:rsidRPr="003D47AE">
        <w:rPr>
          <w:sz w:val="18"/>
          <w:szCs w:val="18"/>
          <w:vertAlign w:val="superscript"/>
        </w:rPr>
        <w:t>®</w:t>
      </w:r>
      <w:r w:rsidRPr="003D47AE">
        <w:rPr>
          <w:sz w:val="18"/>
          <w:szCs w:val="18"/>
        </w:rPr>
        <w:t>, the combination hepatitis A and hepatitis B vaccine.</w:t>
      </w:r>
      <w:hyperlink w:anchor="_ENREF_2" w:tooltip="Therapeutic Goods Administration (TGA), 2017 #2" w:history="1">
        <w:r w:rsidRPr="003D47AE">
          <w:rPr>
            <w:sz w:val="18"/>
            <w:szCs w:val="18"/>
          </w:rPr>
          <w:fldChar w:fldCharType="begin"/>
        </w:r>
        <w:r w:rsidRPr="003D47AE">
          <w:rPr>
            <w:sz w:val="18"/>
            <w:szCs w:val="18"/>
          </w:rPr>
          <w:instrText xml:space="preserve"> ADDIN EN.CITE &lt;EndNote&gt;&lt;Cite&gt;&lt;Author&gt;TGA&lt;/Author&gt;&lt;Year&gt;2017&lt;/Year&gt;&lt;RecNum&gt;2&lt;/RecNum&gt;&lt;DisplayText&gt;&lt;style face="superscript"&gt;2&lt;/style&gt;&lt;/DisplayText&gt;&lt;record&gt;&lt;rec-number&gt;2&lt;/rec-number&gt;&lt;foreign-keys&gt;&lt;key app="EN" db-id="a29repxf7tsvw4efw08xprt4e0z9f0z2dax5"&gt;2&lt;/key&gt;&lt;/foreign-keys&gt;&lt;ref-type name="Web Page"&gt;12&lt;/ref-type&gt;&lt;contributors&gt;&lt;authors&gt;&lt;author&gt;Therapeutic Goods Administration (TGA),&lt;/author&gt;&lt;/authors&gt;&lt;/contributors&gt;&lt;titles&gt;&lt;title&gt;Hepatitis B surface antigen recombinant - medicine shortage information&lt;/title&gt;&lt;/titles&gt;&lt;volume&gt;2017&lt;/volume&gt;&lt;number&gt;8th August&lt;/number&gt;&lt;dates&gt;&lt;year&gt;2017&lt;/year&gt;&lt;/dates&gt;&lt;pub-location&gt;Symonston, ACT&lt;/pub-location&gt;&lt;publisher&gt;Therapeutic Goods Administration&lt;/publisher&gt;&lt;urls&gt;&lt;related-urls&gt;&lt;url&gt;http://apps.tga.gov.au/Prod/msi/Search/Details/hepatitis-b-surface-antigen-recombinant&lt;/url&gt;&lt;/related-urls&gt;&lt;/urls&gt;&lt;custom1&gt;2017&lt;/custom1&gt;&lt;custom2&gt;8th August&lt;/custom2&gt;&lt;/record&gt;&lt;/Cite&gt;&lt;/EndNote&gt;</w:instrText>
        </w:r>
        <w:r w:rsidRPr="003D47AE">
          <w:rPr>
            <w:sz w:val="18"/>
            <w:szCs w:val="18"/>
          </w:rPr>
          <w:fldChar w:fldCharType="separate"/>
        </w:r>
        <w:r w:rsidRPr="003D47AE">
          <w:rPr>
            <w:noProof/>
            <w:sz w:val="18"/>
            <w:szCs w:val="18"/>
            <w:vertAlign w:val="superscript"/>
          </w:rPr>
          <w:t>2</w:t>
        </w:r>
        <w:r w:rsidRPr="003D47AE">
          <w:rPr>
            <w:sz w:val="18"/>
            <w:szCs w:val="18"/>
          </w:rPr>
          <w:fldChar w:fldCharType="end"/>
        </w:r>
      </w:hyperlink>
      <w:r w:rsidRPr="003D47AE">
        <w:rPr>
          <w:sz w:val="18"/>
          <w:szCs w:val="18"/>
        </w:rPr>
        <w:t xml:space="preserve"> </w:t>
      </w:r>
    </w:p>
    <w:p w14:paraId="75B7C8AA" w14:textId="77777777" w:rsidR="00183FB0" w:rsidRPr="003D47AE" w:rsidRDefault="00183FB0" w:rsidP="00183FB0">
      <w:pPr>
        <w:spacing w:after="120" w:line="240" w:lineRule="auto"/>
        <w:rPr>
          <w:sz w:val="18"/>
          <w:szCs w:val="18"/>
        </w:rPr>
      </w:pPr>
      <w:r w:rsidRPr="003D47AE">
        <w:rPr>
          <w:sz w:val="18"/>
          <w:szCs w:val="18"/>
        </w:rPr>
        <w:t xml:space="preserve">Supply for the National Immunisation Program has not been affected at this time, so vaccination using the adult formulation of hepatitis B vaccines should continue as scheduled for eligible individuals. However, the shortage has impacted on private market supply for others who require hepatitis B vaccination, including healthcare workers. As of early February 2018, the paediatric formulation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as well as both the adult and the paediatric formulation of </w:t>
      </w:r>
      <w:proofErr w:type="spellStart"/>
      <w:r w:rsidRPr="003D47AE">
        <w:rPr>
          <w:sz w:val="18"/>
          <w:szCs w:val="18"/>
        </w:rPr>
        <w:t>Twinrix</w:t>
      </w:r>
      <w:proofErr w:type="spellEnd"/>
      <w:r w:rsidRPr="003D47AE">
        <w:rPr>
          <w:sz w:val="18"/>
          <w:szCs w:val="18"/>
          <w:vertAlign w:val="superscript"/>
        </w:rPr>
        <w:t>®</w:t>
      </w:r>
      <w:r w:rsidRPr="003D47AE">
        <w:rPr>
          <w:sz w:val="18"/>
          <w:szCs w:val="18"/>
        </w:rPr>
        <w:t xml:space="preserve"> are available.</w:t>
      </w:r>
      <w:hyperlink w:anchor="_ENREF_2" w:tooltip="Therapeutic Goods Administration (TGA), 2017 #2" w:history="1">
        <w:r w:rsidRPr="003D47AE">
          <w:rPr>
            <w:sz w:val="18"/>
            <w:szCs w:val="18"/>
          </w:rPr>
          <w:fldChar w:fldCharType="begin"/>
        </w:r>
        <w:r w:rsidRPr="003D47AE">
          <w:rPr>
            <w:sz w:val="18"/>
            <w:szCs w:val="18"/>
          </w:rPr>
          <w:instrText xml:space="preserve"> ADDIN EN.CITE &lt;EndNote&gt;&lt;Cite&gt;&lt;Author&gt;TGA&lt;/Author&gt;&lt;Year&gt;2017&lt;/Year&gt;&lt;RecNum&gt;2&lt;/RecNum&gt;&lt;DisplayText&gt;&lt;style face="superscript"&gt;2&lt;/style&gt;&lt;/DisplayText&gt;&lt;record&gt;&lt;rec-number&gt;2&lt;/rec-number&gt;&lt;foreign-keys&gt;&lt;key app="EN" db-id="a29repxf7tsvw4efw08xprt4e0z9f0z2dax5"&gt;2&lt;/key&gt;&lt;/foreign-keys&gt;&lt;ref-type name="Web Page"&gt;12&lt;/ref-type&gt;&lt;contributors&gt;&lt;authors&gt;&lt;author&gt;Therapeutic Goods Administration (TGA),&lt;/author&gt;&lt;/authors&gt;&lt;/contributors&gt;&lt;titles&gt;&lt;title&gt;Hepatitis B surface antigen recombinant - medicine shortage information&lt;/title&gt;&lt;/titles&gt;&lt;volume&gt;2017&lt;/volume&gt;&lt;number&gt;8th August&lt;/number&gt;&lt;dates&gt;&lt;year&gt;2017&lt;/year&gt;&lt;/dates&gt;&lt;pub-location&gt;Symonston, ACT&lt;/pub-location&gt;&lt;publisher&gt;Therapeutic Goods Administration&lt;/publisher&gt;&lt;urls&gt;&lt;related-urls&gt;&lt;url&gt;http://apps.tga.gov.au/Prod/msi/Search/Details/hepatitis-b-surface-antigen-recombinant&lt;/url&gt;&lt;/related-urls&gt;&lt;/urls&gt;&lt;custom1&gt;2017&lt;/custom1&gt;&lt;custom2&gt;8th August&lt;/custom2&gt;&lt;/record&gt;&lt;/Cite&gt;&lt;/EndNote&gt;</w:instrText>
        </w:r>
        <w:r w:rsidRPr="003D47AE">
          <w:rPr>
            <w:sz w:val="18"/>
            <w:szCs w:val="18"/>
          </w:rPr>
          <w:fldChar w:fldCharType="separate"/>
        </w:r>
        <w:r w:rsidRPr="003D47AE">
          <w:rPr>
            <w:noProof/>
            <w:sz w:val="18"/>
            <w:szCs w:val="18"/>
            <w:vertAlign w:val="superscript"/>
          </w:rPr>
          <w:t>2</w:t>
        </w:r>
        <w:r w:rsidRPr="003D47AE">
          <w:rPr>
            <w:sz w:val="18"/>
            <w:szCs w:val="18"/>
          </w:rPr>
          <w:fldChar w:fldCharType="end"/>
        </w:r>
      </w:hyperlink>
    </w:p>
    <w:p w14:paraId="269A0F61" w14:textId="77777777" w:rsidR="00183FB0" w:rsidRPr="002F5071" w:rsidRDefault="00183FB0" w:rsidP="00183FB0">
      <w:pPr>
        <w:pStyle w:val="Heading2"/>
        <w:spacing w:before="240" w:after="120" w:line="240" w:lineRule="auto"/>
      </w:pPr>
      <w:r w:rsidRPr="003D47AE">
        <w:rPr>
          <w:sz w:val="20"/>
          <w:szCs w:val="20"/>
        </w:rPr>
        <w:t xml:space="preserve">Unnecessary vaccinations should be avoided </w:t>
      </w:r>
    </w:p>
    <w:p w14:paraId="7F4CCC2F" w14:textId="77777777" w:rsidR="00183FB0" w:rsidRPr="003D47AE" w:rsidRDefault="00183FB0" w:rsidP="00183FB0">
      <w:pPr>
        <w:pStyle w:val="ListParagraph"/>
        <w:numPr>
          <w:ilvl w:val="0"/>
          <w:numId w:val="16"/>
        </w:numPr>
        <w:spacing w:after="120" w:line="240" w:lineRule="auto"/>
        <w:ind w:left="714" w:hanging="357"/>
        <w:contextualSpacing w:val="0"/>
        <w:rPr>
          <w:rFonts w:ascii="Arial" w:hAnsi="Arial" w:cs="Arial"/>
          <w:sz w:val="18"/>
          <w:szCs w:val="18"/>
        </w:rPr>
      </w:pPr>
      <w:r w:rsidRPr="003D47AE">
        <w:rPr>
          <w:rFonts w:ascii="Arial" w:hAnsi="Arial" w:cs="Arial"/>
          <w:sz w:val="18"/>
          <w:szCs w:val="18"/>
        </w:rPr>
        <w:t xml:space="preserve">For immunocompetent individuals in whom there is documented serology results demonstrating an adequate immune response to hepatitis B vaccination after completion of the primary course (hepatitis B surface antibody [anti-HBs antibody] levels ≥10 </w:t>
      </w:r>
      <w:proofErr w:type="spellStart"/>
      <w:r w:rsidRPr="003D47AE">
        <w:rPr>
          <w:rFonts w:ascii="Arial" w:hAnsi="Arial" w:cs="Arial"/>
          <w:sz w:val="18"/>
          <w:szCs w:val="18"/>
        </w:rPr>
        <w:t>mIU</w:t>
      </w:r>
      <w:proofErr w:type="spellEnd"/>
      <w:r w:rsidRPr="003D47AE">
        <w:rPr>
          <w:rFonts w:ascii="Arial" w:hAnsi="Arial" w:cs="Arial"/>
          <w:sz w:val="18"/>
          <w:szCs w:val="18"/>
        </w:rPr>
        <w:t xml:space="preserve">/mL tested at least 4 weeks after the final dose), any further booster dose of hepatitis B vaccination is not necessary and not recommended, even if subsequent serology test shows an anti-HBs antibody level to be &lt;10 </w:t>
      </w:r>
      <w:proofErr w:type="spellStart"/>
      <w:r w:rsidRPr="003D47AE">
        <w:rPr>
          <w:rFonts w:ascii="Arial" w:hAnsi="Arial" w:cs="Arial"/>
          <w:sz w:val="18"/>
          <w:szCs w:val="18"/>
        </w:rPr>
        <w:t>mIU</w:t>
      </w:r>
      <w:proofErr w:type="spellEnd"/>
      <w:r w:rsidRPr="003D47AE">
        <w:rPr>
          <w:rFonts w:ascii="Arial" w:hAnsi="Arial" w:cs="Arial"/>
          <w:sz w:val="18"/>
          <w:szCs w:val="18"/>
        </w:rPr>
        <w:t>/</w:t>
      </w:r>
      <w:proofErr w:type="spellStart"/>
      <w:r w:rsidRPr="003D47AE">
        <w:rPr>
          <w:rFonts w:ascii="Arial" w:hAnsi="Arial" w:cs="Arial"/>
          <w:sz w:val="18"/>
          <w:szCs w:val="18"/>
        </w:rPr>
        <w:t>mL.</w:t>
      </w:r>
      <w:proofErr w:type="spellEnd"/>
    </w:p>
    <w:p w14:paraId="40422002" w14:textId="77777777" w:rsidR="00183FB0" w:rsidRPr="003D47AE" w:rsidRDefault="00183FB0" w:rsidP="00183FB0">
      <w:pPr>
        <w:pStyle w:val="ListParagraph"/>
        <w:numPr>
          <w:ilvl w:val="0"/>
          <w:numId w:val="16"/>
        </w:numPr>
        <w:spacing w:after="120" w:line="240" w:lineRule="auto"/>
        <w:ind w:left="714" w:hanging="357"/>
        <w:contextualSpacing w:val="0"/>
        <w:rPr>
          <w:rFonts w:ascii="Arial" w:hAnsi="Arial" w:cs="Arial"/>
          <w:sz w:val="18"/>
          <w:szCs w:val="18"/>
        </w:rPr>
      </w:pPr>
      <w:r w:rsidRPr="003D47AE">
        <w:rPr>
          <w:rFonts w:ascii="Arial" w:hAnsi="Arial" w:cs="Arial"/>
          <w:sz w:val="18"/>
          <w:szCs w:val="18"/>
        </w:rPr>
        <w:t xml:space="preserve">With the inclusion of hepatitis B vaccination for infants in the National Immunisation Program since 2000 as well as the nation-wide </w:t>
      </w:r>
      <w:proofErr w:type="spellStart"/>
      <w:r w:rsidRPr="003D47AE">
        <w:rPr>
          <w:rFonts w:ascii="Arial" w:hAnsi="Arial" w:cs="Arial"/>
          <w:sz w:val="18"/>
          <w:szCs w:val="18"/>
        </w:rPr>
        <w:t>catchup</w:t>
      </w:r>
      <w:proofErr w:type="spellEnd"/>
      <w:r w:rsidRPr="003D47AE">
        <w:rPr>
          <w:rFonts w:ascii="Arial" w:hAnsi="Arial" w:cs="Arial"/>
          <w:sz w:val="18"/>
          <w:szCs w:val="18"/>
        </w:rPr>
        <w:t xml:space="preserve"> program for adolescents until 2013, most Australian-born persons aged &lt;18 years would have completed a hepatitis B vaccination course. Their vaccination records should be checked on the Australian Immunisation Register before considering the need of any further doses of hepatitis B vaccination. </w:t>
      </w:r>
    </w:p>
    <w:p w14:paraId="43D2CD02" w14:textId="77777777" w:rsidR="00183FB0" w:rsidRPr="003D47AE" w:rsidRDefault="00183FB0" w:rsidP="00183FB0">
      <w:pPr>
        <w:pStyle w:val="Heading2"/>
        <w:spacing w:before="240" w:after="120" w:line="240" w:lineRule="auto"/>
        <w:rPr>
          <w:sz w:val="20"/>
          <w:szCs w:val="20"/>
        </w:rPr>
      </w:pPr>
      <w:r w:rsidRPr="003D47AE">
        <w:rPr>
          <w:sz w:val="20"/>
          <w:szCs w:val="20"/>
        </w:rPr>
        <w:t>Recommended alternative vaccination strategies</w:t>
      </w:r>
    </w:p>
    <w:p w14:paraId="090FAF3B" w14:textId="77777777" w:rsidR="00183FB0" w:rsidRPr="003D47AE" w:rsidRDefault="00183FB0" w:rsidP="00183FB0">
      <w:pPr>
        <w:pStyle w:val="Heading3"/>
        <w:spacing w:before="0" w:after="120" w:line="240" w:lineRule="auto"/>
        <w:rPr>
          <w:i/>
          <w:sz w:val="20"/>
          <w:szCs w:val="20"/>
        </w:rPr>
      </w:pPr>
      <w:r w:rsidRPr="003D47AE">
        <w:rPr>
          <w:i/>
          <w:sz w:val="20"/>
          <w:szCs w:val="20"/>
        </w:rPr>
        <w:t>Adults requiring completion of hepatitis B vaccination (aged ≥20 years, requiring 1.0 mL per dose)</w:t>
      </w:r>
    </w:p>
    <w:p w14:paraId="39C21452" w14:textId="77777777" w:rsidR="00183FB0" w:rsidRPr="003D47AE" w:rsidRDefault="00183FB0" w:rsidP="00183FB0">
      <w:pPr>
        <w:spacing w:after="120" w:line="240" w:lineRule="auto"/>
        <w:rPr>
          <w:sz w:val="18"/>
          <w:szCs w:val="18"/>
        </w:rPr>
      </w:pPr>
      <w:r w:rsidRPr="003D47AE">
        <w:rPr>
          <w:sz w:val="18"/>
          <w:szCs w:val="18"/>
        </w:rPr>
        <w:t>The original vaccination schedule should not be altered – the standard 3-dose schedule consists of 1.0 mL of the adult formulation to be administered at 0, 1 and 6 months. (The 4-dose accelerated schedules should only be used for those persons with an imminent risk of exposure, such as those intending to travel to hepatitis B endemic areas with a very limited time before departure).</w:t>
      </w:r>
      <w:hyperlink w:anchor="_ENREF_3" w:tooltip="Australian Technical Advisory Group on Immunisation (ATAGI), 2013 #5" w:history="1">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 </w:instrText>
        </w:r>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EN.CITE.DATA </w:instrText>
        </w:r>
        <w:r w:rsidRPr="003D47AE">
          <w:rPr>
            <w:sz w:val="18"/>
            <w:szCs w:val="18"/>
          </w:rPr>
        </w:r>
        <w:r w:rsidRPr="003D47AE">
          <w:rPr>
            <w:sz w:val="18"/>
            <w:szCs w:val="18"/>
          </w:rPr>
          <w:fldChar w:fldCharType="end"/>
        </w:r>
        <w:r w:rsidRPr="003D47AE">
          <w:rPr>
            <w:sz w:val="18"/>
            <w:szCs w:val="18"/>
          </w:rPr>
        </w:r>
        <w:r w:rsidRPr="003D47AE">
          <w:rPr>
            <w:sz w:val="18"/>
            <w:szCs w:val="18"/>
          </w:rPr>
          <w:fldChar w:fldCharType="separate"/>
        </w:r>
        <w:r w:rsidRPr="003D47AE">
          <w:rPr>
            <w:noProof/>
            <w:sz w:val="18"/>
            <w:szCs w:val="18"/>
            <w:vertAlign w:val="superscript"/>
          </w:rPr>
          <w:t>3</w:t>
        </w:r>
        <w:r w:rsidRPr="003D47AE">
          <w:rPr>
            <w:sz w:val="18"/>
            <w:szCs w:val="18"/>
          </w:rPr>
          <w:fldChar w:fldCharType="end"/>
        </w:r>
      </w:hyperlink>
    </w:p>
    <w:p w14:paraId="659255DE" w14:textId="77777777" w:rsidR="00183FB0" w:rsidRPr="003D47AE" w:rsidRDefault="00183FB0" w:rsidP="00183FB0">
      <w:pPr>
        <w:spacing w:after="120" w:line="240" w:lineRule="auto"/>
        <w:rPr>
          <w:sz w:val="18"/>
          <w:szCs w:val="18"/>
        </w:rPr>
      </w:pPr>
      <w:r w:rsidRPr="003D47AE">
        <w:rPr>
          <w:sz w:val="18"/>
          <w:szCs w:val="18"/>
        </w:rPr>
        <w:lastRenderedPageBreak/>
        <w:t>In the event that neither of the brands of the adult formulation (1.0 mL per dose) is available, each of the doses can be substituted with either of these two alternatives:</w:t>
      </w:r>
    </w:p>
    <w:p w14:paraId="39F51BD0" w14:textId="77777777" w:rsidR="00183FB0" w:rsidRPr="003D47AE" w:rsidRDefault="00183FB0" w:rsidP="00183FB0">
      <w:pPr>
        <w:pStyle w:val="Heading3"/>
        <w:keepNext/>
        <w:keepLines/>
        <w:numPr>
          <w:ilvl w:val="0"/>
          <w:numId w:val="13"/>
        </w:numPr>
        <w:spacing w:before="0" w:after="120" w:line="240" w:lineRule="auto"/>
        <w:ind w:left="426" w:hanging="426"/>
        <w:rPr>
          <w:sz w:val="20"/>
          <w:szCs w:val="20"/>
        </w:rPr>
      </w:pPr>
      <w:r w:rsidRPr="003D47AE">
        <w:rPr>
          <w:sz w:val="20"/>
          <w:szCs w:val="20"/>
        </w:rPr>
        <w:t>Substitute a dose with concurrent administration of two doses of a paediatric formulation</w:t>
      </w:r>
    </w:p>
    <w:p w14:paraId="0B38BF33" w14:textId="77777777" w:rsidR="00183FB0" w:rsidRPr="003D47AE" w:rsidRDefault="00183FB0" w:rsidP="00183FB0">
      <w:pPr>
        <w:spacing w:after="0" w:line="240" w:lineRule="auto"/>
        <w:ind w:left="425"/>
        <w:rPr>
          <w:sz w:val="18"/>
          <w:szCs w:val="18"/>
        </w:rPr>
      </w:pPr>
      <w:r w:rsidRPr="003D47AE">
        <w:rPr>
          <w:sz w:val="18"/>
          <w:szCs w:val="18"/>
        </w:rPr>
        <w:t xml:space="preserve">The paediatric and adult formulations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are identical in composition and concentration. They differ only in volume.</w:t>
      </w:r>
      <w:hyperlink w:anchor="_ENREF_4" w:tooltip="Therapeutic Goods Administration (TGA), 2013 #3" w:history="1">
        <w:r w:rsidRPr="003D47AE">
          <w:rPr>
            <w:sz w:val="18"/>
            <w:szCs w:val="18"/>
          </w:rPr>
          <w:fldChar w:fldCharType="begin"/>
        </w:r>
        <w:r w:rsidRPr="003D47AE">
          <w:rPr>
            <w:sz w:val="18"/>
            <w:szCs w:val="18"/>
          </w:rPr>
          <w:instrText xml:space="preserve"> ADDIN EN.CITE &lt;EndNote&gt;&lt;Cite&gt;&lt;Author&gt;TGA&lt;/Author&gt;&lt;Year&gt;2013&lt;/Year&gt;&lt;RecNum&gt;3&lt;/RecNum&gt;&lt;DisplayText&gt;&lt;style face="superscript"&gt;4&lt;/style&gt;&lt;/DisplayText&gt;&lt;record&gt;&lt;rec-number&gt;3&lt;/rec-number&gt;&lt;foreign-keys&gt;&lt;key app="EN" db-id="a29repxf7tsvw4efw08xprt4e0z9f0z2dax5"&gt;3&lt;/key&gt;&lt;/foreign-keys&gt;&lt;ref-type name="Book"&gt;6&lt;/ref-type&gt;&lt;contributors&gt;&lt;authors&gt;&lt;author&gt;Therapeutic Goods Administration (TGA),&lt;/author&gt;&lt;/authors&gt;&lt;/contributors&gt;&lt;titles&gt;&lt;title&gt;ENGERIX®-B PRODUCT INFORMATION&lt;/title&gt;&lt;/titles&gt;&lt;dates&gt;&lt;year&gt;2013&lt;/year&gt;&lt;/dates&gt;&lt;pub-location&gt;Symonston, ACT&lt;/pub-location&gt;&lt;publisher&gt;GlaxoKlineSmith&lt;/publisher&gt;&lt;urls&gt;&lt;/urls&gt;&lt;/record&gt;&lt;/Cite&gt;&lt;/EndNote&gt;</w:instrText>
        </w:r>
        <w:r w:rsidRPr="003D47AE">
          <w:rPr>
            <w:sz w:val="18"/>
            <w:szCs w:val="18"/>
          </w:rPr>
          <w:fldChar w:fldCharType="separate"/>
        </w:r>
        <w:r w:rsidRPr="003D47AE">
          <w:rPr>
            <w:noProof/>
            <w:sz w:val="18"/>
            <w:szCs w:val="18"/>
            <w:vertAlign w:val="superscript"/>
          </w:rPr>
          <w:t>4</w:t>
        </w:r>
        <w:r w:rsidRPr="003D47AE">
          <w:rPr>
            <w:sz w:val="18"/>
            <w:szCs w:val="18"/>
          </w:rPr>
          <w:fldChar w:fldCharType="end"/>
        </w:r>
      </w:hyperlink>
      <w:r w:rsidRPr="003D47AE">
        <w:rPr>
          <w:sz w:val="18"/>
          <w:szCs w:val="18"/>
        </w:rPr>
        <w:t xml:space="preserve"> This is also true of H-B-VAX II</w:t>
      </w:r>
      <w:r w:rsidRPr="003D47AE">
        <w:rPr>
          <w:sz w:val="18"/>
          <w:szCs w:val="18"/>
          <w:vertAlign w:val="superscript"/>
        </w:rPr>
        <w:t>®</w:t>
      </w:r>
      <w:r w:rsidRPr="003D47AE">
        <w:rPr>
          <w:sz w:val="18"/>
          <w:szCs w:val="18"/>
        </w:rPr>
        <w:t xml:space="preserve"> paediatric and adult formulations.</w:t>
      </w:r>
      <w:hyperlink w:anchor="_ENREF_5" w:tooltip="Therapeutic Goods Administration (TGA), 2014 #4" w:history="1">
        <w:r w:rsidRPr="003D47AE">
          <w:rPr>
            <w:sz w:val="18"/>
            <w:szCs w:val="18"/>
          </w:rPr>
          <w:fldChar w:fldCharType="begin"/>
        </w:r>
        <w:r w:rsidRPr="003D47AE">
          <w:rPr>
            <w:sz w:val="18"/>
            <w:szCs w:val="18"/>
          </w:rPr>
          <w:instrText xml:space="preserve"> ADDIN EN.CITE &lt;EndNote&gt;&lt;Cite&gt;&lt;Author&gt;TGA&lt;/Author&gt;&lt;Year&gt;2014&lt;/Year&gt;&lt;RecNum&gt;4&lt;/RecNum&gt;&lt;DisplayText&gt;&lt;style face="superscript"&gt;5&lt;/style&gt;&lt;/DisplayText&gt;&lt;record&gt;&lt;rec-number&gt;4&lt;/rec-number&gt;&lt;foreign-keys&gt;&lt;key app="EN" db-id="a29repxf7tsvw4efw08xprt4e0z9f0z2dax5"&gt;4&lt;/key&gt;&lt;/foreign-keys&gt;&lt;ref-type name="Book"&gt;6&lt;/ref-type&gt;&lt;contributors&gt;&lt;authors&gt;&lt;author&gt;Therapeutic Goods Administration (TGA),&lt;/author&gt;&lt;/authors&gt;&lt;/contributors&gt;&lt;titles&gt;&lt;title&gt;H-B-VAX® II Product Information&lt;/title&gt;&lt;/titles&gt;&lt;dates&gt;&lt;year&gt;2014&lt;/year&gt;&lt;/dates&gt;&lt;pub-location&gt;Symonston, ACT&lt;/pub-location&gt;&lt;publisher&gt;Merck Sharp &amp;amp; Dohme&lt;/publisher&gt;&lt;urls&gt;&lt;/urls&gt;&lt;/record&gt;&lt;/Cite&gt;&lt;/EndNote&gt;</w:instrText>
        </w:r>
        <w:r w:rsidRPr="003D47AE">
          <w:rPr>
            <w:sz w:val="18"/>
            <w:szCs w:val="18"/>
          </w:rPr>
          <w:fldChar w:fldCharType="separate"/>
        </w:r>
        <w:r w:rsidRPr="003D47AE">
          <w:rPr>
            <w:noProof/>
            <w:sz w:val="18"/>
            <w:szCs w:val="18"/>
            <w:vertAlign w:val="superscript"/>
          </w:rPr>
          <w:t>5</w:t>
        </w:r>
        <w:r w:rsidRPr="003D47AE">
          <w:rPr>
            <w:sz w:val="18"/>
            <w:szCs w:val="18"/>
          </w:rPr>
          <w:fldChar w:fldCharType="end"/>
        </w:r>
      </w:hyperlink>
      <w:r w:rsidRPr="003D47AE">
        <w:rPr>
          <w:sz w:val="18"/>
          <w:szCs w:val="18"/>
        </w:rPr>
        <w:t xml:space="preserve"> Although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and H-B-Vax II</w:t>
      </w:r>
      <w:r w:rsidRPr="003D47AE">
        <w:rPr>
          <w:sz w:val="18"/>
          <w:szCs w:val="18"/>
          <w:vertAlign w:val="superscript"/>
        </w:rPr>
        <w:t>®</w:t>
      </w:r>
      <w:r w:rsidRPr="003D47AE">
        <w:rPr>
          <w:sz w:val="18"/>
          <w:szCs w:val="18"/>
        </w:rPr>
        <w:t xml:space="preserve"> are formulated differently</w:t>
      </w:r>
      <w:r w:rsidRPr="003D47AE">
        <w:rPr>
          <w:rStyle w:val="FootnoteReference"/>
          <w:sz w:val="18"/>
          <w:szCs w:val="18"/>
        </w:rPr>
        <w:footnoteReference w:id="1"/>
      </w:r>
      <w:r w:rsidRPr="003D47AE">
        <w:rPr>
          <w:sz w:val="18"/>
          <w:szCs w:val="18"/>
        </w:rPr>
        <w:t>, the adult formulation volume for both brands is 1.0 mL per dose, and the paediatric formulation volume is 0.5 mL per dose. Hence the options are either:</w:t>
      </w:r>
    </w:p>
    <w:p w14:paraId="1B0BC9B1" w14:textId="77777777" w:rsidR="00183FB0" w:rsidRPr="003D47AE" w:rsidRDefault="00183FB0" w:rsidP="00183FB0">
      <w:pPr>
        <w:pStyle w:val="ListParagraph"/>
        <w:numPr>
          <w:ilvl w:val="0"/>
          <w:numId w:val="14"/>
        </w:numPr>
        <w:spacing w:after="120" w:line="240" w:lineRule="auto"/>
        <w:ind w:left="709" w:hanging="283"/>
        <w:rPr>
          <w:rFonts w:ascii="Arial" w:hAnsi="Arial" w:cs="Arial"/>
          <w:sz w:val="18"/>
          <w:szCs w:val="18"/>
        </w:rPr>
      </w:pPr>
      <w:r w:rsidRPr="003D47AE">
        <w:rPr>
          <w:rFonts w:ascii="Arial" w:hAnsi="Arial" w:cs="Arial"/>
          <w:sz w:val="18"/>
          <w:szCs w:val="18"/>
        </w:rPr>
        <w:t xml:space="preserve">Two concurrent doses of </w:t>
      </w:r>
      <w:proofErr w:type="spellStart"/>
      <w:r w:rsidRPr="003D47AE">
        <w:rPr>
          <w:rFonts w:ascii="Arial" w:hAnsi="Arial" w:cs="Arial"/>
          <w:sz w:val="18"/>
          <w:szCs w:val="18"/>
        </w:rPr>
        <w:t>Engerix</w:t>
      </w:r>
      <w:proofErr w:type="spellEnd"/>
      <w:r w:rsidRPr="003D47AE">
        <w:rPr>
          <w:rFonts w:ascii="Arial" w:hAnsi="Arial" w:cs="Arial"/>
          <w:sz w:val="18"/>
          <w:szCs w:val="18"/>
        </w:rPr>
        <w:t>-B</w:t>
      </w:r>
      <w:r w:rsidRPr="003D47AE">
        <w:rPr>
          <w:rFonts w:ascii="Arial" w:hAnsi="Arial" w:cs="Arial"/>
          <w:sz w:val="18"/>
          <w:szCs w:val="18"/>
          <w:vertAlign w:val="superscript"/>
        </w:rPr>
        <w:t>®</w:t>
      </w:r>
      <w:r w:rsidRPr="003D47AE">
        <w:rPr>
          <w:rFonts w:ascii="Arial" w:hAnsi="Arial" w:cs="Arial"/>
          <w:sz w:val="18"/>
          <w:szCs w:val="18"/>
        </w:rPr>
        <w:t xml:space="preserve"> paediatric formulation 0.5 mL (10 µg/0.5 mL) per dose; </w:t>
      </w:r>
      <w:r w:rsidRPr="003D47AE">
        <w:rPr>
          <w:rFonts w:ascii="Arial" w:hAnsi="Arial" w:cs="Arial"/>
          <w:i/>
          <w:sz w:val="18"/>
          <w:szCs w:val="18"/>
        </w:rPr>
        <w:t>OR</w:t>
      </w:r>
    </w:p>
    <w:p w14:paraId="2E454DB0" w14:textId="77777777" w:rsidR="00183FB0" w:rsidRPr="003D47AE" w:rsidRDefault="00183FB0" w:rsidP="00183FB0">
      <w:pPr>
        <w:pStyle w:val="ListParagraph"/>
        <w:numPr>
          <w:ilvl w:val="0"/>
          <w:numId w:val="14"/>
        </w:numPr>
        <w:spacing w:after="120" w:line="240" w:lineRule="auto"/>
        <w:ind w:left="709" w:hanging="283"/>
        <w:rPr>
          <w:rFonts w:ascii="Arial" w:hAnsi="Arial" w:cs="Arial"/>
          <w:sz w:val="18"/>
          <w:szCs w:val="18"/>
        </w:rPr>
      </w:pPr>
      <w:r w:rsidRPr="003D47AE">
        <w:rPr>
          <w:rFonts w:ascii="Arial" w:hAnsi="Arial" w:cs="Arial"/>
          <w:sz w:val="18"/>
          <w:szCs w:val="18"/>
        </w:rPr>
        <w:t>Two concurrent doses of H-B-Vax II</w:t>
      </w:r>
      <w:r w:rsidRPr="003D47AE">
        <w:rPr>
          <w:rFonts w:ascii="Arial" w:hAnsi="Arial" w:cs="Arial"/>
          <w:sz w:val="18"/>
          <w:szCs w:val="18"/>
          <w:vertAlign w:val="superscript"/>
        </w:rPr>
        <w:t>®</w:t>
      </w:r>
      <w:r w:rsidRPr="003D47AE">
        <w:rPr>
          <w:rFonts w:ascii="Arial" w:hAnsi="Arial" w:cs="Arial"/>
          <w:sz w:val="18"/>
          <w:szCs w:val="18"/>
        </w:rPr>
        <w:t xml:space="preserve"> paediatric formulation 0.5 mL (5 µg/0.5 mL) per dose.</w:t>
      </w:r>
    </w:p>
    <w:p w14:paraId="33C2303B" w14:textId="77777777" w:rsidR="00183FB0" w:rsidRPr="003D47AE" w:rsidRDefault="00183FB0" w:rsidP="00183FB0">
      <w:pPr>
        <w:spacing w:after="120" w:line="240" w:lineRule="auto"/>
        <w:ind w:left="426"/>
        <w:rPr>
          <w:sz w:val="18"/>
          <w:szCs w:val="18"/>
        </w:rPr>
      </w:pPr>
      <w:r w:rsidRPr="003D47AE">
        <w:rPr>
          <w:sz w:val="18"/>
          <w:szCs w:val="18"/>
        </w:rPr>
        <w:t xml:space="preserve">Although this practice may not be ideal, ATAGI considers it acceptable in terms of safety and effectiveness in the event of supply shortage of the adult formulations. </w:t>
      </w:r>
    </w:p>
    <w:p w14:paraId="3BC1125D" w14:textId="77777777" w:rsidR="00183FB0" w:rsidRPr="003D47AE" w:rsidRDefault="00183FB0" w:rsidP="00183FB0">
      <w:pPr>
        <w:spacing w:after="120" w:line="240" w:lineRule="auto"/>
        <w:ind w:left="426"/>
        <w:rPr>
          <w:sz w:val="18"/>
          <w:szCs w:val="18"/>
        </w:rPr>
      </w:pPr>
      <w:r w:rsidRPr="003D47AE">
        <w:rPr>
          <w:sz w:val="18"/>
          <w:szCs w:val="18"/>
        </w:rPr>
        <w:t xml:space="preserve">Both paediatric formulations are only available as pre-filled syringes in Australia. Pre-filled syringes should be administered as separate injections. Doses </w:t>
      </w:r>
      <w:r w:rsidRPr="003D47AE">
        <w:rPr>
          <w:b/>
          <w:sz w:val="18"/>
          <w:szCs w:val="18"/>
        </w:rPr>
        <w:t>should not</w:t>
      </w:r>
      <w:r w:rsidRPr="003D47AE">
        <w:rPr>
          <w:sz w:val="18"/>
          <w:szCs w:val="18"/>
        </w:rPr>
        <w:t xml:space="preserve"> be transferred into a single syringe for administration, due to the risk of contamination and dosing errors.</w:t>
      </w:r>
    </w:p>
    <w:p w14:paraId="78EA45D6" w14:textId="77777777" w:rsidR="00183FB0" w:rsidRPr="003D47AE" w:rsidRDefault="00183FB0" w:rsidP="00183FB0">
      <w:pPr>
        <w:spacing w:after="120" w:line="240" w:lineRule="auto"/>
        <w:ind w:left="426"/>
        <w:rPr>
          <w:sz w:val="18"/>
          <w:szCs w:val="18"/>
        </w:rPr>
      </w:pPr>
      <w:r w:rsidRPr="003D47AE">
        <w:rPr>
          <w:sz w:val="18"/>
          <w:szCs w:val="18"/>
        </w:rPr>
        <w:t>Although there is no preference for site of additional doses, injections at adjacent sites on the same arm should be at least 2.5 cm apart.</w:t>
      </w:r>
      <w:hyperlink w:anchor="_ENREF_3" w:tooltip="Australian Technical Advisory Group on Immunisation (ATAGI), 2013 #5" w:history="1">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 </w:instrText>
        </w:r>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EN.CITE.DATA </w:instrText>
        </w:r>
        <w:r w:rsidRPr="003D47AE">
          <w:rPr>
            <w:sz w:val="18"/>
            <w:szCs w:val="18"/>
          </w:rPr>
        </w:r>
        <w:r w:rsidRPr="003D47AE">
          <w:rPr>
            <w:sz w:val="18"/>
            <w:szCs w:val="18"/>
          </w:rPr>
          <w:fldChar w:fldCharType="end"/>
        </w:r>
        <w:r w:rsidRPr="003D47AE">
          <w:rPr>
            <w:sz w:val="18"/>
            <w:szCs w:val="18"/>
          </w:rPr>
        </w:r>
        <w:r w:rsidRPr="003D47AE">
          <w:rPr>
            <w:sz w:val="18"/>
            <w:szCs w:val="18"/>
          </w:rPr>
          <w:fldChar w:fldCharType="separate"/>
        </w:r>
        <w:r w:rsidRPr="003D47AE">
          <w:rPr>
            <w:noProof/>
            <w:sz w:val="18"/>
            <w:szCs w:val="18"/>
            <w:vertAlign w:val="superscript"/>
          </w:rPr>
          <w:t>3</w:t>
        </w:r>
        <w:r w:rsidRPr="003D47AE">
          <w:rPr>
            <w:sz w:val="18"/>
            <w:szCs w:val="18"/>
          </w:rPr>
          <w:fldChar w:fldCharType="end"/>
        </w:r>
      </w:hyperlink>
      <w:r w:rsidRPr="003D47AE">
        <w:rPr>
          <w:sz w:val="18"/>
          <w:szCs w:val="18"/>
        </w:rPr>
        <w:t xml:space="preserve"> Concurrent mixed use of one paediatric dose each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and H-B-Vax II</w:t>
      </w:r>
      <w:r w:rsidRPr="003D47AE">
        <w:rPr>
          <w:sz w:val="18"/>
          <w:szCs w:val="18"/>
          <w:vertAlign w:val="superscript"/>
        </w:rPr>
        <w:t>®</w:t>
      </w:r>
      <w:r w:rsidRPr="003D47AE">
        <w:rPr>
          <w:sz w:val="18"/>
          <w:szCs w:val="18"/>
        </w:rPr>
        <w:t xml:space="preserve"> is not recommended, as efficacy is unclear.</w:t>
      </w:r>
    </w:p>
    <w:p w14:paraId="4E860A98" w14:textId="77777777" w:rsidR="00183FB0" w:rsidRPr="003D47AE" w:rsidRDefault="00183FB0" w:rsidP="00183FB0">
      <w:pPr>
        <w:spacing w:after="120" w:line="240" w:lineRule="auto"/>
        <w:ind w:left="426"/>
        <w:rPr>
          <w:sz w:val="18"/>
          <w:szCs w:val="18"/>
        </w:rPr>
      </w:pPr>
      <w:r w:rsidRPr="003D47AE">
        <w:rPr>
          <w:sz w:val="18"/>
          <w:szCs w:val="18"/>
        </w:rPr>
        <w:t xml:space="preserve">Where possible the same brand of hepatitis B vaccine should be used over the entire course. Where circumstances prevent this, ATAGI considers it acceptable to complete a course with the other brand. </w:t>
      </w:r>
      <w:hyperlink w:anchor="_ENREF_3" w:tooltip="Australian Technical Advisory Group on Immunisation (ATAGI), 2013 #5" w:history="1">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 </w:instrText>
        </w:r>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EN.CITE.DATA </w:instrText>
        </w:r>
        <w:r w:rsidRPr="003D47AE">
          <w:rPr>
            <w:sz w:val="18"/>
            <w:szCs w:val="18"/>
          </w:rPr>
        </w:r>
        <w:r w:rsidRPr="003D47AE">
          <w:rPr>
            <w:sz w:val="18"/>
            <w:szCs w:val="18"/>
          </w:rPr>
          <w:fldChar w:fldCharType="end"/>
        </w:r>
        <w:r w:rsidRPr="003D47AE">
          <w:rPr>
            <w:sz w:val="18"/>
            <w:szCs w:val="18"/>
          </w:rPr>
        </w:r>
        <w:r w:rsidRPr="003D47AE">
          <w:rPr>
            <w:sz w:val="18"/>
            <w:szCs w:val="18"/>
          </w:rPr>
          <w:fldChar w:fldCharType="separate"/>
        </w:r>
        <w:r w:rsidRPr="003D47AE">
          <w:rPr>
            <w:noProof/>
            <w:sz w:val="18"/>
            <w:szCs w:val="18"/>
            <w:vertAlign w:val="superscript"/>
          </w:rPr>
          <w:t>3</w:t>
        </w:r>
        <w:r w:rsidRPr="003D47AE">
          <w:rPr>
            <w:sz w:val="18"/>
            <w:szCs w:val="18"/>
          </w:rPr>
          <w:fldChar w:fldCharType="end"/>
        </w:r>
      </w:hyperlink>
    </w:p>
    <w:p w14:paraId="0751399F" w14:textId="77777777" w:rsidR="00183FB0" w:rsidRPr="003D47AE" w:rsidRDefault="00183FB0" w:rsidP="00183FB0">
      <w:pPr>
        <w:pStyle w:val="Heading3"/>
        <w:keepNext/>
        <w:keepLines/>
        <w:numPr>
          <w:ilvl w:val="0"/>
          <w:numId w:val="13"/>
        </w:numPr>
        <w:spacing w:before="0" w:after="120" w:line="240" w:lineRule="auto"/>
        <w:ind w:left="426" w:hanging="426"/>
        <w:rPr>
          <w:sz w:val="20"/>
          <w:szCs w:val="20"/>
        </w:rPr>
      </w:pPr>
      <w:r w:rsidRPr="003D47AE">
        <w:rPr>
          <w:sz w:val="20"/>
          <w:szCs w:val="20"/>
        </w:rPr>
        <w:t xml:space="preserve">Substitute a dose with an adult dose of </w:t>
      </w:r>
      <w:proofErr w:type="spellStart"/>
      <w:r w:rsidRPr="003D47AE">
        <w:rPr>
          <w:sz w:val="20"/>
          <w:szCs w:val="20"/>
        </w:rPr>
        <w:t>Twinrix</w:t>
      </w:r>
      <w:proofErr w:type="spellEnd"/>
      <w:r w:rsidRPr="003D47AE">
        <w:rPr>
          <w:sz w:val="20"/>
          <w:szCs w:val="20"/>
        </w:rPr>
        <w:t>®</w:t>
      </w:r>
    </w:p>
    <w:p w14:paraId="521C386A" w14:textId="77777777" w:rsidR="00183FB0" w:rsidRPr="003D47AE" w:rsidRDefault="00183FB0" w:rsidP="00183FB0">
      <w:pPr>
        <w:spacing w:after="120" w:line="240" w:lineRule="auto"/>
        <w:ind w:left="426"/>
        <w:rPr>
          <w:sz w:val="18"/>
          <w:szCs w:val="18"/>
        </w:rPr>
      </w:pPr>
      <w:r w:rsidRPr="003D47AE">
        <w:rPr>
          <w:sz w:val="18"/>
          <w:szCs w:val="18"/>
        </w:rPr>
        <w:t xml:space="preserve">A single dose of the adult formulation of </w:t>
      </w:r>
      <w:proofErr w:type="spellStart"/>
      <w:r w:rsidRPr="003D47AE">
        <w:rPr>
          <w:sz w:val="18"/>
          <w:szCs w:val="18"/>
        </w:rPr>
        <w:t>Twinrix</w:t>
      </w:r>
      <w:proofErr w:type="spellEnd"/>
      <w:r w:rsidRPr="003D47AE">
        <w:rPr>
          <w:sz w:val="18"/>
          <w:szCs w:val="18"/>
          <w:vertAlign w:val="superscript"/>
        </w:rPr>
        <w:t>®</w:t>
      </w:r>
      <w:r w:rsidRPr="003D47AE">
        <w:rPr>
          <w:sz w:val="18"/>
          <w:szCs w:val="18"/>
        </w:rPr>
        <w:t xml:space="preserve"> contains 720 ELISA units of hepatitis A virus antigen and 20 µg of hepatitis B surface antigen per 1.0 mL; the hepatitis B surface antigen content in an adult dose of </w:t>
      </w:r>
      <w:proofErr w:type="spellStart"/>
      <w:r w:rsidRPr="003D47AE">
        <w:rPr>
          <w:sz w:val="18"/>
          <w:szCs w:val="18"/>
        </w:rPr>
        <w:t>Twinrix</w:t>
      </w:r>
      <w:proofErr w:type="spellEnd"/>
      <w:r w:rsidRPr="003D47AE">
        <w:rPr>
          <w:sz w:val="18"/>
          <w:szCs w:val="18"/>
          <w:vertAlign w:val="superscript"/>
        </w:rPr>
        <w:t>®</w:t>
      </w:r>
      <w:r w:rsidRPr="003D47AE">
        <w:rPr>
          <w:sz w:val="18"/>
          <w:szCs w:val="18"/>
        </w:rPr>
        <w:t xml:space="preserve"> is equivalent to that in a 1.0 mL dose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Each single dose of the paediatric formulation of </w:t>
      </w:r>
      <w:proofErr w:type="spellStart"/>
      <w:r w:rsidRPr="003D47AE">
        <w:rPr>
          <w:sz w:val="18"/>
          <w:szCs w:val="18"/>
        </w:rPr>
        <w:t>Twinrix</w:t>
      </w:r>
      <w:proofErr w:type="spellEnd"/>
      <w:r w:rsidRPr="003D47AE">
        <w:rPr>
          <w:sz w:val="18"/>
          <w:szCs w:val="18"/>
          <w:vertAlign w:val="superscript"/>
        </w:rPr>
        <w:t>®</w:t>
      </w:r>
      <w:r w:rsidRPr="003D47AE">
        <w:rPr>
          <w:sz w:val="18"/>
          <w:szCs w:val="18"/>
        </w:rPr>
        <w:t xml:space="preserve"> (</w:t>
      </w:r>
      <w:proofErr w:type="spellStart"/>
      <w:r w:rsidRPr="003D47AE">
        <w:rPr>
          <w:sz w:val="18"/>
          <w:szCs w:val="18"/>
        </w:rPr>
        <w:t>Twinrix</w:t>
      </w:r>
      <w:proofErr w:type="spellEnd"/>
      <w:r w:rsidRPr="003D47AE">
        <w:rPr>
          <w:sz w:val="18"/>
          <w:szCs w:val="18"/>
          <w:vertAlign w:val="superscript"/>
        </w:rPr>
        <w:t xml:space="preserve">® </w:t>
      </w:r>
      <w:r w:rsidRPr="003D47AE">
        <w:rPr>
          <w:sz w:val="18"/>
          <w:szCs w:val="18"/>
        </w:rPr>
        <w:t xml:space="preserve">Junior) consist of half of the volume of the adult formulation of </w:t>
      </w:r>
      <w:proofErr w:type="spellStart"/>
      <w:r w:rsidRPr="003D47AE">
        <w:rPr>
          <w:sz w:val="18"/>
          <w:szCs w:val="18"/>
        </w:rPr>
        <w:t>Twinrix</w:t>
      </w:r>
      <w:proofErr w:type="spellEnd"/>
      <w:r w:rsidRPr="003D47AE">
        <w:rPr>
          <w:sz w:val="18"/>
          <w:szCs w:val="18"/>
          <w:vertAlign w:val="superscript"/>
        </w:rPr>
        <w:t>®</w:t>
      </w:r>
      <w:r w:rsidRPr="003D47AE">
        <w:rPr>
          <w:sz w:val="18"/>
          <w:szCs w:val="18"/>
        </w:rPr>
        <w:t xml:space="preserve"> (i.e. 0.5 mL per dose of </w:t>
      </w:r>
      <w:proofErr w:type="spellStart"/>
      <w:r w:rsidRPr="003D47AE">
        <w:rPr>
          <w:sz w:val="18"/>
          <w:szCs w:val="18"/>
        </w:rPr>
        <w:t>Twinrix</w:t>
      </w:r>
      <w:proofErr w:type="spellEnd"/>
      <w:r w:rsidRPr="003D47AE">
        <w:rPr>
          <w:sz w:val="18"/>
          <w:szCs w:val="18"/>
          <w:vertAlign w:val="superscript"/>
        </w:rPr>
        <w:t xml:space="preserve">® </w:t>
      </w:r>
      <w:r w:rsidRPr="003D47AE">
        <w:rPr>
          <w:sz w:val="18"/>
          <w:szCs w:val="18"/>
        </w:rPr>
        <w:t>Junior), but the concentration of hepatitis A virus antigen and hepatitis B surface antigen is equivalent to that as in the adult formulation.</w:t>
      </w:r>
      <w:hyperlink w:anchor="_ENREF_3" w:tooltip="Australian Technical Advisory Group on Immunisation (ATAGI), 2013 #5" w:history="1">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 </w:instrText>
        </w:r>
        <w:r w:rsidRPr="003D47AE">
          <w:rPr>
            <w:sz w:val="18"/>
            <w:szCs w:val="18"/>
          </w:rPr>
          <w:fldChar w:fldCharType="begin">
            <w:fldData xml:space="preserve">PEVuZE5vdGU+PENpdGU+PEF1dGhvcj5BdXN0cmFsaWFuIFRlY2huaWNhbCBBZHZpc29yeSBHcm91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</w:fldData>
          </w:fldChar>
        </w:r>
        <w:r w:rsidRPr="003D47AE">
          <w:rPr>
            <w:sz w:val="18"/>
            <w:szCs w:val="18"/>
          </w:rPr>
          <w:instrText xml:space="preserve"> ADDIN EN.CITE.DATA </w:instrText>
        </w:r>
        <w:r w:rsidRPr="003D47AE">
          <w:rPr>
            <w:sz w:val="18"/>
            <w:szCs w:val="18"/>
          </w:rPr>
        </w:r>
        <w:r w:rsidRPr="003D47AE">
          <w:rPr>
            <w:sz w:val="18"/>
            <w:szCs w:val="18"/>
          </w:rPr>
          <w:fldChar w:fldCharType="end"/>
        </w:r>
        <w:r w:rsidRPr="003D47AE">
          <w:rPr>
            <w:sz w:val="18"/>
            <w:szCs w:val="18"/>
          </w:rPr>
        </w:r>
        <w:r w:rsidRPr="003D47AE">
          <w:rPr>
            <w:sz w:val="18"/>
            <w:szCs w:val="18"/>
          </w:rPr>
          <w:fldChar w:fldCharType="separate"/>
        </w:r>
        <w:r w:rsidRPr="003D47AE">
          <w:rPr>
            <w:noProof/>
            <w:sz w:val="18"/>
            <w:szCs w:val="18"/>
            <w:vertAlign w:val="superscript"/>
          </w:rPr>
          <w:t>3</w:t>
        </w:r>
        <w:r w:rsidRPr="003D47AE">
          <w:rPr>
            <w:sz w:val="18"/>
            <w:szCs w:val="18"/>
          </w:rPr>
          <w:fldChar w:fldCharType="end"/>
        </w:r>
      </w:hyperlink>
    </w:p>
    <w:p w14:paraId="1FAD286E" w14:textId="77777777" w:rsidR="00183FB0" w:rsidRPr="003D47AE" w:rsidRDefault="00183FB0" w:rsidP="00183FB0">
      <w:pPr>
        <w:spacing w:after="120" w:line="240" w:lineRule="auto"/>
        <w:ind w:left="426"/>
        <w:rPr>
          <w:sz w:val="18"/>
          <w:szCs w:val="18"/>
        </w:rPr>
      </w:pPr>
      <w:r w:rsidRPr="003D47AE">
        <w:rPr>
          <w:sz w:val="18"/>
          <w:szCs w:val="18"/>
        </w:rPr>
        <w:t xml:space="preserve">For adults who have not previously been vaccinated against either hepatitis A or hepatitis B, completing a course of </w:t>
      </w:r>
      <w:proofErr w:type="spellStart"/>
      <w:r w:rsidRPr="003D47AE">
        <w:rPr>
          <w:sz w:val="18"/>
          <w:szCs w:val="18"/>
        </w:rPr>
        <w:t>Twinrix</w:t>
      </w:r>
      <w:proofErr w:type="spellEnd"/>
      <w:r w:rsidRPr="003D47AE">
        <w:rPr>
          <w:sz w:val="18"/>
          <w:szCs w:val="18"/>
          <w:vertAlign w:val="superscript"/>
        </w:rPr>
        <w:t>®</w:t>
      </w:r>
      <w:r w:rsidRPr="003D47AE">
        <w:rPr>
          <w:sz w:val="18"/>
          <w:szCs w:val="18"/>
        </w:rPr>
        <w:t>, according to the standard 3-dose schedule at 0, 1 and 6 months, would provide adequate protection against both hepatitis A and hepatitis B infection.</w:t>
      </w:r>
    </w:p>
    <w:p w14:paraId="50F4C958" w14:textId="77777777" w:rsidR="00183FB0" w:rsidRPr="003D47AE" w:rsidRDefault="00183FB0" w:rsidP="00183FB0">
      <w:pPr>
        <w:spacing w:after="0" w:line="240" w:lineRule="auto"/>
        <w:ind w:left="425"/>
        <w:rPr>
          <w:sz w:val="18"/>
          <w:szCs w:val="18"/>
        </w:rPr>
      </w:pPr>
      <w:r w:rsidRPr="003D47AE">
        <w:rPr>
          <w:sz w:val="18"/>
          <w:szCs w:val="18"/>
        </w:rPr>
        <w:t xml:space="preserve">Where a course of </w:t>
      </w:r>
      <w:proofErr w:type="spellStart"/>
      <w:r w:rsidRPr="003D47AE">
        <w:rPr>
          <w:sz w:val="18"/>
          <w:szCs w:val="18"/>
        </w:rPr>
        <w:t>Engerix</w:t>
      </w:r>
      <w:proofErr w:type="spellEnd"/>
      <w:r w:rsidRPr="003D47AE">
        <w:rPr>
          <w:sz w:val="18"/>
          <w:szCs w:val="18"/>
        </w:rPr>
        <w:t>-B</w:t>
      </w:r>
      <w:r w:rsidRPr="003D47AE">
        <w:rPr>
          <w:sz w:val="18"/>
          <w:szCs w:val="18"/>
          <w:vertAlign w:val="superscript"/>
        </w:rPr>
        <w:t>®</w:t>
      </w:r>
      <w:r w:rsidRPr="003D47AE">
        <w:rPr>
          <w:sz w:val="18"/>
          <w:szCs w:val="18"/>
        </w:rPr>
        <w:t xml:space="preserve"> or H-B-Vax II</w:t>
      </w:r>
      <w:r w:rsidRPr="003D47AE">
        <w:rPr>
          <w:sz w:val="18"/>
          <w:szCs w:val="18"/>
          <w:vertAlign w:val="superscript"/>
        </w:rPr>
        <w:t>®</w:t>
      </w:r>
      <w:r w:rsidRPr="003D47AE">
        <w:rPr>
          <w:sz w:val="18"/>
          <w:szCs w:val="18"/>
        </w:rPr>
        <w:t xml:space="preserve"> vaccination has commenced, completing the course according to the original schedule with adult formulation </w:t>
      </w:r>
      <w:proofErr w:type="spellStart"/>
      <w:r w:rsidRPr="003D47AE">
        <w:rPr>
          <w:sz w:val="18"/>
          <w:szCs w:val="18"/>
        </w:rPr>
        <w:t>Twinrix</w:t>
      </w:r>
      <w:proofErr w:type="spellEnd"/>
      <w:r w:rsidRPr="003D47AE">
        <w:rPr>
          <w:sz w:val="18"/>
          <w:szCs w:val="18"/>
          <w:vertAlign w:val="superscript"/>
        </w:rPr>
        <w:t>®</w:t>
      </w:r>
      <w:r w:rsidRPr="003D47AE">
        <w:rPr>
          <w:sz w:val="18"/>
          <w:szCs w:val="18"/>
        </w:rPr>
        <w:t xml:space="preserve"> would provide adequate protection against hepatitis B. However, further dose(s) of a hepatitis A-containing vaccine will be required if long-term protection against hepatitis A is also desired or indicated. For completing the hepatitis A vaccination requirements:</w:t>
      </w:r>
    </w:p>
    <w:p w14:paraId="59DD1673" w14:textId="77777777" w:rsidR="00183FB0" w:rsidRPr="003D47AE" w:rsidRDefault="00183FB0" w:rsidP="00183FB0">
      <w:pPr>
        <w:pStyle w:val="ListParagraph"/>
        <w:numPr>
          <w:ilvl w:val="0"/>
          <w:numId w:val="15"/>
        </w:numPr>
        <w:spacing w:after="120" w:line="240" w:lineRule="auto"/>
        <w:ind w:left="709" w:hanging="283"/>
        <w:rPr>
          <w:rFonts w:ascii="Arial" w:hAnsi="Arial" w:cs="Arial"/>
          <w:sz w:val="18"/>
          <w:szCs w:val="18"/>
        </w:rPr>
      </w:pPr>
      <w:r w:rsidRPr="003D47AE">
        <w:rPr>
          <w:rFonts w:ascii="Arial" w:hAnsi="Arial" w:cs="Arial"/>
          <w:sz w:val="18"/>
          <w:szCs w:val="18"/>
        </w:rPr>
        <w:t xml:space="preserve">If only one dose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xml:space="preserve"> was received as a substitute for completing a hepatitis B vaccination course, the options are to give either:</w:t>
      </w:r>
    </w:p>
    <w:p w14:paraId="11B31FAF" w14:textId="77777777" w:rsidR="00183FB0" w:rsidRPr="003D47AE" w:rsidRDefault="00183FB0" w:rsidP="00183FB0">
      <w:pPr>
        <w:pStyle w:val="ListParagraph"/>
        <w:numPr>
          <w:ilvl w:val="1"/>
          <w:numId w:val="15"/>
        </w:numPr>
        <w:spacing w:after="120" w:line="240" w:lineRule="auto"/>
        <w:ind w:left="993" w:hanging="284"/>
        <w:rPr>
          <w:rFonts w:ascii="Arial" w:hAnsi="Arial" w:cs="Arial"/>
          <w:sz w:val="18"/>
          <w:szCs w:val="18"/>
        </w:rPr>
      </w:pPr>
      <w:r w:rsidRPr="003D47AE">
        <w:rPr>
          <w:rFonts w:ascii="Arial" w:hAnsi="Arial" w:cs="Arial"/>
          <w:sz w:val="18"/>
          <w:szCs w:val="18"/>
        </w:rPr>
        <w:t xml:space="preserve">A complete course of a hepatitis A vaccine (any brand), i.e. two doses 6–12 months apart; </w:t>
      </w:r>
      <w:r w:rsidRPr="003D47AE">
        <w:rPr>
          <w:rFonts w:ascii="Arial" w:hAnsi="Arial" w:cs="Arial"/>
          <w:i/>
          <w:sz w:val="18"/>
          <w:szCs w:val="18"/>
        </w:rPr>
        <w:t>OR</w:t>
      </w:r>
    </w:p>
    <w:p w14:paraId="1FD33140" w14:textId="77777777" w:rsidR="00183FB0" w:rsidRPr="003D47AE" w:rsidRDefault="00183FB0" w:rsidP="00183FB0">
      <w:pPr>
        <w:pStyle w:val="ListParagraph"/>
        <w:numPr>
          <w:ilvl w:val="1"/>
          <w:numId w:val="15"/>
        </w:numPr>
        <w:spacing w:after="120" w:line="240" w:lineRule="auto"/>
        <w:ind w:left="993" w:hanging="284"/>
        <w:rPr>
          <w:rFonts w:ascii="Arial" w:hAnsi="Arial" w:cs="Arial"/>
          <w:sz w:val="18"/>
          <w:szCs w:val="18"/>
        </w:rPr>
      </w:pPr>
      <w:r w:rsidRPr="003D47AE">
        <w:rPr>
          <w:rFonts w:ascii="Arial" w:hAnsi="Arial" w:cs="Arial"/>
          <w:sz w:val="18"/>
          <w:szCs w:val="18"/>
        </w:rPr>
        <w:t xml:space="preserve">Two more doses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xml:space="preserve">, at 1 and 6 months after the first (i.e. a 3-dose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xml:space="preserve"> course). </w:t>
      </w:r>
      <w:r w:rsidRPr="003D47AE">
        <w:rPr>
          <w:rFonts w:ascii="Arial" w:hAnsi="Arial" w:cs="Arial"/>
          <w:sz w:val="18"/>
          <w:szCs w:val="18"/>
        </w:rPr>
        <w:br/>
      </w:r>
      <w:r w:rsidRPr="003D47AE">
        <w:rPr>
          <w:rFonts w:ascii="Arial" w:hAnsi="Arial" w:cs="Arial"/>
          <w:i/>
          <w:sz w:val="18"/>
          <w:szCs w:val="18"/>
        </w:rPr>
        <w:t xml:space="preserve">Note: If the first dose of </w:t>
      </w:r>
      <w:proofErr w:type="spellStart"/>
      <w:r w:rsidRPr="003D47AE">
        <w:rPr>
          <w:rFonts w:ascii="Arial" w:hAnsi="Arial" w:cs="Arial"/>
          <w:i/>
          <w:sz w:val="18"/>
          <w:szCs w:val="18"/>
        </w:rPr>
        <w:t>Twinrix</w:t>
      </w:r>
      <w:proofErr w:type="spellEnd"/>
      <w:r w:rsidRPr="003D47AE">
        <w:rPr>
          <w:rFonts w:ascii="Arial" w:hAnsi="Arial" w:cs="Arial"/>
          <w:i/>
          <w:sz w:val="18"/>
          <w:szCs w:val="18"/>
          <w:vertAlign w:val="superscript"/>
        </w:rPr>
        <w:t>®</w:t>
      </w:r>
      <w:r w:rsidRPr="003D47AE">
        <w:rPr>
          <w:rFonts w:ascii="Arial" w:hAnsi="Arial" w:cs="Arial"/>
          <w:i/>
          <w:sz w:val="18"/>
          <w:szCs w:val="18"/>
        </w:rPr>
        <w:t xml:space="preserve"> was used as the substitute for the second dose of the hepatitis B vaccination course and this </w:t>
      </w:r>
      <w:proofErr w:type="spellStart"/>
      <w:r w:rsidRPr="003D47AE">
        <w:rPr>
          <w:rFonts w:ascii="Arial" w:hAnsi="Arial" w:cs="Arial"/>
          <w:i/>
          <w:sz w:val="18"/>
          <w:szCs w:val="18"/>
        </w:rPr>
        <w:t>Twinrix</w:t>
      </w:r>
      <w:proofErr w:type="spellEnd"/>
      <w:r w:rsidRPr="003D47AE">
        <w:rPr>
          <w:rFonts w:ascii="Arial" w:hAnsi="Arial" w:cs="Arial"/>
          <w:i/>
          <w:sz w:val="18"/>
          <w:szCs w:val="18"/>
          <w:vertAlign w:val="superscript"/>
        </w:rPr>
        <w:t>®</w:t>
      </w:r>
      <w:r w:rsidRPr="003D47AE">
        <w:rPr>
          <w:rFonts w:ascii="Arial" w:hAnsi="Arial" w:cs="Arial"/>
          <w:i/>
          <w:sz w:val="18"/>
          <w:szCs w:val="18"/>
        </w:rPr>
        <w:t xml:space="preserve"> schedule is followed, the hepatitis B vaccination course is regarded as complete only after the third </w:t>
      </w:r>
      <w:proofErr w:type="spellStart"/>
      <w:r w:rsidRPr="003D47AE">
        <w:rPr>
          <w:rFonts w:ascii="Arial" w:hAnsi="Arial" w:cs="Arial"/>
          <w:i/>
          <w:sz w:val="18"/>
          <w:szCs w:val="18"/>
        </w:rPr>
        <w:t>Twinrix</w:t>
      </w:r>
      <w:proofErr w:type="spellEnd"/>
      <w:r w:rsidRPr="003D47AE">
        <w:rPr>
          <w:rFonts w:ascii="Arial" w:hAnsi="Arial" w:cs="Arial"/>
          <w:i/>
          <w:sz w:val="18"/>
          <w:szCs w:val="18"/>
          <w:vertAlign w:val="superscript"/>
        </w:rPr>
        <w:t>®</w:t>
      </w:r>
      <w:r w:rsidRPr="003D47AE">
        <w:rPr>
          <w:rFonts w:ascii="Arial" w:hAnsi="Arial" w:cs="Arial"/>
          <w:i/>
          <w:sz w:val="18"/>
          <w:szCs w:val="18"/>
        </w:rPr>
        <w:t xml:space="preserve"> dose is completed, due to minimum interval requirements of hepatitis B vaccination between dose 2 and dose 3.</w:t>
      </w:r>
    </w:p>
    <w:p w14:paraId="04153254" w14:textId="77777777" w:rsidR="00183FB0" w:rsidRPr="003D47AE" w:rsidRDefault="00183FB0" w:rsidP="00183FB0">
      <w:pPr>
        <w:pStyle w:val="ListParagraph"/>
        <w:numPr>
          <w:ilvl w:val="0"/>
          <w:numId w:val="15"/>
        </w:numPr>
        <w:spacing w:after="120" w:line="240" w:lineRule="auto"/>
        <w:ind w:left="709" w:hanging="283"/>
        <w:rPr>
          <w:rFonts w:ascii="Arial" w:hAnsi="Arial" w:cs="Arial"/>
          <w:sz w:val="18"/>
          <w:szCs w:val="18"/>
        </w:rPr>
      </w:pPr>
      <w:r w:rsidRPr="003D47AE">
        <w:rPr>
          <w:rFonts w:ascii="Arial" w:hAnsi="Arial" w:cs="Arial"/>
          <w:sz w:val="18"/>
          <w:szCs w:val="18"/>
        </w:rPr>
        <w:t xml:space="preserve">If a total of two doses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xml:space="preserve"> were received as a substitute for completing a hepatitis B vaccination course (as doses 2 and 3, respectively), one more dose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xml:space="preserve"> or a hepatitis A vaccine, to be given 5–12 months after the latest dose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w:t>
      </w:r>
      <w:r w:rsidRPr="003D47AE">
        <w:rPr>
          <w:rFonts w:ascii="Arial" w:hAnsi="Arial" w:cs="Arial"/>
          <w:sz w:val="18"/>
          <w:szCs w:val="18"/>
        </w:rPr>
        <w:t>, is required to complete the hepatitis A vaccination course.</w:t>
      </w:r>
    </w:p>
    <w:p w14:paraId="3C387E55" w14:textId="77777777" w:rsidR="00183FB0" w:rsidRPr="003D47AE" w:rsidRDefault="00183FB0" w:rsidP="00183FB0">
      <w:pPr>
        <w:spacing w:after="120" w:line="240" w:lineRule="auto"/>
        <w:ind w:left="426"/>
        <w:rPr>
          <w:sz w:val="18"/>
          <w:szCs w:val="18"/>
        </w:rPr>
      </w:pPr>
      <w:r w:rsidRPr="003D47AE">
        <w:rPr>
          <w:sz w:val="18"/>
          <w:szCs w:val="18"/>
        </w:rPr>
        <w:t xml:space="preserve">In the event that the adult </w:t>
      </w:r>
      <w:proofErr w:type="spellStart"/>
      <w:r w:rsidRPr="003D47AE">
        <w:rPr>
          <w:sz w:val="18"/>
          <w:szCs w:val="18"/>
        </w:rPr>
        <w:t>Twinrix</w:t>
      </w:r>
      <w:proofErr w:type="spellEnd"/>
      <w:r w:rsidRPr="003D47AE">
        <w:rPr>
          <w:sz w:val="18"/>
          <w:szCs w:val="18"/>
          <w:vertAlign w:val="superscript"/>
        </w:rPr>
        <w:t xml:space="preserve">® </w:t>
      </w:r>
      <w:r w:rsidRPr="003D47AE">
        <w:rPr>
          <w:sz w:val="18"/>
          <w:szCs w:val="18"/>
        </w:rPr>
        <w:t xml:space="preserve">formulation is not available, each of the required adult </w:t>
      </w:r>
      <w:proofErr w:type="spellStart"/>
      <w:r w:rsidRPr="003D47AE">
        <w:rPr>
          <w:sz w:val="18"/>
          <w:szCs w:val="18"/>
        </w:rPr>
        <w:t>Twinrix</w:t>
      </w:r>
      <w:proofErr w:type="spellEnd"/>
      <w:r w:rsidRPr="003D47AE">
        <w:rPr>
          <w:sz w:val="18"/>
          <w:szCs w:val="18"/>
          <w:vertAlign w:val="superscript"/>
        </w:rPr>
        <w:t xml:space="preserve">® </w:t>
      </w:r>
      <w:r w:rsidRPr="003D47AE">
        <w:rPr>
          <w:sz w:val="18"/>
          <w:szCs w:val="18"/>
        </w:rPr>
        <w:t xml:space="preserve">dose can be substituted by 2 concurrently administered doses of </w:t>
      </w:r>
      <w:proofErr w:type="spellStart"/>
      <w:r w:rsidRPr="003D47AE">
        <w:rPr>
          <w:sz w:val="18"/>
          <w:szCs w:val="18"/>
        </w:rPr>
        <w:t>Twinrix</w:t>
      </w:r>
      <w:proofErr w:type="spellEnd"/>
      <w:r w:rsidRPr="003D47AE">
        <w:rPr>
          <w:sz w:val="18"/>
          <w:szCs w:val="18"/>
          <w:vertAlign w:val="superscript"/>
        </w:rPr>
        <w:t xml:space="preserve">® </w:t>
      </w:r>
      <w:r w:rsidRPr="003D47AE">
        <w:rPr>
          <w:sz w:val="18"/>
          <w:szCs w:val="18"/>
        </w:rPr>
        <w:t>Junior.</w:t>
      </w:r>
    </w:p>
    <w:p w14:paraId="5E535719" w14:textId="77777777" w:rsidR="00183FB0" w:rsidRPr="003D47AE" w:rsidRDefault="00183FB0" w:rsidP="00183FB0">
      <w:pPr>
        <w:pStyle w:val="Heading3"/>
        <w:spacing w:before="240" w:after="120" w:line="240" w:lineRule="auto"/>
        <w:rPr>
          <w:i/>
          <w:sz w:val="20"/>
          <w:szCs w:val="20"/>
        </w:rPr>
      </w:pPr>
      <w:r w:rsidRPr="003D47AE">
        <w:rPr>
          <w:i/>
          <w:sz w:val="20"/>
          <w:szCs w:val="20"/>
        </w:rPr>
        <w:t>Adolescents aged 11–15 years requiring catch-up of hepatitis B vaccination</w:t>
      </w:r>
    </w:p>
    <w:p w14:paraId="3E413A37" w14:textId="77777777" w:rsidR="00183FB0" w:rsidRPr="003D47AE" w:rsidRDefault="00183FB0" w:rsidP="00183FB0">
      <w:pPr>
        <w:spacing w:after="120" w:line="240" w:lineRule="auto"/>
        <w:ind w:left="426"/>
        <w:rPr>
          <w:sz w:val="18"/>
          <w:szCs w:val="18"/>
        </w:rPr>
      </w:pPr>
      <w:r w:rsidRPr="003D47AE">
        <w:rPr>
          <w:sz w:val="18"/>
          <w:szCs w:val="18"/>
        </w:rPr>
        <w:t xml:space="preserve">The use of two doses of the </w:t>
      </w:r>
      <w:r w:rsidRPr="003D47AE">
        <w:rPr>
          <w:b/>
          <w:sz w:val="18"/>
          <w:szCs w:val="18"/>
        </w:rPr>
        <w:t>adult</w:t>
      </w:r>
      <w:r w:rsidRPr="003D47AE">
        <w:rPr>
          <w:sz w:val="18"/>
          <w:szCs w:val="18"/>
        </w:rPr>
        <w:t xml:space="preserve"> formulation of a hepatitis B vaccine given 6 months apart </w:t>
      </w:r>
      <w:r w:rsidRPr="003D47AE">
        <w:rPr>
          <w:sz w:val="18"/>
          <w:szCs w:val="18"/>
        </w:rPr>
        <w:br/>
        <w:t xml:space="preserve">(a 0-, 6-month schedule) is an alternative schedule for adolescents aged 11–15 years, and has been the schedule used in previous school-based hepatitis B vaccination programs for 11–15 year olds in most states and territories. </w:t>
      </w:r>
    </w:p>
    <w:p w14:paraId="67632B8A" w14:textId="77777777" w:rsidR="00183FB0" w:rsidRPr="003D47AE" w:rsidRDefault="00183FB0" w:rsidP="00183FB0">
      <w:pPr>
        <w:spacing w:after="0" w:line="240" w:lineRule="auto"/>
        <w:ind w:left="425"/>
        <w:rPr>
          <w:sz w:val="18"/>
          <w:szCs w:val="18"/>
        </w:rPr>
      </w:pPr>
      <w:r w:rsidRPr="003D47AE">
        <w:rPr>
          <w:sz w:val="18"/>
          <w:szCs w:val="18"/>
        </w:rPr>
        <w:t xml:space="preserve">For adolescents </w:t>
      </w:r>
      <w:r w:rsidRPr="003D47AE">
        <w:rPr>
          <w:b/>
          <w:sz w:val="18"/>
          <w:szCs w:val="18"/>
        </w:rPr>
        <w:t>aged 11–15 years</w:t>
      </w:r>
      <w:r w:rsidRPr="003D47AE">
        <w:rPr>
          <w:sz w:val="18"/>
          <w:szCs w:val="18"/>
        </w:rPr>
        <w:t xml:space="preserve"> who require catch-up hepatitis B vaccination, in the event of unavailability of the adult formulation of the hepatitis B vaccine:</w:t>
      </w:r>
    </w:p>
    <w:p w14:paraId="628A4BFC" w14:textId="77777777" w:rsidR="00183FB0" w:rsidRPr="003D47AE" w:rsidRDefault="00183FB0" w:rsidP="00183FB0">
      <w:pPr>
        <w:pStyle w:val="ListParagraph"/>
        <w:numPr>
          <w:ilvl w:val="0"/>
          <w:numId w:val="15"/>
        </w:numPr>
        <w:spacing w:after="120" w:line="240" w:lineRule="auto"/>
        <w:ind w:left="709" w:hanging="283"/>
        <w:rPr>
          <w:rFonts w:ascii="Arial" w:hAnsi="Arial" w:cs="Arial"/>
          <w:sz w:val="18"/>
          <w:szCs w:val="18"/>
        </w:rPr>
      </w:pPr>
      <w:r w:rsidRPr="003D47AE">
        <w:rPr>
          <w:rFonts w:ascii="Arial" w:hAnsi="Arial" w:cs="Arial"/>
          <w:sz w:val="18"/>
          <w:szCs w:val="18"/>
        </w:rPr>
        <w:t xml:space="preserve">For those who have previously received an adult formulation (1.0 mL per dose) as their first dose and are due for the second dose, two doses of the paediatric formulation can be administered concurrently as the substitute dose if at least 4 months have elapsed since the previous dose of adult formulation. </w:t>
      </w:r>
    </w:p>
    <w:p w14:paraId="6E91F03D" w14:textId="77777777" w:rsidR="00183FB0" w:rsidRPr="003D47AE" w:rsidRDefault="00183FB0" w:rsidP="00183FB0">
      <w:pPr>
        <w:pStyle w:val="ListParagraph"/>
        <w:keepNext/>
        <w:numPr>
          <w:ilvl w:val="0"/>
          <w:numId w:val="15"/>
        </w:numPr>
        <w:spacing w:after="120" w:line="240" w:lineRule="auto"/>
        <w:ind w:left="709" w:hanging="284"/>
        <w:rPr>
          <w:rFonts w:ascii="Arial" w:hAnsi="Arial" w:cs="Arial"/>
          <w:sz w:val="18"/>
          <w:szCs w:val="18"/>
        </w:rPr>
      </w:pPr>
      <w:r w:rsidRPr="003D47AE">
        <w:rPr>
          <w:rFonts w:ascii="Arial" w:hAnsi="Arial" w:cs="Arial"/>
          <w:sz w:val="18"/>
          <w:szCs w:val="18"/>
        </w:rPr>
        <w:t>For those in this age group who have never received any hepatitis B vaccines, the options are:</w:t>
      </w:r>
    </w:p>
    <w:p w14:paraId="6FBA515D" w14:textId="77777777" w:rsidR="00183FB0" w:rsidRPr="003D47AE" w:rsidRDefault="00183FB0" w:rsidP="00183FB0">
      <w:pPr>
        <w:pStyle w:val="ListParagraph"/>
        <w:numPr>
          <w:ilvl w:val="1"/>
          <w:numId w:val="15"/>
        </w:numPr>
        <w:spacing w:after="120" w:line="240" w:lineRule="auto"/>
        <w:ind w:left="993" w:hanging="284"/>
        <w:rPr>
          <w:rFonts w:ascii="Arial" w:hAnsi="Arial" w:cs="Arial"/>
          <w:sz w:val="18"/>
          <w:szCs w:val="18"/>
        </w:rPr>
      </w:pPr>
      <w:r w:rsidRPr="003D47AE">
        <w:rPr>
          <w:rFonts w:ascii="Arial" w:hAnsi="Arial" w:cs="Arial"/>
          <w:sz w:val="18"/>
          <w:szCs w:val="18"/>
        </w:rPr>
        <w:t xml:space="preserve">To administer concurrently two doses of the paediatric formulation (0.5mL per dose) of the hepatitis B vaccine as a substitute for each of the adult formulation dose, according to a 2-dose schedule, to be given 6 months apart (a 0-, 6-month schedule); </w:t>
      </w:r>
      <w:r w:rsidRPr="003D47AE">
        <w:rPr>
          <w:rFonts w:ascii="Arial" w:hAnsi="Arial" w:cs="Arial"/>
          <w:i/>
          <w:sz w:val="18"/>
          <w:szCs w:val="18"/>
        </w:rPr>
        <w:t>OR</w:t>
      </w:r>
    </w:p>
    <w:p w14:paraId="59D04AB4" w14:textId="77777777" w:rsidR="00183FB0" w:rsidRPr="003D47AE" w:rsidRDefault="00183FB0" w:rsidP="00183FB0">
      <w:pPr>
        <w:pStyle w:val="ListParagraph"/>
        <w:numPr>
          <w:ilvl w:val="1"/>
          <w:numId w:val="15"/>
        </w:numPr>
        <w:spacing w:after="120" w:line="240" w:lineRule="auto"/>
        <w:ind w:left="993" w:hanging="284"/>
        <w:rPr>
          <w:rFonts w:ascii="Arial" w:hAnsi="Arial" w:cs="Arial"/>
          <w:sz w:val="18"/>
          <w:szCs w:val="18"/>
        </w:rPr>
      </w:pPr>
      <w:r w:rsidRPr="003D47AE">
        <w:rPr>
          <w:rFonts w:ascii="Arial" w:hAnsi="Arial" w:cs="Arial"/>
          <w:sz w:val="18"/>
          <w:szCs w:val="18"/>
        </w:rPr>
        <w:t xml:space="preserve">To use the paediatric formulation (0.5mL per dose), administered according to the standard 3-dose schedule at 0, 1 and 6 months; </w:t>
      </w:r>
      <w:r w:rsidRPr="003D47AE">
        <w:rPr>
          <w:rFonts w:ascii="Arial" w:hAnsi="Arial" w:cs="Arial"/>
          <w:i/>
          <w:sz w:val="18"/>
          <w:szCs w:val="18"/>
        </w:rPr>
        <w:t>OR</w:t>
      </w:r>
    </w:p>
    <w:p w14:paraId="26CEC737" w14:textId="77777777" w:rsidR="00183FB0" w:rsidRPr="003D47AE" w:rsidRDefault="00183FB0" w:rsidP="00183FB0">
      <w:pPr>
        <w:pStyle w:val="ListParagraph"/>
        <w:numPr>
          <w:ilvl w:val="1"/>
          <w:numId w:val="15"/>
        </w:numPr>
        <w:spacing w:after="120" w:line="240" w:lineRule="auto"/>
        <w:ind w:left="993" w:hanging="284"/>
        <w:contextualSpacing w:val="0"/>
        <w:rPr>
          <w:rFonts w:ascii="Arial" w:hAnsi="Arial" w:cs="Arial"/>
          <w:sz w:val="18"/>
          <w:szCs w:val="18"/>
        </w:rPr>
      </w:pPr>
      <w:r w:rsidRPr="003D47AE">
        <w:rPr>
          <w:rFonts w:ascii="Arial" w:hAnsi="Arial" w:cs="Arial"/>
          <w:sz w:val="18"/>
          <w:szCs w:val="18"/>
        </w:rPr>
        <w:t xml:space="preserve">To give two doses of the </w:t>
      </w:r>
      <w:r w:rsidRPr="003D47AE">
        <w:rPr>
          <w:rFonts w:ascii="Arial" w:hAnsi="Arial" w:cs="Arial"/>
          <w:b/>
          <w:sz w:val="18"/>
          <w:szCs w:val="18"/>
        </w:rPr>
        <w:t>adult</w:t>
      </w:r>
      <w:r w:rsidRPr="003D47AE">
        <w:rPr>
          <w:rFonts w:ascii="Arial" w:hAnsi="Arial" w:cs="Arial"/>
          <w:sz w:val="18"/>
          <w:szCs w:val="18"/>
        </w:rPr>
        <w:t xml:space="preserve"> formulation of </w:t>
      </w:r>
      <w:proofErr w:type="spellStart"/>
      <w:r w:rsidRPr="003D47AE">
        <w:rPr>
          <w:rFonts w:ascii="Arial" w:hAnsi="Arial" w:cs="Arial"/>
          <w:sz w:val="18"/>
          <w:szCs w:val="18"/>
        </w:rPr>
        <w:t>Twinrix</w:t>
      </w:r>
      <w:proofErr w:type="spellEnd"/>
      <w:r w:rsidRPr="003D47AE">
        <w:rPr>
          <w:rFonts w:ascii="Arial" w:hAnsi="Arial" w:cs="Arial"/>
          <w:sz w:val="18"/>
          <w:szCs w:val="18"/>
          <w:vertAlign w:val="superscript"/>
        </w:rPr>
        <w:t xml:space="preserve">® </w:t>
      </w:r>
      <w:r w:rsidRPr="003D47AE">
        <w:rPr>
          <w:rFonts w:ascii="Arial" w:hAnsi="Arial" w:cs="Arial"/>
          <w:sz w:val="18"/>
          <w:szCs w:val="18"/>
        </w:rPr>
        <w:t>(1.0mL per dose), 6 months apart – completion of these two doses would provide protection against both hepatitis A and hepatitis B.</w:t>
      </w:r>
    </w:p>
    <w:p w14:paraId="29F5ACF5" w14:textId="77777777" w:rsidR="00183FB0" w:rsidRPr="003D47AE" w:rsidRDefault="00183FB0" w:rsidP="00183FB0">
      <w:pPr>
        <w:pStyle w:val="Heading2"/>
        <w:spacing w:before="0" w:after="120" w:line="240" w:lineRule="auto"/>
        <w:rPr>
          <w:sz w:val="20"/>
          <w:szCs w:val="20"/>
        </w:rPr>
      </w:pPr>
      <w:r w:rsidRPr="003D47AE">
        <w:rPr>
          <w:sz w:val="20"/>
          <w:szCs w:val="20"/>
        </w:rPr>
        <w:t>References</w:t>
      </w:r>
    </w:p>
    <w:p w14:paraId="50F90E6A" w14:textId="77777777" w:rsidR="00183FB0" w:rsidRPr="003D47AE" w:rsidRDefault="00183FB0" w:rsidP="00183FB0">
      <w:pPr>
        <w:pStyle w:val="EndNoteBibliography"/>
        <w:spacing w:after="0"/>
        <w:ind w:left="284" w:hanging="284"/>
        <w:rPr>
          <w:rFonts w:ascii="Arial" w:hAnsi="Arial" w:cs="Arial"/>
          <w:sz w:val="16"/>
          <w:szCs w:val="16"/>
        </w:rPr>
      </w:pPr>
      <w:r w:rsidRPr="003D47AE">
        <w:rPr>
          <w:rFonts w:ascii="Arial" w:hAnsi="Arial" w:cs="Arial"/>
          <w:sz w:val="16"/>
          <w:szCs w:val="16"/>
        </w:rPr>
        <w:fldChar w:fldCharType="begin"/>
      </w:r>
      <w:r w:rsidRPr="003D47AE">
        <w:rPr>
          <w:rFonts w:ascii="Arial" w:hAnsi="Arial" w:cs="Arial"/>
          <w:sz w:val="16"/>
          <w:szCs w:val="16"/>
        </w:rPr>
        <w:instrText xml:space="preserve"> ADDIN EN.REFLIST </w:instrText>
      </w:r>
      <w:r w:rsidRPr="003D47AE">
        <w:rPr>
          <w:rFonts w:ascii="Arial" w:hAnsi="Arial" w:cs="Arial"/>
          <w:sz w:val="16"/>
          <w:szCs w:val="16"/>
        </w:rPr>
        <w:fldChar w:fldCharType="separate"/>
      </w:r>
      <w:bookmarkStart w:id="1" w:name="_ENREF_1"/>
      <w:r w:rsidRPr="003D47AE">
        <w:rPr>
          <w:rFonts w:ascii="Arial" w:hAnsi="Arial" w:cs="Arial"/>
          <w:sz w:val="16"/>
          <w:szCs w:val="16"/>
        </w:rPr>
        <w:t>1.</w:t>
      </w:r>
      <w:r w:rsidRPr="003D47AE">
        <w:rPr>
          <w:rFonts w:ascii="Arial" w:hAnsi="Arial" w:cs="Arial"/>
          <w:sz w:val="16"/>
          <w:szCs w:val="16"/>
        </w:rPr>
        <w:tab/>
        <w:t xml:space="preserve">GlaxoSmithKline. GSK hepatitis B vaccine availability, 18 August 2017. Melbourne: GlaxoSmithKline; 2017 [accessed 8 August 2017]: </w:t>
      </w:r>
      <w:bookmarkEnd w:id="1"/>
      <w:r w:rsidRPr="003D47AE">
        <w:rPr>
          <w:rFonts w:ascii="Arial" w:hAnsi="Arial" w:cs="Arial"/>
          <w:sz w:val="16"/>
          <w:szCs w:val="16"/>
        </w:rPr>
        <w:t>http://au.gsk.com/en-au/media/press-releases/2017/gsk-hepatitis-b-vaccine-availability/.</w:t>
      </w:r>
    </w:p>
    <w:p w14:paraId="7DAAE96C" w14:textId="77777777" w:rsidR="00183FB0" w:rsidRPr="003D47AE" w:rsidRDefault="00183FB0" w:rsidP="00183FB0">
      <w:pPr>
        <w:pStyle w:val="EndNoteBibliography"/>
        <w:spacing w:after="0"/>
        <w:ind w:left="284" w:hanging="284"/>
        <w:rPr>
          <w:rFonts w:ascii="Arial" w:hAnsi="Arial" w:cs="Arial"/>
          <w:sz w:val="16"/>
          <w:szCs w:val="16"/>
        </w:rPr>
      </w:pPr>
      <w:bookmarkStart w:id="2" w:name="_ENREF_2"/>
      <w:r w:rsidRPr="003D47AE">
        <w:rPr>
          <w:rFonts w:ascii="Arial" w:hAnsi="Arial" w:cs="Arial"/>
          <w:sz w:val="16"/>
          <w:szCs w:val="16"/>
        </w:rPr>
        <w:t>2.</w:t>
      </w:r>
      <w:r w:rsidRPr="003D47AE">
        <w:rPr>
          <w:rFonts w:ascii="Arial" w:hAnsi="Arial" w:cs="Arial"/>
          <w:sz w:val="16"/>
          <w:szCs w:val="16"/>
        </w:rPr>
        <w:tab/>
        <w:t xml:space="preserve">Therapeutic Goods Administration (TGA). Hepatitis B surface antigen recombinant – medicine shortage information. Canberra: Therapeutic Goods Administration; 2017 [accessed 05 February 2018]: </w:t>
      </w:r>
      <w:hyperlink r:id="rId15" w:history="1">
        <w:r w:rsidRPr="003D47AE">
          <w:rPr>
            <w:rStyle w:val="Hyperlink"/>
            <w:rFonts w:ascii="Arial" w:hAnsi="Arial" w:cs="Arial"/>
            <w:sz w:val="16"/>
            <w:szCs w:val="16"/>
          </w:rPr>
          <w:t>http://apps.tga.gov.au/Prod/msi/Search/Details/hepatitis-b-surface-antigen-recombinant</w:t>
        </w:r>
      </w:hyperlink>
      <w:r w:rsidRPr="003D47AE">
        <w:rPr>
          <w:rFonts w:ascii="Arial" w:hAnsi="Arial" w:cs="Arial"/>
          <w:sz w:val="16"/>
          <w:szCs w:val="16"/>
        </w:rPr>
        <w:t>.</w:t>
      </w:r>
      <w:bookmarkEnd w:id="2"/>
    </w:p>
    <w:p w14:paraId="20C9CA2C" w14:textId="77777777" w:rsidR="00183FB0" w:rsidRPr="003D47AE" w:rsidRDefault="00183FB0" w:rsidP="00183FB0">
      <w:pPr>
        <w:pStyle w:val="EndNoteBibliography"/>
        <w:spacing w:after="0"/>
        <w:ind w:left="284" w:hanging="284"/>
        <w:rPr>
          <w:rFonts w:ascii="Arial" w:hAnsi="Arial" w:cs="Arial"/>
          <w:sz w:val="16"/>
          <w:szCs w:val="16"/>
        </w:rPr>
      </w:pPr>
      <w:bookmarkStart w:id="3" w:name="_ENREF_3"/>
      <w:r w:rsidRPr="003D47AE">
        <w:rPr>
          <w:rFonts w:ascii="Arial" w:hAnsi="Arial" w:cs="Arial"/>
          <w:sz w:val="16"/>
          <w:szCs w:val="16"/>
        </w:rPr>
        <w:t>3.</w:t>
      </w:r>
      <w:r w:rsidRPr="003D47AE">
        <w:rPr>
          <w:rFonts w:ascii="Arial" w:hAnsi="Arial" w:cs="Arial"/>
          <w:sz w:val="16"/>
          <w:szCs w:val="16"/>
        </w:rPr>
        <w:tab/>
        <w:t>Australian Technical Advisory Group on Immunisation (ATAGI). The Australian immunisation handbook. 10th ed (updated July 2016). Canberra: Australian Government Department of Health; 2016.</w:t>
      </w:r>
      <w:bookmarkEnd w:id="3"/>
      <w:r w:rsidRPr="003D47AE">
        <w:rPr>
          <w:rFonts w:ascii="Arial" w:hAnsi="Arial" w:cs="Arial"/>
          <w:sz w:val="16"/>
          <w:szCs w:val="16"/>
        </w:rPr>
        <w:t xml:space="preserve"> </w:t>
      </w:r>
      <w:r w:rsidRPr="003D47AE">
        <w:rPr>
          <w:rStyle w:val="Hyperlink"/>
          <w:rFonts w:ascii="Arial" w:hAnsi="Arial" w:cs="Arial"/>
          <w:sz w:val="16"/>
          <w:szCs w:val="16"/>
        </w:rPr>
        <w:t>http://www.immunise.health.gov.au/internet/immunise/publishing.nsf/Content/Handbook10-home~handbook10part4~handbook10-4-5</w:t>
      </w:r>
    </w:p>
    <w:p w14:paraId="785DD013" w14:textId="77777777" w:rsidR="00183FB0" w:rsidRPr="003D47AE" w:rsidRDefault="00183FB0" w:rsidP="00183FB0">
      <w:pPr>
        <w:pStyle w:val="EndNoteBibliography"/>
        <w:spacing w:after="0"/>
        <w:ind w:left="284" w:hanging="284"/>
        <w:rPr>
          <w:rFonts w:ascii="Arial" w:hAnsi="Arial" w:cs="Arial"/>
          <w:sz w:val="16"/>
          <w:szCs w:val="16"/>
        </w:rPr>
      </w:pPr>
      <w:bookmarkStart w:id="4" w:name="_ENREF_4"/>
      <w:r w:rsidRPr="003D47AE">
        <w:rPr>
          <w:rFonts w:ascii="Arial" w:hAnsi="Arial" w:cs="Arial"/>
          <w:sz w:val="16"/>
          <w:szCs w:val="16"/>
        </w:rPr>
        <w:t>4.</w:t>
      </w:r>
      <w:r w:rsidRPr="003D47AE">
        <w:rPr>
          <w:rFonts w:ascii="Arial" w:hAnsi="Arial" w:cs="Arial"/>
          <w:sz w:val="16"/>
          <w:szCs w:val="16"/>
        </w:rPr>
        <w:tab/>
        <w:t>GlaxoSmithKline. ENGERIX</w:t>
      </w:r>
      <w:r w:rsidRPr="003D47AE">
        <w:rPr>
          <w:rFonts w:ascii="Arial" w:hAnsi="Arial" w:cs="Arial"/>
          <w:sz w:val="16"/>
          <w:szCs w:val="16"/>
          <w:vertAlign w:val="superscript"/>
        </w:rPr>
        <w:t>®</w:t>
      </w:r>
      <w:r w:rsidRPr="003D47AE">
        <w:rPr>
          <w:rFonts w:ascii="Arial" w:hAnsi="Arial" w:cs="Arial"/>
          <w:sz w:val="16"/>
          <w:szCs w:val="16"/>
        </w:rPr>
        <w:t>-B Product information. Canberra: Therapeutic Goods Administration; 2013.</w:t>
      </w:r>
      <w:bookmarkEnd w:id="4"/>
    </w:p>
    <w:p w14:paraId="31431FEC" w14:textId="09848C00" w:rsidR="00183FB0" w:rsidRPr="003D47AE" w:rsidRDefault="000613EA" w:rsidP="000613EA">
      <w:pPr>
        <w:pStyle w:val="Sub-bullettedlist"/>
        <w:numPr>
          <w:ilvl w:val="0"/>
          <w:numId w:val="0"/>
        </w:numPr>
        <w:rPr>
          <w:i w:val="0"/>
          <w:sz w:val="16"/>
          <w:szCs w:val="16"/>
        </w:rPr>
      </w:pPr>
      <w:bookmarkStart w:id="5" w:name="_ENREF_5"/>
      <w:r w:rsidRPr="003D47AE">
        <w:rPr>
          <w:i w:val="0"/>
          <w:sz w:val="16"/>
          <w:szCs w:val="16"/>
        </w:rPr>
        <w:t xml:space="preserve">5.   </w:t>
      </w:r>
      <w:r w:rsidR="00183FB0" w:rsidRPr="003D47AE">
        <w:rPr>
          <w:i w:val="0"/>
          <w:sz w:val="16"/>
          <w:szCs w:val="16"/>
        </w:rPr>
        <w:t>Merck Sharp &amp; Dohme. H-B-VAX</w:t>
      </w:r>
      <w:r w:rsidR="00183FB0" w:rsidRPr="003D47AE">
        <w:rPr>
          <w:i w:val="0"/>
          <w:sz w:val="16"/>
          <w:szCs w:val="16"/>
          <w:vertAlign w:val="superscript"/>
        </w:rPr>
        <w:t>®</w:t>
      </w:r>
      <w:r w:rsidR="00183FB0" w:rsidRPr="003D47AE">
        <w:rPr>
          <w:i w:val="0"/>
          <w:sz w:val="16"/>
          <w:szCs w:val="16"/>
        </w:rPr>
        <w:t xml:space="preserve"> II Product information. Canberra: Therapeutic Goods Administration; 2014.</w:t>
      </w:r>
      <w:bookmarkEnd w:id="5"/>
      <w:r w:rsidR="00183FB0" w:rsidRPr="003D47AE">
        <w:rPr>
          <w:i w:val="0"/>
          <w:sz w:val="16"/>
          <w:szCs w:val="16"/>
        </w:rPr>
        <w:fldChar w:fldCharType="end"/>
      </w:r>
    </w:p>
    <w:sectPr w:rsidR="00183FB0" w:rsidRPr="003D47AE" w:rsidSect="00AC23C0">
      <w:footerReference w:type="default" r:id="rId16"/>
      <w:footerReference w:type="first" r:id="rId17"/>
      <w:pgSz w:w="11906" w:h="16838"/>
      <w:pgMar w:top="709" w:right="851" w:bottom="709" w:left="851"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F95477" w14:textId="77777777" w:rsidR="009E5B4B" w:rsidRDefault="009E5B4B" w:rsidP="005F4768">
      <w:r>
        <w:separator/>
      </w:r>
    </w:p>
  </w:endnote>
  <w:endnote w:type="continuationSeparator" w:id="0">
    <w:p w14:paraId="0ECA6AA0" w14:textId="77777777" w:rsidR="009E5B4B" w:rsidRDefault="009E5B4B" w:rsidP="005F4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Gothic">
    <w:panose1 w:val="020B0600070205080204"/>
    <w:charset w:val="80"/>
    <w:family w:val="swiss"/>
    <w:pitch w:val="variable"/>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95930104"/>
      <w:docPartObj>
        <w:docPartGallery w:val="Page Numbers (Bottom of Page)"/>
        <w:docPartUnique/>
      </w:docPartObj>
    </w:sdtPr>
    <w:sdtEndPr/>
    <w:sdtContent>
      <w:sdt>
        <w:sdtPr>
          <w:id w:val="860082579"/>
          <w:docPartObj>
            <w:docPartGallery w:val="Page Numbers (Top of Page)"/>
            <w:docPartUnique/>
          </w:docPartObj>
        </w:sdtPr>
        <w:sdtEndPr/>
        <w:sdtContent>
          <w:p w14:paraId="76279C41" w14:textId="1E3D6DCE" w:rsidR="0004452A" w:rsidRDefault="00234619" w:rsidP="00AC23C0">
            <w:pPr>
              <w:pStyle w:val="Footer"/>
              <w:jc w:val="right"/>
            </w:pPr>
            <w:r w:rsidRPr="00234619">
              <w:t xml:space="preserve">Page </w:t>
            </w:r>
            <w:r w:rsidRPr="00234619">
              <w:rPr>
                <w:bCs/>
                <w:sz w:val="24"/>
                <w:szCs w:val="24"/>
              </w:rPr>
              <w:fldChar w:fldCharType="begin"/>
            </w:r>
            <w:r w:rsidRPr="00234619">
              <w:rPr>
                <w:bCs/>
              </w:rPr>
              <w:instrText xml:space="preserve"> PAGE </w:instrText>
            </w:r>
            <w:r w:rsidRPr="00234619">
              <w:rPr>
                <w:bCs/>
                <w:sz w:val="24"/>
                <w:szCs w:val="24"/>
              </w:rPr>
              <w:fldChar w:fldCharType="separate"/>
            </w:r>
            <w:r w:rsidR="00D6195F">
              <w:rPr>
                <w:bCs/>
                <w:noProof/>
              </w:rPr>
              <w:t>1</w:t>
            </w:r>
            <w:r w:rsidRPr="00234619">
              <w:rPr>
                <w:bCs/>
                <w:sz w:val="24"/>
                <w:szCs w:val="24"/>
              </w:rPr>
              <w:fldChar w:fldCharType="end"/>
            </w:r>
            <w:r w:rsidRPr="00234619">
              <w:t xml:space="preserve"> of </w:t>
            </w:r>
            <w:r w:rsidRPr="00234619">
              <w:rPr>
                <w:bCs/>
                <w:sz w:val="24"/>
                <w:szCs w:val="24"/>
              </w:rPr>
              <w:fldChar w:fldCharType="begin"/>
            </w:r>
            <w:r w:rsidRPr="00234619">
              <w:rPr>
                <w:bCs/>
              </w:rPr>
              <w:instrText xml:space="preserve"> NUMPAGES  </w:instrText>
            </w:r>
            <w:r w:rsidRPr="00234619">
              <w:rPr>
                <w:bCs/>
                <w:sz w:val="24"/>
                <w:szCs w:val="24"/>
              </w:rPr>
              <w:fldChar w:fldCharType="separate"/>
            </w:r>
            <w:r w:rsidR="00D6195F">
              <w:rPr>
                <w:bCs/>
                <w:noProof/>
              </w:rPr>
              <w:t>3</w:t>
            </w:r>
            <w:r w:rsidRPr="00234619">
              <w:rPr>
                <w:bCs/>
                <w:sz w:val="24"/>
                <w:szCs w:val="24"/>
              </w:rPr>
              <w:fldChar w:fldCharType="end"/>
            </w:r>
          </w:p>
        </w:sdtContent>
      </w:sdt>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05DDC1" w14:textId="1750E8D8" w:rsidR="006F5435" w:rsidRDefault="006F5435" w:rsidP="0004452A">
    <w:pPr>
      <w:pStyle w:val="Footer"/>
      <w:tabs>
        <w:tab w:val="left" w:pos="9360"/>
        <w:tab w:val="right" w:pos="10204"/>
      </w:tabs>
      <w:jc w:val="right"/>
    </w:pPr>
    <w:r>
      <w:t xml:space="preserve">Page </w:t>
    </w:r>
    <w:sdt>
      <w:sdtPr>
        <w:id w:val="-1490173419"/>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234619">
          <w:rPr>
            <w:noProof/>
          </w:rPr>
          <w:t>1</w:t>
        </w:r>
        <w:r>
          <w:rPr>
            <w:noProof/>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0AEE5DA" w14:textId="77777777" w:rsidR="009E5B4B" w:rsidRDefault="009E5B4B" w:rsidP="005F4768">
      <w:r>
        <w:separator/>
      </w:r>
    </w:p>
  </w:footnote>
  <w:footnote w:type="continuationSeparator" w:id="0">
    <w:p w14:paraId="5EFD7159" w14:textId="77777777" w:rsidR="009E5B4B" w:rsidRDefault="009E5B4B" w:rsidP="005F4768">
      <w:r>
        <w:continuationSeparator/>
      </w:r>
    </w:p>
  </w:footnote>
  <w:footnote w:id="1">
    <w:p w14:paraId="3C8EF602" w14:textId="77777777" w:rsidR="00183FB0" w:rsidRPr="00881392" w:rsidRDefault="00183FB0" w:rsidP="00183FB0">
      <w:pPr>
        <w:rPr>
          <w:sz w:val="16"/>
          <w:szCs w:val="16"/>
        </w:rPr>
      </w:pPr>
      <w:r>
        <w:rPr>
          <w:rStyle w:val="FootnoteReference"/>
        </w:rPr>
        <w:footnoteRef/>
      </w:r>
      <w:r>
        <w:rPr>
          <w:sz w:val="16"/>
          <w:szCs w:val="16"/>
        </w:rPr>
        <w:t>Concentration of the</w:t>
      </w:r>
      <w:r w:rsidRPr="00881392">
        <w:rPr>
          <w:sz w:val="16"/>
          <w:szCs w:val="16"/>
        </w:rPr>
        <w:t xml:space="preserve"> </w:t>
      </w:r>
      <w:r>
        <w:rPr>
          <w:sz w:val="16"/>
          <w:szCs w:val="16"/>
        </w:rPr>
        <w:t xml:space="preserve">hepatitis B surface antigen in </w:t>
      </w:r>
      <w:proofErr w:type="spellStart"/>
      <w:r w:rsidRPr="00E95753">
        <w:rPr>
          <w:sz w:val="16"/>
          <w:szCs w:val="16"/>
        </w:rPr>
        <w:t>Engerix</w:t>
      </w:r>
      <w:proofErr w:type="spellEnd"/>
      <w:r>
        <w:rPr>
          <w:sz w:val="16"/>
          <w:szCs w:val="16"/>
        </w:rPr>
        <w:t>-B</w:t>
      </w:r>
      <w:r>
        <w:t>®</w:t>
      </w:r>
      <w:r>
        <w:rPr>
          <w:sz w:val="16"/>
          <w:szCs w:val="16"/>
        </w:rPr>
        <w:t xml:space="preserve"> is </w:t>
      </w:r>
      <w:r w:rsidRPr="00881392">
        <w:rPr>
          <w:sz w:val="16"/>
          <w:szCs w:val="16"/>
        </w:rPr>
        <w:t>20</w:t>
      </w:r>
      <w:r>
        <w:rPr>
          <w:sz w:val="16"/>
          <w:szCs w:val="16"/>
        </w:rPr>
        <w:t> </w:t>
      </w:r>
      <w:r w:rsidRPr="00881392">
        <w:rPr>
          <w:sz w:val="16"/>
          <w:szCs w:val="16"/>
        </w:rPr>
        <w:t>µg</w:t>
      </w:r>
      <w:r>
        <w:rPr>
          <w:sz w:val="16"/>
          <w:szCs w:val="16"/>
        </w:rPr>
        <w:t>/</w:t>
      </w:r>
      <w:r w:rsidRPr="00881392">
        <w:rPr>
          <w:sz w:val="16"/>
          <w:szCs w:val="16"/>
        </w:rPr>
        <w:t>m</w:t>
      </w:r>
      <w:r>
        <w:rPr>
          <w:sz w:val="16"/>
          <w:szCs w:val="16"/>
        </w:rPr>
        <w:t>L,</w:t>
      </w:r>
      <w:r w:rsidRPr="00881392">
        <w:rPr>
          <w:sz w:val="16"/>
          <w:szCs w:val="16"/>
        </w:rPr>
        <w:t xml:space="preserve"> </w:t>
      </w:r>
      <w:r>
        <w:rPr>
          <w:sz w:val="16"/>
          <w:szCs w:val="16"/>
        </w:rPr>
        <w:t xml:space="preserve">compared </w:t>
      </w:r>
      <w:proofErr w:type="gramStart"/>
      <w:r>
        <w:rPr>
          <w:sz w:val="16"/>
          <w:szCs w:val="16"/>
        </w:rPr>
        <w:t xml:space="preserve">to </w:t>
      </w:r>
      <w:r w:rsidRPr="00881392">
        <w:rPr>
          <w:sz w:val="16"/>
          <w:szCs w:val="16"/>
        </w:rPr>
        <w:t>10</w:t>
      </w:r>
      <w:r>
        <w:rPr>
          <w:sz w:val="16"/>
          <w:szCs w:val="16"/>
        </w:rPr>
        <w:t> </w:t>
      </w:r>
      <w:r w:rsidRPr="00881392">
        <w:rPr>
          <w:sz w:val="16"/>
          <w:szCs w:val="16"/>
        </w:rPr>
        <w:t>µg</w:t>
      </w:r>
      <w:r>
        <w:rPr>
          <w:sz w:val="16"/>
          <w:szCs w:val="16"/>
        </w:rPr>
        <w:t>/</w:t>
      </w:r>
      <w:r w:rsidRPr="00881392">
        <w:rPr>
          <w:sz w:val="16"/>
          <w:szCs w:val="16"/>
        </w:rPr>
        <w:t>m</w:t>
      </w:r>
      <w:r>
        <w:rPr>
          <w:sz w:val="16"/>
          <w:szCs w:val="16"/>
        </w:rPr>
        <w:t>L</w:t>
      </w:r>
      <w:r w:rsidRPr="00881392">
        <w:rPr>
          <w:sz w:val="16"/>
          <w:szCs w:val="16"/>
        </w:rPr>
        <w:t xml:space="preserve"> </w:t>
      </w:r>
      <w:r>
        <w:rPr>
          <w:sz w:val="16"/>
          <w:szCs w:val="16"/>
        </w:rPr>
        <w:t>in</w:t>
      </w:r>
      <w:r w:rsidRPr="00881392">
        <w:rPr>
          <w:sz w:val="16"/>
          <w:szCs w:val="16"/>
        </w:rPr>
        <w:t xml:space="preserve"> H-B-Vax II</w:t>
      </w:r>
      <w:r>
        <w:t>®</w:t>
      </w:r>
      <w:proofErr w:type="gramEnd"/>
      <w:r w:rsidRPr="00881392">
        <w:rPr>
          <w:sz w:val="16"/>
          <w:szCs w:val="16"/>
        </w:rPr>
        <w:t xml:space="preserve">. </w:t>
      </w:r>
      <w:r>
        <w:rPr>
          <w:sz w:val="16"/>
          <w:szCs w:val="16"/>
        </w:rPr>
        <w:t>Given that these two products are formulated differently, c</w:t>
      </w:r>
      <w:r w:rsidRPr="00881392">
        <w:rPr>
          <w:sz w:val="16"/>
          <w:szCs w:val="16"/>
        </w:rPr>
        <w:t xml:space="preserve">omparison of vaccine efficacy on a per-weight basis is not </w:t>
      </w:r>
      <w:r>
        <w:rPr>
          <w:sz w:val="16"/>
          <w:szCs w:val="16"/>
        </w:rPr>
        <w:t>appropriate</w:t>
      </w:r>
      <w:r w:rsidRPr="00881392">
        <w:rPr>
          <w:sz w:val="16"/>
          <w:szCs w:val="16"/>
        </w:rPr>
        <w:t>.</w:t>
      </w:r>
    </w:p>
    <w:p w14:paraId="53808C95" w14:textId="77777777" w:rsidR="00183FB0" w:rsidRDefault="00183FB0" w:rsidP="00183FB0">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F537A"/>
    <w:multiLevelType w:val="hybridMultilevel"/>
    <w:tmpl w:val="A3F46136"/>
    <w:lvl w:ilvl="0" w:tplc="BEAC84C0">
      <w:start w:val="1"/>
      <w:numFmt w:val="bullet"/>
      <w:pStyle w:val="Sub-bullettedlis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nsid w:val="0EB72A90"/>
    <w:multiLevelType w:val="hybridMultilevel"/>
    <w:tmpl w:val="989E6F56"/>
    <w:lvl w:ilvl="0" w:tplc="D668E5A4">
      <w:start w:val="1"/>
      <w:numFmt w:val="bullet"/>
      <w:pStyle w:val="Bullet"/>
      <w:lvlText w:val=""/>
      <w:lvlJc w:val="left"/>
      <w:pPr>
        <w:ind w:left="360" w:hanging="360"/>
      </w:pPr>
      <w:rPr>
        <w:rFonts w:ascii="Wingdings 3" w:hAnsi="Wingdings 3" w:hint="default"/>
        <w:sz w:val="15"/>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2">
    <w:nsid w:val="172F1740"/>
    <w:multiLevelType w:val="multilevel"/>
    <w:tmpl w:val="4A1A5CB6"/>
    <w:lvl w:ilvl="0">
      <w:start w:val="1"/>
      <w:numFmt w:val="decimal"/>
      <w:pStyle w:val="NumberedList"/>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0120533"/>
    <w:multiLevelType w:val="hybridMultilevel"/>
    <w:tmpl w:val="1FBA9C56"/>
    <w:lvl w:ilvl="0" w:tplc="136C86B6">
      <w:start w:val="1"/>
      <w:numFmt w:val="bullet"/>
      <w:pStyle w:val="TableTextbullet"/>
      <w:lvlText w:val=""/>
      <w:lvlJc w:val="left"/>
      <w:pPr>
        <w:ind w:left="360" w:hanging="360"/>
      </w:pPr>
      <w:rPr>
        <w:rFonts w:ascii="Wingdings 3" w:hAnsi="Wingdings 3" w:hint="default"/>
        <w:sz w:val="11"/>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4">
    <w:nsid w:val="237C755D"/>
    <w:multiLevelType w:val="hybridMultilevel"/>
    <w:tmpl w:val="0046C15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2B935F06"/>
    <w:multiLevelType w:val="hybridMultilevel"/>
    <w:tmpl w:val="BFF0D858"/>
    <w:lvl w:ilvl="0" w:tplc="8E40D3EC">
      <w:start w:val="1"/>
      <w:numFmt w:val="bullet"/>
      <w:pStyle w:val="Bodytext-bullet"/>
      <w:lvlText w:val=""/>
      <w:lvlJc w:val="left"/>
      <w:pPr>
        <w:ind w:left="1435" w:hanging="360"/>
      </w:pPr>
      <w:rPr>
        <w:rFonts w:ascii="Symbol" w:hAnsi="Symbol" w:hint="default"/>
      </w:rPr>
    </w:lvl>
    <w:lvl w:ilvl="1" w:tplc="99643D4C">
      <w:numFmt w:val="bullet"/>
      <w:lvlText w:val="-"/>
      <w:lvlJc w:val="left"/>
      <w:pPr>
        <w:ind w:left="2155" w:hanging="360"/>
      </w:pPr>
      <w:rPr>
        <w:rFonts w:ascii="Times New Roman" w:eastAsia="Times New Roman" w:hAnsi="Times New Roman" w:cs="Times New Roman" w:hint="default"/>
      </w:rPr>
    </w:lvl>
    <w:lvl w:ilvl="2" w:tplc="0C09001B" w:tentative="1">
      <w:start w:val="1"/>
      <w:numFmt w:val="lowerRoman"/>
      <w:lvlText w:val="%3."/>
      <w:lvlJc w:val="right"/>
      <w:pPr>
        <w:ind w:left="2875" w:hanging="180"/>
      </w:pPr>
    </w:lvl>
    <w:lvl w:ilvl="3" w:tplc="0C09000F" w:tentative="1">
      <w:start w:val="1"/>
      <w:numFmt w:val="decimal"/>
      <w:lvlText w:val="%4."/>
      <w:lvlJc w:val="left"/>
      <w:pPr>
        <w:ind w:left="3595" w:hanging="360"/>
      </w:pPr>
    </w:lvl>
    <w:lvl w:ilvl="4" w:tplc="0C090019" w:tentative="1">
      <w:start w:val="1"/>
      <w:numFmt w:val="lowerLetter"/>
      <w:lvlText w:val="%5."/>
      <w:lvlJc w:val="left"/>
      <w:pPr>
        <w:ind w:left="4315" w:hanging="360"/>
      </w:pPr>
    </w:lvl>
    <w:lvl w:ilvl="5" w:tplc="0C09001B" w:tentative="1">
      <w:start w:val="1"/>
      <w:numFmt w:val="lowerRoman"/>
      <w:lvlText w:val="%6."/>
      <w:lvlJc w:val="right"/>
      <w:pPr>
        <w:ind w:left="5035" w:hanging="180"/>
      </w:pPr>
    </w:lvl>
    <w:lvl w:ilvl="6" w:tplc="0C09000F" w:tentative="1">
      <w:start w:val="1"/>
      <w:numFmt w:val="decimal"/>
      <w:lvlText w:val="%7."/>
      <w:lvlJc w:val="left"/>
      <w:pPr>
        <w:ind w:left="5755" w:hanging="360"/>
      </w:pPr>
    </w:lvl>
    <w:lvl w:ilvl="7" w:tplc="0C090019" w:tentative="1">
      <w:start w:val="1"/>
      <w:numFmt w:val="lowerLetter"/>
      <w:lvlText w:val="%8."/>
      <w:lvlJc w:val="left"/>
      <w:pPr>
        <w:ind w:left="6475" w:hanging="360"/>
      </w:pPr>
    </w:lvl>
    <w:lvl w:ilvl="8" w:tplc="0C09001B" w:tentative="1">
      <w:start w:val="1"/>
      <w:numFmt w:val="lowerRoman"/>
      <w:lvlText w:val="%9."/>
      <w:lvlJc w:val="right"/>
      <w:pPr>
        <w:ind w:left="7195" w:hanging="180"/>
      </w:pPr>
    </w:lvl>
  </w:abstractNum>
  <w:abstractNum w:abstractNumId="6">
    <w:nsid w:val="39D155AE"/>
    <w:multiLevelType w:val="multilevel"/>
    <w:tmpl w:val="6E3C571A"/>
    <w:lvl w:ilvl="0">
      <w:start w:val="1"/>
      <w:numFmt w:val="bullet"/>
      <w:pStyle w:val="BulletedList"/>
      <w:lvlText w:val=""/>
      <w:lvlJc w:val="left"/>
      <w:pPr>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48007751"/>
    <w:multiLevelType w:val="hybridMultilevel"/>
    <w:tmpl w:val="79B6B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A917260"/>
    <w:multiLevelType w:val="hybridMultilevel"/>
    <w:tmpl w:val="3D2AFB66"/>
    <w:lvl w:ilvl="0" w:tplc="2476253E">
      <w:start w:val="1"/>
      <w:numFmt w:val="decimal"/>
      <w:pStyle w:val="Heading4Numbered"/>
      <w:lvlText w:val="%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nsid w:val="63B268B7"/>
    <w:multiLevelType w:val="hybridMultilevel"/>
    <w:tmpl w:val="3CE4843A"/>
    <w:lvl w:ilvl="0" w:tplc="04186316">
      <w:start w:val="1"/>
      <w:numFmt w:val="decimal"/>
      <w:pStyle w:val="Heading3Numbered"/>
      <w:lvlText w:val="%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66AA639E"/>
    <w:multiLevelType w:val="hybridMultilevel"/>
    <w:tmpl w:val="97422AA4"/>
    <w:lvl w:ilvl="0" w:tplc="A4328F72">
      <w:start w:val="1"/>
      <w:numFmt w:val="lowerRoman"/>
      <w:lvlText w:val="%1)"/>
      <w:lvlJc w:val="left"/>
      <w:pPr>
        <w:ind w:left="1146" w:hanging="72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1">
    <w:nsid w:val="711921B9"/>
    <w:multiLevelType w:val="hybridMultilevel"/>
    <w:tmpl w:val="5FFE09A8"/>
    <w:lvl w:ilvl="0" w:tplc="CB5C1172">
      <w:start w:val="1"/>
      <w:numFmt w:val="decimal"/>
      <w:pStyle w:val="Heading2Numbered"/>
      <w:lvlText w:val="%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nsid w:val="721C7C0B"/>
    <w:multiLevelType w:val="hybridMultilevel"/>
    <w:tmpl w:val="2C645D54"/>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13">
    <w:nsid w:val="72FD2678"/>
    <w:multiLevelType w:val="hybridMultilevel"/>
    <w:tmpl w:val="864ED148"/>
    <w:lvl w:ilvl="0" w:tplc="0B5E7008">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77BB1F22"/>
    <w:multiLevelType w:val="hybridMultilevel"/>
    <w:tmpl w:val="031EE8DE"/>
    <w:lvl w:ilvl="0" w:tplc="F3F494B8">
      <w:start w:val="1"/>
      <w:numFmt w:val="bullet"/>
      <w:pStyle w:val="Sub-bulletedlis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num w:numId="1">
    <w:abstractNumId w:val="1"/>
  </w:num>
  <w:num w:numId="2">
    <w:abstractNumId w:val="3"/>
  </w:num>
  <w:num w:numId="3">
    <w:abstractNumId w:val="2"/>
  </w:num>
  <w:num w:numId="4">
    <w:abstractNumId w:val="6"/>
  </w:num>
  <w:num w:numId="5">
    <w:abstractNumId w:val="11"/>
  </w:num>
  <w:num w:numId="6">
    <w:abstractNumId w:val="9"/>
  </w:num>
  <w:num w:numId="7">
    <w:abstractNumId w:val="8"/>
  </w:num>
  <w:num w:numId="8">
    <w:abstractNumId w:val="14"/>
  </w:num>
  <w:num w:numId="9">
    <w:abstractNumId w:val="0"/>
  </w:num>
  <w:num w:numId="10">
    <w:abstractNumId w:val="5"/>
  </w:num>
  <w:num w:numId="11">
    <w:abstractNumId w:val="6"/>
  </w:num>
  <w:num w:numId="12">
    <w:abstractNumId w:val="4"/>
  </w:num>
  <w:num w:numId="13">
    <w:abstractNumId w:val="13"/>
  </w:num>
  <w:num w:numId="14">
    <w:abstractNumId w:val="10"/>
  </w:num>
  <w:num w:numId="15">
    <w:abstractNumId w:val="12"/>
  </w:num>
  <w:num w:numId="16">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SortMethod w:val="0000"/>
  <w:defaultTabStop w:val="720"/>
  <w:characterSpacingControl w:val="doNotCompress"/>
  <w:hdrShapeDefaults>
    <o:shapedefaults v:ext="edit" spidmax="4096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3167"/>
    <w:rsid w:val="00003743"/>
    <w:rsid w:val="0004452A"/>
    <w:rsid w:val="000613EA"/>
    <w:rsid w:val="00067456"/>
    <w:rsid w:val="00083432"/>
    <w:rsid w:val="000924FE"/>
    <w:rsid w:val="000C27C2"/>
    <w:rsid w:val="000F2055"/>
    <w:rsid w:val="00166F73"/>
    <w:rsid w:val="00183FB0"/>
    <w:rsid w:val="0018425E"/>
    <w:rsid w:val="00190797"/>
    <w:rsid w:val="00191A3C"/>
    <w:rsid w:val="001B3443"/>
    <w:rsid w:val="001F1297"/>
    <w:rsid w:val="00205C5A"/>
    <w:rsid w:val="00234619"/>
    <w:rsid w:val="00247BCD"/>
    <w:rsid w:val="002530E9"/>
    <w:rsid w:val="002650A3"/>
    <w:rsid w:val="00291A4E"/>
    <w:rsid w:val="002A7C0B"/>
    <w:rsid w:val="002E5BDC"/>
    <w:rsid w:val="002F3AE3"/>
    <w:rsid w:val="002F5071"/>
    <w:rsid w:val="003021C5"/>
    <w:rsid w:val="00304DAF"/>
    <w:rsid w:val="0030786C"/>
    <w:rsid w:val="003151C1"/>
    <w:rsid w:val="00323B20"/>
    <w:rsid w:val="00353274"/>
    <w:rsid w:val="003B7900"/>
    <w:rsid w:val="003D17F9"/>
    <w:rsid w:val="003D47AE"/>
    <w:rsid w:val="003D52D7"/>
    <w:rsid w:val="003E7A6C"/>
    <w:rsid w:val="004867E2"/>
    <w:rsid w:val="004A2CD4"/>
    <w:rsid w:val="004A32C3"/>
    <w:rsid w:val="004D4FA8"/>
    <w:rsid w:val="004F28F5"/>
    <w:rsid w:val="004F3AA0"/>
    <w:rsid w:val="00543C9E"/>
    <w:rsid w:val="00561352"/>
    <w:rsid w:val="00573D48"/>
    <w:rsid w:val="00596E15"/>
    <w:rsid w:val="005D2E42"/>
    <w:rsid w:val="005E0FAB"/>
    <w:rsid w:val="005F4768"/>
    <w:rsid w:val="006164C2"/>
    <w:rsid w:val="00627DF9"/>
    <w:rsid w:val="006603E3"/>
    <w:rsid w:val="006727F5"/>
    <w:rsid w:val="00672899"/>
    <w:rsid w:val="006B5200"/>
    <w:rsid w:val="006F5435"/>
    <w:rsid w:val="007D71AA"/>
    <w:rsid w:val="008264EB"/>
    <w:rsid w:val="00826860"/>
    <w:rsid w:val="00885093"/>
    <w:rsid w:val="008D4150"/>
    <w:rsid w:val="00917E71"/>
    <w:rsid w:val="00963935"/>
    <w:rsid w:val="00983721"/>
    <w:rsid w:val="009D7609"/>
    <w:rsid w:val="009D7661"/>
    <w:rsid w:val="009E5B4B"/>
    <w:rsid w:val="009F4281"/>
    <w:rsid w:val="009F4C87"/>
    <w:rsid w:val="009F7DAB"/>
    <w:rsid w:val="00A30A78"/>
    <w:rsid w:val="00A4512D"/>
    <w:rsid w:val="00A66C82"/>
    <w:rsid w:val="00A705AF"/>
    <w:rsid w:val="00A952FB"/>
    <w:rsid w:val="00AC1AA3"/>
    <w:rsid w:val="00AC23C0"/>
    <w:rsid w:val="00B42851"/>
    <w:rsid w:val="00B44123"/>
    <w:rsid w:val="00B64B14"/>
    <w:rsid w:val="00C617E9"/>
    <w:rsid w:val="00CB4C13"/>
    <w:rsid w:val="00CB5B1A"/>
    <w:rsid w:val="00CD0C70"/>
    <w:rsid w:val="00D04189"/>
    <w:rsid w:val="00D22D32"/>
    <w:rsid w:val="00D33167"/>
    <w:rsid w:val="00D403F0"/>
    <w:rsid w:val="00D6195F"/>
    <w:rsid w:val="00D73717"/>
    <w:rsid w:val="00D93A8C"/>
    <w:rsid w:val="00DD0878"/>
    <w:rsid w:val="00DD1480"/>
    <w:rsid w:val="00DD5B70"/>
    <w:rsid w:val="00DE28BE"/>
    <w:rsid w:val="00DF782A"/>
    <w:rsid w:val="00E228B6"/>
    <w:rsid w:val="00E7099F"/>
    <w:rsid w:val="00E8287C"/>
    <w:rsid w:val="00F151D2"/>
    <w:rsid w:val="00F15390"/>
    <w:rsid w:val="00F410B0"/>
    <w:rsid w:val="00F60DF4"/>
    <w:rsid w:val="00F8060C"/>
    <w:rsid w:val="00F9158F"/>
    <w:rsid w:val="00FD3DB6"/>
    <w:rsid w:val="00FF0F5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shapelayout v:ext="edit">
      <o:idmap v:ext="edit" data="1"/>
    </o:shapelayout>
  </w:shapeDefaults>
  <w:decimalSymbol w:val="."/>
  <w:listSeparator w:val=","/>
  <w14:docId w14:val="13104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ajorHAnsi" w:eastAsiaTheme="majorEastAsia" w:hAnsiTheme="majorHAnsi" w:cstheme="majorBidi"/>
        <w:sz w:val="22"/>
        <w:szCs w:val="22"/>
        <w:lang w:val="en-AU" w:eastAsia="en-AU"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uiPriority="9"/>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footnote text" w:uiPriority="99"/>
    <w:lsdException w:name="footer" w:uiPriority="99"/>
    <w:lsdException w:name="caption" w:semiHidden="1" w:uiPriority="35" w:unhideWhenUsed="1" w:qFormat="1"/>
    <w:lsdException w:name="footnote reference" w:uiPriority="99"/>
    <w:lsdException w:name="Title" w:uiPriority="10" w:qFormat="1"/>
    <w:lsdException w:name="Subtitle" w:uiPriority="11" w:qFormat="1"/>
    <w:lsdException w:name="Hyperlink" w:uiPriority="99"/>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E0FAB"/>
    <w:pPr>
      <w:spacing w:line="300" w:lineRule="auto"/>
    </w:pPr>
    <w:rPr>
      <w:rFonts w:ascii="Arial" w:hAnsi="Arial" w:cs="Arial"/>
      <w:sz w:val="21"/>
      <w:szCs w:val="20"/>
    </w:rPr>
  </w:style>
  <w:style w:type="paragraph" w:styleId="Heading1">
    <w:name w:val="heading 1"/>
    <w:aliases w:val="Blue"/>
    <w:basedOn w:val="Normal"/>
    <w:next w:val="Normal"/>
    <w:link w:val="Heading1Char"/>
    <w:uiPriority w:val="9"/>
    <w:rsid w:val="004A32C3"/>
    <w:pPr>
      <w:outlineLvl w:val="0"/>
    </w:pPr>
  </w:style>
  <w:style w:type="paragraph" w:styleId="Heading2">
    <w:name w:val="heading 2"/>
    <w:basedOn w:val="Normal"/>
    <w:next w:val="Normal"/>
    <w:link w:val="Heading2Char"/>
    <w:uiPriority w:val="9"/>
    <w:unhideWhenUsed/>
    <w:qFormat/>
    <w:rsid w:val="00CB4C13"/>
    <w:pPr>
      <w:spacing w:before="300" w:after="100" w:line="271" w:lineRule="auto"/>
      <w:outlineLvl w:val="1"/>
    </w:pPr>
    <w:rPr>
      <w:b/>
      <w:color w:val="57259F"/>
      <w:sz w:val="25"/>
      <w:szCs w:val="28"/>
    </w:rPr>
  </w:style>
  <w:style w:type="paragraph" w:styleId="Heading3">
    <w:name w:val="heading 3"/>
    <w:basedOn w:val="Normal"/>
    <w:next w:val="Normal"/>
    <w:link w:val="Heading3Char"/>
    <w:uiPriority w:val="9"/>
    <w:unhideWhenUsed/>
    <w:qFormat/>
    <w:rsid w:val="00CB4C13"/>
    <w:pPr>
      <w:spacing w:before="200" w:after="100" w:line="271" w:lineRule="auto"/>
      <w:outlineLvl w:val="2"/>
    </w:pPr>
    <w:rPr>
      <w:iCs/>
      <w:color w:val="57259F"/>
      <w:spacing w:val="5"/>
      <w:sz w:val="24"/>
      <w:szCs w:val="26"/>
    </w:rPr>
  </w:style>
  <w:style w:type="paragraph" w:styleId="Heading4">
    <w:name w:val="heading 4"/>
    <w:basedOn w:val="Normal"/>
    <w:next w:val="Normal"/>
    <w:link w:val="Heading4Char"/>
    <w:uiPriority w:val="9"/>
    <w:unhideWhenUsed/>
    <w:qFormat/>
    <w:rsid w:val="00CB4C13"/>
    <w:pPr>
      <w:spacing w:after="100" w:line="271" w:lineRule="auto"/>
      <w:outlineLvl w:val="3"/>
    </w:pPr>
    <w:rPr>
      <w:bCs/>
      <w:caps/>
      <w:color w:val="57259F"/>
      <w:spacing w:val="5"/>
      <w:sz w:val="22"/>
      <w:szCs w:val="22"/>
      <w:lang w:val="en"/>
    </w:rPr>
  </w:style>
  <w:style w:type="paragraph" w:styleId="Heading5">
    <w:name w:val="heading 5"/>
    <w:basedOn w:val="Normal"/>
    <w:next w:val="Normal"/>
    <w:link w:val="Heading5Char"/>
    <w:uiPriority w:val="9"/>
    <w:semiHidden/>
    <w:unhideWhenUsed/>
    <w:qFormat/>
    <w:rsid w:val="00672899"/>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672899"/>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672899"/>
    <w:pPr>
      <w:spacing w:after="0"/>
      <w:outlineLvl w:val="6"/>
    </w:pPr>
    <w:rPr>
      <w:b/>
      <w:bCs/>
      <w:i/>
      <w:iCs/>
      <w:color w:val="5A5A5A" w:themeColor="text1" w:themeTint="A5"/>
      <w:sz w:val="20"/>
    </w:rPr>
  </w:style>
  <w:style w:type="paragraph" w:styleId="Heading8">
    <w:name w:val="heading 8"/>
    <w:basedOn w:val="Normal"/>
    <w:next w:val="Normal"/>
    <w:link w:val="Heading8Char"/>
    <w:uiPriority w:val="9"/>
    <w:semiHidden/>
    <w:unhideWhenUsed/>
    <w:qFormat/>
    <w:rsid w:val="00672899"/>
    <w:pPr>
      <w:spacing w:after="0"/>
      <w:outlineLvl w:val="7"/>
    </w:pPr>
    <w:rPr>
      <w:b/>
      <w:bCs/>
      <w:color w:val="7F7F7F" w:themeColor="text1" w:themeTint="80"/>
      <w:sz w:val="20"/>
    </w:rPr>
  </w:style>
  <w:style w:type="paragraph" w:styleId="Heading9">
    <w:name w:val="heading 9"/>
    <w:basedOn w:val="Normal"/>
    <w:next w:val="Normal"/>
    <w:link w:val="Heading9Char"/>
    <w:uiPriority w:val="9"/>
    <w:semiHidden/>
    <w:unhideWhenUsed/>
    <w:qFormat/>
    <w:rsid w:val="00672899"/>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672899"/>
    <w:rPr>
      <w:b/>
      <w:bCs/>
      <w:i/>
      <w:iCs/>
      <w:spacing w:val="10"/>
    </w:rPr>
  </w:style>
  <w:style w:type="character" w:styleId="Strong">
    <w:name w:val="Strong"/>
    <w:uiPriority w:val="22"/>
    <w:qFormat/>
    <w:rsid w:val="00672899"/>
    <w:rPr>
      <w:b/>
      <w:bCs/>
    </w:rPr>
  </w:style>
  <w:style w:type="table" w:customStyle="1" w:styleId="PlainTable41">
    <w:name w:val="Plain Table 41"/>
    <w:basedOn w:val="TableNormal"/>
    <w:rsid w:val="004A32C3"/>
    <w:pPr>
      <w:spacing w:after="0" w:line="240" w:lineRule="auto"/>
    </w:pPr>
    <w:rPr>
      <w:rFonts w:asciiTheme="minorHAnsi" w:eastAsiaTheme="minorEastAsia" w:hAnsiTheme="minorHAnsi" w:cstheme="minorBidi"/>
      <w:lang w:val="en-US"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itle">
    <w:name w:val="Title"/>
    <w:basedOn w:val="Normal"/>
    <w:next w:val="Normal"/>
    <w:link w:val="TitleChar"/>
    <w:uiPriority w:val="10"/>
    <w:qFormat/>
    <w:rsid w:val="004A32C3"/>
    <w:pPr>
      <w:keepNext/>
      <w:keepLines/>
      <w:spacing w:before="360" w:after="0" w:line="240" w:lineRule="auto"/>
    </w:pPr>
    <w:rPr>
      <w:caps/>
      <w:kern w:val="20"/>
      <w:sz w:val="44"/>
      <w:szCs w:val="48"/>
      <w:lang w:eastAsia="en-US"/>
    </w:rPr>
  </w:style>
  <w:style w:type="character" w:customStyle="1" w:styleId="TitleChar">
    <w:name w:val="Title Char"/>
    <w:basedOn w:val="DefaultParagraphFont"/>
    <w:link w:val="Title"/>
    <w:uiPriority w:val="10"/>
    <w:rsid w:val="00672899"/>
    <w:rPr>
      <w:rFonts w:cs="Arial"/>
      <w:caps/>
      <w:kern w:val="20"/>
      <w:sz w:val="44"/>
      <w:szCs w:val="48"/>
      <w:lang w:eastAsia="en-US"/>
    </w:rPr>
  </w:style>
  <w:style w:type="paragraph" w:styleId="NoSpacing">
    <w:name w:val="No Spacing"/>
    <w:basedOn w:val="Normal"/>
    <w:link w:val="NoSpacingChar"/>
    <w:uiPriority w:val="1"/>
    <w:qFormat/>
    <w:rsid w:val="00672899"/>
    <w:pPr>
      <w:spacing w:after="0" w:line="240" w:lineRule="auto"/>
    </w:pPr>
  </w:style>
  <w:style w:type="character" w:styleId="SubtleEmphasis">
    <w:name w:val="Subtle Emphasis"/>
    <w:uiPriority w:val="19"/>
    <w:qFormat/>
    <w:rsid w:val="00672899"/>
    <w:rPr>
      <w:i/>
      <w:iCs/>
    </w:rPr>
  </w:style>
  <w:style w:type="character" w:styleId="IntenseEmphasis">
    <w:name w:val="Intense Emphasis"/>
    <w:uiPriority w:val="21"/>
    <w:qFormat/>
    <w:rsid w:val="00672899"/>
    <w:rPr>
      <w:b/>
      <w:bCs/>
      <w:i/>
      <w:iCs/>
    </w:rPr>
  </w:style>
  <w:style w:type="paragraph" w:styleId="Quote">
    <w:name w:val="Quote"/>
    <w:aliases w:val="Actions Intro Para"/>
    <w:basedOn w:val="Normal"/>
    <w:next w:val="Normal"/>
    <w:link w:val="QuoteChar"/>
    <w:uiPriority w:val="29"/>
    <w:qFormat/>
    <w:rsid w:val="00672899"/>
    <w:rPr>
      <w:i/>
      <w:iCs/>
    </w:rPr>
  </w:style>
  <w:style w:type="character" w:customStyle="1" w:styleId="QuoteChar">
    <w:name w:val="Quote Char"/>
    <w:aliases w:val="Actions Intro Para Char"/>
    <w:basedOn w:val="DefaultParagraphFont"/>
    <w:link w:val="Quote"/>
    <w:uiPriority w:val="29"/>
    <w:rsid w:val="00672899"/>
    <w:rPr>
      <w:i/>
      <w:iCs/>
    </w:rPr>
  </w:style>
  <w:style w:type="paragraph" w:styleId="IntenseQuote">
    <w:name w:val="Intense Quote"/>
    <w:basedOn w:val="Normal"/>
    <w:next w:val="Normal"/>
    <w:link w:val="IntenseQuoteChar"/>
    <w:uiPriority w:val="30"/>
    <w:qFormat/>
    <w:rsid w:val="00672899"/>
    <w:pPr>
      <w:pBdr>
        <w:top w:val="single" w:sz="4" w:space="10" w:color="auto"/>
        <w:bottom w:val="single" w:sz="4" w:space="10" w:color="auto"/>
      </w:pBdr>
      <w:spacing w:before="240" w:after="240"/>
      <w:ind w:left="1152" w:right="1152"/>
      <w:jc w:val="both"/>
    </w:pPr>
    <w:rPr>
      <w:i/>
      <w:iCs/>
    </w:rPr>
  </w:style>
  <w:style w:type="character" w:customStyle="1" w:styleId="IntenseQuoteChar">
    <w:name w:val="Intense Quote Char"/>
    <w:basedOn w:val="DefaultParagraphFont"/>
    <w:link w:val="IntenseQuote"/>
    <w:uiPriority w:val="30"/>
    <w:rsid w:val="00672899"/>
    <w:rPr>
      <w:i/>
      <w:iCs/>
    </w:rPr>
  </w:style>
  <w:style w:type="character" w:styleId="SubtleReference">
    <w:name w:val="Subtle Reference"/>
    <w:basedOn w:val="DefaultParagraphFont"/>
    <w:uiPriority w:val="31"/>
    <w:rsid w:val="00672899"/>
    <w:rPr>
      <w:smallCaps/>
    </w:rPr>
  </w:style>
  <w:style w:type="character" w:styleId="IntenseReference">
    <w:name w:val="Intense Reference"/>
    <w:uiPriority w:val="32"/>
    <w:qFormat/>
    <w:rsid w:val="00672899"/>
    <w:rPr>
      <w:b/>
      <w:bCs/>
      <w:smallCaps/>
    </w:rPr>
  </w:style>
  <w:style w:type="character" w:styleId="BookTitle">
    <w:name w:val="Book Title"/>
    <w:basedOn w:val="DefaultParagraphFont"/>
    <w:uiPriority w:val="33"/>
    <w:qFormat/>
    <w:rsid w:val="00672899"/>
    <w:rPr>
      <w:i/>
      <w:iCs/>
      <w:smallCaps/>
      <w:spacing w:val="5"/>
    </w:rPr>
  </w:style>
  <w:style w:type="paragraph" w:customStyle="1" w:styleId="SubtitleCover">
    <w:name w:val="Subtitle Cover"/>
    <w:basedOn w:val="Normal"/>
    <w:next w:val="BodyText"/>
    <w:rsid w:val="004A32C3"/>
    <w:pPr>
      <w:keepNext/>
      <w:keepLines/>
      <w:spacing w:after="120" w:line="240" w:lineRule="auto"/>
    </w:pPr>
    <w:rPr>
      <w:kern w:val="20"/>
      <w:sz w:val="36"/>
      <w:szCs w:val="48"/>
      <w:lang w:eastAsia="en-US"/>
    </w:rPr>
  </w:style>
  <w:style w:type="paragraph" w:styleId="BodyText">
    <w:name w:val="Body Text"/>
    <w:basedOn w:val="Normal"/>
    <w:link w:val="BodyTextChar"/>
    <w:rsid w:val="00D33167"/>
    <w:pPr>
      <w:spacing w:after="120"/>
    </w:pPr>
  </w:style>
  <w:style w:type="character" w:customStyle="1" w:styleId="BodyTextChar">
    <w:name w:val="Body Text Char"/>
    <w:basedOn w:val="DefaultParagraphFont"/>
    <w:link w:val="BodyText"/>
    <w:rsid w:val="00D33167"/>
    <w:rPr>
      <w:rFonts w:ascii="Arial" w:eastAsiaTheme="minorEastAsia" w:hAnsi="Arial" w:cstheme="minorBidi"/>
      <w:szCs w:val="24"/>
      <w:lang w:val="en-GB" w:eastAsia="en-GB"/>
    </w:rPr>
  </w:style>
  <w:style w:type="paragraph" w:styleId="BalloonText">
    <w:name w:val="Balloon Text"/>
    <w:basedOn w:val="Normal"/>
    <w:link w:val="BalloonTextChar"/>
    <w:rsid w:val="00D331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D33167"/>
    <w:rPr>
      <w:rFonts w:ascii="Tahoma" w:eastAsiaTheme="minorEastAsia" w:hAnsi="Tahoma" w:cs="Tahoma"/>
      <w:sz w:val="16"/>
      <w:szCs w:val="16"/>
      <w:lang w:val="en-GB" w:eastAsia="en-GB"/>
    </w:rPr>
  </w:style>
  <w:style w:type="paragraph" w:styleId="Header">
    <w:name w:val="header"/>
    <w:basedOn w:val="Normal"/>
    <w:link w:val="HeaderChar"/>
    <w:rsid w:val="00A66C82"/>
    <w:pPr>
      <w:tabs>
        <w:tab w:val="center" w:pos="4513"/>
        <w:tab w:val="right" w:pos="9026"/>
      </w:tabs>
      <w:spacing w:after="0" w:line="240" w:lineRule="auto"/>
    </w:pPr>
  </w:style>
  <w:style w:type="character" w:customStyle="1" w:styleId="HeaderChar">
    <w:name w:val="Header Char"/>
    <w:basedOn w:val="DefaultParagraphFont"/>
    <w:link w:val="Header"/>
    <w:rsid w:val="00A66C82"/>
    <w:rPr>
      <w:rFonts w:ascii="Arial" w:eastAsiaTheme="minorEastAsia" w:hAnsi="Arial" w:cstheme="minorBidi"/>
      <w:szCs w:val="24"/>
      <w:lang w:val="en-GB" w:eastAsia="en-GB"/>
    </w:rPr>
  </w:style>
  <w:style w:type="paragraph" w:styleId="Footer">
    <w:name w:val="footer"/>
    <w:basedOn w:val="Normal"/>
    <w:link w:val="FooterChar"/>
    <w:uiPriority w:val="99"/>
    <w:rsid w:val="00CB4C13"/>
    <w:pPr>
      <w:tabs>
        <w:tab w:val="center" w:pos="4513"/>
        <w:tab w:val="right" w:pos="9026"/>
      </w:tabs>
      <w:spacing w:after="240" w:line="240" w:lineRule="auto"/>
      <w:jc w:val="center"/>
    </w:pPr>
    <w:rPr>
      <w:sz w:val="19"/>
    </w:rPr>
  </w:style>
  <w:style w:type="character" w:customStyle="1" w:styleId="FooterChar">
    <w:name w:val="Footer Char"/>
    <w:basedOn w:val="DefaultParagraphFont"/>
    <w:link w:val="Footer"/>
    <w:uiPriority w:val="99"/>
    <w:rsid w:val="00CB4C13"/>
    <w:rPr>
      <w:rFonts w:ascii="Arial" w:hAnsi="Arial" w:cs="Arial"/>
      <w:sz w:val="19"/>
      <w:szCs w:val="20"/>
    </w:rPr>
  </w:style>
  <w:style w:type="paragraph" w:customStyle="1" w:styleId="Bullet">
    <w:name w:val="Bullet"/>
    <w:basedOn w:val="Normal"/>
    <w:rsid w:val="00672899"/>
    <w:pPr>
      <w:numPr>
        <w:numId w:val="1"/>
      </w:numPr>
      <w:spacing w:after="120"/>
    </w:pPr>
  </w:style>
  <w:style w:type="paragraph" w:customStyle="1" w:styleId="Heading1Black">
    <w:name w:val="Heading 1 Black"/>
    <w:basedOn w:val="Heading1"/>
    <w:next w:val="Normal1stParaafterHeading1"/>
    <w:autoRedefine/>
    <w:qFormat/>
    <w:rsid w:val="00FF0F5E"/>
    <w:pPr>
      <w:pBdr>
        <w:left w:val="single" w:sz="48" w:space="8" w:color="57259F"/>
      </w:pBdr>
      <w:spacing w:after="120"/>
      <w:ind w:left="284"/>
    </w:pPr>
    <w:rPr>
      <w:bCs/>
      <w:caps/>
      <w:color w:val="000000" w:themeColor="text1"/>
      <w:sz w:val="32"/>
      <w:szCs w:val="32"/>
    </w:rPr>
  </w:style>
  <w:style w:type="paragraph" w:customStyle="1" w:styleId="QuoteRef">
    <w:name w:val="Quote Ref"/>
    <w:basedOn w:val="Normal"/>
    <w:rsid w:val="00672899"/>
    <w:pPr>
      <w:spacing w:before="120"/>
    </w:pPr>
    <w:rPr>
      <w:color w:val="000000" w:themeColor="text1"/>
    </w:rPr>
  </w:style>
  <w:style w:type="paragraph" w:customStyle="1" w:styleId="TableText">
    <w:name w:val="Table Text"/>
    <w:rsid w:val="00672899"/>
    <w:pPr>
      <w:spacing w:after="120"/>
    </w:pPr>
    <w:rPr>
      <w:rFonts w:ascii="Arial" w:hAnsi="Arial"/>
      <w:bCs/>
      <w:sz w:val="18"/>
      <w:szCs w:val="18"/>
    </w:rPr>
  </w:style>
  <w:style w:type="paragraph" w:customStyle="1" w:styleId="TableHeaderRow">
    <w:name w:val="Table Header Row"/>
    <w:basedOn w:val="Normal"/>
    <w:rsid w:val="00672899"/>
    <w:pPr>
      <w:spacing w:after="0" w:line="240" w:lineRule="auto"/>
    </w:pPr>
    <w:rPr>
      <w:rFonts w:cs="Times New Roman"/>
      <w:bCs/>
      <w:color w:val="FFFFFF" w:themeColor="background1"/>
    </w:rPr>
  </w:style>
  <w:style w:type="paragraph" w:customStyle="1" w:styleId="TableTextbullet">
    <w:name w:val="Table Text bullet"/>
    <w:basedOn w:val="TableText"/>
    <w:rsid w:val="00672899"/>
    <w:pPr>
      <w:numPr>
        <w:numId w:val="2"/>
      </w:numPr>
      <w:spacing w:after="60" w:line="240" w:lineRule="auto"/>
    </w:pPr>
  </w:style>
  <w:style w:type="paragraph" w:customStyle="1" w:styleId="TabletextfirstColumn">
    <w:name w:val="Table text first Column"/>
    <w:basedOn w:val="TableText"/>
    <w:rsid w:val="00672899"/>
    <w:pPr>
      <w:spacing w:line="300" w:lineRule="auto"/>
    </w:pPr>
    <w:rPr>
      <w:bCs w:val="0"/>
      <w:i/>
    </w:rPr>
  </w:style>
  <w:style w:type="paragraph" w:customStyle="1" w:styleId="Heading2PriorityIntro">
    <w:name w:val="Heading 2 Priority Intro"/>
    <w:basedOn w:val="Heading2"/>
    <w:rsid w:val="00672899"/>
    <w:pPr>
      <w:pBdr>
        <w:top w:val="single" w:sz="4" w:space="8" w:color="F2F2F2" w:themeColor="background1" w:themeShade="F2"/>
        <w:left w:val="single" w:sz="4" w:space="8" w:color="F2F2F2" w:themeColor="background1" w:themeShade="F2"/>
        <w:bottom w:val="single" w:sz="4" w:space="8" w:color="F2F2F2" w:themeColor="background1" w:themeShade="F2"/>
        <w:right w:val="single" w:sz="4" w:space="8" w:color="F2F2F2" w:themeColor="background1" w:themeShade="F2"/>
      </w:pBdr>
      <w:shd w:val="clear" w:color="auto" w:fill="F2F2F2" w:themeFill="background1" w:themeFillShade="F2"/>
      <w:spacing w:before="240"/>
      <w:ind w:left="170" w:right="170"/>
    </w:pPr>
  </w:style>
  <w:style w:type="paragraph" w:customStyle="1" w:styleId="NormalPriorityIntro">
    <w:name w:val="Normal Priority Intro"/>
    <w:basedOn w:val="Normal"/>
    <w:rsid w:val="00672899"/>
    <w:pPr>
      <w:pBdr>
        <w:top w:val="single" w:sz="4" w:space="8" w:color="F2F2F2" w:themeColor="background1" w:themeShade="F2"/>
        <w:left w:val="single" w:sz="4" w:space="8" w:color="F2F2F2" w:themeColor="background1" w:themeShade="F2"/>
        <w:bottom w:val="single" w:sz="4" w:space="8" w:color="F2F2F2" w:themeColor="background1" w:themeShade="F2"/>
        <w:right w:val="single" w:sz="4" w:space="8" w:color="F2F2F2" w:themeColor="background1" w:themeShade="F2"/>
      </w:pBdr>
      <w:shd w:val="clear" w:color="auto" w:fill="F2F2F2" w:themeFill="background1" w:themeFillShade="F2"/>
      <w:ind w:left="170" w:right="170"/>
    </w:pPr>
  </w:style>
  <w:style w:type="paragraph" w:customStyle="1" w:styleId="BulletPriorityIntro">
    <w:name w:val="Bullet Priority Intro"/>
    <w:basedOn w:val="Bullet"/>
    <w:rsid w:val="00672899"/>
    <w:pPr>
      <w:numPr>
        <w:numId w:val="0"/>
      </w:numPr>
      <w:pBdr>
        <w:top w:val="single" w:sz="4" w:space="8" w:color="F2F2F2" w:themeColor="background1" w:themeShade="F2"/>
        <w:left w:val="single" w:sz="4" w:space="8" w:color="F2F2F2" w:themeColor="background1" w:themeShade="F2"/>
        <w:bottom w:val="single" w:sz="4" w:space="8" w:color="F2F2F2" w:themeColor="background1" w:themeShade="F2"/>
        <w:right w:val="single" w:sz="4" w:space="8" w:color="F2F2F2" w:themeColor="background1" w:themeShade="F2"/>
      </w:pBdr>
      <w:shd w:val="clear" w:color="auto" w:fill="F2F2F2" w:themeFill="background1" w:themeFillShade="F2"/>
      <w:ind w:right="170"/>
    </w:pPr>
  </w:style>
  <w:style w:type="paragraph" w:customStyle="1" w:styleId="CaptionReversed">
    <w:name w:val="Caption Reversed"/>
    <w:basedOn w:val="Caption"/>
    <w:rsid w:val="00672899"/>
    <w:pPr>
      <w:pBdr>
        <w:top w:val="single" w:sz="4" w:space="5" w:color="00B0F0"/>
        <w:left w:val="single" w:sz="4" w:space="5" w:color="00B0F0"/>
        <w:bottom w:val="single" w:sz="4" w:space="5" w:color="00B0F0"/>
        <w:right w:val="single" w:sz="4" w:space="5" w:color="00B0F0"/>
      </w:pBdr>
      <w:shd w:val="clear" w:color="auto" w:fill="00B0F0"/>
      <w:ind w:left="113" w:right="113"/>
    </w:pPr>
    <w:rPr>
      <w:color w:val="FFFFFF" w:themeColor="background1"/>
    </w:rPr>
  </w:style>
  <w:style w:type="paragraph" w:styleId="Caption">
    <w:name w:val="caption"/>
    <w:basedOn w:val="Normal"/>
    <w:next w:val="Normal"/>
    <w:uiPriority w:val="35"/>
    <w:unhideWhenUsed/>
    <w:qFormat/>
    <w:rsid w:val="004A32C3"/>
    <w:rPr>
      <w:bCs/>
      <w:color w:val="000000" w:themeColor="text1"/>
      <w:sz w:val="16"/>
      <w:szCs w:val="16"/>
    </w:rPr>
  </w:style>
  <w:style w:type="paragraph" w:customStyle="1" w:styleId="Boxbullets">
    <w:name w:val="Box bullets"/>
    <w:basedOn w:val="Bullet"/>
    <w:rsid w:val="00672899"/>
    <w:pPr>
      <w:numPr>
        <w:numId w:val="0"/>
      </w:numPr>
      <w:pBdr>
        <w:top w:val="single" w:sz="4" w:space="8" w:color="00B0F0"/>
        <w:left w:val="single" w:sz="4" w:space="5" w:color="00B0F0"/>
        <w:bottom w:val="single" w:sz="4" w:space="5" w:color="00B0F0"/>
        <w:right w:val="single" w:sz="4" w:space="5" w:color="00B0F0"/>
      </w:pBdr>
      <w:ind w:right="142"/>
    </w:pPr>
  </w:style>
  <w:style w:type="paragraph" w:customStyle="1" w:styleId="BoxText">
    <w:name w:val="Box Text"/>
    <w:basedOn w:val="Boxbullets"/>
    <w:rsid w:val="00672899"/>
    <w:pPr>
      <w:pBdr>
        <w:left w:val="single" w:sz="4" w:space="8" w:color="00B0F0"/>
        <w:bottom w:val="single" w:sz="4" w:space="8" w:color="00B0F0"/>
        <w:right w:val="single" w:sz="4" w:space="8" w:color="00B0F0"/>
      </w:pBdr>
      <w:ind w:left="198" w:right="198"/>
    </w:pPr>
  </w:style>
  <w:style w:type="paragraph" w:customStyle="1" w:styleId="ActionBullet">
    <w:name w:val="Action Bullet"/>
    <w:basedOn w:val="Boxbullets"/>
    <w:rsid w:val="00672899"/>
    <w:pPr>
      <w:pBdr>
        <w:top w:val="none" w:sz="0" w:space="0" w:color="auto"/>
        <w:left w:val="none" w:sz="0" w:space="0" w:color="auto"/>
        <w:bottom w:val="single" w:sz="4" w:space="8" w:color="00B0F0"/>
        <w:right w:val="none" w:sz="0" w:space="0" w:color="auto"/>
      </w:pBdr>
      <w:ind w:right="57"/>
    </w:pPr>
  </w:style>
  <w:style w:type="paragraph" w:customStyle="1" w:styleId="Normal1stParaafterHeading1">
    <w:name w:val="Normal 1st Para after Heading 1"/>
    <w:basedOn w:val="Normal"/>
    <w:next w:val="Normal"/>
    <w:rsid w:val="005F4768"/>
    <w:pPr>
      <w:spacing w:before="480"/>
    </w:pPr>
  </w:style>
  <w:style w:type="character" w:customStyle="1" w:styleId="Heading1Char">
    <w:name w:val="Heading 1 Char"/>
    <w:aliases w:val="Blue Char"/>
    <w:basedOn w:val="DefaultParagraphFont"/>
    <w:link w:val="Heading1"/>
    <w:uiPriority w:val="9"/>
    <w:rsid w:val="004A32C3"/>
    <w:rPr>
      <w:rFonts w:ascii="Arial" w:hAnsi="Arial" w:cs="Arial"/>
      <w:sz w:val="21"/>
      <w:szCs w:val="20"/>
    </w:rPr>
  </w:style>
  <w:style w:type="character" w:customStyle="1" w:styleId="Heading2Char">
    <w:name w:val="Heading 2 Char"/>
    <w:basedOn w:val="DefaultParagraphFont"/>
    <w:link w:val="Heading2"/>
    <w:uiPriority w:val="9"/>
    <w:rsid w:val="00CB4C13"/>
    <w:rPr>
      <w:rFonts w:ascii="Arial" w:hAnsi="Arial" w:cs="Arial"/>
      <w:b/>
      <w:color w:val="57259F"/>
      <w:sz w:val="25"/>
      <w:szCs w:val="28"/>
    </w:rPr>
  </w:style>
  <w:style w:type="character" w:customStyle="1" w:styleId="Heading3Char">
    <w:name w:val="Heading 3 Char"/>
    <w:basedOn w:val="DefaultParagraphFont"/>
    <w:link w:val="Heading3"/>
    <w:uiPriority w:val="9"/>
    <w:rsid w:val="00CB4C13"/>
    <w:rPr>
      <w:rFonts w:ascii="Arial" w:hAnsi="Arial" w:cs="Arial"/>
      <w:iCs/>
      <w:color w:val="57259F"/>
      <w:spacing w:val="5"/>
      <w:sz w:val="24"/>
      <w:szCs w:val="26"/>
    </w:rPr>
  </w:style>
  <w:style w:type="character" w:customStyle="1" w:styleId="Heading4Char">
    <w:name w:val="Heading 4 Char"/>
    <w:basedOn w:val="DefaultParagraphFont"/>
    <w:link w:val="Heading4"/>
    <w:uiPriority w:val="9"/>
    <w:rsid w:val="00CB4C13"/>
    <w:rPr>
      <w:rFonts w:ascii="Arial" w:hAnsi="Arial" w:cs="Arial"/>
      <w:bCs/>
      <w:caps/>
      <w:color w:val="57259F"/>
      <w:spacing w:val="5"/>
      <w:lang w:val="en"/>
    </w:rPr>
  </w:style>
  <w:style w:type="character" w:customStyle="1" w:styleId="Heading5Char">
    <w:name w:val="Heading 5 Char"/>
    <w:basedOn w:val="DefaultParagraphFont"/>
    <w:link w:val="Heading5"/>
    <w:uiPriority w:val="9"/>
    <w:semiHidden/>
    <w:rsid w:val="00672899"/>
    <w:rPr>
      <w:i/>
      <w:iCs/>
      <w:sz w:val="24"/>
      <w:szCs w:val="24"/>
    </w:rPr>
  </w:style>
  <w:style w:type="character" w:customStyle="1" w:styleId="Heading6Char">
    <w:name w:val="Heading 6 Char"/>
    <w:basedOn w:val="DefaultParagraphFont"/>
    <w:link w:val="Heading6"/>
    <w:uiPriority w:val="9"/>
    <w:semiHidden/>
    <w:rsid w:val="00672899"/>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672899"/>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672899"/>
    <w:rPr>
      <w:b/>
      <w:bCs/>
      <w:color w:val="7F7F7F" w:themeColor="text1" w:themeTint="80"/>
      <w:sz w:val="20"/>
      <w:szCs w:val="20"/>
    </w:rPr>
  </w:style>
  <w:style w:type="character" w:customStyle="1" w:styleId="Heading9Char">
    <w:name w:val="Heading 9 Char"/>
    <w:basedOn w:val="DefaultParagraphFont"/>
    <w:link w:val="Heading9"/>
    <w:uiPriority w:val="9"/>
    <w:semiHidden/>
    <w:rsid w:val="00672899"/>
    <w:rPr>
      <w:b/>
      <w:bCs/>
      <w:i/>
      <w:iCs/>
      <w:color w:val="7F7F7F" w:themeColor="text1" w:themeTint="80"/>
      <w:sz w:val="18"/>
      <w:szCs w:val="18"/>
    </w:rPr>
  </w:style>
  <w:style w:type="character" w:customStyle="1" w:styleId="NoSpacingChar">
    <w:name w:val="No Spacing Char"/>
    <w:basedOn w:val="DefaultParagraphFont"/>
    <w:link w:val="NoSpacing"/>
    <w:uiPriority w:val="1"/>
    <w:rsid w:val="00672899"/>
  </w:style>
  <w:style w:type="paragraph" w:styleId="TOCHeading">
    <w:name w:val="TOC Heading"/>
    <w:basedOn w:val="Heading1"/>
    <w:next w:val="Normal"/>
    <w:uiPriority w:val="39"/>
    <w:semiHidden/>
    <w:unhideWhenUsed/>
    <w:qFormat/>
    <w:rsid w:val="00672899"/>
    <w:pPr>
      <w:outlineLvl w:val="9"/>
    </w:pPr>
    <w:rPr>
      <w:lang w:bidi="en-US"/>
    </w:rPr>
  </w:style>
  <w:style w:type="paragraph" w:customStyle="1" w:styleId="NumberedList">
    <w:name w:val="Numbered List"/>
    <w:basedOn w:val="Normal"/>
    <w:qFormat/>
    <w:rsid w:val="004A32C3"/>
    <w:pPr>
      <w:numPr>
        <w:numId w:val="3"/>
      </w:numPr>
      <w:spacing w:after="100"/>
      <w:ind w:left="714" w:hanging="357"/>
    </w:pPr>
    <w:rPr>
      <w:lang w:val="en"/>
    </w:rPr>
  </w:style>
  <w:style w:type="paragraph" w:customStyle="1" w:styleId="BulletedList">
    <w:name w:val="Bulleted List"/>
    <w:basedOn w:val="Normal"/>
    <w:qFormat/>
    <w:rsid w:val="001F1297"/>
    <w:pPr>
      <w:numPr>
        <w:numId w:val="4"/>
      </w:numPr>
      <w:spacing w:after="0"/>
      <w:contextualSpacing/>
    </w:pPr>
    <w:rPr>
      <w:lang w:val="en"/>
    </w:rPr>
  </w:style>
  <w:style w:type="paragraph" w:customStyle="1" w:styleId="Heading2Numbered">
    <w:name w:val="Heading 2 Numbered"/>
    <w:basedOn w:val="Heading2"/>
    <w:qFormat/>
    <w:rsid w:val="006164C2"/>
    <w:pPr>
      <w:numPr>
        <w:numId w:val="5"/>
      </w:numPr>
    </w:pPr>
    <w:rPr>
      <w:lang w:val="en"/>
    </w:rPr>
  </w:style>
  <w:style w:type="paragraph" w:customStyle="1" w:styleId="Heading3Numbered">
    <w:name w:val="Heading 3 Numbered"/>
    <w:basedOn w:val="Heading3"/>
    <w:qFormat/>
    <w:rsid w:val="006164C2"/>
    <w:pPr>
      <w:numPr>
        <w:numId w:val="6"/>
      </w:numPr>
    </w:pPr>
  </w:style>
  <w:style w:type="paragraph" w:customStyle="1" w:styleId="Heading4Numbered">
    <w:name w:val="Heading 4 Numbered"/>
    <w:basedOn w:val="Heading4"/>
    <w:qFormat/>
    <w:rsid w:val="006164C2"/>
    <w:pPr>
      <w:numPr>
        <w:numId w:val="7"/>
      </w:numPr>
    </w:pPr>
  </w:style>
  <w:style w:type="paragraph" w:customStyle="1" w:styleId="Boxshadedcolourbackground">
    <w:name w:val="Box shaded colour background"/>
    <w:basedOn w:val="Normal"/>
    <w:qFormat/>
    <w:rsid w:val="00F9158F"/>
    <w:pPr>
      <w:pBdr>
        <w:top w:val="single" w:sz="4" w:space="8" w:color="F2F2F2"/>
        <w:left w:val="single" w:sz="4" w:space="8" w:color="F2F2F2"/>
        <w:bottom w:val="single" w:sz="4" w:space="8" w:color="F2F2F2"/>
        <w:right w:val="single" w:sz="4" w:space="8" w:color="F2F2F2"/>
      </w:pBdr>
      <w:shd w:val="clear" w:color="auto" w:fill="ECE5F5"/>
      <w:spacing w:before="300" w:line="276" w:lineRule="auto"/>
      <w:ind w:left="170" w:right="170"/>
    </w:pPr>
    <w:rPr>
      <w:rFonts w:eastAsia="Calibri" w:cs="Times New Roman"/>
      <w:bCs/>
      <w:szCs w:val="21"/>
      <w:lang w:val="en-GB" w:eastAsia="en-US"/>
    </w:rPr>
  </w:style>
  <w:style w:type="paragraph" w:customStyle="1" w:styleId="Boxshadedgreybackgroundwithcolouredstrokeaboveandbelow">
    <w:name w:val="Box shaded grey background with coloured stroke above and below"/>
    <w:basedOn w:val="Normal"/>
    <w:qFormat/>
    <w:rsid w:val="00F15390"/>
    <w:pPr>
      <w:pBdr>
        <w:top w:val="single" w:sz="4" w:space="8" w:color="573393"/>
        <w:bottom w:val="single" w:sz="4" w:space="8" w:color="573393"/>
      </w:pBdr>
      <w:shd w:val="pct5" w:color="auto" w:fill="auto"/>
      <w:spacing w:before="200" w:line="276" w:lineRule="auto"/>
    </w:pPr>
    <w:rPr>
      <w:rFonts w:eastAsia="Calibri" w:cs="Times New Roman"/>
      <w:szCs w:val="21"/>
      <w:lang w:val="en-GB" w:eastAsia="en-US"/>
    </w:rPr>
  </w:style>
  <w:style w:type="paragraph" w:customStyle="1" w:styleId="Boxwithcolouredkeyline">
    <w:name w:val="Box with coloured keyline"/>
    <w:basedOn w:val="Normal"/>
    <w:qFormat/>
    <w:rsid w:val="00F15390"/>
    <w:pPr>
      <w:pBdr>
        <w:top w:val="single" w:sz="4" w:space="8" w:color="573393"/>
        <w:left w:val="single" w:sz="4" w:space="8" w:color="573393"/>
        <w:bottom w:val="single" w:sz="4" w:space="8" w:color="573393"/>
        <w:right w:val="single" w:sz="4" w:space="8" w:color="573393"/>
      </w:pBdr>
      <w:spacing w:after="120" w:line="276" w:lineRule="auto"/>
      <w:ind w:left="198" w:right="198"/>
    </w:pPr>
    <w:rPr>
      <w:rFonts w:eastAsia="Calibri" w:cs="Times New Roman"/>
      <w:szCs w:val="21"/>
      <w:lang w:val="en-GB" w:eastAsia="en-US"/>
    </w:rPr>
  </w:style>
  <w:style w:type="paragraph" w:customStyle="1" w:styleId="Footerborderabove">
    <w:name w:val="Footer border above"/>
    <w:basedOn w:val="Footer"/>
    <w:qFormat/>
    <w:rsid w:val="00CD0C70"/>
    <w:pPr>
      <w:pBdr>
        <w:top w:val="single" w:sz="8" w:space="6" w:color="57259F"/>
      </w:pBdr>
    </w:pPr>
  </w:style>
  <w:style w:type="paragraph" w:styleId="TOC1">
    <w:name w:val="toc 1"/>
    <w:basedOn w:val="Normal"/>
    <w:next w:val="Normal"/>
    <w:autoRedefine/>
    <w:uiPriority w:val="39"/>
    <w:rsid w:val="00561352"/>
    <w:pPr>
      <w:spacing w:after="100"/>
    </w:pPr>
    <w:rPr>
      <w:sz w:val="24"/>
    </w:rPr>
  </w:style>
  <w:style w:type="paragraph" w:styleId="TOC2">
    <w:name w:val="toc 2"/>
    <w:basedOn w:val="Normal"/>
    <w:next w:val="Normal"/>
    <w:autoRedefine/>
    <w:uiPriority w:val="39"/>
    <w:rsid w:val="00561352"/>
    <w:pPr>
      <w:spacing w:after="100"/>
      <w:ind w:left="210"/>
    </w:pPr>
  </w:style>
  <w:style w:type="paragraph" w:customStyle="1" w:styleId="Heading1option2">
    <w:name w:val="Heading 1 option 2"/>
    <w:basedOn w:val="Heading1Black"/>
    <w:qFormat/>
    <w:rsid w:val="00561352"/>
    <w:pPr>
      <w:pBdr>
        <w:left w:val="none" w:sz="0" w:space="0" w:color="auto"/>
      </w:pBdr>
      <w:ind w:left="0"/>
    </w:pPr>
    <w:rPr>
      <w:caps w:val="0"/>
      <w:color w:val="57259F"/>
      <w:sz w:val="36"/>
    </w:rPr>
  </w:style>
  <w:style w:type="paragraph" w:styleId="TOC3">
    <w:name w:val="toc 3"/>
    <w:basedOn w:val="Normal"/>
    <w:next w:val="Normal"/>
    <w:autoRedefine/>
    <w:uiPriority w:val="39"/>
    <w:rsid w:val="00561352"/>
    <w:pPr>
      <w:spacing w:after="100"/>
      <w:ind w:left="420"/>
    </w:pPr>
  </w:style>
  <w:style w:type="character" w:styleId="Hyperlink">
    <w:name w:val="Hyperlink"/>
    <w:basedOn w:val="DefaultParagraphFont"/>
    <w:uiPriority w:val="99"/>
    <w:unhideWhenUsed/>
    <w:rsid w:val="00561352"/>
    <w:rPr>
      <w:color w:val="0000FF" w:themeColor="hyperlink"/>
      <w:u w:val="single"/>
    </w:rPr>
  </w:style>
  <w:style w:type="paragraph" w:styleId="BodyText2">
    <w:name w:val="Body Text 2"/>
    <w:basedOn w:val="Normal"/>
    <w:link w:val="BodyText2Char"/>
    <w:rsid w:val="005E0FAB"/>
    <w:pPr>
      <w:spacing w:after="120" w:line="480" w:lineRule="auto"/>
    </w:pPr>
  </w:style>
  <w:style w:type="character" w:customStyle="1" w:styleId="BodyText2Char">
    <w:name w:val="Body Text 2 Char"/>
    <w:basedOn w:val="DefaultParagraphFont"/>
    <w:link w:val="BodyText2"/>
    <w:rsid w:val="005E0FAB"/>
    <w:rPr>
      <w:rFonts w:ascii="Arial" w:hAnsi="Arial" w:cs="Arial"/>
      <w:sz w:val="21"/>
      <w:szCs w:val="20"/>
    </w:rPr>
  </w:style>
  <w:style w:type="paragraph" w:styleId="FootnoteText">
    <w:name w:val="footnote text"/>
    <w:basedOn w:val="Normal"/>
    <w:link w:val="FootnoteTextChar"/>
    <w:uiPriority w:val="99"/>
    <w:unhideWhenUsed/>
    <w:rsid w:val="005E0FAB"/>
    <w:pPr>
      <w:spacing w:after="0" w:line="240" w:lineRule="auto"/>
    </w:pPr>
    <w:rPr>
      <w:rFonts w:asciiTheme="minorHAnsi" w:eastAsiaTheme="minorEastAsia" w:hAnsiTheme="minorHAnsi" w:cstheme="minorBidi"/>
      <w:sz w:val="20"/>
      <w:lang w:eastAsia="zh-CN"/>
    </w:rPr>
  </w:style>
  <w:style w:type="character" w:customStyle="1" w:styleId="FootnoteTextChar">
    <w:name w:val="Footnote Text Char"/>
    <w:basedOn w:val="DefaultParagraphFont"/>
    <w:link w:val="FootnoteText"/>
    <w:uiPriority w:val="99"/>
    <w:rsid w:val="005E0FAB"/>
    <w:rPr>
      <w:rFonts w:asciiTheme="minorHAnsi" w:eastAsiaTheme="minorEastAsia" w:hAnsiTheme="minorHAnsi" w:cstheme="minorBidi"/>
      <w:sz w:val="20"/>
      <w:szCs w:val="20"/>
      <w:lang w:eastAsia="zh-CN"/>
    </w:rPr>
  </w:style>
  <w:style w:type="character" w:styleId="FootnoteReference">
    <w:name w:val="footnote reference"/>
    <w:basedOn w:val="DefaultParagraphFont"/>
    <w:uiPriority w:val="99"/>
    <w:unhideWhenUsed/>
    <w:rsid w:val="005E0FAB"/>
    <w:rPr>
      <w:vertAlign w:val="superscript"/>
    </w:rPr>
  </w:style>
  <w:style w:type="table" w:styleId="TableGrid">
    <w:name w:val="Table Grid"/>
    <w:basedOn w:val="TableNormal"/>
    <w:rsid w:val="002A7C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ssuedateinfo">
    <w:name w:val="Issue date info"/>
    <w:basedOn w:val="Normal"/>
    <w:qFormat/>
    <w:rsid w:val="00B44123"/>
    <w:pPr>
      <w:spacing w:before="120" w:after="240" w:line="360" w:lineRule="auto"/>
      <w:jc w:val="right"/>
    </w:pPr>
  </w:style>
  <w:style w:type="paragraph" w:customStyle="1" w:styleId="Sub-bulletedlist">
    <w:name w:val="Sub-bulleted list"/>
    <w:basedOn w:val="BulletedList"/>
    <w:rsid w:val="0018425E"/>
    <w:pPr>
      <w:numPr>
        <w:numId w:val="8"/>
      </w:numPr>
      <w:spacing w:line="240" w:lineRule="auto"/>
      <w:ind w:left="1797" w:hanging="357"/>
    </w:pPr>
    <w:rPr>
      <w:lang w:eastAsia="en-US"/>
    </w:rPr>
  </w:style>
  <w:style w:type="paragraph" w:customStyle="1" w:styleId="Sub-bullettedlist">
    <w:name w:val="Sub-bulletted list"/>
    <w:basedOn w:val="BulletedList"/>
    <w:qFormat/>
    <w:rsid w:val="009F4C87"/>
    <w:pPr>
      <w:numPr>
        <w:numId w:val="9"/>
      </w:numPr>
      <w:spacing w:after="120"/>
      <w:contextualSpacing w:val="0"/>
    </w:pPr>
    <w:rPr>
      <w:i/>
    </w:rPr>
  </w:style>
  <w:style w:type="character" w:styleId="CommentReference">
    <w:name w:val="annotation reference"/>
    <w:basedOn w:val="DefaultParagraphFont"/>
    <w:rsid w:val="00E228B6"/>
    <w:rPr>
      <w:sz w:val="16"/>
      <w:szCs w:val="16"/>
    </w:rPr>
  </w:style>
  <w:style w:type="paragraph" w:styleId="CommentText">
    <w:name w:val="annotation text"/>
    <w:basedOn w:val="Normal"/>
    <w:link w:val="CommentTextChar"/>
    <w:rsid w:val="00E228B6"/>
    <w:pPr>
      <w:spacing w:line="240" w:lineRule="auto"/>
    </w:pPr>
    <w:rPr>
      <w:sz w:val="20"/>
    </w:rPr>
  </w:style>
  <w:style w:type="character" w:customStyle="1" w:styleId="CommentTextChar">
    <w:name w:val="Comment Text Char"/>
    <w:basedOn w:val="DefaultParagraphFont"/>
    <w:link w:val="CommentText"/>
    <w:rsid w:val="00E228B6"/>
    <w:rPr>
      <w:rFonts w:ascii="Arial" w:hAnsi="Arial" w:cs="Arial"/>
      <w:sz w:val="20"/>
      <w:szCs w:val="20"/>
    </w:rPr>
  </w:style>
  <w:style w:type="paragraph" w:styleId="CommentSubject">
    <w:name w:val="annotation subject"/>
    <w:basedOn w:val="CommentText"/>
    <w:next w:val="CommentText"/>
    <w:link w:val="CommentSubjectChar"/>
    <w:rsid w:val="00E228B6"/>
    <w:rPr>
      <w:b/>
      <w:bCs/>
    </w:rPr>
  </w:style>
  <w:style w:type="character" w:customStyle="1" w:styleId="CommentSubjectChar">
    <w:name w:val="Comment Subject Char"/>
    <w:basedOn w:val="CommentTextChar"/>
    <w:link w:val="CommentSubject"/>
    <w:rsid w:val="00E228B6"/>
    <w:rPr>
      <w:rFonts w:ascii="Arial" w:hAnsi="Arial" w:cs="Arial"/>
      <w:b/>
      <w:bCs/>
      <w:sz w:val="20"/>
      <w:szCs w:val="20"/>
    </w:rPr>
  </w:style>
  <w:style w:type="paragraph" w:styleId="Revision">
    <w:name w:val="Revision"/>
    <w:hidden/>
    <w:uiPriority w:val="99"/>
    <w:semiHidden/>
    <w:rsid w:val="00E228B6"/>
    <w:pPr>
      <w:spacing w:after="0" w:line="240" w:lineRule="auto"/>
    </w:pPr>
    <w:rPr>
      <w:rFonts w:ascii="Arial" w:hAnsi="Arial" w:cs="Arial"/>
      <w:sz w:val="21"/>
      <w:szCs w:val="20"/>
    </w:rPr>
  </w:style>
  <w:style w:type="paragraph" w:customStyle="1" w:styleId="Bodytext-bullet">
    <w:name w:val="Body text - bullet"/>
    <w:qFormat/>
    <w:rsid w:val="00826860"/>
    <w:pPr>
      <w:numPr>
        <w:numId w:val="10"/>
      </w:numPr>
      <w:tabs>
        <w:tab w:val="left" w:pos="709"/>
      </w:tabs>
      <w:spacing w:after="120" w:line="240" w:lineRule="auto"/>
    </w:pPr>
    <w:rPr>
      <w:rFonts w:ascii="Times New Roman" w:eastAsia="Times New Roman" w:hAnsi="Times New Roman" w:cs="Times New Roman"/>
      <w:szCs w:val="20"/>
      <w:lang w:val="en-US"/>
    </w:rPr>
  </w:style>
  <w:style w:type="paragraph" w:customStyle="1" w:styleId="Figureheading">
    <w:name w:val="Figure heading"/>
    <w:next w:val="Normal"/>
    <w:qFormat/>
    <w:rsid w:val="00F8060C"/>
    <w:pPr>
      <w:tabs>
        <w:tab w:val="left" w:pos="1134"/>
      </w:tabs>
      <w:spacing w:before="240" w:after="240" w:line="240" w:lineRule="auto"/>
      <w:ind w:left="1134" w:hanging="1134"/>
    </w:pPr>
    <w:rPr>
      <w:rFonts w:ascii="Times New Roman" w:eastAsia="Times New Roman" w:hAnsi="Times New Roman" w:cs="Times New Roman"/>
      <w:b/>
      <w:szCs w:val="20"/>
    </w:rPr>
  </w:style>
  <w:style w:type="paragraph" w:customStyle="1" w:styleId="Tabletext0">
    <w:name w:val="Table text"/>
    <w:qFormat/>
    <w:rsid w:val="00F8060C"/>
    <w:pPr>
      <w:spacing w:before="40" w:after="40" w:line="240" w:lineRule="auto"/>
      <w:jc w:val="center"/>
    </w:pPr>
    <w:rPr>
      <w:rFonts w:ascii="Times New Roman" w:eastAsia="Times New Roman" w:hAnsi="Times New Roman" w:cs="Times New Roman"/>
      <w:sz w:val="20"/>
      <w:szCs w:val="20"/>
      <w:lang w:val="en-US" w:eastAsia="ja-JP"/>
    </w:rPr>
  </w:style>
  <w:style w:type="paragraph" w:customStyle="1" w:styleId="Tablecolumnheading">
    <w:name w:val="Table column heading"/>
    <w:qFormat/>
    <w:rsid w:val="00F8060C"/>
    <w:pPr>
      <w:spacing w:before="60" w:after="60" w:line="240" w:lineRule="auto"/>
      <w:jc w:val="center"/>
    </w:pPr>
    <w:rPr>
      <w:rFonts w:ascii="Times New Roman" w:eastAsia="Times New Roman" w:hAnsi="Times New Roman" w:cs="Times New Roman"/>
      <w:b/>
      <w:sz w:val="20"/>
      <w:szCs w:val="20"/>
    </w:rPr>
  </w:style>
  <w:style w:type="paragraph" w:customStyle="1" w:styleId="Intropara">
    <w:name w:val="Intro para"/>
    <w:next w:val="BodyText"/>
    <w:qFormat/>
    <w:rsid w:val="006B5200"/>
    <w:pPr>
      <w:spacing w:before="240" w:after="240" w:line="240" w:lineRule="auto"/>
    </w:pPr>
    <w:rPr>
      <w:rFonts w:ascii="Times New Roman" w:eastAsia="Times New Roman" w:hAnsi="Times New Roman" w:cs="Times New Roman"/>
      <w:i/>
      <w:szCs w:val="20"/>
    </w:rPr>
  </w:style>
  <w:style w:type="paragraph" w:styleId="ListParagraph">
    <w:name w:val="List Paragraph"/>
    <w:basedOn w:val="Normal"/>
    <w:uiPriority w:val="34"/>
    <w:qFormat/>
    <w:rsid w:val="00183FB0"/>
    <w:pPr>
      <w:spacing w:line="276" w:lineRule="auto"/>
      <w:ind w:left="720"/>
      <w:contextualSpacing/>
    </w:pPr>
    <w:rPr>
      <w:rFonts w:asciiTheme="minorHAnsi" w:eastAsiaTheme="minorHAnsi" w:hAnsiTheme="minorHAnsi" w:cstheme="minorBidi"/>
      <w:sz w:val="22"/>
      <w:szCs w:val="22"/>
      <w:lang w:eastAsia="en-US"/>
    </w:rPr>
  </w:style>
  <w:style w:type="paragraph" w:customStyle="1" w:styleId="EndNoteBibliography">
    <w:name w:val="EndNote Bibliography"/>
    <w:basedOn w:val="Normal"/>
    <w:link w:val="EndNoteBibliographyChar"/>
    <w:rsid w:val="00183FB0"/>
    <w:pPr>
      <w:spacing w:line="240" w:lineRule="auto"/>
    </w:pPr>
    <w:rPr>
      <w:rFonts w:ascii="Cambria" w:eastAsiaTheme="minorHAnsi" w:hAnsi="Cambria" w:cstheme="minorBidi"/>
      <w:noProof/>
      <w:sz w:val="28"/>
      <w:szCs w:val="22"/>
      <w:lang w:val="en-US" w:eastAsia="en-US"/>
    </w:rPr>
  </w:style>
  <w:style w:type="character" w:customStyle="1" w:styleId="EndNoteBibliographyChar">
    <w:name w:val="EndNote Bibliography Char"/>
    <w:basedOn w:val="DefaultParagraphFont"/>
    <w:link w:val="EndNoteBibliography"/>
    <w:rsid w:val="00183FB0"/>
    <w:rPr>
      <w:rFonts w:ascii="Cambria" w:eastAsiaTheme="minorHAnsi" w:hAnsi="Cambria" w:cstheme="minorBidi"/>
      <w:noProof/>
      <w:sz w:val="28"/>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ajorHAnsi" w:eastAsiaTheme="majorEastAsia" w:hAnsiTheme="majorHAnsi" w:cstheme="majorBidi"/>
        <w:sz w:val="22"/>
        <w:szCs w:val="22"/>
        <w:lang w:val="en-AU" w:eastAsia="en-AU" w:bidi="ar-SA"/>
      </w:rPr>
    </w:rPrDefault>
    <w:pPrDefault>
      <w:pPr>
        <w:spacing w:after="200" w:line="276" w:lineRule="auto"/>
      </w:pPr>
    </w:pPrDefault>
  </w:docDefaults>
  <w:latentStyles w:defLockedState="0" w:defUIPriority="0" w:defSemiHidden="0" w:defUnhideWhenUsed="0" w:defQFormat="0" w:count="267">
    <w:lsdException w:name="Normal" w:qFormat="1"/>
    <w:lsdException w:name="heading 1" w:uiPriority="9"/>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footnote text" w:uiPriority="99"/>
    <w:lsdException w:name="footer" w:uiPriority="99"/>
    <w:lsdException w:name="caption" w:semiHidden="1" w:uiPriority="35" w:unhideWhenUsed="1" w:qFormat="1"/>
    <w:lsdException w:name="footnote reference" w:uiPriority="99"/>
    <w:lsdException w:name="Title" w:uiPriority="10" w:qFormat="1"/>
    <w:lsdException w:name="Subtitle" w:uiPriority="11" w:qFormat="1"/>
    <w:lsdException w:name="Hyperlink" w:uiPriority="99"/>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5E0FAB"/>
    <w:pPr>
      <w:spacing w:line="300" w:lineRule="auto"/>
    </w:pPr>
    <w:rPr>
      <w:rFonts w:ascii="Arial" w:hAnsi="Arial" w:cs="Arial"/>
      <w:sz w:val="21"/>
      <w:szCs w:val="20"/>
    </w:rPr>
  </w:style>
  <w:style w:type="paragraph" w:styleId="Heading1">
    <w:name w:val="heading 1"/>
    <w:aliases w:val="Blue"/>
    <w:basedOn w:val="Normal"/>
    <w:next w:val="Normal"/>
    <w:link w:val="Heading1Char"/>
    <w:uiPriority w:val="9"/>
    <w:rsid w:val="004A32C3"/>
    <w:pPr>
      <w:outlineLvl w:val="0"/>
    </w:pPr>
  </w:style>
  <w:style w:type="paragraph" w:styleId="Heading2">
    <w:name w:val="heading 2"/>
    <w:basedOn w:val="Normal"/>
    <w:next w:val="Normal"/>
    <w:link w:val="Heading2Char"/>
    <w:uiPriority w:val="9"/>
    <w:unhideWhenUsed/>
    <w:qFormat/>
    <w:rsid w:val="00CB4C13"/>
    <w:pPr>
      <w:spacing w:before="300" w:after="100" w:line="271" w:lineRule="auto"/>
      <w:outlineLvl w:val="1"/>
    </w:pPr>
    <w:rPr>
      <w:b/>
      <w:color w:val="57259F"/>
      <w:sz w:val="25"/>
      <w:szCs w:val="28"/>
    </w:rPr>
  </w:style>
  <w:style w:type="paragraph" w:styleId="Heading3">
    <w:name w:val="heading 3"/>
    <w:basedOn w:val="Normal"/>
    <w:next w:val="Normal"/>
    <w:link w:val="Heading3Char"/>
    <w:uiPriority w:val="9"/>
    <w:unhideWhenUsed/>
    <w:qFormat/>
    <w:rsid w:val="00CB4C13"/>
    <w:pPr>
      <w:spacing w:before="200" w:after="100" w:line="271" w:lineRule="auto"/>
      <w:outlineLvl w:val="2"/>
    </w:pPr>
    <w:rPr>
      <w:iCs/>
      <w:color w:val="57259F"/>
      <w:spacing w:val="5"/>
      <w:sz w:val="24"/>
      <w:szCs w:val="26"/>
    </w:rPr>
  </w:style>
  <w:style w:type="paragraph" w:styleId="Heading4">
    <w:name w:val="heading 4"/>
    <w:basedOn w:val="Normal"/>
    <w:next w:val="Normal"/>
    <w:link w:val="Heading4Char"/>
    <w:uiPriority w:val="9"/>
    <w:unhideWhenUsed/>
    <w:qFormat/>
    <w:rsid w:val="00CB4C13"/>
    <w:pPr>
      <w:spacing w:after="100" w:line="271" w:lineRule="auto"/>
      <w:outlineLvl w:val="3"/>
    </w:pPr>
    <w:rPr>
      <w:bCs/>
      <w:caps/>
      <w:color w:val="57259F"/>
      <w:spacing w:val="5"/>
      <w:sz w:val="22"/>
      <w:szCs w:val="22"/>
      <w:lang w:val="en"/>
    </w:rPr>
  </w:style>
  <w:style w:type="paragraph" w:styleId="Heading5">
    <w:name w:val="heading 5"/>
    <w:basedOn w:val="Normal"/>
    <w:next w:val="Normal"/>
    <w:link w:val="Heading5Char"/>
    <w:uiPriority w:val="9"/>
    <w:semiHidden/>
    <w:unhideWhenUsed/>
    <w:qFormat/>
    <w:rsid w:val="00672899"/>
    <w:pPr>
      <w:spacing w:after="0" w:line="271" w:lineRule="auto"/>
      <w:outlineLvl w:val="4"/>
    </w:pPr>
    <w:rPr>
      <w:i/>
      <w:iCs/>
      <w:sz w:val="24"/>
      <w:szCs w:val="24"/>
    </w:rPr>
  </w:style>
  <w:style w:type="paragraph" w:styleId="Heading6">
    <w:name w:val="heading 6"/>
    <w:basedOn w:val="Normal"/>
    <w:next w:val="Normal"/>
    <w:link w:val="Heading6Char"/>
    <w:uiPriority w:val="9"/>
    <w:semiHidden/>
    <w:unhideWhenUsed/>
    <w:qFormat/>
    <w:rsid w:val="00672899"/>
    <w:pPr>
      <w:shd w:val="clear" w:color="auto" w:fill="FFFFFF" w:themeFill="background1"/>
      <w:spacing w:after="0" w:line="271" w:lineRule="auto"/>
      <w:outlineLvl w:val="5"/>
    </w:pPr>
    <w:rPr>
      <w:b/>
      <w:bCs/>
      <w:color w:val="595959" w:themeColor="text1" w:themeTint="A6"/>
      <w:spacing w:val="5"/>
    </w:rPr>
  </w:style>
  <w:style w:type="paragraph" w:styleId="Heading7">
    <w:name w:val="heading 7"/>
    <w:basedOn w:val="Normal"/>
    <w:next w:val="Normal"/>
    <w:link w:val="Heading7Char"/>
    <w:uiPriority w:val="9"/>
    <w:semiHidden/>
    <w:unhideWhenUsed/>
    <w:qFormat/>
    <w:rsid w:val="00672899"/>
    <w:pPr>
      <w:spacing w:after="0"/>
      <w:outlineLvl w:val="6"/>
    </w:pPr>
    <w:rPr>
      <w:b/>
      <w:bCs/>
      <w:i/>
      <w:iCs/>
      <w:color w:val="5A5A5A" w:themeColor="text1" w:themeTint="A5"/>
      <w:sz w:val="20"/>
    </w:rPr>
  </w:style>
  <w:style w:type="paragraph" w:styleId="Heading8">
    <w:name w:val="heading 8"/>
    <w:basedOn w:val="Normal"/>
    <w:next w:val="Normal"/>
    <w:link w:val="Heading8Char"/>
    <w:uiPriority w:val="9"/>
    <w:semiHidden/>
    <w:unhideWhenUsed/>
    <w:qFormat/>
    <w:rsid w:val="00672899"/>
    <w:pPr>
      <w:spacing w:after="0"/>
      <w:outlineLvl w:val="7"/>
    </w:pPr>
    <w:rPr>
      <w:b/>
      <w:bCs/>
      <w:color w:val="7F7F7F" w:themeColor="text1" w:themeTint="80"/>
      <w:sz w:val="20"/>
    </w:rPr>
  </w:style>
  <w:style w:type="paragraph" w:styleId="Heading9">
    <w:name w:val="heading 9"/>
    <w:basedOn w:val="Normal"/>
    <w:next w:val="Normal"/>
    <w:link w:val="Heading9Char"/>
    <w:uiPriority w:val="9"/>
    <w:semiHidden/>
    <w:unhideWhenUsed/>
    <w:qFormat/>
    <w:rsid w:val="00672899"/>
    <w:pPr>
      <w:spacing w:after="0" w:line="271" w:lineRule="auto"/>
      <w:outlineLvl w:val="8"/>
    </w:pPr>
    <w:rPr>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672899"/>
    <w:rPr>
      <w:b/>
      <w:bCs/>
      <w:i/>
      <w:iCs/>
      <w:spacing w:val="10"/>
    </w:rPr>
  </w:style>
  <w:style w:type="character" w:styleId="Strong">
    <w:name w:val="Strong"/>
    <w:uiPriority w:val="22"/>
    <w:qFormat/>
    <w:rsid w:val="00672899"/>
    <w:rPr>
      <w:b/>
      <w:bCs/>
    </w:rPr>
  </w:style>
  <w:style w:type="table" w:customStyle="1" w:styleId="PlainTable41">
    <w:name w:val="Plain Table 41"/>
    <w:basedOn w:val="TableNormal"/>
    <w:rsid w:val="004A32C3"/>
    <w:pPr>
      <w:spacing w:after="0" w:line="240" w:lineRule="auto"/>
    </w:pPr>
    <w:rPr>
      <w:rFonts w:asciiTheme="minorHAnsi" w:eastAsiaTheme="minorEastAsia" w:hAnsiTheme="minorHAnsi" w:cstheme="minorBidi"/>
      <w:lang w:val="en-US"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itle">
    <w:name w:val="Title"/>
    <w:basedOn w:val="Normal"/>
    <w:next w:val="Normal"/>
    <w:link w:val="TitleChar"/>
    <w:uiPriority w:val="10"/>
    <w:qFormat/>
    <w:rsid w:val="004A32C3"/>
    <w:pPr>
      <w:keepNext/>
      <w:keepLines/>
      <w:spacing w:before="360" w:after="0" w:line="240" w:lineRule="auto"/>
    </w:pPr>
    <w:rPr>
      <w:caps/>
      <w:kern w:val="20"/>
      <w:sz w:val="44"/>
      <w:szCs w:val="48"/>
      <w:lang w:eastAsia="en-US"/>
    </w:rPr>
  </w:style>
  <w:style w:type="character" w:customStyle="1" w:styleId="TitleChar">
    <w:name w:val="Title Char"/>
    <w:basedOn w:val="DefaultParagraphFont"/>
    <w:link w:val="Title"/>
    <w:uiPriority w:val="10"/>
    <w:rsid w:val="00672899"/>
    <w:rPr>
      <w:rFonts w:cs="Arial"/>
      <w:caps/>
      <w:kern w:val="20"/>
      <w:sz w:val="44"/>
      <w:szCs w:val="48"/>
      <w:lang w:eastAsia="en-US"/>
    </w:rPr>
  </w:style>
  <w:style w:type="paragraph" w:styleId="NoSpacing">
    <w:name w:val="No Spacing"/>
    <w:basedOn w:val="Normal"/>
    <w:link w:val="NoSpacingChar"/>
    <w:uiPriority w:val="1"/>
    <w:qFormat/>
    <w:rsid w:val="00672899"/>
    <w:pPr>
      <w:spacing w:after="0" w:line="240" w:lineRule="auto"/>
    </w:pPr>
  </w:style>
  <w:style w:type="character" w:styleId="SubtleEmphasis">
    <w:name w:val="Subtle Emphasis"/>
    <w:uiPriority w:val="19"/>
    <w:qFormat/>
    <w:rsid w:val="00672899"/>
    <w:rPr>
      <w:i/>
      <w:iCs/>
    </w:rPr>
  </w:style>
  <w:style w:type="character" w:styleId="IntenseEmphasis">
    <w:name w:val="Intense Emphasis"/>
    <w:uiPriority w:val="21"/>
    <w:qFormat/>
    <w:rsid w:val="00672899"/>
    <w:rPr>
      <w:b/>
      <w:bCs/>
      <w:i/>
      <w:iCs/>
    </w:rPr>
  </w:style>
  <w:style w:type="paragraph" w:styleId="Quote">
    <w:name w:val="Quote"/>
    <w:aliases w:val="Actions Intro Para"/>
    <w:basedOn w:val="Normal"/>
    <w:next w:val="Normal"/>
    <w:link w:val="QuoteChar"/>
    <w:uiPriority w:val="29"/>
    <w:qFormat/>
    <w:rsid w:val="00672899"/>
    <w:rPr>
      <w:i/>
      <w:iCs/>
    </w:rPr>
  </w:style>
  <w:style w:type="character" w:customStyle="1" w:styleId="QuoteChar">
    <w:name w:val="Quote Char"/>
    <w:aliases w:val="Actions Intro Para Char"/>
    <w:basedOn w:val="DefaultParagraphFont"/>
    <w:link w:val="Quote"/>
    <w:uiPriority w:val="29"/>
    <w:rsid w:val="00672899"/>
    <w:rPr>
      <w:i/>
      <w:iCs/>
    </w:rPr>
  </w:style>
  <w:style w:type="paragraph" w:styleId="IntenseQuote">
    <w:name w:val="Intense Quote"/>
    <w:basedOn w:val="Normal"/>
    <w:next w:val="Normal"/>
    <w:link w:val="IntenseQuoteChar"/>
    <w:uiPriority w:val="30"/>
    <w:qFormat/>
    <w:rsid w:val="00672899"/>
    <w:pPr>
      <w:pBdr>
        <w:top w:val="single" w:sz="4" w:space="10" w:color="auto"/>
        <w:bottom w:val="single" w:sz="4" w:space="10" w:color="auto"/>
      </w:pBdr>
      <w:spacing w:before="240" w:after="240"/>
      <w:ind w:left="1152" w:right="1152"/>
      <w:jc w:val="both"/>
    </w:pPr>
    <w:rPr>
      <w:i/>
      <w:iCs/>
    </w:rPr>
  </w:style>
  <w:style w:type="character" w:customStyle="1" w:styleId="IntenseQuoteChar">
    <w:name w:val="Intense Quote Char"/>
    <w:basedOn w:val="DefaultParagraphFont"/>
    <w:link w:val="IntenseQuote"/>
    <w:uiPriority w:val="30"/>
    <w:rsid w:val="00672899"/>
    <w:rPr>
      <w:i/>
      <w:iCs/>
    </w:rPr>
  </w:style>
  <w:style w:type="character" w:styleId="SubtleReference">
    <w:name w:val="Subtle Reference"/>
    <w:basedOn w:val="DefaultParagraphFont"/>
    <w:uiPriority w:val="31"/>
    <w:rsid w:val="00672899"/>
    <w:rPr>
      <w:smallCaps/>
    </w:rPr>
  </w:style>
  <w:style w:type="character" w:styleId="IntenseReference">
    <w:name w:val="Intense Reference"/>
    <w:uiPriority w:val="32"/>
    <w:qFormat/>
    <w:rsid w:val="00672899"/>
    <w:rPr>
      <w:b/>
      <w:bCs/>
      <w:smallCaps/>
    </w:rPr>
  </w:style>
  <w:style w:type="character" w:styleId="BookTitle">
    <w:name w:val="Book Title"/>
    <w:basedOn w:val="DefaultParagraphFont"/>
    <w:uiPriority w:val="33"/>
    <w:qFormat/>
    <w:rsid w:val="00672899"/>
    <w:rPr>
      <w:i/>
      <w:iCs/>
      <w:smallCaps/>
      <w:spacing w:val="5"/>
    </w:rPr>
  </w:style>
  <w:style w:type="paragraph" w:customStyle="1" w:styleId="SubtitleCover">
    <w:name w:val="Subtitle Cover"/>
    <w:basedOn w:val="Normal"/>
    <w:next w:val="BodyText"/>
    <w:rsid w:val="004A32C3"/>
    <w:pPr>
      <w:keepNext/>
      <w:keepLines/>
      <w:spacing w:after="120" w:line="240" w:lineRule="auto"/>
    </w:pPr>
    <w:rPr>
      <w:kern w:val="20"/>
      <w:sz w:val="36"/>
      <w:szCs w:val="48"/>
      <w:lang w:eastAsia="en-US"/>
    </w:rPr>
  </w:style>
  <w:style w:type="paragraph" w:styleId="BodyText">
    <w:name w:val="Body Text"/>
    <w:basedOn w:val="Normal"/>
    <w:link w:val="BodyTextChar"/>
    <w:rsid w:val="00D33167"/>
    <w:pPr>
      <w:spacing w:after="120"/>
    </w:pPr>
  </w:style>
  <w:style w:type="character" w:customStyle="1" w:styleId="BodyTextChar">
    <w:name w:val="Body Text Char"/>
    <w:basedOn w:val="DefaultParagraphFont"/>
    <w:link w:val="BodyText"/>
    <w:rsid w:val="00D33167"/>
    <w:rPr>
      <w:rFonts w:ascii="Arial" w:eastAsiaTheme="minorEastAsia" w:hAnsi="Arial" w:cstheme="minorBidi"/>
      <w:szCs w:val="24"/>
      <w:lang w:val="en-GB" w:eastAsia="en-GB"/>
    </w:rPr>
  </w:style>
  <w:style w:type="paragraph" w:styleId="BalloonText">
    <w:name w:val="Balloon Text"/>
    <w:basedOn w:val="Normal"/>
    <w:link w:val="BalloonTextChar"/>
    <w:rsid w:val="00D331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D33167"/>
    <w:rPr>
      <w:rFonts w:ascii="Tahoma" w:eastAsiaTheme="minorEastAsia" w:hAnsi="Tahoma" w:cs="Tahoma"/>
      <w:sz w:val="16"/>
      <w:szCs w:val="16"/>
      <w:lang w:val="en-GB" w:eastAsia="en-GB"/>
    </w:rPr>
  </w:style>
  <w:style w:type="paragraph" w:styleId="Header">
    <w:name w:val="header"/>
    <w:basedOn w:val="Normal"/>
    <w:link w:val="HeaderChar"/>
    <w:rsid w:val="00A66C82"/>
    <w:pPr>
      <w:tabs>
        <w:tab w:val="center" w:pos="4513"/>
        <w:tab w:val="right" w:pos="9026"/>
      </w:tabs>
      <w:spacing w:after="0" w:line="240" w:lineRule="auto"/>
    </w:pPr>
  </w:style>
  <w:style w:type="character" w:customStyle="1" w:styleId="HeaderChar">
    <w:name w:val="Header Char"/>
    <w:basedOn w:val="DefaultParagraphFont"/>
    <w:link w:val="Header"/>
    <w:rsid w:val="00A66C82"/>
    <w:rPr>
      <w:rFonts w:ascii="Arial" w:eastAsiaTheme="minorEastAsia" w:hAnsi="Arial" w:cstheme="minorBidi"/>
      <w:szCs w:val="24"/>
      <w:lang w:val="en-GB" w:eastAsia="en-GB"/>
    </w:rPr>
  </w:style>
  <w:style w:type="paragraph" w:styleId="Footer">
    <w:name w:val="footer"/>
    <w:basedOn w:val="Normal"/>
    <w:link w:val="FooterChar"/>
    <w:uiPriority w:val="99"/>
    <w:rsid w:val="00CB4C13"/>
    <w:pPr>
      <w:tabs>
        <w:tab w:val="center" w:pos="4513"/>
        <w:tab w:val="right" w:pos="9026"/>
      </w:tabs>
      <w:spacing w:after="240" w:line="240" w:lineRule="auto"/>
      <w:jc w:val="center"/>
    </w:pPr>
    <w:rPr>
      <w:sz w:val="19"/>
    </w:rPr>
  </w:style>
  <w:style w:type="character" w:customStyle="1" w:styleId="FooterChar">
    <w:name w:val="Footer Char"/>
    <w:basedOn w:val="DefaultParagraphFont"/>
    <w:link w:val="Footer"/>
    <w:uiPriority w:val="99"/>
    <w:rsid w:val="00CB4C13"/>
    <w:rPr>
      <w:rFonts w:ascii="Arial" w:hAnsi="Arial" w:cs="Arial"/>
      <w:sz w:val="19"/>
      <w:szCs w:val="20"/>
    </w:rPr>
  </w:style>
  <w:style w:type="paragraph" w:customStyle="1" w:styleId="Bullet">
    <w:name w:val="Bullet"/>
    <w:basedOn w:val="Normal"/>
    <w:rsid w:val="00672899"/>
    <w:pPr>
      <w:numPr>
        <w:numId w:val="1"/>
      </w:numPr>
      <w:spacing w:after="120"/>
    </w:pPr>
  </w:style>
  <w:style w:type="paragraph" w:customStyle="1" w:styleId="Heading1Black">
    <w:name w:val="Heading 1 Black"/>
    <w:basedOn w:val="Heading1"/>
    <w:next w:val="Normal1stParaafterHeading1"/>
    <w:autoRedefine/>
    <w:qFormat/>
    <w:rsid w:val="00FF0F5E"/>
    <w:pPr>
      <w:pBdr>
        <w:left w:val="single" w:sz="48" w:space="8" w:color="57259F"/>
      </w:pBdr>
      <w:spacing w:after="120"/>
      <w:ind w:left="284"/>
    </w:pPr>
    <w:rPr>
      <w:bCs/>
      <w:caps/>
      <w:color w:val="000000" w:themeColor="text1"/>
      <w:sz w:val="32"/>
      <w:szCs w:val="32"/>
    </w:rPr>
  </w:style>
  <w:style w:type="paragraph" w:customStyle="1" w:styleId="QuoteRef">
    <w:name w:val="Quote Ref"/>
    <w:basedOn w:val="Normal"/>
    <w:rsid w:val="00672899"/>
    <w:pPr>
      <w:spacing w:before="120"/>
    </w:pPr>
    <w:rPr>
      <w:color w:val="000000" w:themeColor="text1"/>
    </w:rPr>
  </w:style>
  <w:style w:type="paragraph" w:customStyle="1" w:styleId="TableText">
    <w:name w:val="Table Text"/>
    <w:rsid w:val="00672899"/>
    <w:pPr>
      <w:spacing w:after="120"/>
    </w:pPr>
    <w:rPr>
      <w:rFonts w:ascii="Arial" w:hAnsi="Arial"/>
      <w:bCs/>
      <w:sz w:val="18"/>
      <w:szCs w:val="18"/>
    </w:rPr>
  </w:style>
  <w:style w:type="paragraph" w:customStyle="1" w:styleId="TableHeaderRow">
    <w:name w:val="Table Header Row"/>
    <w:basedOn w:val="Normal"/>
    <w:rsid w:val="00672899"/>
    <w:pPr>
      <w:spacing w:after="0" w:line="240" w:lineRule="auto"/>
    </w:pPr>
    <w:rPr>
      <w:rFonts w:cs="Times New Roman"/>
      <w:bCs/>
      <w:color w:val="FFFFFF" w:themeColor="background1"/>
    </w:rPr>
  </w:style>
  <w:style w:type="paragraph" w:customStyle="1" w:styleId="TableTextbullet">
    <w:name w:val="Table Text bullet"/>
    <w:basedOn w:val="TableText"/>
    <w:rsid w:val="00672899"/>
    <w:pPr>
      <w:numPr>
        <w:numId w:val="2"/>
      </w:numPr>
      <w:spacing w:after="60" w:line="240" w:lineRule="auto"/>
    </w:pPr>
  </w:style>
  <w:style w:type="paragraph" w:customStyle="1" w:styleId="TabletextfirstColumn">
    <w:name w:val="Table text first Column"/>
    <w:basedOn w:val="TableText"/>
    <w:rsid w:val="00672899"/>
    <w:pPr>
      <w:spacing w:line="300" w:lineRule="auto"/>
    </w:pPr>
    <w:rPr>
      <w:bCs w:val="0"/>
      <w:i/>
    </w:rPr>
  </w:style>
  <w:style w:type="paragraph" w:customStyle="1" w:styleId="Heading2PriorityIntro">
    <w:name w:val="Heading 2 Priority Intro"/>
    <w:basedOn w:val="Heading2"/>
    <w:rsid w:val="00672899"/>
    <w:pPr>
      <w:pBdr>
        <w:top w:val="single" w:sz="4" w:space="8" w:color="F2F2F2" w:themeColor="background1" w:themeShade="F2"/>
        <w:left w:val="single" w:sz="4" w:space="8" w:color="F2F2F2" w:themeColor="background1" w:themeShade="F2"/>
        <w:bottom w:val="single" w:sz="4" w:space="8" w:color="F2F2F2" w:themeColor="background1" w:themeShade="F2"/>
        <w:right w:val="single" w:sz="4" w:space="8" w:color="F2F2F2" w:themeColor="background1" w:themeShade="F2"/>
      </w:pBdr>
      <w:shd w:val="clear" w:color="auto" w:fill="F2F2F2" w:themeFill="background1" w:themeFillShade="F2"/>
      <w:spacing w:before="240"/>
      <w:ind w:left="170" w:right="170"/>
    </w:pPr>
  </w:style>
  <w:style w:type="paragraph" w:customStyle="1" w:styleId="NormalPriorityIntro">
    <w:name w:val="Normal Priority Intro"/>
    <w:basedOn w:val="Normal"/>
    <w:rsid w:val="00672899"/>
    <w:pPr>
      <w:pBdr>
        <w:top w:val="single" w:sz="4" w:space="8" w:color="F2F2F2" w:themeColor="background1" w:themeShade="F2"/>
        <w:left w:val="single" w:sz="4" w:space="8" w:color="F2F2F2" w:themeColor="background1" w:themeShade="F2"/>
        <w:bottom w:val="single" w:sz="4" w:space="8" w:color="F2F2F2" w:themeColor="background1" w:themeShade="F2"/>
        <w:right w:val="single" w:sz="4" w:space="8" w:color="F2F2F2" w:themeColor="background1" w:themeShade="F2"/>
      </w:pBdr>
      <w:shd w:val="clear" w:color="auto" w:fill="F2F2F2" w:themeFill="background1" w:themeFillShade="F2"/>
      <w:ind w:left="170" w:right="170"/>
    </w:pPr>
  </w:style>
  <w:style w:type="paragraph" w:customStyle="1" w:styleId="BulletPriorityIntro">
    <w:name w:val="Bullet Priority Intro"/>
    <w:basedOn w:val="Bullet"/>
    <w:rsid w:val="00672899"/>
    <w:pPr>
      <w:numPr>
        <w:numId w:val="0"/>
      </w:numPr>
      <w:pBdr>
        <w:top w:val="single" w:sz="4" w:space="8" w:color="F2F2F2" w:themeColor="background1" w:themeShade="F2"/>
        <w:left w:val="single" w:sz="4" w:space="8" w:color="F2F2F2" w:themeColor="background1" w:themeShade="F2"/>
        <w:bottom w:val="single" w:sz="4" w:space="8" w:color="F2F2F2" w:themeColor="background1" w:themeShade="F2"/>
        <w:right w:val="single" w:sz="4" w:space="8" w:color="F2F2F2" w:themeColor="background1" w:themeShade="F2"/>
      </w:pBdr>
      <w:shd w:val="clear" w:color="auto" w:fill="F2F2F2" w:themeFill="background1" w:themeFillShade="F2"/>
      <w:ind w:right="170"/>
    </w:pPr>
  </w:style>
  <w:style w:type="paragraph" w:customStyle="1" w:styleId="CaptionReversed">
    <w:name w:val="Caption Reversed"/>
    <w:basedOn w:val="Caption"/>
    <w:rsid w:val="00672899"/>
    <w:pPr>
      <w:pBdr>
        <w:top w:val="single" w:sz="4" w:space="5" w:color="00B0F0"/>
        <w:left w:val="single" w:sz="4" w:space="5" w:color="00B0F0"/>
        <w:bottom w:val="single" w:sz="4" w:space="5" w:color="00B0F0"/>
        <w:right w:val="single" w:sz="4" w:space="5" w:color="00B0F0"/>
      </w:pBdr>
      <w:shd w:val="clear" w:color="auto" w:fill="00B0F0"/>
      <w:ind w:left="113" w:right="113"/>
    </w:pPr>
    <w:rPr>
      <w:color w:val="FFFFFF" w:themeColor="background1"/>
    </w:rPr>
  </w:style>
  <w:style w:type="paragraph" w:styleId="Caption">
    <w:name w:val="caption"/>
    <w:basedOn w:val="Normal"/>
    <w:next w:val="Normal"/>
    <w:uiPriority w:val="35"/>
    <w:unhideWhenUsed/>
    <w:qFormat/>
    <w:rsid w:val="004A32C3"/>
    <w:rPr>
      <w:bCs/>
      <w:color w:val="000000" w:themeColor="text1"/>
      <w:sz w:val="16"/>
      <w:szCs w:val="16"/>
    </w:rPr>
  </w:style>
  <w:style w:type="paragraph" w:customStyle="1" w:styleId="Boxbullets">
    <w:name w:val="Box bullets"/>
    <w:basedOn w:val="Bullet"/>
    <w:rsid w:val="00672899"/>
    <w:pPr>
      <w:numPr>
        <w:numId w:val="0"/>
      </w:numPr>
      <w:pBdr>
        <w:top w:val="single" w:sz="4" w:space="8" w:color="00B0F0"/>
        <w:left w:val="single" w:sz="4" w:space="5" w:color="00B0F0"/>
        <w:bottom w:val="single" w:sz="4" w:space="5" w:color="00B0F0"/>
        <w:right w:val="single" w:sz="4" w:space="5" w:color="00B0F0"/>
      </w:pBdr>
      <w:ind w:right="142"/>
    </w:pPr>
  </w:style>
  <w:style w:type="paragraph" w:customStyle="1" w:styleId="BoxText">
    <w:name w:val="Box Text"/>
    <w:basedOn w:val="Boxbullets"/>
    <w:rsid w:val="00672899"/>
    <w:pPr>
      <w:pBdr>
        <w:left w:val="single" w:sz="4" w:space="8" w:color="00B0F0"/>
        <w:bottom w:val="single" w:sz="4" w:space="8" w:color="00B0F0"/>
        <w:right w:val="single" w:sz="4" w:space="8" w:color="00B0F0"/>
      </w:pBdr>
      <w:ind w:left="198" w:right="198"/>
    </w:pPr>
  </w:style>
  <w:style w:type="paragraph" w:customStyle="1" w:styleId="ActionBullet">
    <w:name w:val="Action Bullet"/>
    <w:basedOn w:val="Boxbullets"/>
    <w:rsid w:val="00672899"/>
    <w:pPr>
      <w:pBdr>
        <w:top w:val="none" w:sz="0" w:space="0" w:color="auto"/>
        <w:left w:val="none" w:sz="0" w:space="0" w:color="auto"/>
        <w:bottom w:val="single" w:sz="4" w:space="8" w:color="00B0F0"/>
        <w:right w:val="none" w:sz="0" w:space="0" w:color="auto"/>
      </w:pBdr>
      <w:ind w:right="57"/>
    </w:pPr>
  </w:style>
  <w:style w:type="paragraph" w:customStyle="1" w:styleId="Normal1stParaafterHeading1">
    <w:name w:val="Normal 1st Para after Heading 1"/>
    <w:basedOn w:val="Normal"/>
    <w:next w:val="Normal"/>
    <w:rsid w:val="005F4768"/>
    <w:pPr>
      <w:spacing w:before="480"/>
    </w:pPr>
  </w:style>
  <w:style w:type="character" w:customStyle="1" w:styleId="Heading1Char">
    <w:name w:val="Heading 1 Char"/>
    <w:aliases w:val="Blue Char"/>
    <w:basedOn w:val="DefaultParagraphFont"/>
    <w:link w:val="Heading1"/>
    <w:uiPriority w:val="9"/>
    <w:rsid w:val="004A32C3"/>
    <w:rPr>
      <w:rFonts w:ascii="Arial" w:hAnsi="Arial" w:cs="Arial"/>
      <w:sz w:val="21"/>
      <w:szCs w:val="20"/>
    </w:rPr>
  </w:style>
  <w:style w:type="character" w:customStyle="1" w:styleId="Heading2Char">
    <w:name w:val="Heading 2 Char"/>
    <w:basedOn w:val="DefaultParagraphFont"/>
    <w:link w:val="Heading2"/>
    <w:uiPriority w:val="9"/>
    <w:rsid w:val="00CB4C13"/>
    <w:rPr>
      <w:rFonts w:ascii="Arial" w:hAnsi="Arial" w:cs="Arial"/>
      <w:b/>
      <w:color w:val="57259F"/>
      <w:sz w:val="25"/>
      <w:szCs w:val="28"/>
    </w:rPr>
  </w:style>
  <w:style w:type="character" w:customStyle="1" w:styleId="Heading3Char">
    <w:name w:val="Heading 3 Char"/>
    <w:basedOn w:val="DefaultParagraphFont"/>
    <w:link w:val="Heading3"/>
    <w:uiPriority w:val="9"/>
    <w:rsid w:val="00CB4C13"/>
    <w:rPr>
      <w:rFonts w:ascii="Arial" w:hAnsi="Arial" w:cs="Arial"/>
      <w:iCs/>
      <w:color w:val="57259F"/>
      <w:spacing w:val="5"/>
      <w:sz w:val="24"/>
      <w:szCs w:val="26"/>
    </w:rPr>
  </w:style>
  <w:style w:type="character" w:customStyle="1" w:styleId="Heading4Char">
    <w:name w:val="Heading 4 Char"/>
    <w:basedOn w:val="DefaultParagraphFont"/>
    <w:link w:val="Heading4"/>
    <w:uiPriority w:val="9"/>
    <w:rsid w:val="00CB4C13"/>
    <w:rPr>
      <w:rFonts w:ascii="Arial" w:hAnsi="Arial" w:cs="Arial"/>
      <w:bCs/>
      <w:caps/>
      <w:color w:val="57259F"/>
      <w:spacing w:val="5"/>
      <w:lang w:val="en"/>
    </w:rPr>
  </w:style>
  <w:style w:type="character" w:customStyle="1" w:styleId="Heading5Char">
    <w:name w:val="Heading 5 Char"/>
    <w:basedOn w:val="DefaultParagraphFont"/>
    <w:link w:val="Heading5"/>
    <w:uiPriority w:val="9"/>
    <w:semiHidden/>
    <w:rsid w:val="00672899"/>
    <w:rPr>
      <w:i/>
      <w:iCs/>
      <w:sz w:val="24"/>
      <w:szCs w:val="24"/>
    </w:rPr>
  </w:style>
  <w:style w:type="character" w:customStyle="1" w:styleId="Heading6Char">
    <w:name w:val="Heading 6 Char"/>
    <w:basedOn w:val="DefaultParagraphFont"/>
    <w:link w:val="Heading6"/>
    <w:uiPriority w:val="9"/>
    <w:semiHidden/>
    <w:rsid w:val="00672899"/>
    <w:rPr>
      <w:b/>
      <w:bCs/>
      <w:color w:val="595959" w:themeColor="text1" w:themeTint="A6"/>
      <w:spacing w:val="5"/>
      <w:shd w:val="clear" w:color="auto" w:fill="FFFFFF" w:themeFill="background1"/>
    </w:rPr>
  </w:style>
  <w:style w:type="character" w:customStyle="1" w:styleId="Heading7Char">
    <w:name w:val="Heading 7 Char"/>
    <w:basedOn w:val="DefaultParagraphFont"/>
    <w:link w:val="Heading7"/>
    <w:uiPriority w:val="9"/>
    <w:semiHidden/>
    <w:rsid w:val="00672899"/>
    <w:rPr>
      <w:b/>
      <w:bCs/>
      <w:i/>
      <w:iCs/>
      <w:color w:val="5A5A5A" w:themeColor="text1" w:themeTint="A5"/>
      <w:sz w:val="20"/>
      <w:szCs w:val="20"/>
    </w:rPr>
  </w:style>
  <w:style w:type="character" w:customStyle="1" w:styleId="Heading8Char">
    <w:name w:val="Heading 8 Char"/>
    <w:basedOn w:val="DefaultParagraphFont"/>
    <w:link w:val="Heading8"/>
    <w:uiPriority w:val="9"/>
    <w:semiHidden/>
    <w:rsid w:val="00672899"/>
    <w:rPr>
      <w:b/>
      <w:bCs/>
      <w:color w:val="7F7F7F" w:themeColor="text1" w:themeTint="80"/>
      <w:sz w:val="20"/>
      <w:szCs w:val="20"/>
    </w:rPr>
  </w:style>
  <w:style w:type="character" w:customStyle="1" w:styleId="Heading9Char">
    <w:name w:val="Heading 9 Char"/>
    <w:basedOn w:val="DefaultParagraphFont"/>
    <w:link w:val="Heading9"/>
    <w:uiPriority w:val="9"/>
    <w:semiHidden/>
    <w:rsid w:val="00672899"/>
    <w:rPr>
      <w:b/>
      <w:bCs/>
      <w:i/>
      <w:iCs/>
      <w:color w:val="7F7F7F" w:themeColor="text1" w:themeTint="80"/>
      <w:sz w:val="18"/>
      <w:szCs w:val="18"/>
    </w:rPr>
  </w:style>
  <w:style w:type="character" w:customStyle="1" w:styleId="NoSpacingChar">
    <w:name w:val="No Spacing Char"/>
    <w:basedOn w:val="DefaultParagraphFont"/>
    <w:link w:val="NoSpacing"/>
    <w:uiPriority w:val="1"/>
    <w:rsid w:val="00672899"/>
  </w:style>
  <w:style w:type="paragraph" w:styleId="TOCHeading">
    <w:name w:val="TOC Heading"/>
    <w:basedOn w:val="Heading1"/>
    <w:next w:val="Normal"/>
    <w:uiPriority w:val="39"/>
    <w:semiHidden/>
    <w:unhideWhenUsed/>
    <w:qFormat/>
    <w:rsid w:val="00672899"/>
    <w:pPr>
      <w:outlineLvl w:val="9"/>
    </w:pPr>
    <w:rPr>
      <w:lang w:bidi="en-US"/>
    </w:rPr>
  </w:style>
  <w:style w:type="paragraph" w:customStyle="1" w:styleId="NumberedList">
    <w:name w:val="Numbered List"/>
    <w:basedOn w:val="Normal"/>
    <w:qFormat/>
    <w:rsid w:val="004A32C3"/>
    <w:pPr>
      <w:numPr>
        <w:numId w:val="3"/>
      </w:numPr>
      <w:spacing w:after="100"/>
      <w:ind w:left="714" w:hanging="357"/>
    </w:pPr>
    <w:rPr>
      <w:lang w:val="en"/>
    </w:rPr>
  </w:style>
  <w:style w:type="paragraph" w:customStyle="1" w:styleId="BulletedList">
    <w:name w:val="Bulleted List"/>
    <w:basedOn w:val="Normal"/>
    <w:qFormat/>
    <w:rsid w:val="001F1297"/>
    <w:pPr>
      <w:numPr>
        <w:numId w:val="4"/>
      </w:numPr>
      <w:spacing w:after="0"/>
      <w:contextualSpacing/>
    </w:pPr>
    <w:rPr>
      <w:lang w:val="en"/>
    </w:rPr>
  </w:style>
  <w:style w:type="paragraph" w:customStyle="1" w:styleId="Heading2Numbered">
    <w:name w:val="Heading 2 Numbered"/>
    <w:basedOn w:val="Heading2"/>
    <w:qFormat/>
    <w:rsid w:val="006164C2"/>
    <w:pPr>
      <w:numPr>
        <w:numId w:val="5"/>
      </w:numPr>
    </w:pPr>
    <w:rPr>
      <w:lang w:val="en"/>
    </w:rPr>
  </w:style>
  <w:style w:type="paragraph" w:customStyle="1" w:styleId="Heading3Numbered">
    <w:name w:val="Heading 3 Numbered"/>
    <w:basedOn w:val="Heading3"/>
    <w:qFormat/>
    <w:rsid w:val="006164C2"/>
    <w:pPr>
      <w:numPr>
        <w:numId w:val="6"/>
      </w:numPr>
    </w:pPr>
  </w:style>
  <w:style w:type="paragraph" w:customStyle="1" w:styleId="Heading4Numbered">
    <w:name w:val="Heading 4 Numbered"/>
    <w:basedOn w:val="Heading4"/>
    <w:qFormat/>
    <w:rsid w:val="006164C2"/>
    <w:pPr>
      <w:numPr>
        <w:numId w:val="7"/>
      </w:numPr>
    </w:pPr>
  </w:style>
  <w:style w:type="paragraph" w:customStyle="1" w:styleId="Boxshadedcolourbackground">
    <w:name w:val="Box shaded colour background"/>
    <w:basedOn w:val="Normal"/>
    <w:qFormat/>
    <w:rsid w:val="00F9158F"/>
    <w:pPr>
      <w:pBdr>
        <w:top w:val="single" w:sz="4" w:space="8" w:color="F2F2F2"/>
        <w:left w:val="single" w:sz="4" w:space="8" w:color="F2F2F2"/>
        <w:bottom w:val="single" w:sz="4" w:space="8" w:color="F2F2F2"/>
        <w:right w:val="single" w:sz="4" w:space="8" w:color="F2F2F2"/>
      </w:pBdr>
      <w:shd w:val="clear" w:color="auto" w:fill="ECE5F5"/>
      <w:spacing w:before="300" w:line="276" w:lineRule="auto"/>
      <w:ind w:left="170" w:right="170"/>
    </w:pPr>
    <w:rPr>
      <w:rFonts w:eastAsia="Calibri" w:cs="Times New Roman"/>
      <w:bCs/>
      <w:szCs w:val="21"/>
      <w:lang w:val="en-GB" w:eastAsia="en-US"/>
    </w:rPr>
  </w:style>
  <w:style w:type="paragraph" w:customStyle="1" w:styleId="Boxshadedgreybackgroundwithcolouredstrokeaboveandbelow">
    <w:name w:val="Box shaded grey background with coloured stroke above and below"/>
    <w:basedOn w:val="Normal"/>
    <w:qFormat/>
    <w:rsid w:val="00F15390"/>
    <w:pPr>
      <w:pBdr>
        <w:top w:val="single" w:sz="4" w:space="8" w:color="573393"/>
        <w:bottom w:val="single" w:sz="4" w:space="8" w:color="573393"/>
      </w:pBdr>
      <w:shd w:val="pct5" w:color="auto" w:fill="auto"/>
      <w:spacing w:before="200" w:line="276" w:lineRule="auto"/>
    </w:pPr>
    <w:rPr>
      <w:rFonts w:eastAsia="Calibri" w:cs="Times New Roman"/>
      <w:szCs w:val="21"/>
      <w:lang w:val="en-GB" w:eastAsia="en-US"/>
    </w:rPr>
  </w:style>
  <w:style w:type="paragraph" w:customStyle="1" w:styleId="Boxwithcolouredkeyline">
    <w:name w:val="Box with coloured keyline"/>
    <w:basedOn w:val="Normal"/>
    <w:qFormat/>
    <w:rsid w:val="00F15390"/>
    <w:pPr>
      <w:pBdr>
        <w:top w:val="single" w:sz="4" w:space="8" w:color="573393"/>
        <w:left w:val="single" w:sz="4" w:space="8" w:color="573393"/>
        <w:bottom w:val="single" w:sz="4" w:space="8" w:color="573393"/>
        <w:right w:val="single" w:sz="4" w:space="8" w:color="573393"/>
      </w:pBdr>
      <w:spacing w:after="120" w:line="276" w:lineRule="auto"/>
      <w:ind w:left="198" w:right="198"/>
    </w:pPr>
    <w:rPr>
      <w:rFonts w:eastAsia="Calibri" w:cs="Times New Roman"/>
      <w:szCs w:val="21"/>
      <w:lang w:val="en-GB" w:eastAsia="en-US"/>
    </w:rPr>
  </w:style>
  <w:style w:type="paragraph" w:customStyle="1" w:styleId="Footerborderabove">
    <w:name w:val="Footer border above"/>
    <w:basedOn w:val="Footer"/>
    <w:qFormat/>
    <w:rsid w:val="00CD0C70"/>
    <w:pPr>
      <w:pBdr>
        <w:top w:val="single" w:sz="8" w:space="6" w:color="57259F"/>
      </w:pBdr>
    </w:pPr>
  </w:style>
  <w:style w:type="paragraph" w:styleId="TOC1">
    <w:name w:val="toc 1"/>
    <w:basedOn w:val="Normal"/>
    <w:next w:val="Normal"/>
    <w:autoRedefine/>
    <w:uiPriority w:val="39"/>
    <w:rsid w:val="00561352"/>
    <w:pPr>
      <w:spacing w:after="100"/>
    </w:pPr>
    <w:rPr>
      <w:sz w:val="24"/>
    </w:rPr>
  </w:style>
  <w:style w:type="paragraph" w:styleId="TOC2">
    <w:name w:val="toc 2"/>
    <w:basedOn w:val="Normal"/>
    <w:next w:val="Normal"/>
    <w:autoRedefine/>
    <w:uiPriority w:val="39"/>
    <w:rsid w:val="00561352"/>
    <w:pPr>
      <w:spacing w:after="100"/>
      <w:ind w:left="210"/>
    </w:pPr>
  </w:style>
  <w:style w:type="paragraph" w:customStyle="1" w:styleId="Heading1option2">
    <w:name w:val="Heading 1 option 2"/>
    <w:basedOn w:val="Heading1Black"/>
    <w:qFormat/>
    <w:rsid w:val="00561352"/>
    <w:pPr>
      <w:pBdr>
        <w:left w:val="none" w:sz="0" w:space="0" w:color="auto"/>
      </w:pBdr>
      <w:ind w:left="0"/>
    </w:pPr>
    <w:rPr>
      <w:caps w:val="0"/>
      <w:color w:val="57259F"/>
      <w:sz w:val="36"/>
    </w:rPr>
  </w:style>
  <w:style w:type="paragraph" w:styleId="TOC3">
    <w:name w:val="toc 3"/>
    <w:basedOn w:val="Normal"/>
    <w:next w:val="Normal"/>
    <w:autoRedefine/>
    <w:uiPriority w:val="39"/>
    <w:rsid w:val="00561352"/>
    <w:pPr>
      <w:spacing w:after="100"/>
      <w:ind w:left="420"/>
    </w:pPr>
  </w:style>
  <w:style w:type="character" w:styleId="Hyperlink">
    <w:name w:val="Hyperlink"/>
    <w:basedOn w:val="DefaultParagraphFont"/>
    <w:uiPriority w:val="99"/>
    <w:unhideWhenUsed/>
    <w:rsid w:val="00561352"/>
    <w:rPr>
      <w:color w:val="0000FF" w:themeColor="hyperlink"/>
      <w:u w:val="single"/>
    </w:rPr>
  </w:style>
  <w:style w:type="paragraph" w:styleId="BodyText2">
    <w:name w:val="Body Text 2"/>
    <w:basedOn w:val="Normal"/>
    <w:link w:val="BodyText2Char"/>
    <w:rsid w:val="005E0FAB"/>
    <w:pPr>
      <w:spacing w:after="120" w:line="480" w:lineRule="auto"/>
    </w:pPr>
  </w:style>
  <w:style w:type="character" w:customStyle="1" w:styleId="BodyText2Char">
    <w:name w:val="Body Text 2 Char"/>
    <w:basedOn w:val="DefaultParagraphFont"/>
    <w:link w:val="BodyText2"/>
    <w:rsid w:val="005E0FAB"/>
    <w:rPr>
      <w:rFonts w:ascii="Arial" w:hAnsi="Arial" w:cs="Arial"/>
      <w:sz w:val="21"/>
      <w:szCs w:val="20"/>
    </w:rPr>
  </w:style>
  <w:style w:type="paragraph" w:styleId="FootnoteText">
    <w:name w:val="footnote text"/>
    <w:basedOn w:val="Normal"/>
    <w:link w:val="FootnoteTextChar"/>
    <w:uiPriority w:val="99"/>
    <w:unhideWhenUsed/>
    <w:rsid w:val="005E0FAB"/>
    <w:pPr>
      <w:spacing w:after="0" w:line="240" w:lineRule="auto"/>
    </w:pPr>
    <w:rPr>
      <w:rFonts w:asciiTheme="minorHAnsi" w:eastAsiaTheme="minorEastAsia" w:hAnsiTheme="minorHAnsi" w:cstheme="minorBidi"/>
      <w:sz w:val="20"/>
      <w:lang w:eastAsia="zh-CN"/>
    </w:rPr>
  </w:style>
  <w:style w:type="character" w:customStyle="1" w:styleId="FootnoteTextChar">
    <w:name w:val="Footnote Text Char"/>
    <w:basedOn w:val="DefaultParagraphFont"/>
    <w:link w:val="FootnoteText"/>
    <w:uiPriority w:val="99"/>
    <w:rsid w:val="005E0FAB"/>
    <w:rPr>
      <w:rFonts w:asciiTheme="minorHAnsi" w:eastAsiaTheme="minorEastAsia" w:hAnsiTheme="minorHAnsi" w:cstheme="minorBidi"/>
      <w:sz w:val="20"/>
      <w:szCs w:val="20"/>
      <w:lang w:eastAsia="zh-CN"/>
    </w:rPr>
  </w:style>
  <w:style w:type="character" w:styleId="FootnoteReference">
    <w:name w:val="footnote reference"/>
    <w:basedOn w:val="DefaultParagraphFont"/>
    <w:uiPriority w:val="99"/>
    <w:unhideWhenUsed/>
    <w:rsid w:val="005E0FAB"/>
    <w:rPr>
      <w:vertAlign w:val="superscript"/>
    </w:rPr>
  </w:style>
  <w:style w:type="table" w:styleId="TableGrid">
    <w:name w:val="Table Grid"/>
    <w:basedOn w:val="TableNormal"/>
    <w:rsid w:val="002A7C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ssuedateinfo">
    <w:name w:val="Issue date info"/>
    <w:basedOn w:val="Normal"/>
    <w:qFormat/>
    <w:rsid w:val="00B44123"/>
    <w:pPr>
      <w:spacing w:before="120" w:after="240" w:line="360" w:lineRule="auto"/>
      <w:jc w:val="right"/>
    </w:pPr>
  </w:style>
  <w:style w:type="paragraph" w:customStyle="1" w:styleId="Sub-bulletedlist">
    <w:name w:val="Sub-bulleted list"/>
    <w:basedOn w:val="BulletedList"/>
    <w:rsid w:val="0018425E"/>
    <w:pPr>
      <w:numPr>
        <w:numId w:val="8"/>
      </w:numPr>
      <w:spacing w:line="240" w:lineRule="auto"/>
      <w:ind w:left="1797" w:hanging="357"/>
    </w:pPr>
    <w:rPr>
      <w:lang w:eastAsia="en-US"/>
    </w:rPr>
  </w:style>
  <w:style w:type="paragraph" w:customStyle="1" w:styleId="Sub-bullettedlist">
    <w:name w:val="Sub-bulletted list"/>
    <w:basedOn w:val="BulletedList"/>
    <w:qFormat/>
    <w:rsid w:val="009F4C87"/>
    <w:pPr>
      <w:numPr>
        <w:numId w:val="9"/>
      </w:numPr>
      <w:spacing w:after="120"/>
      <w:contextualSpacing w:val="0"/>
    </w:pPr>
    <w:rPr>
      <w:i/>
    </w:rPr>
  </w:style>
  <w:style w:type="character" w:styleId="CommentReference">
    <w:name w:val="annotation reference"/>
    <w:basedOn w:val="DefaultParagraphFont"/>
    <w:rsid w:val="00E228B6"/>
    <w:rPr>
      <w:sz w:val="16"/>
      <w:szCs w:val="16"/>
    </w:rPr>
  </w:style>
  <w:style w:type="paragraph" w:styleId="CommentText">
    <w:name w:val="annotation text"/>
    <w:basedOn w:val="Normal"/>
    <w:link w:val="CommentTextChar"/>
    <w:rsid w:val="00E228B6"/>
    <w:pPr>
      <w:spacing w:line="240" w:lineRule="auto"/>
    </w:pPr>
    <w:rPr>
      <w:sz w:val="20"/>
    </w:rPr>
  </w:style>
  <w:style w:type="character" w:customStyle="1" w:styleId="CommentTextChar">
    <w:name w:val="Comment Text Char"/>
    <w:basedOn w:val="DefaultParagraphFont"/>
    <w:link w:val="CommentText"/>
    <w:rsid w:val="00E228B6"/>
    <w:rPr>
      <w:rFonts w:ascii="Arial" w:hAnsi="Arial" w:cs="Arial"/>
      <w:sz w:val="20"/>
      <w:szCs w:val="20"/>
    </w:rPr>
  </w:style>
  <w:style w:type="paragraph" w:styleId="CommentSubject">
    <w:name w:val="annotation subject"/>
    <w:basedOn w:val="CommentText"/>
    <w:next w:val="CommentText"/>
    <w:link w:val="CommentSubjectChar"/>
    <w:rsid w:val="00E228B6"/>
    <w:rPr>
      <w:b/>
      <w:bCs/>
    </w:rPr>
  </w:style>
  <w:style w:type="character" w:customStyle="1" w:styleId="CommentSubjectChar">
    <w:name w:val="Comment Subject Char"/>
    <w:basedOn w:val="CommentTextChar"/>
    <w:link w:val="CommentSubject"/>
    <w:rsid w:val="00E228B6"/>
    <w:rPr>
      <w:rFonts w:ascii="Arial" w:hAnsi="Arial" w:cs="Arial"/>
      <w:b/>
      <w:bCs/>
      <w:sz w:val="20"/>
      <w:szCs w:val="20"/>
    </w:rPr>
  </w:style>
  <w:style w:type="paragraph" w:styleId="Revision">
    <w:name w:val="Revision"/>
    <w:hidden/>
    <w:uiPriority w:val="99"/>
    <w:semiHidden/>
    <w:rsid w:val="00E228B6"/>
    <w:pPr>
      <w:spacing w:after="0" w:line="240" w:lineRule="auto"/>
    </w:pPr>
    <w:rPr>
      <w:rFonts w:ascii="Arial" w:hAnsi="Arial" w:cs="Arial"/>
      <w:sz w:val="21"/>
      <w:szCs w:val="20"/>
    </w:rPr>
  </w:style>
  <w:style w:type="paragraph" w:customStyle="1" w:styleId="Bodytext-bullet">
    <w:name w:val="Body text - bullet"/>
    <w:qFormat/>
    <w:rsid w:val="00826860"/>
    <w:pPr>
      <w:numPr>
        <w:numId w:val="10"/>
      </w:numPr>
      <w:tabs>
        <w:tab w:val="left" w:pos="709"/>
      </w:tabs>
      <w:spacing w:after="120" w:line="240" w:lineRule="auto"/>
    </w:pPr>
    <w:rPr>
      <w:rFonts w:ascii="Times New Roman" w:eastAsia="Times New Roman" w:hAnsi="Times New Roman" w:cs="Times New Roman"/>
      <w:szCs w:val="20"/>
      <w:lang w:val="en-US"/>
    </w:rPr>
  </w:style>
  <w:style w:type="paragraph" w:customStyle="1" w:styleId="Figureheading">
    <w:name w:val="Figure heading"/>
    <w:next w:val="Normal"/>
    <w:qFormat/>
    <w:rsid w:val="00F8060C"/>
    <w:pPr>
      <w:tabs>
        <w:tab w:val="left" w:pos="1134"/>
      </w:tabs>
      <w:spacing w:before="240" w:after="240" w:line="240" w:lineRule="auto"/>
      <w:ind w:left="1134" w:hanging="1134"/>
    </w:pPr>
    <w:rPr>
      <w:rFonts w:ascii="Times New Roman" w:eastAsia="Times New Roman" w:hAnsi="Times New Roman" w:cs="Times New Roman"/>
      <w:b/>
      <w:szCs w:val="20"/>
    </w:rPr>
  </w:style>
  <w:style w:type="paragraph" w:customStyle="1" w:styleId="Tabletext0">
    <w:name w:val="Table text"/>
    <w:qFormat/>
    <w:rsid w:val="00F8060C"/>
    <w:pPr>
      <w:spacing w:before="40" w:after="40" w:line="240" w:lineRule="auto"/>
      <w:jc w:val="center"/>
    </w:pPr>
    <w:rPr>
      <w:rFonts w:ascii="Times New Roman" w:eastAsia="Times New Roman" w:hAnsi="Times New Roman" w:cs="Times New Roman"/>
      <w:sz w:val="20"/>
      <w:szCs w:val="20"/>
      <w:lang w:val="en-US" w:eastAsia="ja-JP"/>
    </w:rPr>
  </w:style>
  <w:style w:type="paragraph" w:customStyle="1" w:styleId="Tablecolumnheading">
    <w:name w:val="Table column heading"/>
    <w:qFormat/>
    <w:rsid w:val="00F8060C"/>
    <w:pPr>
      <w:spacing w:before="60" w:after="60" w:line="240" w:lineRule="auto"/>
      <w:jc w:val="center"/>
    </w:pPr>
    <w:rPr>
      <w:rFonts w:ascii="Times New Roman" w:eastAsia="Times New Roman" w:hAnsi="Times New Roman" w:cs="Times New Roman"/>
      <w:b/>
      <w:sz w:val="20"/>
      <w:szCs w:val="20"/>
    </w:rPr>
  </w:style>
  <w:style w:type="paragraph" w:customStyle="1" w:styleId="Intropara">
    <w:name w:val="Intro para"/>
    <w:next w:val="BodyText"/>
    <w:qFormat/>
    <w:rsid w:val="006B5200"/>
    <w:pPr>
      <w:spacing w:before="240" w:after="240" w:line="240" w:lineRule="auto"/>
    </w:pPr>
    <w:rPr>
      <w:rFonts w:ascii="Times New Roman" w:eastAsia="Times New Roman" w:hAnsi="Times New Roman" w:cs="Times New Roman"/>
      <w:i/>
      <w:szCs w:val="20"/>
    </w:rPr>
  </w:style>
  <w:style w:type="paragraph" w:styleId="ListParagraph">
    <w:name w:val="List Paragraph"/>
    <w:basedOn w:val="Normal"/>
    <w:uiPriority w:val="34"/>
    <w:qFormat/>
    <w:rsid w:val="00183FB0"/>
    <w:pPr>
      <w:spacing w:line="276" w:lineRule="auto"/>
      <w:ind w:left="720"/>
      <w:contextualSpacing/>
    </w:pPr>
    <w:rPr>
      <w:rFonts w:asciiTheme="minorHAnsi" w:eastAsiaTheme="minorHAnsi" w:hAnsiTheme="minorHAnsi" w:cstheme="minorBidi"/>
      <w:sz w:val="22"/>
      <w:szCs w:val="22"/>
      <w:lang w:eastAsia="en-US"/>
    </w:rPr>
  </w:style>
  <w:style w:type="paragraph" w:customStyle="1" w:styleId="EndNoteBibliography">
    <w:name w:val="EndNote Bibliography"/>
    <w:basedOn w:val="Normal"/>
    <w:link w:val="EndNoteBibliographyChar"/>
    <w:rsid w:val="00183FB0"/>
    <w:pPr>
      <w:spacing w:line="240" w:lineRule="auto"/>
    </w:pPr>
    <w:rPr>
      <w:rFonts w:ascii="Cambria" w:eastAsiaTheme="minorHAnsi" w:hAnsi="Cambria" w:cstheme="minorBidi"/>
      <w:noProof/>
      <w:sz w:val="28"/>
      <w:szCs w:val="22"/>
      <w:lang w:val="en-US" w:eastAsia="en-US"/>
    </w:rPr>
  </w:style>
  <w:style w:type="character" w:customStyle="1" w:styleId="EndNoteBibliographyChar">
    <w:name w:val="EndNote Bibliography Char"/>
    <w:basedOn w:val="DefaultParagraphFont"/>
    <w:link w:val="EndNoteBibliography"/>
    <w:rsid w:val="00183FB0"/>
    <w:rPr>
      <w:rFonts w:ascii="Cambria" w:eastAsiaTheme="minorHAnsi" w:hAnsi="Cambria" w:cstheme="minorBidi"/>
      <w:noProof/>
      <w:sz w:val="2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680777">
      <w:bodyDiv w:val="1"/>
      <w:marLeft w:val="0"/>
      <w:marRight w:val="0"/>
      <w:marTop w:val="0"/>
      <w:marBottom w:val="0"/>
      <w:divBdr>
        <w:top w:val="none" w:sz="0" w:space="0" w:color="auto"/>
        <w:left w:val="none" w:sz="0" w:space="0" w:color="auto"/>
        <w:bottom w:val="none" w:sz="0" w:space="0" w:color="auto"/>
        <w:right w:val="none" w:sz="0" w:space="0" w:color="auto"/>
      </w:divBdr>
      <w:divsChild>
        <w:div w:id="747917985">
          <w:marLeft w:val="0"/>
          <w:marRight w:val="0"/>
          <w:marTop w:val="135"/>
          <w:marBottom w:val="135"/>
          <w:divBdr>
            <w:top w:val="single" w:sz="6" w:space="6" w:color="DDDAD1"/>
            <w:left w:val="single" w:sz="6" w:space="17" w:color="DDDAD1"/>
            <w:bottom w:val="single" w:sz="6" w:space="6" w:color="DDDAD1"/>
            <w:right w:val="single" w:sz="6" w:space="6" w:color="DDDAD1"/>
          </w:divBdr>
        </w:div>
      </w:divsChild>
    </w:div>
    <w:div w:id="212275280">
      <w:bodyDiv w:val="1"/>
      <w:marLeft w:val="0"/>
      <w:marRight w:val="0"/>
      <w:marTop w:val="0"/>
      <w:marBottom w:val="0"/>
      <w:divBdr>
        <w:top w:val="none" w:sz="0" w:space="0" w:color="auto"/>
        <w:left w:val="none" w:sz="0" w:space="0" w:color="auto"/>
        <w:bottom w:val="none" w:sz="0" w:space="0" w:color="auto"/>
        <w:right w:val="none" w:sz="0" w:space="0" w:color="auto"/>
      </w:divBdr>
      <w:divsChild>
        <w:div w:id="2017343589">
          <w:marLeft w:val="0"/>
          <w:marRight w:val="0"/>
          <w:marTop w:val="135"/>
          <w:marBottom w:val="135"/>
          <w:divBdr>
            <w:top w:val="single" w:sz="6" w:space="6" w:color="DDDAD1"/>
            <w:left w:val="single" w:sz="6" w:space="17" w:color="DDDAD1"/>
            <w:bottom w:val="single" w:sz="6" w:space="6" w:color="DDDAD1"/>
            <w:right w:val="single" w:sz="6" w:space="6" w:color="DDDAD1"/>
          </w:divBdr>
          <w:divsChild>
            <w:div w:id="1484547412">
              <w:blockQuote w:val="1"/>
              <w:marLeft w:val="270"/>
              <w:marRight w:val="270"/>
              <w:marTop w:val="135"/>
              <w:marBottom w:val="135"/>
              <w:divBdr>
                <w:top w:val="none" w:sz="0" w:space="0" w:color="auto"/>
                <w:left w:val="single" w:sz="24" w:space="7" w:color="AAAAAA"/>
                <w:bottom w:val="none" w:sz="0" w:space="0" w:color="auto"/>
                <w:right w:val="none" w:sz="0" w:space="0" w:color="auto"/>
              </w:divBdr>
            </w:div>
          </w:divsChild>
        </w:div>
      </w:divsChild>
    </w:div>
    <w:div w:id="1508516380">
      <w:bodyDiv w:val="1"/>
      <w:marLeft w:val="0"/>
      <w:marRight w:val="0"/>
      <w:marTop w:val="0"/>
      <w:marBottom w:val="0"/>
      <w:divBdr>
        <w:top w:val="none" w:sz="0" w:space="0" w:color="auto"/>
        <w:left w:val="none" w:sz="0" w:space="0" w:color="auto"/>
        <w:bottom w:val="none" w:sz="0" w:space="0" w:color="auto"/>
        <w:right w:val="none" w:sz="0" w:space="0" w:color="auto"/>
      </w:divBdr>
      <w:divsChild>
        <w:div w:id="2072118681">
          <w:marLeft w:val="0"/>
          <w:marRight w:val="0"/>
          <w:marTop w:val="0"/>
          <w:marBottom w:val="0"/>
          <w:divBdr>
            <w:top w:val="none" w:sz="0" w:space="0" w:color="auto"/>
            <w:left w:val="none" w:sz="0" w:space="0" w:color="auto"/>
            <w:bottom w:val="none" w:sz="0" w:space="0" w:color="auto"/>
            <w:right w:val="none" w:sz="0" w:space="0" w:color="auto"/>
          </w:divBdr>
          <w:divsChild>
            <w:div w:id="1825469598">
              <w:marLeft w:val="-225"/>
              <w:marRight w:val="-225"/>
              <w:marTop w:val="0"/>
              <w:marBottom w:val="0"/>
              <w:divBdr>
                <w:top w:val="none" w:sz="0" w:space="0" w:color="auto"/>
                <w:left w:val="none" w:sz="0" w:space="0" w:color="auto"/>
                <w:bottom w:val="none" w:sz="0" w:space="0" w:color="auto"/>
                <w:right w:val="none" w:sz="0" w:space="0" w:color="auto"/>
              </w:divBdr>
              <w:divsChild>
                <w:div w:id="828860086">
                  <w:marLeft w:val="0"/>
                  <w:marRight w:val="0"/>
                  <w:marTop w:val="0"/>
                  <w:marBottom w:val="0"/>
                  <w:divBdr>
                    <w:top w:val="none" w:sz="0" w:space="0" w:color="auto"/>
                    <w:left w:val="none" w:sz="0" w:space="0" w:color="auto"/>
                    <w:bottom w:val="none" w:sz="0" w:space="0" w:color="auto"/>
                    <w:right w:val="none" w:sz="0" w:space="0" w:color="auto"/>
                  </w:divBdr>
                  <w:divsChild>
                    <w:div w:id="51781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1033156">
      <w:bodyDiv w:val="1"/>
      <w:marLeft w:val="0"/>
      <w:marRight w:val="0"/>
      <w:marTop w:val="0"/>
      <w:marBottom w:val="0"/>
      <w:divBdr>
        <w:top w:val="none" w:sz="0" w:space="0" w:color="auto"/>
        <w:left w:val="none" w:sz="0" w:space="0" w:color="auto"/>
        <w:bottom w:val="none" w:sz="0" w:space="0" w:color="auto"/>
        <w:right w:val="none" w:sz="0" w:space="0" w:color="auto"/>
      </w:divBdr>
      <w:divsChild>
        <w:div w:id="466629922">
          <w:marLeft w:val="0"/>
          <w:marRight w:val="0"/>
          <w:marTop w:val="135"/>
          <w:marBottom w:val="135"/>
          <w:divBdr>
            <w:top w:val="single" w:sz="6" w:space="6" w:color="DDDAD1"/>
            <w:left w:val="single" w:sz="6" w:space="17" w:color="DDDAD1"/>
            <w:bottom w:val="single" w:sz="6" w:space="6" w:color="DDDAD1"/>
            <w:right w:val="single" w:sz="6" w:space="6" w:color="DDDAD1"/>
          </w:divBdr>
          <w:divsChild>
            <w:div w:id="1551308265">
              <w:blockQuote w:val="1"/>
              <w:marLeft w:val="270"/>
              <w:marRight w:val="270"/>
              <w:marTop w:val="135"/>
              <w:marBottom w:val="135"/>
              <w:divBdr>
                <w:top w:val="none" w:sz="0" w:space="0" w:color="auto"/>
                <w:left w:val="single" w:sz="24" w:space="7" w:color="AAAAAA"/>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immunise.health.gov.au/"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apps.tga.gov.au/Prod/msi/Search/Details/hepatitis-b-surface-antigen-recombinant"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immunise.health.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Standard Content" ma:contentTypeID="0x0101000361B2D965776F46A203A558DA3BDE9C010068A92C094D8C8E439A2AE59D29D483FC" ma:contentTypeVersion="11" ma:contentTypeDescription="" ma:contentTypeScope="" ma:versionID="fda28e8f4d81d3bda79cafce45542f99">
  <xsd:schema xmlns:xsd="http://www.w3.org/2001/XMLSchema" xmlns:xs="http://www.w3.org/2001/XMLSchema" xmlns:p="http://schemas.microsoft.com/office/2006/metadata/properties" xmlns:ns1="http://schemas.microsoft.com/sharepoint/v3" xmlns:ns2="2bd5d25a-ed67-4748-9d94-e4b1e4baa595" xmlns:ns4="http://schemas.microsoft.com/sharepoint/v4" targetNamespace="http://schemas.microsoft.com/office/2006/metadata/properties" ma:root="true" ma:fieldsID="d54c29beb52bb81063455bddecc952cc" ns1:_="" ns2:_="" ns4:_="">
    <xsd:import namespace="http://schemas.microsoft.com/sharepoint/v3"/>
    <xsd:import namespace="2bd5d25a-ed67-4748-9d94-e4b1e4baa595"/>
    <xsd:import namespace="http://schemas.microsoft.com/sharepoint/v4"/>
    <xsd:element name="properties">
      <xsd:complexType>
        <xsd:sequence>
          <xsd:element name="documentManagement">
            <xsd:complexType>
              <xsd:all>
                <xsd:element ref="ns2:Publishing_x0020_Required_x0020_By" minOccurs="0"/>
                <xsd:element ref="ns2:Package_x0020_Status" minOccurs="0"/>
                <xsd:element ref="ns2:Content_x0020_Owner_x0020_Designation" minOccurs="0"/>
                <xsd:element ref="ns2:Content_x0020_Owner_x0020_Section" minOccurs="0"/>
                <xsd:element ref="ns2:Content_x0020_Owner_x0020_Division" minOccurs="0"/>
                <xsd:element ref="ns2:Content_x0020_Owner_x0020_Branch" minOccurs="0"/>
                <xsd:element ref="ns2:Approved_x0020_Date" minOccurs="0"/>
                <xsd:element ref="ns2:Content_x0020_Owner"/>
                <xsd:element ref="ns2:Quality_x0020_Reviewer_x0028_s_x0029_"/>
                <xsd:element ref="ns2:Peer_x0020_Review_x0020_Required_x0020_By" minOccurs="0"/>
                <xsd:element ref="ns2:Content_x0020_Approver"/>
                <xsd:element ref="ns4:IconOverlay" minOccurs="0"/>
                <xsd:element ref="ns1:_vti_ItemDeclaredRecord" minOccurs="0"/>
                <xsd:element ref="ns1:_vti_ItemHoldRecord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22" nillable="true" ma:displayName="Declared Record" ma:hidden="true" ma:internalName="_vti_ItemDeclaredRecord" ma:readOnly="true">
      <xsd:simpleType>
        <xsd:restriction base="dms:DateTime"/>
      </xsd:simpleType>
    </xsd:element>
    <xsd:element name="_vti_ItemHoldRecordStatus" ma:index="23" nillable="true" ma:displayName="Hold and Record Status" ma:decimals="0" ma:description="" ma:hidden="true" ma:indexed="true" ma:internalName="_vti_ItemHoldRecordStatu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bd5d25a-ed67-4748-9d94-e4b1e4baa595" elementFormDefault="qualified">
    <xsd:import namespace="http://schemas.microsoft.com/office/2006/documentManagement/types"/>
    <xsd:import namespace="http://schemas.microsoft.com/office/infopath/2007/PartnerControls"/>
    <xsd:element name="Publishing_x0020_Required_x0020_By" ma:index="8" nillable="true" ma:displayName="Publishing Required By" ma:description="Select the date this web page is due to be published." ma:format="DateOnly" ma:internalName="Publishing_x0020_Required_x0020_By">
      <xsd:simpleType>
        <xsd:restriction base="dms:DateTime"/>
      </xsd:simpleType>
    </xsd:element>
    <xsd:element name="Package_x0020_Status" ma:index="9" nillable="true" ma:displayName="Package Status" ma:default="Draft" ma:description="Note: DO NOT ADD A VALUE TO THIS" ma:format="Dropdown" ma:internalName="Package_x0020_Status">
      <xsd:simpleType>
        <xsd:restriction base="dms:Choice">
          <xsd:enumeration value="Draft"/>
          <xsd:enumeration value="Peer Review In Progress"/>
          <xsd:enumeration value="Quality Review In Progress"/>
          <xsd:enumeration value="Content Approval In Progress"/>
          <xsd:enumeration value="Approved"/>
          <xsd:enumeration value="Published"/>
        </xsd:restriction>
      </xsd:simpleType>
    </xsd:element>
    <xsd:element name="Content_x0020_Owner_x0020_Designation" ma:index="10" nillable="true" ma:displayName="Content Owner Designation" ma:description="Note: Leave this field blank to have it automatically populated via workflow" ma:internalName="Content_x0020_Owner_x0020_Designation">
      <xsd:simpleType>
        <xsd:restriction base="dms:Text">
          <xsd:maxLength value="255"/>
        </xsd:restriction>
      </xsd:simpleType>
    </xsd:element>
    <xsd:element name="Content_x0020_Owner_x0020_Section" ma:index="11" nillable="true" ma:displayName="Content Owner Section" ma:description="Note: Leave this field blank to have it automatically populated via workflow" ma:internalName="Content_x0020_Owner_x0020_Section">
      <xsd:simpleType>
        <xsd:restriction base="dms:Text">
          <xsd:maxLength value="255"/>
        </xsd:restriction>
      </xsd:simpleType>
    </xsd:element>
    <xsd:element name="Content_x0020_Owner_x0020_Division" ma:index="12" nillable="true" ma:displayName="Content Owner Division" ma:description="Note: Leave this field blank to have it automatically populated via workflow" ma:internalName="Content_x0020_Owner_x0020_Division">
      <xsd:simpleType>
        <xsd:restriction base="dms:Text">
          <xsd:maxLength value="255"/>
        </xsd:restriction>
      </xsd:simpleType>
    </xsd:element>
    <xsd:element name="Content_x0020_Owner_x0020_Branch" ma:index="13" nillable="true" ma:displayName="Content Owner Branch" ma:description="Note: Leave this field blank to have it automatically populated via workflow" ma:internalName="Content_x0020_Owner_x0020_Branch">
      <xsd:simpleType>
        <xsd:restriction base="dms:Text">
          <xsd:maxLength value="255"/>
        </xsd:restriction>
      </xsd:simpleType>
    </xsd:element>
    <xsd:element name="Approved_x0020_Date" ma:index="14" nillable="true" ma:displayName="Approved Date" ma:description="Note: DO NOT ADD A VALUE TO THIS" ma:format="DateOnly" ma:internalName="Approved_x0020_Date">
      <xsd:simpleType>
        <xsd:restriction base="dms:DateTime"/>
      </xsd:simpleType>
    </xsd:element>
    <xsd:element name="Content_x0020_Owner" ma:index="17" ma:displayName="Content Owner" ma:description="Specify the owner (Branch Head) of the content" ma:list="UserInfo" ma:SharePointGroup="0" ma:internalName="Content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Quality_x0020_Reviewer_x0028_s_x0029_" ma:index="18" ma:displayName="Quality Reviewer(s)" ma:list="UserInfo" ma:SharePointGroup="0" ma:internalName="Quality_x0020_Reviewer_x0028_s_x0029_" ma:showField="Imn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Peer_x0020_Review_x0020_Required_x0020_By" ma:index="19" nillable="true" ma:displayName="Peer Review Required By" ma:list="UserInfo" ma:SharePointGroup="0" ma:internalName="Peer_x0020_Review_x0020_Required_x0020_By"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ent_x0020_Approver" ma:index="20" ma:displayName="Content Approver" ma:description="Specify the Content Approver (EL2 or above) to approve your content" ma:list="UserInfo" ma:SharePointGroup="0" ma:internalName="Content_x0020_Approver" ma:showField="Imn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1"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Quality_x0020_Reviewer_x0028_s_x0029_ xmlns="2bd5d25a-ed67-4748-9d94-e4b1e4baa595">
      <UserInfo>
        <DisplayName>BREUGELMANS, Kristy</DisplayName>
        <AccountId>2488</AccountId>
        <AccountType/>
      </UserInfo>
    </Quality_x0020_Reviewer_x0028_s_x0029_>
    <Content_x0020_Owner_x0020_Designation xmlns="2bd5d25a-ed67-4748-9d94-e4b1e4baa595">Assistant Secretary</Content_x0020_Owner_x0020_Designation>
    <Publishing_x0020_Required_x0020_By xmlns="2bd5d25a-ed67-4748-9d94-e4b1e4baa595">2018-03-13T13:00:00+00:00</Publishing_x0020_Required_x0020_By>
    <Approved_x0020_Date xmlns="2bd5d25a-ed67-4748-9d94-e4b1e4baa595">2018-03-19T13:00:00+00:00</Approved_x0020_Date>
    <IconOverlay xmlns="http://schemas.microsoft.com/sharepoint/v4" xsi:nil="true"/>
    <Content_x0020_Approver xmlns="2bd5d25a-ed67-4748-9d94-e4b1e4baa595">
      <UserInfo>
        <DisplayName>SOMI, Masha</DisplayName>
        <AccountId>904</AccountId>
        <AccountType/>
      </UserInfo>
    </Content_x0020_Approver>
    <Content_x0020_Owner_x0020_Division xmlns="2bd5d25a-ed67-4748-9d94-e4b1e4baa595">Office of Health Protection DIV</Content_x0020_Owner_x0020_Division>
    <Content_x0020_Owner_x0020_Branch xmlns="2bd5d25a-ed67-4748-9d94-e4b1e4baa595">OHPD Immunisation BR</Content_x0020_Owner_x0020_Branch>
    <Package_x0020_Status xmlns="2bd5d25a-ed67-4748-9d94-e4b1e4baa595">Approved</Package_x0020_Status>
    <Content_x0020_Owner_x0020_Section xmlns="2bd5d25a-ed67-4748-9d94-e4b1e4baa595">OHPD IB Executive SN</Content_x0020_Owner_x0020_Section>
    <Peer_x0020_Review_x0020_Required_x0020_By xmlns="2bd5d25a-ed67-4748-9d94-e4b1e4baa595">
      <UserInfo>
        <DisplayName>PEISLEY, Hope</DisplayName>
        <AccountId>4376</AccountId>
        <AccountType/>
      </UserInfo>
    </Peer_x0020_Review_x0020_Required_x0020_By>
    <Content_x0020_Owner xmlns="2bd5d25a-ed67-4748-9d94-e4b1e4baa595">
      <UserInfo>
        <DisplayName>SOMI, Masha</DisplayName>
        <AccountId>904</AccountId>
        <AccountType/>
      </UserInfo>
    </Content_x0020_Owner>
  </documentManagement>
</p:properties>
</file>

<file path=customXml/item4.xml><?xml version="1.0" encoding="utf-8"?>
<b:Sources xmlns:b="http://schemas.openxmlformats.org/officeDocument/2006/bibliography" xmlns="http://schemas.openxmlformats.org/officeDocument/2006/bibliography" SelectedStyle="\APA.XSL" StyleName="APA">
  <b:Source>
    <b:Tag>Aus162</b:Tag>
    <b:SourceType>InternetSite</b:SourceType>
    <b:Guid>{EBAC5F51-2B39-A24B-BEC6-C2CC1D021785}</b:Guid>
    <b:Title>4364.0.55.001 - National Health Survey: First Results, 2014-15</b:Title>
    <b:Year>2016</b:Year>
    <b:Month>March</b:Month>
    <b:Day>23</b:Day>
    <b:Author>
      <b:Author>
        <b:Corporate>Australian Bureau of Statistics</b:Corporate>
      </b:Author>
    </b:Author>
    <b:URL>http://www.abs.gov.au/ausstats/abs@.nsf/mf/4364.0.55.001</b:URL>
    <b:YearAccessed>2016</b:YearAccessed>
    <b:MonthAccessed>October</b:MonthAccessed>
    <b:DayAccessed>10</b:DayAccessed>
    <b:InternetSiteTitle>Australian Bureau of Statistics</b:InternetSiteTitle>
    <b:RefOrder>14</b:RefOrder>
  </b:Source>
</b:Sources>
</file>

<file path=customXml/itemProps1.xml><?xml version="1.0" encoding="utf-8"?>
<ds:datastoreItem xmlns:ds="http://schemas.openxmlformats.org/officeDocument/2006/customXml" ds:itemID="{663A21C4-81B5-4BCB-84AE-98FE00C1F150}">
  <ds:schemaRefs>
    <ds:schemaRef ds:uri="http://schemas.microsoft.com/sharepoint/v3/contenttype/forms"/>
  </ds:schemaRefs>
</ds:datastoreItem>
</file>

<file path=customXml/itemProps2.xml><?xml version="1.0" encoding="utf-8"?>
<ds:datastoreItem xmlns:ds="http://schemas.openxmlformats.org/officeDocument/2006/customXml" ds:itemID="{F2D1D9B6-547B-4267-9A11-1A637E825E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bd5d25a-ed67-4748-9d94-e4b1e4baa59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1F653F4-3B8F-4A85-BE7E-CA133256E200}">
  <ds:schemaRefs>
    <ds:schemaRef ds:uri="http://purl.org/dc/terms/"/>
    <ds:schemaRef ds:uri="http://schemas.microsoft.com/office/2006/metadata/properties"/>
    <ds:schemaRef ds:uri="http://schemas.microsoft.com/sharepoint/v3"/>
    <ds:schemaRef ds:uri="http://www.w3.org/XML/1998/namespace"/>
    <ds:schemaRef ds:uri="http://purl.org/dc/elements/1.1/"/>
    <ds:schemaRef ds:uri="http://schemas.microsoft.com/sharepoint/v4"/>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2bd5d25a-ed67-4748-9d94-e4b1e4baa595"/>
  </ds:schemaRefs>
</ds:datastoreItem>
</file>

<file path=customXml/itemProps4.xml><?xml version="1.0" encoding="utf-8"?>
<ds:datastoreItem xmlns:ds="http://schemas.openxmlformats.org/officeDocument/2006/customXml" ds:itemID="{CB68C268-3E0B-46B5-96B6-B5972E69A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2614</Words>
  <Characters>14905</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17485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Murphy Alicia</dc:creator>
  <cp:lastModifiedBy>APPLETON, Claire</cp:lastModifiedBy>
  <cp:revision>2</cp:revision>
  <cp:lastPrinted>2018-02-21T02:54:00Z</cp:lastPrinted>
  <dcterms:created xsi:type="dcterms:W3CDTF">2018-03-20T22:22:00Z</dcterms:created>
  <dcterms:modified xsi:type="dcterms:W3CDTF">2018-03-20T22:22:00Z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0x0101000361B2D965776F46A203A558DA3BDE9C010068A92C094D8C8E439A2AE59D29D483FC</vt:lpwstr>
  </property>
  <property fmtid="{D5CDD505-2E9C-101B-9397-08002B2CF9AE}" pid="3" name="_docset_NoMedatataSyncRequired">
    <vt:lpwstr>False</vt:lpwstr>
  </property>
  <property fmtid="{D5CDD505-2E9C-101B-9397-08002B2CF9AE}" pid="4" name="WorkflowChangePath">
    <vt:lpwstr>b55235ed-5ca5-4ec6-8961-3a05ae543b2a,6;b55235ed-5ca5-4ec6-8961-3a05ae543b2a,6;b55235ed-5ca5-4ec6-8961-3a05ae543b2a,6;b55235ed-5ca5-4ec6-8961-3a05ae543b2a,6;</vt:lpwstr>
  </property>
</Properties>
</file>