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26"/>
        <w:gridCol w:w="6980"/>
      </w:tblGrid>
      <w:tr w:rsidR="004F3AA0" w:rsidRPr="00706042" w14:paraId="3FA94F07" w14:textId="77777777" w:rsidTr="4581BCEF">
        <w:trPr>
          <w:trHeight w:val="1831"/>
          <w:tblHeader/>
        </w:trPr>
        <w:tc>
          <w:tcPr>
            <w:tcW w:w="3226" w:type="dxa"/>
            <w:shd w:val="clear" w:color="auto" w:fill="55259E"/>
            <w:vAlign w:val="center"/>
          </w:tcPr>
          <w:p w14:paraId="042CA2EC" w14:textId="77777777" w:rsidR="004F3AA0" w:rsidRPr="00706042" w:rsidRDefault="004F3AA0" w:rsidP="004F3AA0">
            <w:r w:rsidRPr="00706042">
              <w:rPr>
                <w:noProof/>
                <w:lang w:val="en-US" w:eastAsia="en-US"/>
              </w:rPr>
              <w:drawing>
                <wp:anchor distT="0" distB="0" distL="114300" distR="114300" simplePos="0" relativeHeight="251658240" behindDoc="0" locked="0" layoutInCell="1" allowOverlap="1" wp14:anchorId="761AB640" wp14:editId="79CEB347">
                  <wp:simplePos x="718185" y="544195"/>
                  <wp:positionH relativeFrom="margin">
                    <wp:align>center</wp:align>
                  </wp:positionH>
                  <wp:positionV relativeFrom="margin">
                    <wp:align>center</wp:align>
                  </wp:positionV>
                  <wp:extent cx="1477010" cy="979170"/>
                  <wp:effectExtent l="0" t="0" r="8890" b="0"/>
                  <wp:wrapNone/>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11">
                            <a:extLst>
                              <a:ext uri="{28A0092B-C50C-407E-A947-70E740481C1C}">
                                <a14:useLocalDpi xmlns:a14="http://schemas.microsoft.com/office/drawing/2010/main" val="0"/>
                              </a:ext>
                            </a:extLst>
                          </a:blip>
                          <a:stretch>
                            <a:fillRect/>
                          </a:stretch>
                        </pic:blipFill>
                        <pic:spPr>
                          <a:xfrm>
                            <a:off x="0" y="0"/>
                            <a:ext cx="1477010" cy="979170"/>
                          </a:xfrm>
                          <a:prstGeom prst="rect">
                            <a:avLst/>
                          </a:prstGeom>
                          <a:solidFill>
                            <a:srgbClr val="57259F"/>
                          </a:solidFill>
                        </pic:spPr>
                      </pic:pic>
                    </a:graphicData>
                  </a:graphic>
                  <wp14:sizeRelH relativeFrom="margin">
                    <wp14:pctWidth>0</wp14:pctWidth>
                  </wp14:sizeRelH>
                  <wp14:sizeRelV relativeFrom="margin">
                    <wp14:pctHeight>0</wp14:pctHeight>
                  </wp14:sizeRelV>
                </wp:anchor>
              </w:drawing>
            </w:r>
          </w:p>
        </w:tc>
        <w:tc>
          <w:tcPr>
            <w:tcW w:w="6980" w:type="dxa"/>
            <w:shd w:val="clear" w:color="auto" w:fill="55259E"/>
            <w:vAlign w:val="center"/>
          </w:tcPr>
          <w:p w14:paraId="3F72D781" w14:textId="77777777" w:rsidR="004F3AA0" w:rsidRPr="00706042" w:rsidRDefault="003021C5" w:rsidP="003021C5">
            <w:pPr>
              <w:ind w:right="175"/>
              <w:jc w:val="right"/>
              <w:rPr>
                <w:color w:val="FFFFFF" w:themeColor="background1"/>
                <w:sz w:val="28"/>
              </w:rPr>
            </w:pPr>
            <w:r w:rsidRPr="00706042">
              <w:rPr>
                <w:color w:val="FFFFFF" w:themeColor="background1"/>
                <w:sz w:val="28"/>
              </w:rPr>
              <w:t>AUSTRALIAN TECHNICAL ADVISORY GROUP ON</w:t>
            </w:r>
          </w:p>
          <w:p w14:paraId="33C24A4E" w14:textId="77777777" w:rsidR="003021C5" w:rsidRPr="00706042" w:rsidRDefault="003021C5" w:rsidP="003021C5">
            <w:pPr>
              <w:ind w:right="175"/>
              <w:jc w:val="right"/>
            </w:pPr>
            <w:r w:rsidRPr="00706042">
              <w:rPr>
                <w:color w:val="FFFFFF" w:themeColor="background1"/>
                <w:sz w:val="28"/>
              </w:rPr>
              <w:t>IMMUNISATION (ATAGI) |</w:t>
            </w:r>
            <w:r w:rsidRPr="00706042">
              <w:rPr>
                <w:b/>
                <w:color w:val="FFFFFF" w:themeColor="background1"/>
                <w:sz w:val="28"/>
              </w:rPr>
              <w:t xml:space="preserve"> CLINICAL ADVICE</w:t>
            </w:r>
          </w:p>
        </w:tc>
      </w:tr>
      <w:tr w:rsidR="004F3AA0" w:rsidRPr="00A229D3" w14:paraId="3320A19B" w14:textId="77777777" w:rsidTr="4581BCEF">
        <w:trPr>
          <w:trHeight w:val="288"/>
        </w:trPr>
        <w:tc>
          <w:tcPr>
            <w:tcW w:w="3226" w:type="dxa"/>
            <w:shd w:val="clear" w:color="auto" w:fill="55259E"/>
          </w:tcPr>
          <w:p w14:paraId="5D499E53" w14:textId="77777777" w:rsidR="004F3AA0" w:rsidRPr="00A229D3" w:rsidRDefault="004F3AA0" w:rsidP="004F3AA0"/>
        </w:tc>
        <w:tc>
          <w:tcPr>
            <w:tcW w:w="6980" w:type="dxa"/>
            <w:shd w:val="clear" w:color="auto" w:fill="55259E"/>
            <w:vAlign w:val="center"/>
          </w:tcPr>
          <w:p w14:paraId="6C4BCDBC" w14:textId="0B2E3A36" w:rsidR="004F3AA0" w:rsidRPr="00A229D3" w:rsidRDefault="00183FB0" w:rsidP="00D511E2">
            <w:pPr>
              <w:pStyle w:val="BodyText"/>
              <w:ind w:right="175"/>
              <w:jc w:val="right"/>
              <w:rPr>
                <w:b/>
                <w:color w:val="FFFFFF" w:themeColor="background1"/>
              </w:rPr>
            </w:pPr>
            <w:r w:rsidRPr="00A229D3">
              <w:rPr>
                <w:b/>
                <w:color w:val="FFFFFF" w:themeColor="background1"/>
              </w:rPr>
              <w:t xml:space="preserve">Issue date: </w:t>
            </w:r>
            <w:r w:rsidR="00D511E2">
              <w:rPr>
                <w:b/>
                <w:color w:val="FFFFFF" w:themeColor="background1"/>
              </w:rPr>
              <w:t>July</w:t>
            </w:r>
            <w:bookmarkStart w:id="0" w:name="_GoBack"/>
            <w:bookmarkEnd w:id="0"/>
            <w:r w:rsidR="002B25C2" w:rsidRPr="00A229D3">
              <w:rPr>
                <w:b/>
                <w:color w:val="FFFFFF" w:themeColor="background1"/>
              </w:rPr>
              <w:t xml:space="preserve"> </w:t>
            </w:r>
            <w:r w:rsidR="00654975" w:rsidRPr="00A229D3">
              <w:rPr>
                <w:b/>
                <w:color w:val="FFFFFF" w:themeColor="background1"/>
              </w:rPr>
              <w:t>2019</w:t>
            </w:r>
          </w:p>
        </w:tc>
      </w:tr>
      <w:tr w:rsidR="004F3AA0" w:rsidRPr="00A229D3" w14:paraId="02629673" w14:textId="77777777" w:rsidTr="006A6E8E">
        <w:trPr>
          <w:trHeight w:val="294"/>
        </w:trPr>
        <w:tc>
          <w:tcPr>
            <w:tcW w:w="3226" w:type="dxa"/>
            <w:shd w:val="clear" w:color="auto" w:fill="auto"/>
          </w:tcPr>
          <w:p w14:paraId="05E477FA" w14:textId="77777777" w:rsidR="004F3AA0" w:rsidRPr="00A229D3" w:rsidRDefault="004F3AA0" w:rsidP="006A6E8E">
            <w:pPr>
              <w:spacing w:line="240" w:lineRule="auto"/>
            </w:pPr>
          </w:p>
        </w:tc>
        <w:tc>
          <w:tcPr>
            <w:tcW w:w="6980" w:type="dxa"/>
            <w:shd w:val="clear" w:color="auto" w:fill="auto"/>
          </w:tcPr>
          <w:p w14:paraId="28DB5BEF" w14:textId="77777777" w:rsidR="004F3AA0" w:rsidRPr="00A229D3" w:rsidRDefault="004F3AA0" w:rsidP="004F3AA0"/>
        </w:tc>
      </w:tr>
    </w:tbl>
    <w:p w14:paraId="1B327D37" w14:textId="77777777" w:rsidR="005E0FAB" w:rsidRPr="00A229D3" w:rsidRDefault="00D91630" w:rsidP="00826860">
      <w:pPr>
        <w:pStyle w:val="Heading1Black"/>
        <w:spacing w:after="0"/>
        <w:rPr>
          <w:sz w:val="28"/>
          <w:szCs w:val="30"/>
        </w:rPr>
      </w:pPr>
      <w:r w:rsidRPr="00A229D3">
        <w:rPr>
          <w:sz w:val="28"/>
          <w:szCs w:val="30"/>
        </w:rPr>
        <w:t xml:space="preserve">ATAGI </w:t>
      </w:r>
      <w:r w:rsidR="006C3116" w:rsidRPr="00A229D3">
        <w:rPr>
          <w:sz w:val="28"/>
          <w:szCs w:val="30"/>
        </w:rPr>
        <w:t xml:space="preserve">CLINICAL ADVICE FOR IMMUNISATION PROVIDERS REGARDING </w:t>
      </w:r>
      <w:r w:rsidR="00314BC3" w:rsidRPr="00A229D3">
        <w:rPr>
          <w:sz w:val="28"/>
          <w:szCs w:val="30"/>
        </w:rPr>
        <w:t>use of dengvaxia</w:t>
      </w:r>
      <w:r w:rsidR="00681913" w:rsidRPr="00A229D3">
        <w:rPr>
          <w:sz w:val="28"/>
          <w:szCs w:val="30"/>
        </w:rPr>
        <w:t>®</w:t>
      </w:r>
      <w:r w:rsidR="00314BC3" w:rsidRPr="00A229D3">
        <w:rPr>
          <w:sz w:val="28"/>
          <w:szCs w:val="30"/>
        </w:rPr>
        <w:t xml:space="preserve"> for australians</w:t>
      </w:r>
    </w:p>
    <w:p w14:paraId="7AFA6CBD" w14:textId="77777777" w:rsidR="006B5200" w:rsidRPr="00706042" w:rsidRDefault="006B5200" w:rsidP="006A6E8E">
      <w:pPr>
        <w:pStyle w:val="Sub-bullettedlist"/>
        <w:spacing w:before="120" w:after="0"/>
        <w:ind w:left="284"/>
        <w:rPr>
          <w:szCs w:val="21"/>
          <w:lang w:val="en-AU"/>
        </w:rPr>
      </w:pPr>
      <w:r w:rsidRPr="00706042">
        <w:rPr>
          <w:szCs w:val="21"/>
          <w:lang w:val="en-AU"/>
        </w:rPr>
        <w:t xml:space="preserve">It is important to read this statement in conjunction with </w:t>
      </w:r>
      <w:r w:rsidR="00E70AD1" w:rsidRPr="00706042">
        <w:rPr>
          <w:szCs w:val="21"/>
          <w:lang w:val="en-AU"/>
        </w:rPr>
        <w:t xml:space="preserve">other travel sections of the </w:t>
      </w:r>
      <w:r w:rsidRPr="00706042">
        <w:rPr>
          <w:szCs w:val="21"/>
          <w:lang w:val="en-AU"/>
        </w:rPr>
        <w:t>current online version of The Australian Imm</w:t>
      </w:r>
      <w:r w:rsidR="00314BC3" w:rsidRPr="00706042">
        <w:rPr>
          <w:szCs w:val="21"/>
          <w:lang w:val="en-AU"/>
        </w:rPr>
        <w:t xml:space="preserve">unisation Handbook available at </w:t>
      </w:r>
      <w:hyperlink r:id="rId12" w:history="1">
        <w:r w:rsidR="00314BC3" w:rsidRPr="00706042">
          <w:rPr>
            <w:rStyle w:val="Hyperlink"/>
            <w:szCs w:val="21"/>
            <w:lang w:val="en-AU"/>
          </w:rPr>
          <w:t>https://immunisationhandbook.health.gov.au/</w:t>
        </w:r>
      </w:hyperlink>
      <w:r w:rsidR="00314BC3" w:rsidRPr="00706042">
        <w:rPr>
          <w:szCs w:val="21"/>
          <w:lang w:val="en-AU"/>
        </w:rPr>
        <w:t xml:space="preserve"> </w:t>
      </w:r>
    </w:p>
    <w:p w14:paraId="742A839F" w14:textId="77777777" w:rsidR="00183FB0" w:rsidRPr="00706042" w:rsidRDefault="00040128" w:rsidP="006A6E8E">
      <w:pPr>
        <w:pStyle w:val="Heading2"/>
        <w:spacing w:before="240" w:after="120" w:line="240" w:lineRule="auto"/>
        <w:rPr>
          <w:sz w:val="20"/>
          <w:szCs w:val="20"/>
        </w:rPr>
      </w:pPr>
      <w:r w:rsidRPr="00706042">
        <w:rPr>
          <w:sz w:val="20"/>
          <w:szCs w:val="20"/>
        </w:rPr>
        <w:t>Key points</w:t>
      </w:r>
      <w:r w:rsidR="006460D6" w:rsidRPr="00706042">
        <w:rPr>
          <w:sz w:val="20"/>
          <w:szCs w:val="20"/>
        </w:rPr>
        <w:t xml:space="preserve"> </w:t>
      </w:r>
    </w:p>
    <w:p w14:paraId="1E08596F" w14:textId="77777777" w:rsidR="00E71B5A" w:rsidRDefault="00E71B5A">
      <w:pPr>
        <w:pStyle w:val="ListParagraph"/>
        <w:numPr>
          <w:ilvl w:val="0"/>
          <w:numId w:val="11"/>
        </w:numPr>
        <w:spacing w:after="120"/>
        <w:ind w:left="426" w:hanging="284"/>
        <w:contextualSpacing w:val="0"/>
        <w:rPr>
          <w:sz w:val="18"/>
          <w:szCs w:val="18"/>
        </w:rPr>
      </w:pPr>
      <w:r>
        <w:rPr>
          <w:sz w:val="18"/>
          <w:szCs w:val="18"/>
        </w:rPr>
        <w:t xml:space="preserve">The dengue vaccine, </w:t>
      </w:r>
      <w:proofErr w:type="spellStart"/>
      <w:r>
        <w:rPr>
          <w:sz w:val="18"/>
          <w:szCs w:val="18"/>
        </w:rPr>
        <w:t>Dengvaxia</w:t>
      </w:r>
      <w:proofErr w:type="spellEnd"/>
      <w:r>
        <w:rPr>
          <w:sz w:val="18"/>
          <w:szCs w:val="18"/>
        </w:rPr>
        <w:t xml:space="preserve"> is NEVER indicated for primary prevention of initial dengue infection. </w:t>
      </w:r>
      <w:proofErr w:type="spellStart"/>
      <w:r>
        <w:rPr>
          <w:sz w:val="18"/>
          <w:szCs w:val="18"/>
        </w:rPr>
        <w:t>Dengvaxia’s</w:t>
      </w:r>
      <w:proofErr w:type="spellEnd"/>
      <w:r>
        <w:rPr>
          <w:sz w:val="18"/>
          <w:szCs w:val="18"/>
        </w:rPr>
        <w:t xml:space="preserve"> only role is in prevention of subsequent, more serious secondary infections in specific groups who fulfil ALL of the criteria listed below.</w:t>
      </w:r>
    </w:p>
    <w:p w14:paraId="415BB5BD" w14:textId="77777777" w:rsidR="00314BC3" w:rsidRPr="00A229D3" w:rsidRDefault="00314BC3" w:rsidP="00C40806">
      <w:pPr>
        <w:pStyle w:val="ListParagraph"/>
        <w:numPr>
          <w:ilvl w:val="0"/>
          <w:numId w:val="11"/>
        </w:numPr>
        <w:spacing w:after="120"/>
        <w:ind w:left="426" w:hanging="284"/>
        <w:contextualSpacing w:val="0"/>
        <w:rPr>
          <w:sz w:val="18"/>
          <w:szCs w:val="18"/>
        </w:rPr>
      </w:pPr>
      <w:r w:rsidRPr="00A229D3">
        <w:rPr>
          <w:sz w:val="18"/>
          <w:szCs w:val="18"/>
        </w:rPr>
        <w:t xml:space="preserve">The dengue vaccine, </w:t>
      </w:r>
      <w:proofErr w:type="spellStart"/>
      <w:r w:rsidRPr="00A229D3">
        <w:rPr>
          <w:sz w:val="18"/>
          <w:szCs w:val="18"/>
        </w:rPr>
        <w:t>Dengvaxia</w:t>
      </w:r>
      <w:proofErr w:type="spellEnd"/>
      <w:r w:rsidRPr="00A229D3">
        <w:rPr>
          <w:sz w:val="18"/>
          <w:szCs w:val="18"/>
        </w:rPr>
        <w:t xml:space="preserve">®, should </w:t>
      </w:r>
      <w:r w:rsidRPr="00A229D3">
        <w:rPr>
          <w:b/>
          <w:sz w:val="18"/>
          <w:szCs w:val="18"/>
        </w:rPr>
        <w:t>NOT</w:t>
      </w:r>
      <w:r w:rsidRPr="00A229D3">
        <w:rPr>
          <w:sz w:val="18"/>
          <w:szCs w:val="18"/>
        </w:rPr>
        <w:t xml:space="preserve"> be used in people who have never had a dengue infection, as it is potentially harmful. In these people, vaccination appears to increase their risk of hospitalisation and serious disease if they are subsequently infected by the dengue virus.</w:t>
      </w:r>
    </w:p>
    <w:p w14:paraId="7657F943" w14:textId="77777777" w:rsidR="00314BC3" w:rsidRPr="00A229D3" w:rsidRDefault="00314BC3" w:rsidP="00C40806">
      <w:pPr>
        <w:pStyle w:val="ListParagraph"/>
        <w:numPr>
          <w:ilvl w:val="0"/>
          <w:numId w:val="11"/>
        </w:numPr>
        <w:spacing w:after="120"/>
        <w:ind w:left="426" w:hanging="284"/>
        <w:contextualSpacing w:val="0"/>
        <w:rPr>
          <w:sz w:val="18"/>
          <w:szCs w:val="18"/>
        </w:rPr>
      </w:pPr>
      <w:r w:rsidRPr="00A229D3">
        <w:rPr>
          <w:sz w:val="18"/>
          <w:szCs w:val="18"/>
        </w:rPr>
        <w:t xml:space="preserve">Australian travellers are </w:t>
      </w:r>
      <w:r w:rsidRPr="00A229D3">
        <w:rPr>
          <w:b/>
          <w:sz w:val="18"/>
          <w:szCs w:val="18"/>
        </w:rPr>
        <w:t>NOT</w:t>
      </w:r>
      <w:r w:rsidRPr="00A229D3">
        <w:rPr>
          <w:sz w:val="18"/>
          <w:szCs w:val="18"/>
        </w:rPr>
        <w:t xml:space="preserve"> recommended to receive </w:t>
      </w:r>
      <w:proofErr w:type="spellStart"/>
      <w:r w:rsidRPr="00A229D3">
        <w:rPr>
          <w:sz w:val="18"/>
          <w:szCs w:val="18"/>
        </w:rPr>
        <w:t>Dengvaxia</w:t>
      </w:r>
      <w:proofErr w:type="spellEnd"/>
      <w:r w:rsidRPr="00A229D3">
        <w:rPr>
          <w:sz w:val="18"/>
          <w:szCs w:val="18"/>
        </w:rPr>
        <w:t xml:space="preserve">® for short-term stays in dengue-endemic areas, even </w:t>
      </w:r>
      <w:r w:rsidR="00C90382">
        <w:rPr>
          <w:sz w:val="18"/>
          <w:szCs w:val="18"/>
        </w:rPr>
        <w:t>in</w:t>
      </w:r>
      <w:r w:rsidR="00C90382" w:rsidRPr="00A229D3">
        <w:rPr>
          <w:sz w:val="18"/>
          <w:szCs w:val="18"/>
        </w:rPr>
        <w:t xml:space="preserve"> </w:t>
      </w:r>
      <w:r w:rsidRPr="00A229D3">
        <w:rPr>
          <w:sz w:val="18"/>
          <w:szCs w:val="18"/>
        </w:rPr>
        <w:t xml:space="preserve">people who have had previous dengue infection, as the </w:t>
      </w:r>
      <w:r w:rsidR="003B441C">
        <w:rPr>
          <w:sz w:val="18"/>
          <w:szCs w:val="18"/>
        </w:rPr>
        <w:t xml:space="preserve">risks </w:t>
      </w:r>
      <w:r w:rsidR="00C90382">
        <w:rPr>
          <w:sz w:val="18"/>
          <w:szCs w:val="18"/>
        </w:rPr>
        <w:t>most likely</w:t>
      </w:r>
      <w:r w:rsidR="003B441C">
        <w:rPr>
          <w:sz w:val="18"/>
          <w:szCs w:val="18"/>
        </w:rPr>
        <w:t xml:space="preserve"> outweigh </w:t>
      </w:r>
      <w:r w:rsidR="00C90382">
        <w:rPr>
          <w:sz w:val="18"/>
          <w:szCs w:val="18"/>
        </w:rPr>
        <w:t>any</w:t>
      </w:r>
      <w:r w:rsidR="003B441C">
        <w:rPr>
          <w:sz w:val="18"/>
          <w:szCs w:val="18"/>
        </w:rPr>
        <w:t xml:space="preserve"> </w:t>
      </w:r>
      <w:r w:rsidRPr="00A229D3">
        <w:rPr>
          <w:sz w:val="18"/>
          <w:szCs w:val="18"/>
        </w:rPr>
        <w:t>potential benefits.</w:t>
      </w:r>
    </w:p>
    <w:p w14:paraId="280264DF" w14:textId="77777777" w:rsidR="009E44BA" w:rsidRDefault="00D638FD" w:rsidP="00C40806">
      <w:pPr>
        <w:pStyle w:val="ListParagraph"/>
        <w:numPr>
          <w:ilvl w:val="0"/>
          <w:numId w:val="11"/>
        </w:numPr>
        <w:spacing w:after="0"/>
        <w:ind w:left="426"/>
        <w:contextualSpacing w:val="0"/>
        <w:rPr>
          <w:sz w:val="18"/>
          <w:szCs w:val="18"/>
        </w:rPr>
      </w:pPr>
      <w:r>
        <w:rPr>
          <w:sz w:val="18"/>
          <w:szCs w:val="18"/>
        </w:rPr>
        <w:t xml:space="preserve">There are only </w:t>
      </w:r>
      <w:r w:rsidR="00847DF0">
        <w:rPr>
          <w:sz w:val="18"/>
          <w:szCs w:val="18"/>
        </w:rPr>
        <w:t xml:space="preserve">very </w:t>
      </w:r>
      <w:r>
        <w:rPr>
          <w:sz w:val="18"/>
          <w:szCs w:val="18"/>
        </w:rPr>
        <w:t xml:space="preserve">rare occasions when </w:t>
      </w:r>
      <w:proofErr w:type="spellStart"/>
      <w:r w:rsidR="00027861" w:rsidRPr="00A229D3">
        <w:rPr>
          <w:sz w:val="18"/>
          <w:szCs w:val="18"/>
        </w:rPr>
        <w:t>Dengvaxia</w:t>
      </w:r>
      <w:proofErr w:type="spellEnd"/>
      <w:r w:rsidR="00027861" w:rsidRPr="00A229D3">
        <w:rPr>
          <w:sz w:val="18"/>
          <w:szCs w:val="18"/>
        </w:rPr>
        <w:t>® may be considered for use</w:t>
      </w:r>
      <w:r>
        <w:rPr>
          <w:sz w:val="18"/>
          <w:szCs w:val="18"/>
        </w:rPr>
        <w:t>,</w:t>
      </w:r>
      <w:r w:rsidR="00027861" w:rsidRPr="00A229D3">
        <w:rPr>
          <w:sz w:val="18"/>
          <w:szCs w:val="18"/>
        </w:rPr>
        <w:t xml:space="preserve"> on a case</w:t>
      </w:r>
      <w:r w:rsidR="009E44BA">
        <w:rPr>
          <w:sz w:val="18"/>
          <w:szCs w:val="18"/>
        </w:rPr>
        <w:t>-</w:t>
      </w:r>
      <w:r w:rsidR="00027861" w:rsidRPr="00A229D3">
        <w:rPr>
          <w:sz w:val="18"/>
          <w:szCs w:val="18"/>
        </w:rPr>
        <w:t>by</w:t>
      </w:r>
      <w:r w:rsidR="009E44BA">
        <w:rPr>
          <w:sz w:val="18"/>
          <w:szCs w:val="18"/>
        </w:rPr>
        <w:t>-</w:t>
      </w:r>
      <w:r w:rsidR="00027861" w:rsidRPr="00A229D3">
        <w:rPr>
          <w:sz w:val="18"/>
          <w:szCs w:val="18"/>
        </w:rPr>
        <w:t>case basis</w:t>
      </w:r>
      <w:r>
        <w:rPr>
          <w:sz w:val="18"/>
          <w:szCs w:val="18"/>
        </w:rPr>
        <w:t xml:space="preserve">. This should </w:t>
      </w:r>
      <w:r w:rsidR="00027861" w:rsidRPr="00A229D3">
        <w:rPr>
          <w:sz w:val="18"/>
          <w:szCs w:val="18"/>
        </w:rPr>
        <w:t xml:space="preserve">only </w:t>
      </w:r>
      <w:r>
        <w:rPr>
          <w:sz w:val="18"/>
          <w:szCs w:val="18"/>
        </w:rPr>
        <w:t xml:space="preserve">be considered </w:t>
      </w:r>
      <w:r w:rsidR="00027861" w:rsidRPr="00A229D3">
        <w:rPr>
          <w:sz w:val="18"/>
          <w:szCs w:val="18"/>
        </w:rPr>
        <w:t>f</w:t>
      </w:r>
      <w:r w:rsidR="00314BC3" w:rsidRPr="00A229D3">
        <w:rPr>
          <w:sz w:val="18"/>
          <w:szCs w:val="18"/>
        </w:rPr>
        <w:t xml:space="preserve">or </w:t>
      </w:r>
      <w:r>
        <w:rPr>
          <w:sz w:val="18"/>
          <w:szCs w:val="18"/>
        </w:rPr>
        <w:t>Australians</w:t>
      </w:r>
      <w:r w:rsidRPr="00A229D3" w:rsidDel="00D638FD">
        <w:rPr>
          <w:sz w:val="18"/>
          <w:szCs w:val="18"/>
        </w:rPr>
        <w:t xml:space="preserve"> </w:t>
      </w:r>
      <w:r w:rsidR="00027861" w:rsidRPr="00A229D3">
        <w:rPr>
          <w:sz w:val="18"/>
          <w:szCs w:val="18"/>
        </w:rPr>
        <w:t xml:space="preserve">who </w:t>
      </w:r>
      <w:r>
        <w:rPr>
          <w:sz w:val="18"/>
          <w:szCs w:val="18"/>
        </w:rPr>
        <w:t xml:space="preserve">meet all </w:t>
      </w:r>
      <w:r w:rsidR="009E44BA">
        <w:rPr>
          <w:sz w:val="18"/>
          <w:szCs w:val="18"/>
        </w:rPr>
        <w:t xml:space="preserve">of </w:t>
      </w:r>
      <w:r>
        <w:rPr>
          <w:sz w:val="18"/>
          <w:szCs w:val="18"/>
        </w:rPr>
        <w:t>these conditions</w:t>
      </w:r>
      <w:r w:rsidR="009E44BA">
        <w:rPr>
          <w:sz w:val="18"/>
          <w:szCs w:val="18"/>
        </w:rPr>
        <w:t>:</w:t>
      </w:r>
      <w:r w:rsidR="00027861" w:rsidRPr="00A229D3">
        <w:rPr>
          <w:sz w:val="18"/>
          <w:szCs w:val="18"/>
        </w:rPr>
        <w:t xml:space="preserve"> </w:t>
      </w:r>
    </w:p>
    <w:p w14:paraId="7EE47748" w14:textId="77777777" w:rsidR="009E44BA" w:rsidRDefault="009E44BA" w:rsidP="00C40806">
      <w:pPr>
        <w:pStyle w:val="ListParagraph"/>
        <w:numPr>
          <w:ilvl w:val="1"/>
          <w:numId w:val="11"/>
        </w:numPr>
        <w:spacing w:after="60"/>
        <w:ind w:left="1434" w:hanging="357"/>
        <w:contextualSpacing w:val="0"/>
        <w:rPr>
          <w:sz w:val="18"/>
          <w:szCs w:val="18"/>
        </w:rPr>
      </w:pPr>
      <w:r w:rsidRPr="00A229D3">
        <w:rPr>
          <w:sz w:val="18"/>
          <w:szCs w:val="18"/>
        </w:rPr>
        <w:t>aged 9–45 years</w:t>
      </w:r>
      <w:r>
        <w:rPr>
          <w:sz w:val="18"/>
          <w:szCs w:val="18"/>
        </w:rPr>
        <w:t>;</w:t>
      </w:r>
      <w:r w:rsidRPr="00A229D3">
        <w:rPr>
          <w:sz w:val="18"/>
          <w:szCs w:val="18"/>
        </w:rPr>
        <w:t xml:space="preserve"> AND</w:t>
      </w:r>
    </w:p>
    <w:p w14:paraId="1DC0EECF" w14:textId="77777777" w:rsidR="009E44BA" w:rsidRDefault="009E44BA" w:rsidP="00C40806">
      <w:pPr>
        <w:pStyle w:val="ListParagraph"/>
        <w:numPr>
          <w:ilvl w:val="1"/>
          <w:numId w:val="11"/>
        </w:numPr>
        <w:spacing w:after="60"/>
        <w:ind w:left="1434" w:hanging="357"/>
        <w:contextualSpacing w:val="0"/>
        <w:rPr>
          <w:sz w:val="18"/>
          <w:szCs w:val="18"/>
        </w:rPr>
      </w:pPr>
      <w:r w:rsidRPr="00A229D3">
        <w:rPr>
          <w:sz w:val="18"/>
          <w:szCs w:val="18"/>
        </w:rPr>
        <w:t>have had previous dengue infection</w:t>
      </w:r>
      <w:r>
        <w:rPr>
          <w:sz w:val="18"/>
          <w:szCs w:val="18"/>
        </w:rPr>
        <w:t>;</w:t>
      </w:r>
      <w:r w:rsidRPr="00A229D3">
        <w:rPr>
          <w:sz w:val="18"/>
          <w:szCs w:val="18"/>
        </w:rPr>
        <w:t xml:space="preserve"> AND</w:t>
      </w:r>
    </w:p>
    <w:p w14:paraId="0D96332D" w14:textId="3F9F43F5" w:rsidR="001B1080" w:rsidRDefault="009E44BA" w:rsidP="00C40806">
      <w:pPr>
        <w:pStyle w:val="ListParagraph"/>
        <w:numPr>
          <w:ilvl w:val="1"/>
          <w:numId w:val="11"/>
        </w:numPr>
        <w:spacing w:after="60"/>
        <w:ind w:left="1434" w:hanging="357"/>
        <w:contextualSpacing w:val="0"/>
        <w:rPr>
          <w:sz w:val="18"/>
          <w:szCs w:val="18"/>
        </w:rPr>
      </w:pPr>
      <w:r w:rsidRPr="00A229D3">
        <w:rPr>
          <w:sz w:val="18"/>
          <w:szCs w:val="18"/>
        </w:rPr>
        <w:t xml:space="preserve">are intending to </w:t>
      </w:r>
      <w:r w:rsidR="009A60F4">
        <w:rPr>
          <w:sz w:val="18"/>
          <w:szCs w:val="18"/>
        </w:rPr>
        <w:t xml:space="preserve">reside </w:t>
      </w:r>
      <w:r w:rsidRPr="00A229D3">
        <w:rPr>
          <w:sz w:val="18"/>
          <w:szCs w:val="18"/>
        </w:rPr>
        <w:t xml:space="preserve">in </w:t>
      </w:r>
      <w:r>
        <w:rPr>
          <w:sz w:val="18"/>
          <w:szCs w:val="18"/>
        </w:rPr>
        <w:t xml:space="preserve">highly </w:t>
      </w:r>
      <w:r w:rsidRPr="00A229D3">
        <w:rPr>
          <w:sz w:val="18"/>
          <w:szCs w:val="18"/>
        </w:rPr>
        <w:t>dengue-endemic regions for an extended period</w:t>
      </w:r>
      <w:r>
        <w:rPr>
          <w:sz w:val="18"/>
          <w:szCs w:val="18"/>
        </w:rPr>
        <w:t>;</w:t>
      </w:r>
      <w:r w:rsidRPr="00A229D3">
        <w:rPr>
          <w:sz w:val="18"/>
          <w:szCs w:val="18"/>
        </w:rPr>
        <w:t xml:space="preserve"> </w:t>
      </w:r>
      <w:r>
        <w:rPr>
          <w:sz w:val="18"/>
          <w:szCs w:val="18"/>
        </w:rPr>
        <w:t>AND</w:t>
      </w:r>
    </w:p>
    <w:p w14:paraId="5635ECC2" w14:textId="77777777" w:rsidR="009E44BA" w:rsidRDefault="001B1080" w:rsidP="00C40806">
      <w:pPr>
        <w:pStyle w:val="ListParagraph"/>
        <w:numPr>
          <w:ilvl w:val="1"/>
          <w:numId w:val="11"/>
        </w:numPr>
        <w:spacing w:after="60"/>
        <w:ind w:left="1434" w:hanging="357"/>
        <w:contextualSpacing w:val="0"/>
        <w:rPr>
          <w:sz w:val="18"/>
          <w:szCs w:val="18"/>
        </w:rPr>
      </w:pPr>
      <w:proofErr w:type="gramStart"/>
      <w:r>
        <w:rPr>
          <w:sz w:val="18"/>
          <w:szCs w:val="18"/>
        </w:rPr>
        <w:t>only</w:t>
      </w:r>
      <w:proofErr w:type="gramEnd"/>
      <w:r>
        <w:rPr>
          <w:sz w:val="18"/>
          <w:szCs w:val="18"/>
        </w:rPr>
        <w:t xml:space="preserve"> </w:t>
      </w:r>
      <w:r w:rsidRPr="00A229D3">
        <w:rPr>
          <w:sz w:val="18"/>
          <w:szCs w:val="18"/>
        </w:rPr>
        <w:t>if the potential benefits are deemed to outweigh the risks.</w:t>
      </w:r>
    </w:p>
    <w:p w14:paraId="6DC8BD25" w14:textId="5BFEE24C" w:rsidR="00314BC3" w:rsidRPr="00A229D3" w:rsidRDefault="00314BC3" w:rsidP="00C40806">
      <w:pPr>
        <w:pStyle w:val="ListParagraph"/>
        <w:spacing w:after="0"/>
        <w:ind w:left="426"/>
        <w:contextualSpacing w:val="0"/>
        <w:rPr>
          <w:sz w:val="18"/>
          <w:szCs w:val="18"/>
        </w:rPr>
      </w:pPr>
      <w:r w:rsidRPr="00A229D3">
        <w:rPr>
          <w:sz w:val="18"/>
          <w:szCs w:val="18"/>
        </w:rPr>
        <w:t>Factors to be assessed</w:t>
      </w:r>
      <w:r w:rsidR="007C226F">
        <w:rPr>
          <w:sz w:val="18"/>
          <w:szCs w:val="18"/>
        </w:rPr>
        <w:t xml:space="preserve"> </w:t>
      </w:r>
      <w:r w:rsidRPr="00A229D3">
        <w:rPr>
          <w:sz w:val="18"/>
          <w:szCs w:val="18"/>
        </w:rPr>
        <w:t>should include:</w:t>
      </w:r>
    </w:p>
    <w:p w14:paraId="490D1925" w14:textId="5C3C64B6" w:rsidR="00314BC3" w:rsidRPr="00A229D3" w:rsidRDefault="00314BC3" w:rsidP="00C40806">
      <w:pPr>
        <w:pStyle w:val="Sub-bullettedlist"/>
        <w:numPr>
          <w:ilvl w:val="0"/>
          <w:numId w:val="9"/>
        </w:numPr>
        <w:spacing w:after="60" w:line="276" w:lineRule="auto"/>
        <w:rPr>
          <w:sz w:val="18"/>
          <w:szCs w:val="18"/>
          <w:lang w:val="en-AU"/>
        </w:rPr>
      </w:pPr>
      <w:r w:rsidRPr="00A229D3">
        <w:rPr>
          <w:sz w:val="18"/>
          <w:szCs w:val="18"/>
          <w:lang w:val="en-AU"/>
        </w:rPr>
        <w:t xml:space="preserve">a sufficiently high risk of dengue infection – taking into account the intended duration of stay in an area considered at risk from dengue infection, due to the local level of </w:t>
      </w:r>
      <w:proofErr w:type="spellStart"/>
      <w:r w:rsidRPr="00A229D3">
        <w:rPr>
          <w:sz w:val="18"/>
          <w:szCs w:val="18"/>
          <w:lang w:val="en-AU"/>
        </w:rPr>
        <w:t>endemicity</w:t>
      </w:r>
      <w:proofErr w:type="spellEnd"/>
      <w:r w:rsidRPr="00A229D3">
        <w:rPr>
          <w:sz w:val="18"/>
          <w:szCs w:val="18"/>
          <w:lang w:val="en-AU"/>
        </w:rPr>
        <w:t>, seasonal risk and/or current outbreaks of dengue</w:t>
      </w:r>
      <w:r w:rsidR="007C226F">
        <w:rPr>
          <w:sz w:val="18"/>
          <w:szCs w:val="18"/>
          <w:lang w:val="en-AU"/>
        </w:rPr>
        <w:t>. For example</w:t>
      </w:r>
      <w:r w:rsidR="009A60F4">
        <w:rPr>
          <w:sz w:val="18"/>
          <w:szCs w:val="18"/>
          <w:lang w:val="en-AU"/>
        </w:rPr>
        <w:t>,</w:t>
      </w:r>
      <w:r w:rsidR="007C226F">
        <w:rPr>
          <w:sz w:val="18"/>
          <w:szCs w:val="18"/>
          <w:lang w:val="en-AU"/>
        </w:rPr>
        <w:t xml:space="preserve"> Australians </w:t>
      </w:r>
      <w:r w:rsidR="007C226F" w:rsidRPr="007C226F">
        <w:rPr>
          <w:sz w:val="18"/>
          <w:szCs w:val="18"/>
          <w:lang w:val="en-AU"/>
        </w:rPr>
        <w:t>being deployed to areas</w:t>
      </w:r>
      <w:r w:rsidR="007C226F">
        <w:rPr>
          <w:sz w:val="18"/>
          <w:szCs w:val="18"/>
          <w:lang w:val="en-AU"/>
        </w:rPr>
        <w:t xml:space="preserve"> where there is a</w:t>
      </w:r>
      <w:r w:rsidR="007C226F" w:rsidRPr="007C226F">
        <w:rPr>
          <w:sz w:val="18"/>
          <w:szCs w:val="18"/>
          <w:lang w:val="en-AU"/>
        </w:rPr>
        <w:t xml:space="preserve"> high dengue risk, such as military</w:t>
      </w:r>
      <w:r w:rsidR="007C226F">
        <w:rPr>
          <w:sz w:val="18"/>
          <w:szCs w:val="18"/>
          <w:lang w:val="en-AU"/>
        </w:rPr>
        <w:t xml:space="preserve"> personnel,</w:t>
      </w:r>
      <w:r w:rsidR="007C226F" w:rsidRPr="007C226F">
        <w:rPr>
          <w:sz w:val="18"/>
          <w:szCs w:val="18"/>
          <w:lang w:val="en-AU"/>
        </w:rPr>
        <w:t xml:space="preserve"> or workers or volunteers for Government agencies or NGOs. </w:t>
      </w:r>
    </w:p>
    <w:p w14:paraId="168A7F14" w14:textId="70691CB9" w:rsidR="00314BC3" w:rsidRPr="00A229D3" w:rsidRDefault="00314BC3" w:rsidP="00C40806">
      <w:pPr>
        <w:pStyle w:val="Sub-bullettedlist"/>
        <w:numPr>
          <w:ilvl w:val="0"/>
          <w:numId w:val="9"/>
        </w:numPr>
        <w:spacing w:after="60" w:line="276" w:lineRule="auto"/>
        <w:ind w:left="1434" w:hanging="357"/>
        <w:rPr>
          <w:sz w:val="18"/>
          <w:szCs w:val="18"/>
          <w:lang w:val="en-AU"/>
        </w:rPr>
      </w:pPr>
      <w:proofErr w:type="gramStart"/>
      <w:r w:rsidRPr="00A229D3">
        <w:rPr>
          <w:sz w:val="18"/>
          <w:szCs w:val="18"/>
          <w:lang w:val="en-AU"/>
        </w:rPr>
        <w:t>evidence</w:t>
      </w:r>
      <w:proofErr w:type="gramEnd"/>
      <w:r w:rsidRPr="00A229D3">
        <w:rPr>
          <w:sz w:val="18"/>
          <w:szCs w:val="18"/>
          <w:lang w:val="en-AU"/>
        </w:rPr>
        <w:t xml:space="preserve"> of previous acute dengue infection confirmed by laboratory testing at the time OR current serology suggestive of previous infection, in conjunction with a consistent clinical history</w:t>
      </w:r>
      <w:r w:rsidR="00CD4CBD">
        <w:rPr>
          <w:sz w:val="18"/>
          <w:szCs w:val="18"/>
          <w:lang w:val="en-AU"/>
        </w:rPr>
        <w:t>.</w:t>
      </w:r>
    </w:p>
    <w:p w14:paraId="5A39E58D" w14:textId="77777777" w:rsidR="00314BC3" w:rsidRPr="00A229D3" w:rsidRDefault="00314BC3" w:rsidP="00C40806">
      <w:pPr>
        <w:pStyle w:val="Sub-bullettedlist"/>
        <w:numPr>
          <w:ilvl w:val="0"/>
          <w:numId w:val="9"/>
        </w:numPr>
        <w:spacing w:after="60" w:line="276" w:lineRule="auto"/>
        <w:ind w:left="1434" w:hanging="357"/>
        <w:rPr>
          <w:sz w:val="18"/>
          <w:szCs w:val="18"/>
          <w:lang w:val="en-AU"/>
        </w:rPr>
      </w:pPr>
      <w:proofErr w:type="gramStart"/>
      <w:r w:rsidRPr="00A229D3">
        <w:rPr>
          <w:sz w:val="18"/>
          <w:szCs w:val="18"/>
          <w:lang w:val="en-AU"/>
        </w:rPr>
        <w:t>the</w:t>
      </w:r>
      <w:proofErr w:type="gramEnd"/>
      <w:r w:rsidRPr="00A229D3">
        <w:rPr>
          <w:sz w:val="18"/>
          <w:szCs w:val="18"/>
          <w:lang w:val="en-AU"/>
        </w:rPr>
        <w:t xml:space="preserve"> feasibility of completing the 3-dose vaccination schedule over 12 months.</w:t>
      </w:r>
    </w:p>
    <w:p w14:paraId="7A283067" w14:textId="39DBE0E6" w:rsidR="007C226F" w:rsidRDefault="007C226F" w:rsidP="00C40806">
      <w:pPr>
        <w:pStyle w:val="BulletedList"/>
        <w:numPr>
          <w:ilvl w:val="0"/>
          <w:numId w:val="0"/>
        </w:numPr>
        <w:spacing w:line="276" w:lineRule="auto"/>
        <w:ind w:left="426"/>
        <w:rPr>
          <w:sz w:val="18"/>
          <w:szCs w:val="18"/>
          <w:lang w:val="en-AU"/>
        </w:rPr>
      </w:pPr>
      <w:r w:rsidRPr="007C226F">
        <w:rPr>
          <w:sz w:val="18"/>
          <w:szCs w:val="18"/>
          <w:lang w:val="en-AU"/>
        </w:rPr>
        <w:t xml:space="preserve">The decision to advise vaccination should then be made on a case by case basis by medical staff who have expertise </w:t>
      </w:r>
      <w:r w:rsidR="009A60F4">
        <w:rPr>
          <w:sz w:val="18"/>
          <w:szCs w:val="18"/>
          <w:lang w:val="en-AU"/>
        </w:rPr>
        <w:t>in</w:t>
      </w:r>
      <w:r w:rsidRPr="007C226F">
        <w:rPr>
          <w:sz w:val="18"/>
          <w:szCs w:val="18"/>
          <w:lang w:val="en-AU"/>
        </w:rPr>
        <w:t xml:space="preserve"> </w:t>
      </w:r>
      <w:r w:rsidR="006C28DD">
        <w:rPr>
          <w:sz w:val="18"/>
          <w:szCs w:val="18"/>
          <w:lang w:val="en-AU"/>
        </w:rPr>
        <w:t xml:space="preserve">dengue, which may include physicians in </w:t>
      </w:r>
      <w:r w:rsidRPr="007C226F">
        <w:rPr>
          <w:sz w:val="18"/>
          <w:szCs w:val="18"/>
          <w:lang w:val="en-AU"/>
        </w:rPr>
        <w:t xml:space="preserve">travel medicine, infectious diseases </w:t>
      </w:r>
      <w:r w:rsidR="00CD4CBD">
        <w:rPr>
          <w:sz w:val="18"/>
          <w:szCs w:val="18"/>
          <w:lang w:val="en-AU"/>
        </w:rPr>
        <w:t>or</w:t>
      </w:r>
      <w:r w:rsidR="006C28DD">
        <w:rPr>
          <w:sz w:val="18"/>
          <w:szCs w:val="18"/>
          <w:lang w:val="en-AU"/>
        </w:rPr>
        <w:t xml:space="preserve"> </w:t>
      </w:r>
      <w:r w:rsidRPr="007C226F">
        <w:rPr>
          <w:sz w:val="18"/>
          <w:szCs w:val="18"/>
          <w:lang w:val="en-AU"/>
        </w:rPr>
        <w:t>occupational health</w:t>
      </w:r>
      <w:r>
        <w:rPr>
          <w:sz w:val="18"/>
          <w:szCs w:val="18"/>
          <w:lang w:val="en-AU"/>
        </w:rPr>
        <w:t>.</w:t>
      </w:r>
    </w:p>
    <w:p w14:paraId="72D5EBFB" w14:textId="05FCADF8" w:rsidR="00314BC3" w:rsidRDefault="4581BCEF">
      <w:pPr>
        <w:pStyle w:val="BulletedList"/>
        <w:spacing w:line="276" w:lineRule="auto"/>
        <w:ind w:left="426" w:hanging="284"/>
        <w:rPr>
          <w:sz w:val="18"/>
          <w:szCs w:val="18"/>
          <w:lang w:val="en-AU"/>
        </w:rPr>
      </w:pPr>
      <w:r w:rsidRPr="4581BCEF">
        <w:rPr>
          <w:sz w:val="18"/>
          <w:szCs w:val="18"/>
          <w:lang w:val="en-AU"/>
        </w:rPr>
        <w:t xml:space="preserve">Serological tests that are currently available may </w:t>
      </w:r>
      <w:r w:rsidR="009A60F4" w:rsidRPr="4581BCEF">
        <w:rPr>
          <w:sz w:val="18"/>
          <w:szCs w:val="18"/>
          <w:lang w:val="en-AU"/>
        </w:rPr>
        <w:t>cross-react</w:t>
      </w:r>
      <w:r w:rsidRPr="4581BCEF">
        <w:rPr>
          <w:sz w:val="18"/>
          <w:szCs w:val="18"/>
          <w:lang w:val="en-AU"/>
        </w:rPr>
        <w:t xml:space="preserve"> and give false positive results </w:t>
      </w:r>
      <w:r w:rsidR="00CD4CBD">
        <w:rPr>
          <w:sz w:val="18"/>
          <w:szCs w:val="18"/>
          <w:lang w:val="en-AU"/>
        </w:rPr>
        <w:t>from</w:t>
      </w:r>
      <w:r w:rsidR="00CD4CBD" w:rsidRPr="4581BCEF">
        <w:rPr>
          <w:sz w:val="18"/>
          <w:szCs w:val="18"/>
          <w:lang w:val="en-AU"/>
        </w:rPr>
        <w:t xml:space="preserve"> </w:t>
      </w:r>
      <w:r w:rsidRPr="4581BCEF">
        <w:rPr>
          <w:sz w:val="18"/>
          <w:szCs w:val="18"/>
          <w:lang w:val="en-AU"/>
        </w:rPr>
        <w:t xml:space="preserve">infections </w:t>
      </w:r>
      <w:r w:rsidR="00CD4CBD">
        <w:rPr>
          <w:sz w:val="18"/>
          <w:szCs w:val="18"/>
          <w:lang w:val="en-AU"/>
        </w:rPr>
        <w:t xml:space="preserve">with </w:t>
      </w:r>
      <w:r w:rsidRPr="4581BCEF">
        <w:rPr>
          <w:sz w:val="18"/>
          <w:szCs w:val="18"/>
          <w:lang w:val="en-AU"/>
        </w:rPr>
        <w:t xml:space="preserve">and/or previous vaccination </w:t>
      </w:r>
      <w:r w:rsidR="00CE44AE">
        <w:rPr>
          <w:sz w:val="18"/>
          <w:szCs w:val="18"/>
          <w:lang w:val="en-AU"/>
        </w:rPr>
        <w:t>against</w:t>
      </w:r>
      <w:r w:rsidR="00CE44AE" w:rsidRPr="4581BCEF">
        <w:rPr>
          <w:sz w:val="18"/>
          <w:szCs w:val="18"/>
          <w:lang w:val="en-AU"/>
        </w:rPr>
        <w:t xml:space="preserve"> </w:t>
      </w:r>
      <w:r w:rsidRPr="4581BCEF">
        <w:rPr>
          <w:sz w:val="18"/>
          <w:szCs w:val="18"/>
          <w:lang w:val="en-AU"/>
        </w:rPr>
        <w:t xml:space="preserve">other non-dengue </w:t>
      </w:r>
      <w:proofErr w:type="spellStart"/>
      <w:r w:rsidRPr="4581BCEF">
        <w:rPr>
          <w:sz w:val="18"/>
          <w:szCs w:val="18"/>
          <w:lang w:val="en-AU"/>
        </w:rPr>
        <w:t>flaviviruses</w:t>
      </w:r>
      <w:proofErr w:type="spellEnd"/>
      <w:r w:rsidRPr="4581BCEF">
        <w:rPr>
          <w:sz w:val="18"/>
          <w:szCs w:val="18"/>
          <w:lang w:val="en-AU"/>
        </w:rPr>
        <w:t xml:space="preserve">; interpretation is often complex and requires </w:t>
      </w:r>
      <w:r w:rsidRPr="006A6E8E">
        <w:rPr>
          <w:sz w:val="18"/>
          <w:szCs w:val="18"/>
          <w:lang w:val="en-AU"/>
        </w:rPr>
        <w:t xml:space="preserve">an assessment of the pre-test probability of past true dengue infection based on a full travel, vaccination and medical history. It is recommended that clinicians seek expert advice, </w:t>
      </w:r>
      <w:r w:rsidR="00CE44AE" w:rsidRPr="006A6E8E">
        <w:rPr>
          <w:sz w:val="18"/>
          <w:szCs w:val="18"/>
          <w:lang w:val="en-AU"/>
        </w:rPr>
        <w:t xml:space="preserve">for example </w:t>
      </w:r>
      <w:r w:rsidR="00FD0D3F" w:rsidRPr="006A6E8E">
        <w:rPr>
          <w:sz w:val="18"/>
          <w:szCs w:val="18"/>
          <w:lang w:val="en-AU"/>
        </w:rPr>
        <w:t xml:space="preserve">via </w:t>
      </w:r>
      <w:r w:rsidRPr="006A6E8E">
        <w:rPr>
          <w:sz w:val="18"/>
          <w:szCs w:val="18"/>
          <w:lang w:val="en-AU"/>
        </w:rPr>
        <w:t>the laboratory that performs the test</w:t>
      </w:r>
      <w:r w:rsidR="00847DF0" w:rsidRPr="006A6E8E">
        <w:rPr>
          <w:sz w:val="18"/>
          <w:szCs w:val="18"/>
          <w:lang w:val="en-AU"/>
        </w:rPr>
        <w:t>,</w:t>
      </w:r>
      <w:r w:rsidR="003E58EC" w:rsidRPr="006A6E8E">
        <w:rPr>
          <w:sz w:val="18"/>
          <w:szCs w:val="18"/>
          <w:lang w:val="en-AU"/>
        </w:rPr>
        <w:t xml:space="preserve"> </w:t>
      </w:r>
      <w:r w:rsidRPr="4581BCEF">
        <w:rPr>
          <w:sz w:val="18"/>
          <w:szCs w:val="18"/>
          <w:lang w:val="en-AU"/>
        </w:rPr>
        <w:t>on interpreting serological results.</w:t>
      </w:r>
      <w:r w:rsidR="008269FB">
        <w:rPr>
          <w:sz w:val="18"/>
          <w:szCs w:val="18"/>
          <w:lang w:val="en-AU"/>
        </w:rPr>
        <w:t xml:space="preserve"> </w:t>
      </w:r>
    </w:p>
    <w:p w14:paraId="13CAF319" w14:textId="7717E033" w:rsidR="0074416B" w:rsidRPr="00706042" w:rsidRDefault="00F66E71" w:rsidP="00C40806">
      <w:pPr>
        <w:pStyle w:val="BulletedList"/>
        <w:spacing w:line="276" w:lineRule="auto"/>
        <w:ind w:left="426" w:hanging="284"/>
        <w:rPr>
          <w:sz w:val="18"/>
          <w:szCs w:val="18"/>
          <w:lang w:val="en-AU"/>
        </w:rPr>
      </w:pPr>
      <w:r>
        <w:rPr>
          <w:sz w:val="18"/>
          <w:szCs w:val="18"/>
          <w:lang w:val="en-AU"/>
        </w:rPr>
        <w:t xml:space="preserve">For </w:t>
      </w:r>
      <w:r w:rsidR="0074416B">
        <w:rPr>
          <w:sz w:val="18"/>
          <w:szCs w:val="18"/>
          <w:lang w:val="en-AU"/>
        </w:rPr>
        <w:t>Australian</w:t>
      </w:r>
      <w:r w:rsidR="00C40806">
        <w:rPr>
          <w:sz w:val="18"/>
          <w:szCs w:val="18"/>
          <w:lang w:val="en-AU"/>
        </w:rPr>
        <w:t>s</w:t>
      </w:r>
      <w:r w:rsidR="00603545">
        <w:rPr>
          <w:sz w:val="18"/>
          <w:szCs w:val="18"/>
          <w:lang w:val="en-AU"/>
        </w:rPr>
        <w:t>,</w:t>
      </w:r>
      <w:r>
        <w:rPr>
          <w:sz w:val="18"/>
          <w:szCs w:val="18"/>
          <w:lang w:val="en-AU"/>
        </w:rPr>
        <w:t xml:space="preserve"> prevention of dengue while </w:t>
      </w:r>
      <w:r w:rsidR="00C40806">
        <w:rPr>
          <w:sz w:val="18"/>
          <w:szCs w:val="18"/>
          <w:lang w:val="en-AU"/>
        </w:rPr>
        <w:t xml:space="preserve">travelling or residing in dengue-prone areas should primarily </w:t>
      </w:r>
      <w:r>
        <w:rPr>
          <w:sz w:val="18"/>
          <w:szCs w:val="18"/>
          <w:lang w:val="en-AU"/>
        </w:rPr>
        <w:t xml:space="preserve">be </w:t>
      </w:r>
      <w:r w:rsidR="0074416B">
        <w:rPr>
          <w:sz w:val="18"/>
          <w:szCs w:val="18"/>
          <w:lang w:val="en-AU"/>
        </w:rPr>
        <w:t xml:space="preserve">through </w:t>
      </w:r>
      <w:r w:rsidR="006C28DD">
        <w:rPr>
          <w:sz w:val="18"/>
          <w:szCs w:val="18"/>
          <w:lang w:val="en-AU"/>
        </w:rPr>
        <w:t xml:space="preserve">use of strategies to </w:t>
      </w:r>
      <w:r w:rsidR="0074416B">
        <w:rPr>
          <w:sz w:val="18"/>
          <w:szCs w:val="18"/>
          <w:lang w:val="en-AU"/>
        </w:rPr>
        <w:t>avoid</w:t>
      </w:r>
      <w:r w:rsidR="006C28DD">
        <w:rPr>
          <w:sz w:val="18"/>
          <w:szCs w:val="18"/>
          <w:lang w:val="en-AU"/>
        </w:rPr>
        <w:t xml:space="preserve"> </w:t>
      </w:r>
      <w:r w:rsidR="0074416B">
        <w:rPr>
          <w:sz w:val="18"/>
          <w:szCs w:val="18"/>
          <w:lang w:val="en-AU"/>
        </w:rPr>
        <w:t>mosquito bites.</w:t>
      </w:r>
    </w:p>
    <w:p w14:paraId="6BDCC3BF" w14:textId="77777777" w:rsidR="00183FB0" w:rsidRPr="00706042" w:rsidRDefault="00314BC3" w:rsidP="006A6E8E">
      <w:pPr>
        <w:pStyle w:val="Heading2"/>
        <w:spacing w:before="240" w:after="120" w:line="240" w:lineRule="auto"/>
        <w:rPr>
          <w:sz w:val="20"/>
          <w:szCs w:val="20"/>
        </w:rPr>
      </w:pPr>
      <w:r w:rsidRPr="00706042">
        <w:rPr>
          <w:sz w:val="20"/>
          <w:szCs w:val="20"/>
        </w:rPr>
        <w:t>What is dengue?</w:t>
      </w:r>
    </w:p>
    <w:p w14:paraId="0F4E6309" w14:textId="44EB626C" w:rsidR="00314BC3" w:rsidRPr="00706042" w:rsidRDefault="00314BC3" w:rsidP="00314BC3">
      <w:pPr>
        <w:pStyle w:val="BulletedList"/>
        <w:rPr>
          <w:sz w:val="18"/>
          <w:szCs w:val="18"/>
          <w:lang w:val="en-AU"/>
        </w:rPr>
      </w:pPr>
      <w:r w:rsidRPr="00706042">
        <w:rPr>
          <w:sz w:val="18"/>
          <w:szCs w:val="18"/>
          <w:lang w:val="en-AU"/>
        </w:rPr>
        <w:t>Dengue is a mosquito-borne disease caused by the dengue virus.</w:t>
      </w:r>
      <w:r w:rsidR="00654975" w:rsidRPr="00706042">
        <w:rPr>
          <w:sz w:val="18"/>
          <w:szCs w:val="18"/>
          <w:lang w:val="en-AU"/>
        </w:rPr>
        <w:t xml:space="preserve"> There are 4 distinct se</w:t>
      </w:r>
      <w:r w:rsidRPr="00706042">
        <w:rPr>
          <w:sz w:val="18"/>
          <w:szCs w:val="18"/>
          <w:lang w:val="en-AU"/>
        </w:rPr>
        <w:t>rotypes of the virus. Infection with one serotype provides lifelong protection against that serotype only, but not against the other serotypes</w:t>
      </w:r>
      <w:r w:rsidR="003D36F3" w:rsidRPr="00706042">
        <w:rPr>
          <w:rStyle w:val="FootnoteReference"/>
          <w:sz w:val="18"/>
          <w:szCs w:val="18"/>
          <w:lang w:val="en-AU"/>
        </w:rPr>
        <w:footnoteReference w:id="2"/>
      </w:r>
      <w:r w:rsidRPr="00706042">
        <w:rPr>
          <w:sz w:val="18"/>
          <w:szCs w:val="18"/>
          <w:lang w:val="en-AU"/>
        </w:rPr>
        <w:t xml:space="preserve">. </w:t>
      </w:r>
    </w:p>
    <w:p w14:paraId="4D3A126E" w14:textId="77777777" w:rsidR="00314BC3" w:rsidRPr="00706042" w:rsidRDefault="00314BC3" w:rsidP="00314BC3">
      <w:pPr>
        <w:pStyle w:val="BulletedList"/>
        <w:rPr>
          <w:sz w:val="18"/>
          <w:szCs w:val="18"/>
          <w:lang w:val="en-AU"/>
        </w:rPr>
      </w:pPr>
      <w:r w:rsidRPr="00706042">
        <w:rPr>
          <w:sz w:val="18"/>
          <w:szCs w:val="18"/>
          <w:lang w:val="en-AU"/>
        </w:rPr>
        <w:lastRenderedPageBreak/>
        <w:t xml:space="preserve">Mild dengue disease may include symptoms such as an influenza-like illness with high fevers, headaches, muscle and joint pains, and a rash. </w:t>
      </w:r>
    </w:p>
    <w:p w14:paraId="47E1EEB6" w14:textId="77777777" w:rsidR="00314BC3" w:rsidRPr="00706042" w:rsidRDefault="00314BC3" w:rsidP="00314BC3">
      <w:pPr>
        <w:pStyle w:val="BulletedList"/>
        <w:rPr>
          <w:sz w:val="18"/>
          <w:szCs w:val="18"/>
          <w:lang w:val="en-AU"/>
        </w:rPr>
      </w:pPr>
      <w:r w:rsidRPr="00706042">
        <w:rPr>
          <w:sz w:val="18"/>
          <w:szCs w:val="18"/>
          <w:lang w:val="en-AU"/>
        </w:rPr>
        <w:t xml:space="preserve">Severe dengue disease most commonly occurs after a </w:t>
      </w:r>
      <w:r w:rsidR="00C90382">
        <w:rPr>
          <w:sz w:val="18"/>
          <w:szCs w:val="18"/>
          <w:lang w:val="en-AU"/>
        </w:rPr>
        <w:t>subsequent</w:t>
      </w:r>
      <w:r w:rsidR="00C90382" w:rsidRPr="00706042">
        <w:rPr>
          <w:sz w:val="18"/>
          <w:szCs w:val="18"/>
          <w:lang w:val="en-AU"/>
        </w:rPr>
        <w:t xml:space="preserve"> </w:t>
      </w:r>
      <w:r w:rsidRPr="00706042">
        <w:rPr>
          <w:sz w:val="18"/>
          <w:szCs w:val="18"/>
          <w:lang w:val="en-AU"/>
        </w:rPr>
        <w:t>dengue infection with a different serotype of the virus, and may result in death</w:t>
      </w:r>
      <w:bookmarkStart w:id="1" w:name="_Ref532912308"/>
      <w:r w:rsidR="003D36F3" w:rsidRPr="00706042">
        <w:rPr>
          <w:rStyle w:val="FootnoteReference"/>
          <w:sz w:val="18"/>
          <w:szCs w:val="18"/>
          <w:lang w:val="en-AU"/>
        </w:rPr>
        <w:footnoteReference w:id="3"/>
      </w:r>
      <w:bookmarkEnd w:id="1"/>
      <w:r w:rsidRPr="00706042">
        <w:rPr>
          <w:sz w:val="18"/>
          <w:szCs w:val="18"/>
          <w:lang w:val="en-AU"/>
        </w:rPr>
        <w:t>. Evidence suggests that the initial infection primes the immune system of an individual, which leads to a potentially more serious disease when a second infection occurs. Potential mechanisms include antibody</w:t>
      </w:r>
      <w:r w:rsidR="001B1080">
        <w:rPr>
          <w:sz w:val="18"/>
          <w:szCs w:val="18"/>
          <w:lang w:val="en-AU"/>
        </w:rPr>
        <w:noBreakHyphen/>
      </w:r>
      <w:r w:rsidRPr="00706042">
        <w:rPr>
          <w:sz w:val="18"/>
          <w:szCs w:val="18"/>
          <w:lang w:val="en-AU"/>
        </w:rPr>
        <w:t>dependent enhancement whereby falling antibody titres reach an intermediate level at which viral entry and replication in immune cells is enhanced</w:t>
      </w:r>
      <w:r w:rsidR="0099102D" w:rsidRPr="00706042">
        <w:rPr>
          <w:rStyle w:val="FootnoteReference"/>
          <w:sz w:val="18"/>
          <w:szCs w:val="18"/>
          <w:lang w:val="en-AU"/>
        </w:rPr>
        <w:footnoteReference w:id="4"/>
      </w:r>
      <w:r w:rsidRPr="00706042">
        <w:rPr>
          <w:sz w:val="18"/>
          <w:szCs w:val="18"/>
          <w:lang w:val="en-AU"/>
        </w:rPr>
        <w:t>.</w:t>
      </w:r>
      <w:r w:rsidR="00586D91" w:rsidRPr="00706042">
        <w:rPr>
          <w:sz w:val="18"/>
          <w:szCs w:val="18"/>
          <w:lang w:val="en-AU"/>
        </w:rPr>
        <w:t xml:space="preserve"> </w:t>
      </w:r>
    </w:p>
    <w:p w14:paraId="418F9369" w14:textId="58ACB65F" w:rsidR="00314BC3" w:rsidRPr="00706042" w:rsidRDefault="00314BC3" w:rsidP="00314BC3">
      <w:pPr>
        <w:pStyle w:val="BulletedList"/>
        <w:rPr>
          <w:sz w:val="18"/>
          <w:szCs w:val="18"/>
          <w:lang w:val="en-AU"/>
        </w:rPr>
      </w:pPr>
      <w:r w:rsidRPr="00706042">
        <w:rPr>
          <w:sz w:val="18"/>
          <w:szCs w:val="18"/>
          <w:lang w:val="en-AU"/>
        </w:rPr>
        <w:t xml:space="preserve">Dengue is not endemic in </w:t>
      </w:r>
      <w:r w:rsidR="00C55AAE" w:rsidRPr="00706042">
        <w:rPr>
          <w:sz w:val="18"/>
          <w:szCs w:val="18"/>
          <w:lang w:val="en-AU"/>
        </w:rPr>
        <w:t xml:space="preserve">any region in </w:t>
      </w:r>
      <w:r w:rsidRPr="00706042">
        <w:rPr>
          <w:sz w:val="18"/>
          <w:szCs w:val="18"/>
          <w:lang w:val="en-AU"/>
        </w:rPr>
        <w:t>Australia</w:t>
      </w:r>
      <w:r w:rsidR="00C55AAE" w:rsidRPr="00706042">
        <w:rPr>
          <w:sz w:val="18"/>
          <w:szCs w:val="18"/>
          <w:lang w:val="en-AU"/>
        </w:rPr>
        <w:t xml:space="preserve">. It </w:t>
      </w:r>
      <w:r w:rsidRPr="00706042">
        <w:rPr>
          <w:sz w:val="18"/>
          <w:szCs w:val="18"/>
          <w:lang w:val="en-AU"/>
        </w:rPr>
        <w:t>is</w:t>
      </w:r>
      <w:r w:rsidR="00967A88" w:rsidRPr="00706042">
        <w:rPr>
          <w:sz w:val="18"/>
          <w:szCs w:val="18"/>
          <w:lang w:val="en-AU"/>
        </w:rPr>
        <w:t>, however,</w:t>
      </w:r>
      <w:r w:rsidRPr="00706042">
        <w:rPr>
          <w:sz w:val="18"/>
          <w:szCs w:val="18"/>
          <w:lang w:val="en-AU"/>
        </w:rPr>
        <w:t xml:space="preserve"> widespread in many countries </w:t>
      </w:r>
      <w:r w:rsidR="00EC4CE8">
        <w:rPr>
          <w:sz w:val="18"/>
          <w:szCs w:val="18"/>
          <w:lang w:val="en-AU"/>
        </w:rPr>
        <w:t>that</w:t>
      </w:r>
      <w:r w:rsidRPr="00706042">
        <w:rPr>
          <w:sz w:val="18"/>
          <w:szCs w:val="18"/>
          <w:lang w:val="en-AU"/>
        </w:rPr>
        <w:t xml:space="preserve"> are popular destinations for Australian travellers</w:t>
      </w:r>
      <w:r w:rsidR="008B26D1" w:rsidRPr="00706042">
        <w:rPr>
          <w:rStyle w:val="FootnoteReference"/>
          <w:sz w:val="18"/>
          <w:szCs w:val="18"/>
          <w:lang w:val="en-AU"/>
        </w:rPr>
        <w:footnoteReference w:id="5"/>
      </w:r>
      <w:r w:rsidRPr="00706042">
        <w:rPr>
          <w:sz w:val="18"/>
          <w:szCs w:val="18"/>
          <w:lang w:val="en-AU"/>
        </w:rPr>
        <w:t xml:space="preserve">. </w:t>
      </w:r>
      <w:r w:rsidR="00967A88" w:rsidRPr="00706042">
        <w:rPr>
          <w:sz w:val="18"/>
          <w:szCs w:val="18"/>
          <w:lang w:val="en-AU"/>
        </w:rPr>
        <w:t xml:space="preserve">While </w:t>
      </w:r>
      <w:r w:rsidRPr="00706042">
        <w:rPr>
          <w:sz w:val="18"/>
          <w:szCs w:val="18"/>
          <w:lang w:val="en-AU"/>
        </w:rPr>
        <w:t>the</w:t>
      </w:r>
      <w:r w:rsidR="00EC4CE8">
        <w:rPr>
          <w:sz w:val="18"/>
          <w:szCs w:val="18"/>
          <w:lang w:val="en-AU"/>
        </w:rPr>
        <w:t xml:space="preserve"> primary</w:t>
      </w:r>
      <w:r w:rsidRPr="00706042">
        <w:rPr>
          <w:sz w:val="18"/>
          <w:szCs w:val="18"/>
          <w:lang w:val="en-AU"/>
        </w:rPr>
        <w:t xml:space="preserve"> mosquito </w:t>
      </w:r>
      <w:r w:rsidR="00EC4CE8">
        <w:rPr>
          <w:sz w:val="18"/>
          <w:szCs w:val="18"/>
          <w:lang w:val="en-AU"/>
        </w:rPr>
        <w:t>species (</w:t>
      </w:r>
      <w:proofErr w:type="spellStart"/>
      <w:r w:rsidR="00EC4CE8">
        <w:rPr>
          <w:i/>
          <w:sz w:val="18"/>
          <w:szCs w:val="18"/>
          <w:lang w:val="en-AU"/>
        </w:rPr>
        <w:t>Aedes</w:t>
      </w:r>
      <w:proofErr w:type="spellEnd"/>
      <w:r w:rsidR="00EC4CE8" w:rsidRPr="00EC4CE8">
        <w:rPr>
          <w:i/>
          <w:sz w:val="18"/>
          <w:szCs w:val="18"/>
          <w:lang w:val="en-AU"/>
        </w:rPr>
        <w:t xml:space="preserve"> </w:t>
      </w:r>
      <w:proofErr w:type="spellStart"/>
      <w:r w:rsidR="009A60F4" w:rsidRPr="00EC4CE8">
        <w:rPr>
          <w:i/>
          <w:sz w:val="18"/>
          <w:szCs w:val="18"/>
          <w:lang w:val="en-AU"/>
        </w:rPr>
        <w:t>aegypti</w:t>
      </w:r>
      <w:proofErr w:type="spellEnd"/>
      <w:r w:rsidR="00EC4CE8">
        <w:rPr>
          <w:sz w:val="18"/>
          <w:szCs w:val="18"/>
          <w:lang w:val="en-AU"/>
        </w:rPr>
        <w:t>) responsible for</w:t>
      </w:r>
      <w:r w:rsidRPr="00706042">
        <w:rPr>
          <w:sz w:val="18"/>
          <w:szCs w:val="18"/>
          <w:lang w:val="en-AU"/>
        </w:rPr>
        <w:t xml:space="preserve"> transmitting dengue is present in </w:t>
      </w:r>
      <w:r w:rsidR="00967A88" w:rsidRPr="00706042">
        <w:rPr>
          <w:sz w:val="18"/>
          <w:szCs w:val="18"/>
          <w:lang w:val="en-AU"/>
        </w:rPr>
        <w:t xml:space="preserve">north Queensland, only small </w:t>
      </w:r>
      <w:r w:rsidRPr="00706042">
        <w:rPr>
          <w:sz w:val="18"/>
          <w:szCs w:val="18"/>
          <w:lang w:val="en-AU"/>
        </w:rPr>
        <w:t xml:space="preserve">local outbreaks from </w:t>
      </w:r>
      <w:r w:rsidR="00967A88" w:rsidRPr="00706042">
        <w:rPr>
          <w:sz w:val="18"/>
          <w:szCs w:val="18"/>
          <w:lang w:val="en-AU"/>
        </w:rPr>
        <w:t xml:space="preserve">occasional </w:t>
      </w:r>
      <w:r w:rsidRPr="00706042">
        <w:rPr>
          <w:sz w:val="18"/>
          <w:szCs w:val="18"/>
          <w:lang w:val="en-AU"/>
        </w:rPr>
        <w:t>imported cases occur.</w:t>
      </w:r>
    </w:p>
    <w:p w14:paraId="3C16EE13" w14:textId="77777777" w:rsidR="00183FB0" w:rsidRPr="00706042" w:rsidRDefault="00586D91" w:rsidP="006A6E8E">
      <w:pPr>
        <w:pStyle w:val="Heading2"/>
        <w:spacing w:before="240" w:after="120" w:line="240" w:lineRule="auto"/>
        <w:rPr>
          <w:sz w:val="20"/>
          <w:szCs w:val="20"/>
        </w:rPr>
      </w:pPr>
      <w:r w:rsidRPr="00706042">
        <w:rPr>
          <w:sz w:val="20"/>
          <w:szCs w:val="20"/>
        </w:rPr>
        <w:t xml:space="preserve">What is </w:t>
      </w:r>
      <w:proofErr w:type="spellStart"/>
      <w:r w:rsidRPr="00706042">
        <w:rPr>
          <w:sz w:val="20"/>
          <w:szCs w:val="20"/>
        </w:rPr>
        <w:t>Dengvaxia</w:t>
      </w:r>
      <w:proofErr w:type="spellEnd"/>
      <w:r w:rsidR="00681913" w:rsidRPr="00706042">
        <w:rPr>
          <w:sz w:val="20"/>
          <w:szCs w:val="20"/>
        </w:rPr>
        <w:t>®</w:t>
      </w:r>
      <w:r w:rsidRPr="00706042">
        <w:rPr>
          <w:sz w:val="20"/>
          <w:szCs w:val="20"/>
        </w:rPr>
        <w:t xml:space="preserve">? </w:t>
      </w:r>
    </w:p>
    <w:p w14:paraId="56B81AF4" w14:textId="6996AA60" w:rsidR="00586D91" w:rsidRPr="00706042" w:rsidRDefault="00586D91" w:rsidP="00586D91">
      <w:pPr>
        <w:pStyle w:val="BulletedList"/>
        <w:rPr>
          <w:sz w:val="18"/>
          <w:szCs w:val="18"/>
          <w:lang w:val="en-AU"/>
        </w:rPr>
      </w:pPr>
      <w:proofErr w:type="spellStart"/>
      <w:r w:rsidRPr="00706042">
        <w:rPr>
          <w:sz w:val="18"/>
          <w:szCs w:val="18"/>
          <w:lang w:val="en-AU"/>
        </w:rPr>
        <w:t>Dengvaxia</w:t>
      </w:r>
      <w:proofErr w:type="spellEnd"/>
      <w:r w:rsidRPr="00706042">
        <w:rPr>
          <w:sz w:val="18"/>
          <w:szCs w:val="18"/>
          <w:lang w:val="en-AU"/>
        </w:rPr>
        <w:t xml:space="preserve">® (manufactured by Sanofi Pasteur) is a live-attenuated recombinant tetravalent dengue vaccine registered for use in </w:t>
      </w:r>
      <w:r w:rsidR="00F743D5">
        <w:rPr>
          <w:sz w:val="18"/>
          <w:szCs w:val="18"/>
          <w:lang w:val="en-AU"/>
        </w:rPr>
        <w:t>some countries</w:t>
      </w:r>
      <w:r w:rsidRPr="00706042">
        <w:rPr>
          <w:sz w:val="18"/>
          <w:szCs w:val="18"/>
          <w:lang w:val="en-AU"/>
        </w:rPr>
        <w:t xml:space="preserve"> in people aged 9–45 years</w:t>
      </w:r>
      <w:r w:rsidR="00104FEF" w:rsidRPr="00706042">
        <w:rPr>
          <w:sz w:val="18"/>
          <w:szCs w:val="18"/>
          <w:vertAlign w:val="superscript"/>
          <w:lang w:val="en-AU"/>
        </w:rPr>
        <w:fldChar w:fldCharType="begin"/>
      </w:r>
      <w:r w:rsidR="00104FEF" w:rsidRPr="00706042">
        <w:rPr>
          <w:sz w:val="18"/>
          <w:szCs w:val="18"/>
          <w:vertAlign w:val="superscript"/>
          <w:lang w:val="en-AU"/>
        </w:rPr>
        <w:instrText xml:space="preserve"> NOTEREF _Ref532912308 \h  \* MERGEFORMAT </w:instrText>
      </w:r>
      <w:r w:rsidR="00104FEF" w:rsidRPr="00706042">
        <w:rPr>
          <w:sz w:val="18"/>
          <w:szCs w:val="18"/>
          <w:vertAlign w:val="superscript"/>
          <w:lang w:val="en-AU"/>
        </w:rPr>
      </w:r>
      <w:r w:rsidR="00104FEF" w:rsidRPr="00706042">
        <w:rPr>
          <w:sz w:val="18"/>
          <w:szCs w:val="18"/>
          <w:vertAlign w:val="superscript"/>
          <w:lang w:val="en-AU"/>
        </w:rPr>
        <w:fldChar w:fldCharType="separate"/>
      </w:r>
      <w:r w:rsidR="001A5969">
        <w:rPr>
          <w:sz w:val="18"/>
          <w:szCs w:val="18"/>
          <w:vertAlign w:val="superscript"/>
          <w:lang w:val="en-AU"/>
        </w:rPr>
        <w:t>2</w:t>
      </w:r>
      <w:r w:rsidR="00104FEF" w:rsidRPr="00706042">
        <w:rPr>
          <w:sz w:val="18"/>
          <w:szCs w:val="18"/>
          <w:vertAlign w:val="superscript"/>
          <w:lang w:val="en-AU"/>
        </w:rPr>
        <w:fldChar w:fldCharType="end"/>
      </w:r>
      <w:r w:rsidRPr="00706042">
        <w:rPr>
          <w:sz w:val="18"/>
          <w:szCs w:val="18"/>
          <w:lang w:val="en-AU"/>
        </w:rPr>
        <w:t>.</w:t>
      </w:r>
      <w:r w:rsidR="0074416B">
        <w:rPr>
          <w:sz w:val="18"/>
          <w:szCs w:val="18"/>
          <w:lang w:val="en-AU"/>
        </w:rPr>
        <w:t xml:space="preserve"> Current evidence does not support use of </w:t>
      </w:r>
      <w:proofErr w:type="spellStart"/>
      <w:r w:rsidR="0074416B">
        <w:rPr>
          <w:sz w:val="18"/>
          <w:szCs w:val="18"/>
          <w:lang w:val="en-AU"/>
        </w:rPr>
        <w:t>Dengvaxia</w:t>
      </w:r>
      <w:proofErr w:type="spellEnd"/>
      <w:r w:rsidR="0074416B">
        <w:rPr>
          <w:sz w:val="18"/>
          <w:szCs w:val="18"/>
          <w:lang w:val="en-AU"/>
        </w:rPr>
        <w:t xml:space="preserve"> in any situation outside this age range.</w:t>
      </w:r>
      <w:r w:rsidRPr="00706042">
        <w:rPr>
          <w:sz w:val="18"/>
          <w:szCs w:val="18"/>
          <w:lang w:val="en-AU"/>
        </w:rPr>
        <w:t xml:space="preserve"> It is currently the only licensed dengue vaccine in the world. A complete course of vaccination requires 3 doses, to be given at 0-, 6- and 12-month time points. </w:t>
      </w:r>
      <w:proofErr w:type="spellStart"/>
      <w:r w:rsidRPr="00706042">
        <w:rPr>
          <w:sz w:val="18"/>
          <w:szCs w:val="18"/>
          <w:lang w:val="en-AU"/>
        </w:rPr>
        <w:t>Dengvaxia</w:t>
      </w:r>
      <w:proofErr w:type="spellEnd"/>
      <w:r w:rsidRPr="00706042">
        <w:rPr>
          <w:sz w:val="18"/>
          <w:szCs w:val="18"/>
          <w:lang w:val="en-AU"/>
        </w:rPr>
        <w:t xml:space="preserve">® is registered with the Therapeutic Goods Administration (TGA) in Australia, but is not currently marketed in Australia. It is available </w:t>
      </w:r>
      <w:r w:rsidR="00C93933">
        <w:rPr>
          <w:sz w:val="18"/>
          <w:szCs w:val="18"/>
          <w:lang w:val="en-AU"/>
        </w:rPr>
        <w:t xml:space="preserve">only </w:t>
      </w:r>
      <w:r w:rsidRPr="00706042">
        <w:rPr>
          <w:sz w:val="18"/>
          <w:szCs w:val="18"/>
          <w:lang w:val="en-AU"/>
        </w:rPr>
        <w:t>via the Special Access Scheme (SAS), on a case</w:t>
      </w:r>
      <w:r w:rsidR="001B1080">
        <w:rPr>
          <w:sz w:val="18"/>
          <w:szCs w:val="18"/>
          <w:lang w:val="en-AU"/>
        </w:rPr>
        <w:t>-</w:t>
      </w:r>
      <w:r w:rsidRPr="00706042">
        <w:rPr>
          <w:sz w:val="18"/>
          <w:szCs w:val="18"/>
          <w:lang w:val="en-AU"/>
        </w:rPr>
        <w:t>by</w:t>
      </w:r>
      <w:r w:rsidR="001B1080">
        <w:rPr>
          <w:sz w:val="18"/>
          <w:szCs w:val="18"/>
          <w:lang w:val="en-AU"/>
        </w:rPr>
        <w:t>-</w:t>
      </w:r>
      <w:r w:rsidRPr="00706042">
        <w:rPr>
          <w:sz w:val="18"/>
          <w:szCs w:val="18"/>
          <w:lang w:val="en-AU"/>
        </w:rPr>
        <w:t>case basis</w:t>
      </w:r>
      <w:r w:rsidR="00C93933">
        <w:rPr>
          <w:sz w:val="18"/>
          <w:szCs w:val="18"/>
          <w:lang w:val="en-AU"/>
        </w:rPr>
        <w:t>, through specific application to the TGA</w:t>
      </w:r>
      <w:r w:rsidRPr="00706042">
        <w:rPr>
          <w:sz w:val="18"/>
          <w:szCs w:val="18"/>
          <w:lang w:val="en-AU"/>
        </w:rPr>
        <w:t>.</w:t>
      </w:r>
      <w:r w:rsidR="001B1080">
        <w:rPr>
          <w:sz w:val="18"/>
          <w:szCs w:val="18"/>
          <w:lang w:val="en-AU"/>
        </w:rPr>
        <w:t xml:space="preserve"> </w:t>
      </w:r>
      <w:r w:rsidR="00F743D5">
        <w:rPr>
          <w:sz w:val="18"/>
          <w:szCs w:val="18"/>
          <w:lang w:val="en-AU"/>
        </w:rPr>
        <w:t>The recommendations in this statement are consistent with the TGA registered indication for use.</w:t>
      </w:r>
    </w:p>
    <w:p w14:paraId="6FEEEA7D" w14:textId="77777777" w:rsidR="009205FB" w:rsidRPr="00706042" w:rsidRDefault="00681913" w:rsidP="006A6E8E">
      <w:pPr>
        <w:pStyle w:val="Heading2"/>
        <w:spacing w:before="240" w:after="120" w:line="240" w:lineRule="auto"/>
        <w:rPr>
          <w:sz w:val="20"/>
          <w:szCs w:val="20"/>
        </w:rPr>
      </w:pPr>
      <w:r w:rsidRPr="00706042">
        <w:rPr>
          <w:sz w:val="20"/>
          <w:szCs w:val="20"/>
        </w:rPr>
        <w:t xml:space="preserve">Clinical trial results of </w:t>
      </w:r>
      <w:proofErr w:type="spellStart"/>
      <w:r w:rsidRPr="00706042">
        <w:rPr>
          <w:sz w:val="20"/>
          <w:szCs w:val="20"/>
        </w:rPr>
        <w:t>Dengvaxia</w:t>
      </w:r>
      <w:proofErr w:type="spellEnd"/>
      <w:r w:rsidRPr="00706042">
        <w:rPr>
          <w:sz w:val="20"/>
          <w:szCs w:val="20"/>
        </w:rPr>
        <w:t>® regarding its efficacy against dengue infection and safety</w:t>
      </w:r>
    </w:p>
    <w:p w14:paraId="3BA6B42C" w14:textId="77777777" w:rsidR="00681913" w:rsidRPr="00706042" w:rsidRDefault="00681913" w:rsidP="00681913">
      <w:pPr>
        <w:pStyle w:val="BulletedList"/>
        <w:rPr>
          <w:sz w:val="18"/>
          <w:szCs w:val="18"/>
          <w:lang w:val="en-AU"/>
        </w:rPr>
      </w:pPr>
      <w:proofErr w:type="spellStart"/>
      <w:r w:rsidRPr="00706042">
        <w:rPr>
          <w:sz w:val="18"/>
          <w:szCs w:val="18"/>
          <w:lang w:val="en-AU"/>
        </w:rPr>
        <w:t>Dengvaxia</w:t>
      </w:r>
      <w:proofErr w:type="spellEnd"/>
      <w:r w:rsidRPr="00706042">
        <w:rPr>
          <w:sz w:val="18"/>
          <w:szCs w:val="18"/>
          <w:lang w:val="en-AU"/>
        </w:rPr>
        <w:t xml:space="preserve">® is a moderately effective vaccine in populations </w:t>
      </w:r>
      <w:r w:rsidR="00C90382">
        <w:rPr>
          <w:sz w:val="18"/>
          <w:szCs w:val="18"/>
          <w:lang w:val="en-AU"/>
        </w:rPr>
        <w:t>in</w:t>
      </w:r>
      <w:r w:rsidR="00C90382" w:rsidRPr="00706042">
        <w:rPr>
          <w:sz w:val="18"/>
          <w:szCs w:val="18"/>
          <w:lang w:val="en-AU"/>
        </w:rPr>
        <w:t xml:space="preserve"> </w:t>
      </w:r>
      <w:r w:rsidRPr="00706042">
        <w:rPr>
          <w:sz w:val="18"/>
          <w:szCs w:val="18"/>
          <w:lang w:val="en-AU"/>
        </w:rPr>
        <w:t>which it was tested. It reduces symptomatic laboratory-confirmed dengue disease by 55–60%. However, it has only been tested in people living in countries with high rates of dengue exposure (≥70% of the population with previous infection)</w:t>
      </w:r>
      <w:r w:rsidR="00104FEF" w:rsidRPr="00706042">
        <w:rPr>
          <w:rStyle w:val="FootnoteReference"/>
          <w:sz w:val="18"/>
          <w:szCs w:val="18"/>
          <w:lang w:val="en-AU"/>
        </w:rPr>
        <w:footnoteReference w:id="6"/>
      </w:r>
      <w:proofErr w:type="gramStart"/>
      <w:r w:rsidR="00F8213F" w:rsidRPr="00706042">
        <w:rPr>
          <w:sz w:val="18"/>
          <w:szCs w:val="18"/>
          <w:lang w:val="en-AU"/>
        </w:rPr>
        <w:t>,</w:t>
      </w:r>
      <w:r w:rsidR="00F8213F" w:rsidRPr="00706042">
        <w:rPr>
          <w:rStyle w:val="FootnoteReference"/>
          <w:sz w:val="18"/>
          <w:szCs w:val="18"/>
          <w:lang w:val="en-AU"/>
        </w:rPr>
        <w:footnoteReference w:id="7"/>
      </w:r>
      <w:r w:rsidRPr="00706042">
        <w:rPr>
          <w:sz w:val="18"/>
          <w:szCs w:val="18"/>
          <w:lang w:val="en-AU"/>
        </w:rPr>
        <w:t>.</w:t>
      </w:r>
      <w:proofErr w:type="gramEnd"/>
      <w:r w:rsidRPr="00706042">
        <w:rPr>
          <w:sz w:val="18"/>
          <w:szCs w:val="18"/>
          <w:lang w:val="en-AU"/>
        </w:rPr>
        <w:t xml:space="preserve"> </w:t>
      </w:r>
    </w:p>
    <w:p w14:paraId="055AD215" w14:textId="74DD4CA0" w:rsidR="00681913" w:rsidRPr="00706042" w:rsidRDefault="00681913" w:rsidP="00681913">
      <w:pPr>
        <w:pStyle w:val="BulletedList"/>
        <w:rPr>
          <w:sz w:val="18"/>
          <w:szCs w:val="18"/>
          <w:lang w:val="en-AU"/>
        </w:rPr>
      </w:pPr>
      <w:r w:rsidRPr="00706042">
        <w:rPr>
          <w:sz w:val="18"/>
          <w:szCs w:val="18"/>
          <w:lang w:val="en-AU"/>
        </w:rPr>
        <w:t>It is important to note that an overall benefit from vaccination is seen only in individuals who have had dengue infection before vaccination; it reduces the risk of subsequent infection in these people</w:t>
      </w:r>
      <w:bookmarkStart w:id="2" w:name="_Ref532913338"/>
      <w:r w:rsidR="00F8213F" w:rsidRPr="00706042">
        <w:rPr>
          <w:rStyle w:val="FootnoteReference"/>
          <w:sz w:val="18"/>
          <w:szCs w:val="18"/>
          <w:lang w:val="en-AU"/>
        </w:rPr>
        <w:footnoteReference w:id="8"/>
      </w:r>
      <w:bookmarkEnd w:id="2"/>
      <w:r w:rsidRPr="00706042">
        <w:rPr>
          <w:sz w:val="18"/>
          <w:szCs w:val="18"/>
          <w:lang w:val="en-AU"/>
        </w:rPr>
        <w:t xml:space="preserve">. In people of all ages who have not had dengue infection before vaccination and who are vaccinated with </w:t>
      </w:r>
      <w:proofErr w:type="spellStart"/>
      <w:r w:rsidRPr="00706042">
        <w:rPr>
          <w:sz w:val="18"/>
          <w:szCs w:val="18"/>
          <w:lang w:val="en-AU"/>
        </w:rPr>
        <w:t>Dengvaxia</w:t>
      </w:r>
      <w:proofErr w:type="spellEnd"/>
      <w:r w:rsidRPr="00706042">
        <w:rPr>
          <w:sz w:val="18"/>
          <w:szCs w:val="18"/>
          <w:lang w:val="en-AU"/>
        </w:rPr>
        <w:t xml:space="preserve">®, there is a </w:t>
      </w:r>
      <w:r w:rsidR="009A60F4" w:rsidRPr="00706042">
        <w:rPr>
          <w:sz w:val="18"/>
          <w:szCs w:val="18"/>
          <w:lang w:val="en-AU"/>
        </w:rPr>
        <w:t>longer-term</w:t>
      </w:r>
      <w:r w:rsidRPr="00706042">
        <w:rPr>
          <w:sz w:val="18"/>
          <w:szCs w:val="18"/>
          <w:lang w:val="en-AU"/>
        </w:rPr>
        <w:t xml:space="preserve"> increase in the risk of hospitalisation and severe disease during a dengue infection in the future compared to those who are unvaccinated. </w:t>
      </w:r>
    </w:p>
    <w:p w14:paraId="083A17CB" w14:textId="7C461029" w:rsidR="00681913" w:rsidRPr="00706042" w:rsidRDefault="00681913" w:rsidP="00681913">
      <w:pPr>
        <w:pStyle w:val="BulletedList"/>
        <w:rPr>
          <w:sz w:val="18"/>
          <w:szCs w:val="18"/>
          <w:lang w:val="en-AU"/>
        </w:rPr>
      </w:pPr>
      <w:r w:rsidRPr="00706042">
        <w:rPr>
          <w:sz w:val="18"/>
          <w:szCs w:val="18"/>
          <w:lang w:val="en-AU"/>
        </w:rPr>
        <w:t xml:space="preserve">At a population level, the clinical trials of </w:t>
      </w:r>
      <w:proofErr w:type="spellStart"/>
      <w:r w:rsidRPr="00706042">
        <w:rPr>
          <w:sz w:val="18"/>
          <w:szCs w:val="18"/>
          <w:lang w:val="en-AU"/>
        </w:rPr>
        <w:t>Dengvaxia</w:t>
      </w:r>
      <w:proofErr w:type="spellEnd"/>
      <w:r w:rsidRPr="00706042">
        <w:rPr>
          <w:sz w:val="18"/>
          <w:szCs w:val="18"/>
          <w:lang w:val="en-AU"/>
        </w:rPr>
        <w:t>®</w:t>
      </w:r>
      <w:r w:rsidR="0074416B">
        <w:rPr>
          <w:sz w:val="18"/>
          <w:szCs w:val="18"/>
          <w:lang w:val="en-AU"/>
        </w:rPr>
        <w:t xml:space="preserve">, </w:t>
      </w:r>
      <w:r w:rsidR="00E71B5A">
        <w:rPr>
          <w:sz w:val="18"/>
          <w:szCs w:val="18"/>
          <w:lang w:val="en-AU"/>
        </w:rPr>
        <w:t xml:space="preserve">which were </w:t>
      </w:r>
      <w:r w:rsidR="0074416B">
        <w:rPr>
          <w:sz w:val="18"/>
          <w:szCs w:val="18"/>
          <w:lang w:val="en-AU"/>
        </w:rPr>
        <w:t>conducted in areas of high dengue prevalence,</w:t>
      </w:r>
      <w:r w:rsidRPr="00706042">
        <w:rPr>
          <w:sz w:val="18"/>
          <w:szCs w:val="18"/>
          <w:lang w:val="en-AU"/>
        </w:rPr>
        <w:t xml:space="preserve"> showed that people aged 9–16 years who had no previous dengue infection before vaccination experienced the following risks of harm</w:t>
      </w:r>
      <w:r w:rsidR="00F8213F" w:rsidRPr="00706042">
        <w:rPr>
          <w:sz w:val="18"/>
          <w:szCs w:val="18"/>
          <w:vertAlign w:val="superscript"/>
          <w:lang w:val="en-AU"/>
        </w:rPr>
        <w:fldChar w:fldCharType="begin"/>
      </w:r>
      <w:r w:rsidR="00F8213F" w:rsidRPr="00706042">
        <w:rPr>
          <w:sz w:val="18"/>
          <w:szCs w:val="18"/>
          <w:vertAlign w:val="superscript"/>
          <w:lang w:val="en-AU"/>
        </w:rPr>
        <w:instrText xml:space="preserve"> NOTEREF _Ref532913338 \h  \* MERGEFORMAT </w:instrText>
      </w:r>
      <w:r w:rsidR="00F8213F" w:rsidRPr="00706042">
        <w:rPr>
          <w:sz w:val="18"/>
          <w:szCs w:val="18"/>
          <w:vertAlign w:val="superscript"/>
          <w:lang w:val="en-AU"/>
        </w:rPr>
      </w:r>
      <w:r w:rsidR="00F8213F" w:rsidRPr="00706042">
        <w:rPr>
          <w:sz w:val="18"/>
          <w:szCs w:val="18"/>
          <w:vertAlign w:val="superscript"/>
          <w:lang w:val="en-AU"/>
        </w:rPr>
        <w:fldChar w:fldCharType="separate"/>
      </w:r>
      <w:r w:rsidR="001A5969">
        <w:rPr>
          <w:sz w:val="18"/>
          <w:szCs w:val="18"/>
          <w:vertAlign w:val="superscript"/>
          <w:lang w:val="en-AU"/>
        </w:rPr>
        <w:t>7</w:t>
      </w:r>
      <w:r w:rsidR="00F8213F" w:rsidRPr="00706042">
        <w:rPr>
          <w:sz w:val="18"/>
          <w:szCs w:val="18"/>
          <w:vertAlign w:val="superscript"/>
          <w:lang w:val="en-AU"/>
        </w:rPr>
        <w:fldChar w:fldCharType="end"/>
      </w:r>
      <w:r w:rsidRPr="00706042">
        <w:rPr>
          <w:sz w:val="18"/>
          <w:szCs w:val="18"/>
          <w:lang w:val="en-AU"/>
        </w:rPr>
        <w:t>:</w:t>
      </w:r>
      <w:r w:rsidR="00EE6AE7" w:rsidRPr="00706042">
        <w:rPr>
          <w:sz w:val="18"/>
          <w:szCs w:val="18"/>
          <w:lang w:val="en-AU"/>
        </w:rPr>
        <w:t xml:space="preserve"> </w:t>
      </w:r>
    </w:p>
    <w:p w14:paraId="37AF8802" w14:textId="77777777" w:rsidR="00681913" w:rsidRPr="00706042" w:rsidRDefault="00681913" w:rsidP="006A6E8E">
      <w:pPr>
        <w:pStyle w:val="Sub-bullettedlist"/>
        <w:numPr>
          <w:ilvl w:val="0"/>
          <w:numId w:val="9"/>
        </w:numPr>
        <w:spacing w:after="60"/>
        <w:ind w:left="1434" w:hanging="357"/>
        <w:rPr>
          <w:sz w:val="18"/>
          <w:szCs w:val="18"/>
          <w:lang w:val="en-AU"/>
        </w:rPr>
      </w:pPr>
      <w:r w:rsidRPr="00706042">
        <w:rPr>
          <w:sz w:val="18"/>
          <w:szCs w:val="18"/>
          <w:lang w:val="en-AU"/>
        </w:rPr>
        <w:t>risk of dengue hospitalisation over the 5 years after vaccination was 1.4 times (95% CI: 0.74–2.68) that of the unvaccinated</w:t>
      </w:r>
    </w:p>
    <w:p w14:paraId="64019695" w14:textId="77777777" w:rsidR="00681913" w:rsidRPr="00706042" w:rsidRDefault="00681913" w:rsidP="006A6E8E">
      <w:pPr>
        <w:pStyle w:val="Sub-bullettedlist"/>
        <w:numPr>
          <w:ilvl w:val="0"/>
          <w:numId w:val="9"/>
        </w:numPr>
        <w:spacing w:after="60"/>
        <w:ind w:left="1434" w:hanging="357"/>
        <w:rPr>
          <w:sz w:val="18"/>
          <w:szCs w:val="18"/>
          <w:lang w:val="en-AU"/>
        </w:rPr>
      </w:pPr>
      <w:proofErr w:type="gramStart"/>
      <w:r w:rsidRPr="00706042">
        <w:rPr>
          <w:sz w:val="18"/>
          <w:szCs w:val="18"/>
          <w:lang w:val="en-AU"/>
        </w:rPr>
        <w:t>risk</w:t>
      </w:r>
      <w:proofErr w:type="gramEnd"/>
      <w:r w:rsidRPr="00706042">
        <w:rPr>
          <w:sz w:val="18"/>
          <w:szCs w:val="18"/>
          <w:lang w:val="en-AU"/>
        </w:rPr>
        <w:t xml:space="preserve"> of severe dengue was 2.4 times (95% CI: 0.47–12.56) that of the unvaccinated.</w:t>
      </w:r>
    </w:p>
    <w:p w14:paraId="2BFAB483" w14:textId="04361EC4" w:rsidR="00681913" w:rsidRPr="00706042" w:rsidRDefault="00681913" w:rsidP="00681913">
      <w:pPr>
        <w:pStyle w:val="BulletedList"/>
        <w:rPr>
          <w:sz w:val="18"/>
          <w:szCs w:val="18"/>
          <w:lang w:val="en-AU"/>
        </w:rPr>
      </w:pPr>
      <w:r w:rsidRPr="00706042">
        <w:rPr>
          <w:sz w:val="18"/>
          <w:szCs w:val="18"/>
          <w:lang w:val="en-AU"/>
        </w:rPr>
        <w:t xml:space="preserve">Vaccination with </w:t>
      </w:r>
      <w:proofErr w:type="spellStart"/>
      <w:r w:rsidRPr="00706042">
        <w:rPr>
          <w:sz w:val="18"/>
          <w:szCs w:val="18"/>
          <w:lang w:val="en-AU"/>
        </w:rPr>
        <w:t>Dengvaxia</w:t>
      </w:r>
      <w:proofErr w:type="spellEnd"/>
      <w:r w:rsidRPr="00706042">
        <w:rPr>
          <w:sz w:val="18"/>
          <w:szCs w:val="18"/>
          <w:lang w:val="en-AU"/>
        </w:rPr>
        <w:t xml:space="preserve">® appears to act like a primary infection in those with no prior exposure to the virus, increasing the risk of severe disease if the person gets a dengue infection after vaccination. In contrast, </w:t>
      </w:r>
      <w:proofErr w:type="spellStart"/>
      <w:r w:rsidRPr="00706042">
        <w:rPr>
          <w:sz w:val="18"/>
          <w:szCs w:val="18"/>
          <w:lang w:val="en-AU"/>
        </w:rPr>
        <w:t>Dengvaxia</w:t>
      </w:r>
      <w:proofErr w:type="spellEnd"/>
      <w:r w:rsidRPr="00706042">
        <w:rPr>
          <w:sz w:val="18"/>
          <w:szCs w:val="18"/>
          <w:lang w:val="en-AU"/>
        </w:rPr>
        <w:t>® reduces the risk of subsequent disease in those with previous dengue infection before vaccination and who live in highly endemic areas</w:t>
      </w:r>
      <w:r w:rsidR="00DD5DEE" w:rsidRPr="00706042">
        <w:rPr>
          <w:sz w:val="18"/>
          <w:szCs w:val="18"/>
          <w:vertAlign w:val="superscript"/>
          <w:lang w:val="en-AU"/>
        </w:rPr>
        <w:fldChar w:fldCharType="begin"/>
      </w:r>
      <w:r w:rsidR="00DD5DEE" w:rsidRPr="00706042">
        <w:rPr>
          <w:sz w:val="18"/>
          <w:szCs w:val="18"/>
          <w:vertAlign w:val="superscript"/>
          <w:lang w:val="en-AU"/>
        </w:rPr>
        <w:instrText xml:space="preserve"> NOTEREF _Ref532913338 \h  \* MERGEFORMAT </w:instrText>
      </w:r>
      <w:r w:rsidR="00DD5DEE" w:rsidRPr="00706042">
        <w:rPr>
          <w:sz w:val="18"/>
          <w:szCs w:val="18"/>
          <w:vertAlign w:val="superscript"/>
          <w:lang w:val="en-AU"/>
        </w:rPr>
      </w:r>
      <w:r w:rsidR="00DD5DEE" w:rsidRPr="00706042">
        <w:rPr>
          <w:sz w:val="18"/>
          <w:szCs w:val="18"/>
          <w:vertAlign w:val="superscript"/>
          <w:lang w:val="en-AU"/>
        </w:rPr>
        <w:fldChar w:fldCharType="separate"/>
      </w:r>
      <w:r w:rsidR="001A5969">
        <w:rPr>
          <w:sz w:val="18"/>
          <w:szCs w:val="18"/>
          <w:vertAlign w:val="superscript"/>
          <w:lang w:val="en-AU"/>
        </w:rPr>
        <w:t>7</w:t>
      </w:r>
      <w:r w:rsidR="00DD5DEE" w:rsidRPr="00706042">
        <w:rPr>
          <w:sz w:val="18"/>
          <w:szCs w:val="18"/>
          <w:vertAlign w:val="superscript"/>
          <w:lang w:val="en-AU"/>
        </w:rPr>
        <w:fldChar w:fldCharType="end"/>
      </w:r>
      <w:r w:rsidRPr="00706042">
        <w:rPr>
          <w:sz w:val="18"/>
          <w:szCs w:val="18"/>
          <w:lang w:val="en-AU"/>
        </w:rPr>
        <w:t>. However, since the beneficial effects shown in the clinical trials were in people living in highly endemic regions of dengue, they may not be the same for those seeking vaccination for short-term stays, even in individuals who have been previously infected with dengue. In these people, the benefits may not sufficiently outweigh the risks.</w:t>
      </w:r>
    </w:p>
    <w:p w14:paraId="4BEBCC06" w14:textId="77777777" w:rsidR="00183FB0" w:rsidRPr="00706042" w:rsidRDefault="00681913" w:rsidP="006A6E8E">
      <w:pPr>
        <w:pStyle w:val="Heading2"/>
        <w:spacing w:before="240" w:after="120" w:line="240" w:lineRule="auto"/>
        <w:rPr>
          <w:sz w:val="20"/>
          <w:szCs w:val="20"/>
        </w:rPr>
      </w:pPr>
      <w:r w:rsidRPr="00706042">
        <w:rPr>
          <w:sz w:val="20"/>
          <w:szCs w:val="20"/>
        </w:rPr>
        <w:t xml:space="preserve">When should </w:t>
      </w:r>
      <w:proofErr w:type="spellStart"/>
      <w:r w:rsidRPr="00706042">
        <w:rPr>
          <w:sz w:val="20"/>
          <w:szCs w:val="20"/>
        </w:rPr>
        <w:t>Dengvaxia</w:t>
      </w:r>
      <w:proofErr w:type="spellEnd"/>
      <w:r w:rsidRPr="00706042">
        <w:rPr>
          <w:sz w:val="20"/>
          <w:szCs w:val="20"/>
        </w:rPr>
        <w:t xml:space="preserve">® NOT be used? </w:t>
      </w:r>
    </w:p>
    <w:p w14:paraId="2FFED221" w14:textId="77777777" w:rsidR="00681913" w:rsidRPr="00706042" w:rsidRDefault="00681913" w:rsidP="00681913">
      <w:pPr>
        <w:pStyle w:val="BulletedList"/>
        <w:rPr>
          <w:sz w:val="18"/>
          <w:szCs w:val="18"/>
          <w:lang w:val="en-AU"/>
        </w:rPr>
      </w:pPr>
      <w:proofErr w:type="spellStart"/>
      <w:r w:rsidRPr="00706042">
        <w:rPr>
          <w:sz w:val="18"/>
          <w:szCs w:val="18"/>
          <w:lang w:val="en-AU"/>
        </w:rPr>
        <w:t>Dengvaxia</w:t>
      </w:r>
      <w:proofErr w:type="spellEnd"/>
      <w:r w:rsidRPr="00706042">
        <w:rPr>
          <w:sz w:val="18"/>
          <w:szCs w:val="18"/>
          <w:lang w:val="en-AU"/>
        </w:rPr>
        <w:t xml:space="preserve">® should NOT be used: </w:t>
      </w:r>
    </w:p>
    <w:p w14:paraId="5DD00E8F" w14:textId="496D1E1D" w:rsidR="00681913" w:rsidRPr="00706042" w:rsidRDefault="00681913" w:rsidP="006A6E8E">
      <w:pPr>
        <w:pStyle w:val="Sub-bullettedlist"/>
        <w:numPr>
          <w:ilvl w:val="0"/>
          <w:numId w:val="9"/>
        </w:numPr>
        <w:spacing w:after="60"/>
        <w:ind w:left="1434" w:hanging="357"/>
        <w:rPr>
          <w:sz w:val="18"/>
          <w:szCs w:val="18"/>
          <w:lang w:val="en-AU"/>
        </w:rPr>
      </w:pPr>
      <w:r w:rsidRPr="00706042">
        <w:rPr>
          <w:sz w:val="18"/>
          <w:szCs w:val="18"/>
          <w:lang w:val="en-AU"/>
        </w:rPr>
        <w:t>in persons without laboratory</w:t>
      </w:r>
      <w:r w:rsidR="00F61C42">
        <w:rPr>
          <w:sz w:val="18"/>
          <w:szCs w:val="18"/>
          <w:lang w:val="en-AU"/>
        </w:rPr>
        <w:t>,</w:t>
      </w:r>
      <w:r w:rsidR="00C55AAE" w:rsidRPr="00706042">
        <w:rPr>
          <w:sz w:val="18"/>
          <w:szCs w:val="18"/>
          <w:lang w:val="en-AU"/>
        </w:rPr>
        <w:t xml:space="preserve"> clinical </w:t>
      </w:r>
      <w:r w:rsidR="00F61C42">
        <w:rPr>
          <w:sz w:val="18"/>
          <w:szCs w:val="18"/>
          <w:lang w:val="en-AU"/>
        </w:rPr>
        <w:t xml:space="preserve">and epidemiological </w:t>
      </w:r>
      <w:r w:rsidRPr="00706042">
        <w:rPr>
          <w:sz w:val="18"/>
          <w:szCs w:val="18"/>
          <w:lang w:val="en-AU"/>
        </w:rPr>
        <w:t xml:space="preserve">evidence </w:t>
      </w:r>
      <w:r w:rsidR="00A92D2E">
        <w:rPr>
          <w:sz w:val="18"/>
          <w:szCs w:val="18"/>
          <w:lang w:val="en-AU"/>
        </w:rPr>
        <w:t>consistent with</w:t>
      </w:r>
      <w:r w:rsidRPr="00706042">
        <w:rPr>
          <w:sz w:val="18"/>
          <w:szCs w:val="18"/>
          <w:lang w:val="en-AU"/>
        </w:rPr>
        <w:t xml:space="preserve"> previous dengue infection</w:t>
      </w:r>
    </w:p>
    <w:p w14:paraId="11CB643C" w14:textId="77777777" w:rsidR="00681913" w:rsidRPr="00A229D3" w:rsidRDefault="00681913" w:rsidP="006A6E8E">
      <w:pPr>
        <w:pStyle w:val="Sub-bullettedlist"/>
        <w:numPr>
          <w:ilvl w:val="0"/>
          <w:numId w:val="9"/>
        </w:numPr>
        <w:spacing w:after="60"/>
        <w:ind w:left="1434" w:hanging="357"/>
        <w:rPr>
          <w:sz w:val="18"/>
          <w:szCs w:val="18"/>
          <w:lang w:val="en-AU"/>
        </w:rPr>
      </w:pPr>
      <w:r w:rsidRPr="00A229D3">
        <w:rPr>
          <w:sz w:val="18"/>
          <w:szCs w:val="18"/>
          <w:lang w:val="en-AU"/>
        </w:rPr>
        <w:t>in individuals aged less than 9 years or older than 45 years</w:t>
      </w:r>
    </w:p>
    <w:p w14:paraId="42D114EF" w14:textId="77777777" w:rsidR="00681913" w:rsidRPr="00A229D3" w:rsidRDefault="00681913" w:rsidP="006A6E8E">
      <w:pPr>
        <w:pStyle w:val="Sub-bullettedlist"/>
        <w:numPr>
          <w:ilvl w:val="0"/>
          <w:numId w:val="9"/>
        </w:numPr>
        <w:spacing w:after="60"/>
        <w:ind w:left="1434" w:hanging="357"/>
        <w:rPr>
          <w:sz w:val="18"/>
          <w:szCs w:val="18"/>
          <w:lang w:val="en-AU"/>
        </w:rPr>
      </w:pPr>
      <w:r w:rsidRPr="00A229D3">
        <w:rPr>
          <w:sz w:val="18"/>
          <w:szCs w:val="18"/>
          <w:lang w:val="en-AU"/>
        </w:rPr>
        <w:lastRenderedPageBreak/>
        <w:t xml:space="preserve">as a travel vaccine for Australians planning short stays in endemic areas </w:t>
      </w:r>
      <w:r w:rsidR="00C93933">
        <w:rPr>
          <w:sz w:val="18"/>
          <w:szCs w:val="18"/>
          <w:lang w:val="en-AU"/>
        </w:rPr>
        <w:t xml:space="preserve">– </w:t>
      </w:r>
      <w:r w:rsidR="00767E76">
        <w:rPr>
          <w:sz w:val="18"/>
          <w:szCs w:val="18"/>
          <w:lang w:val="en-AU"/>
        </w:rPr>
        <w:t xml:space="preserve">in </w:t>
      </w:r>
      <w:r w:rsidR="00295ED2">
        <w:rPr>
          <w:sz w:val="18"/>
          <w:szCs w:val="18"/>
          <w:lang w:val="en-AU"/>
        </w:rPr>
        <w:t>most</w:t>
      </w:r>
      <w:r w:rsidR="00767E76">
        <w:rPr>
          <w:sz w:val="18"/>
          <w:szCs w:val="18"/>
          <w:lang w:val="en-AU"/>
        </w:rPr>
        <w:t xml:space="preserve"> circumstances using it for </w:t>
      </w:r>
      <w:r w:rsidR="00295ED2" w:rsidRPr="00A229D3">
        <w:rPr>
          <w:sz w:val="18"/>
          <w:szCs w:val="18"/>
          <w:lang w:val="en-AU"/>
        </w:rPr>
        <w:t xml:space="preserve">Australians planning </w:t>
      </w:r>
      <w:r w:rsidR="00767E76">
        <w:rPr>
          <w:sz w:val="18"/>
          <w:szCs w:val="18"/>
          <w:lang w:val="en-AU"/>
        </w:rPr>
        <w:t xml:space="preserve">long-term stays </w:t>
      </w:r>
      <w:r w:rsidR="00767E76" w:rsidRPr="00A229D3">
        <w:rPr>
          <w:sz w:val="18"/>
          <w:szCs w:val="18"/>
          <w:lang w:val="en-AU"/>
        </w:rPr>
        <w:t xml:space="preserve">in endemic areas </w:t>
      </w:r>
      <w:r w:rsidR="00767E76">
        <w:rPr>
          <w:sz w:val="18"/>
          <w:szCs w:val="18"/>
          <w:lang w:val="en-AU"/>
        </w:rPr>
        <w:t xml:space="preserve">would also be inappropriate – </w:t>
      </w:r>
      <w:r w:rsidR="00C93933">
        <w:rPr>
          <w:sz w:val="18"/>
          <w:szCs w:val="18"/>
          <w:lang w:val="en-AU"/>
        </w:rPr>
        <w:t>refer to</w:t>
      </w:r>
      <w:r w:rsidR="00767E76">
        <w:rPr>
          <w:sz w:val="18"/>
          <w:szCs w:val="18"/>
          <w:lang w:val="en-AU"/>
        </w:rPr>
        <w:t xml:space="preserve"> the Key points on page 1 above</w:t>
      </w:r>
    </w:p>
    <w:p w14:paraId="6A1CE512" w14:textId="44091060" w:rsidR="00681913" w:rsidRPr="00A229D3" w:rsidRDefault="00681913" w:rsidP="006A6E8E">
      <w:pPr>
        <w:pStyle w:val="Sub-bullettedlist"/>
        <w:numPr>
          <w:ilvl w:val="0"/>
          <w:numId w:val="9"/>
        </w:numPr>
        <w:spacing w:after="60"/>
        <w:ind w:left="1434" w:hanging="357"/>
        <w:rPr>
          <w:sz w:val="18"/>
          <w:szCs w:val="18"/>
          <w:lang w:val="en-AU"/>
        </w:rPr>
      </w:pPr>
      <w:proofErr w:type="gramStart"/>
      <w:r w:rsidRPr="00A229D3">
        <w:rPr>
          <w:sz w:val="18"/>
          <w:szCs w:val="18"/>
          <w:lang w:val="en-AU"/>
        </w:rPr>
        <w:t>for</w:t>
      </w:r>
      <w:proofErr w:type="gramEnd"/>
      <w:r w:rsidRPr="00A229D3">
        <w:rPr>
          <w:sz w:val="18"/>
          <w:szCs w:val="18"/>
          <w:lang w:val="en-AU"/>
        </w:rPr>
        <w:t xml:space="preserve"> protection against getting a dengue infection in Australia</w:t>
      </w:r>
      <w:r w:rsidR="000668B0" w:rsidRPr="00A229D3">
        <w:rPr>
          <w:sz w:val="18"/>
          <w:szCs w:val="18"/>
          <w:lang w:val="en-AU"/>
        </w:rPr>
        <w:t xml:space="preserve"> (including north Queensland)</w:t>
      </w:r>
      <w:r w:rsidRPr="00A229D3">
        <w:rPr>
          <w:sz w:val="18"/>
          <w:szCs w:val="18"/>
          <w:lang w:val="en-AU"/>
        </w:rPr>
        <w:t>, as dengue is not endemic.</w:t>
      </w:r>
    </w:p>
    <w:p w14:paraId="718CD1FB" w14:textId="77777777" w:rsidR="00681913" w:rsidRPr="00A229D3" w:rsidRDefault="00681913" w:rsidP="006A6E8E">
      <w:pPr>
        <w:pStyle w:val="Heading2"/>
        <w:spacing w:before="240" w:after="120" w:line="240" w:lineRule="auto"/>
        <w:rPr>
          <w:sz w:val="20"/>
          <w:szCs w:val="20"/>
        </w:rPr>
      </w:pPr>
      <w:r w:rsidRPr="00A229D3">
        <w:rPr>
          <w:sz w:val="20"/>
          <w:szCs w:val="20"/>
        </w:rPr>
        <w:t>Important notes regarding blood tests for previous dengue infection in the absence of laboratory confirmation of infection at the time of acute disease</w:t>
      </w:r>
    </w:p>
    <w:p w14:paraId="42608058" w14:textId="5C3DA2B3" w:rsidR="00681913" w:rsidRPr="00A229D3" w:rsidRDefault="00681913" w:rsidP="00681913">
      <w:pPr>
        <w:pStyle w:val="BulletedList"/>
        <w:rPr>
          <w:sz w:val="18"/>
          <w:szCs w:val="18"/>
          <w:lang w:val="en-AU"/>
        </w:rPr>
      </w:pPr>
      <w:r w:rsidRPr="00A229D3">
        <w:rPr>
          <w:sz w:val="18"/>
          <w:szCs w:val="18"/>
          <w:lang w:val="en-AU"/>
        </w:rPr>
        <w:t xml:space="preserve">Currently </w:t>
      </w:r>
      <w:r w:rsidR="00E42ADC" w:rsidRPr="00A229D3">
        <w:rPr>
          <w:sz w:val="18"/>
          <w:szCs w:val="18"/>
          <w:lang w:val="en-AU"/>
        </w:rPr>
        <w:t>there is no point-of-care test</w:t>
      </w:r>
      <w:r w:rsidR="00F72D24" w:rsidRPr="00A229D3">
        <w:rPr>
          <w:sz w:val="18"/>
          <w:szCs w:val="18"/>
          <w:lang w:val="en-AU"/>
        </w:rPr>
        <w:t xml:space="preserve">, </w:t>
      </w:r>
      <w:r w:rsidR="00956E1E" w:rsidRPr="00A229D3">
        <w:rPr>
          <w:sz w:val="18"/>
          <w:szCs w:val="18"/>
          <w:lang w:val="en-AU"/>
        </w:rPr>
        <w:t xml:space="preserve">with </w:t>
      </w:r>
      <w:r w:rsidR="00C418A1" w:rsidRPr="00A229D3">
        <w:rPr>
          <w:sz w:val="18"/>
          <w:szCs w:val="18"/>
          <w:lang w:val="en-AU"/>
        </w:rPr>
        <w:t xml:space="preserve">adequately </w:t>
      </w:r>
      <w:r w:rsidR="00956E1E" w:rsidRPr="00A229D3">
        <w:rPr>
          <w:sz w:val="18"/>
          <w:szCs w:val="18"/>
          <w:lang w:val="en-AU"/>
        </w:rPr>
        <w:t>high sensitivity and specificity</w:t>
      </w:r>
      <w:r w:rsidR="00F72D24" w:rsidRPr="00A229D3">
        <w:rPr>
          <w:sz w:val="18"/>
          <w:szCs w:val="18"/>
          <w:lang w:val="en-AU"/>
        </w:rPr>
        <w:t>,</w:t>
      </w:r>
      <w:r w:rsidR="00956E1E" w:rsidRPr="00A229D3">
        <w:rPr>
          <w:sz w:val="18"/>
          <w:szCs w:val="18"/>
          <w:lang w:val="en-AU"/>
        </w:rPr>
        <w:t xml:space="preserve"> </w:t>
      </w:r>
      <w:r w:rsidR="00027861" w:rsidRPr="00A229D3">
        <w:rPr>
          <w:sz w:val="18"/>
          <w:szCs w:val="18"/>
          <w:lang w:val="en-AU"/>
        </w:rPr>
        <w:t xml:space="preserve">to </w:t>
      </w:r>
      <w:r w:rsidR="00F72D24" w:rsidRPr="00A229D3">
        <w:rPr>
          <w:sz w:val="18"/>
          <w:szCs w:val="18"/>
          <w:lang w:val="en-AU"/>
        </w:rPr>
        <w:t xml:space="preserve">accurately </w:t>
      </w:r>
      <w:r w:rsidR="00027861" w:rsidRPr="00A229D3">
        <w:rPr>
          <w:sz w:val="18"/>
          <w:szCs w:val="18"/>
          <w:lang w:val="en-AU"/>
        </w:rPr>
        <w:t xml:space="preserve">confirm past dengue infection </w:t>
      </w:r>
      <w:r w:rsidR="009C305D" w:rsidRPr="00A229D3">
        <w:rPr>
          <w:sz w:val="18"/>
          <w:szCs w:val="18"/>
          <w:lang w:val="en-AU"/>
        </w:rPr>
        <w:t xml:space="preserve">and which is </w:t>
      </w:r>
      <w:r w:rsidRPr="00A229D3">
        <w:rPr>
          <w:sz w:val="18"/>
          <w:szCs w:val="18"/>
          <w:lang w:val="en-AU"/>
        </w:rPr>
        <w:t>suitable for use immediately before vaccination</w:t>
      </w:r>
      <w:r w:rsidR="00DD5DEE" w:rsidRPr="00A229D3">
        <w:rPr>
          <w:sz w:val="18"/>
          <w:szCs w:val="18"/>
          <w:vertAlign w:val="superscript"/>
          <w:lang w:val="en-AU"/>
        </w:rPr>
        <w:fldChar w:fldCharType="begin"/>
      </w:r>
      <w:r w:rsidR="00DD5DEE" w:rsidRPr="00A229D3">
        <w:rPr>
          <w:sz w:val="18"/>
          <w:szCs w:val="18"/>
          <w:vertAlign w:val="superscript"/>
          <w:lang w:val="en-AU"/>
        </w:rPr>
        <w:instrText xml:space="preserve"> NOTEREF _Ref532912308 \h  \* MERGEFORMAT </w:instrText>
      </w:r>
      <w:r w:rsidR="00DD5DEE" w:rsidRPr="00A229D3">
        <w:rPr>
          <w:sz w:val="18"/>
          <w:szCs w:val="18"/>
          <w:vertAlign w:val="superscript"/>
          <w:lang w:val="en-AU"/>
        </w:rPr>
      </w:r>
      <w:r w:rsidR="00DD5DEE" w:rsidRPr="00A229D3">
        <w:rPr>
          <w:sz w:val="18"/>
          <w:szCs w:val="18"/>
          <w:vertAlign w:val="superscript"/>
          <w:lang w:val="en-AU"/>
        </w:rPr>
        <w:fldChar w:fldCharType="separate"/>
      </w:r>
      <w:r w:rsidR="001A5969">
        <w:rPr>
          <w:sz w:val="18"/>
          <w:szCs w:val="18"/>
          <w:vertAlign w:val="superscript"/>
          <w:lang w:val="en-AU"/>
        </w:rPr>
        <w:t>2</w:t>
      </w:r>
      <w:r w:rsidR="00DD5DEE" w:rsidRPr="00A229D3">
        <w:rPr>
          <w:sz w:val="18"/>
          <w:szCs w:val="18"/>
          <w:vertAlign w:val="superscript"/>
          <w:lang w:val="en-AU"/>
        </w:rPr>
        <w:fldChar w:fldCharType="end"/>
      </w:r>
      <w:proofErr w:type="gramStart"/>
      <w:r w:rsidR="00DD5DEE" w:rsidRPr="00A229D3">
        <w:rPr>
          <w:sz w:val="18"/>
          <w:szCs w:val="18"/>
          <w:vertAlign w:val="superscript"/>
          <w:lang w:val="en-AU"/>
        </w:rPr>
        <w:t>,</w:t>
      </w:r>
      <w:r w:rsidR="00DD5DEE" w:rsidRPr="00A229D3">
        <w:rPr>
          <w:rStyle w:val="FootnoteReference"/>
          <w:sz w:val="18"/>
          <w:szCs w:val="18"/>
          <w:lang w:val="en-AU"/>
        </w:rPr>
        <w:footnoteReference w:id="9"/>
      </w:r>
      <w:r w:rsidR="00DD5DEE" w:rsidRPr="00A229D3">
        <w:rPr>
          <w:sz w:val="18"/>
          <w:szCs w:val="18"/>
          <w:vertAlign w:val="superscript"/>
          <w:lang w:val="en-AU"/>
        </w:rPr>
        <w:t>,</w:t>
      </w:r>
      <w:r w:rsidR="00DD5DEE" w:rsidRPr="00A229D3">
        <w:rPr>
          <w:rStyle w:val="FootnoteReference"/>
          <w:sz w:val="18"/>
          <w:szCs w:val="18"/>
          <w:lang w:val="en-AU"/>
        </w:rPr>
        <w:footnoteReference w:id="10"/>
      </w:r>
      <w:r w:rsidRPr="00A229D3">
        <w:rPr>
          <w:sz w:val="18"/>
          <w:szCs w:val="18"/>
          <w:lang w:val="en-AU"/>
        </w:rPr>
        <w:t>.</w:t>
      </w:r>
      <w:proofErr w:type="gramEnd"/>
      <w:r w:rsidRPr="00A229D3">
        <w:rPr>
          <w:sz w:val="18"/>
          <w:szCs w:val="18"/>
          <w:lang w:val="en-AU"/>
        </w:rPr>
        <w:fldChar w:fldCharType="begin">
          <w:fldData xml:space="preserve">PEVuZE5vdGU+PENpdGU+PEF1dGhvcj5Xb3JsZCBIZWFsdGggT3JnYW5pemF0aW9uPC9BdXRob3I+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</w:fldData>
        </w:fldChar>
      </w:r>
      <w:r w:rsidRPr="00A229D3">
        <w:rPr>
          <w:sz w:val="18"/>
          <w:szCs w:val="18"/>
          <w:lang w:val="en-AU"/>
        </w:rPr>
        <w:instrText xml:space="preserve"> ADDIN EN.CITE </w:instrText>
      </w:r>
      <w:r w:rsidRPr="00A229D3">
        <w:rPr>
          <w:sz w:val="18"/>
          <w:szCs w:val="18"/>
          <w:lang w:val="en-AU"/>
        </w:rPr>
        <w:fldChar w:fldCharType="begin">
          <w:fldData xml:space="preserve">PEVuZE5vdGU+PENpdGU+PEF1dGhvcj5Xb3JsZCBIZWFsdGggT3JnYW5pemF0aW9uPC9BdXRob3I+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</w:fldData>
        </w:fldChar>
      </w:r>
      <w:r w:rsidRPr="00A229D3">
        <w:rPr>
          <w:sz w:val="18"/>
          <w:szCs w:val="18"/>
          <w:lang w:val="en-AU"/>
        </w:rPr>
        <w:instrText xml:space="preserve"> ADDIN EN.CITE.DATA </w:instrText>
      </w:r>
      <w:r w:rsidRPr="00A229D3">
        <w:rPr>
          <w:sz w:val="18"/>
          <w:szCs w:val="18"/>
          <w:lang w:val="en-AU"/>
        </w:rPr>
      </w:r>
      <w:r w:rsidRPr="00A229D3">
        <w:rPr>
          <w:sz w:val="18"/>
          <w:szCs w:val="18"/>
          <w:lang w:val="en-AU"/>
        </w:rPr>
        <w:fldChar w:fldCharType="end"/>
      </w:r>
      <w:r w:rsidRPr="00A229D3">
        <w:rPr>
          <w:sz w:val="18"/>
          <w:szCs w:val="18"/>
          <w:lang w:val="en-AU"/>
        </w:rPr>
      </w:r>
      <w:r w:rsidRPr="00A229D3">
        <w:rPr>
          <w:sz w:val="18"/>
          <w:szCs w:val="18"/>
          <w:lang w:val="en-AU"/>
        </w:rPr>
        <w:fldChar w:fldCharType="end"/>
      </w:r>
    </w:p>
    <w:p w14:paraId="0B289B0B" w14:textId="77777777" w:rsidR="00681913" w:rsidRPr="00A229D3" w:rsidRDefault="00681913" w:rsidP="00681913">
      <w:pPr>
        <w:pStyle w:val="BulletedList"/>
        <w:rPr>
          <w:sz w:val="18"/>
          <w:szCs w:val="18"/>
          <w:lang w:val="en-AU"/>
        </w:rPr>
      </w:pPr>
      <w:r w:rsidRPr="00A229D3">
        <w:rPr>
          <w:sz w:val="18"/>
          <w:szCs w:val="18"/>
          <w:lang w:val="en-AU"/>
        </w:rPr>
        <w:t>For Australian residents believed to have had previous dengue infection, dengue serology consistent with this and an appropriate clinical history of infection following travel to a dengue endemic area should be verified before considering whether the benefits outwei</w:t>
      </w:r>
      <w:r w:rsidR="00596F2C" w:rsidRPr="00A229D3">
        <w:rPr>
          <w:sz w:val="18"/>
          <w:szCs w:val="18"/>
          <w:lang w:val="en-AU"/>
        </w:rPr>
        <w:t>g</w:t>
      </w:r>
      <w:r w:rsidRPr="00A229D3">
        <w:rPr>
          <w:sz w:val="18"/>
          <w:szCs w:val="18"/>
          <w:lang w:val="en-AU"/>
        </w:rPr>
        <w:t xml:space="preserve">h the risks of vaccination. </w:t>
      </w:r>
      <w:r w:rsidR="00D1673E" w:rsidRPr="005F5E7E">
        <w:rPr>
          <w:sz w:val="18"/>
          <w:szCs w:val="18"/>
        </w:rPr>
        <w:t>Even a history of a past “laboratory-confirmed” dengue infection should be interpreted with caution.</w:t>
      </w:r>
    </w:p>
    <w:p w14:paraId="2FD0BE21" w14:textId="1699E6DD" w:rsidR="00681913" w:rsidRPr="00A229D3" w:rsidRDefault="00681913" w:rsidP="4581BCEF">
      <w:pPr>
        <w:pStyle w:val="BulletedList"/>
        <w:rPr>
          <w:sz w:val="18"/>
          <w:szCs w:val="18"/>
          <w:lang w:val="en-AU"/>
        </w:rPr>
      </w:pPr>
      <w:r w:rsidRPr="00A229D3">
        <w:rPr>
          <w:sz w:val="18"/>
          <w:szCs w:val="18"/>
          <w:lang w:val="en-AU"/>
        </w:rPr>
        <w:t xml:space="preserve">Cross-reactivity with current or previous infection by a related </w:t>
      </w:r>
      <w:proofErr w:type="spellStart"/>
      <w:r w:rsidRPr="00A229D3">
        <w:rPr>
          <w:sz w:val="18"/>
          <w:szCs w:val="18"/>
          <w:lang w:val="en-AU"/>
        </w:rPr>
        <w:t>flavivirus</w:t>
      </w:r>
      <w:proofErr w:type="spellEnd"/>
      <w:r w:rsidRPr="00A229D3">
        <w:rPr>
          <w:sz w:val="18"/>
          <w:szCs w:val="18"/>
          <w:lang w:val="en-AU"/>
        </w:rPr>
        <w:t xml:space="preserve"> (e.g. </w:t>
      </w:r>
      <w:proofErr w:type="spellStart"/>
      <w:r w:rsidRPr="00A229D3">
        <w:rPr>
          <w:sz w:val="18"/>
          <w:szCs w:val="18"/>
          <w:lang w:val="en-AU"/>
        </w:rPr>
        <w:t>Zika</w:t>
      </w:r>
      <w:proofErr w:type="spellEnd"/>
      <w:r w:rsidRPr="00A229D3">
        <w:rPr>
          <w:sz w:val="18"/>
          <w:szCs w:val="18"/>
          <w:lang w:val="en-AU"/>
        </w:rPr>
        <w:t xml:space="preserve">, Japanese encephalitis, or yellow fever) or vaccination with a </w:t>
      </w:r>
      <w:proofErr w:type="spellStart"/>
      <w:r w:rsidRPr="00A229D3">
        <w:rPr>
          <w:sz w:val="18"/>
          <w:szCs w:val="18"/>
          <w:lang w:val="en-AU"/>
        </w:rPr>
        <w:t>flavivirus</w:t>
      </w:r>
      <w:proofErr w:type="spellEnd"/>
      <w:r w:rsidRPr="00A229D3">
        <w:rPr>
          <w:sz w:val="18"/>
          <w:szCs w:val="18"/>
          <w:lang w:val="en-AU"/>
        </w:rPr>
        <w:t xml:space="preserve"> vaccine makes correct interpretation of dengue serology tests difficult; consultation with an expert in dengue serology</w:t>
      </w:r>
      <w:r w:rsidR="00D1673E">
        <w:rPr>
          <w:sz w:val="18"/>
          <w:szCs w:val="18"/>
          <w:shd w:val="clear" w:color="auto" w:fill="FFFFFF" w:themeFill="background1"/>
          <w:lang w:val="en-AU"/>
        </w:rPr>
        <w:t xml:space="preserve"> </w:t>
      </w:r>
      <w:r w:rsidRPr="00A229D3">
        <w:rPr>
          <w:sz w:val="18"/>
          <w:szCs w:val="18"/>
          <w:lang w:val="en-AU"/>
        </w:rPr>
        <w:t>is</w:t>
      </w:r>
      <w:r w:rsidR="00C90382">
        <w:rPr>
          <w:sz w:val="18"/>
          <w:szCs w:val="18"/>
          <w:lang w:val="en-AU"/>
        </w:rPr>
        <w:t xml:space="preserve"> strongly</w:t>
      </w:r>
      <w:r w:rsidRPr="00A229D3">
        <w:rPr>
          <w:sz w:val="18"/>
          <w:szCs w:val="18"/>
          <w:lang w:val="en-AU"/>
        </w:rPr>
        <w:t xml:space="preserve"> advised.</w:t>
      </w:r>
      <w:r w:rsidR="008269FB">
        <w:rPr>
          <w:sz w:val="18"/>
          <w:szCs w:val="18"/>
          <w:lang w:val="en-AU"/>
        </w:rPr>
        <w:t xml:space="preserve">  </w:t>
      </w:r>
    </w:p>
    <w:sectPr w:rsidR="00681913" w:rsidRPr="00A229D3" w:rsidSect="006A6E8E">
      <w:footerReference w:type="default" r:id="rId13"/>
      <w:footerReference w:type="first" r:id="rId14"/>
      <w:pgSz w:w="11906" w:h="16838" w:code="9"/>
      <w:pgMar w:top="720" w:right="720" w:bottom="720" w:left="72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EC2FF" w16cid:durableId="208DA950"/>
  <w16cid:commentId w16cid:paraId="14CB8C0D" w16cid:durableId="208DA951"/>
  <w16cid:commentId w16cid:paraId="5FC89946" w16cid:durableId="208DA952"/>
  <w16cid:commentId w16cid:paraId="06A91D0D" w16cid:durableId="208DA953"/>
  <w16cid:commentId w16cid:paraId="20CC3CFD" w16cid:durableId="208DA954"/>
  <w16cid:commentId w16cid:paraId="564C7167" w16cid:durableId="208DA955"/>
  <w16cid:commentId w16cid:paraId="4DA75ECC" w16cid:durableId="208DA956"/>
  <w16cid:commentId w16cid:paraId="28ECA4E8" w16cid:durableId="208DA957"/>
  <w16cid:commentId w16cid:paraId="197F283B" w16cid:durableId="208DA9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7387" w14:textId="77777777" w:rsidR="00A36FFE" w:rsidRDefault="00A36FFE" w:rsidP="005F4768">
      <w:r>
        <w:separator/>
      </w:r>
    </w:p>
  </w:endnote>
  <w:endnote w:type="continuationSeparator" w:id="0">
    <w:p w14:paraId="3BF878E2" w14:textId="77777777" w:rsidR="00A36FFE" w:rsidRDefault="00A36FFE" w:rsidP="005F4768">
      <w:r>
        <w:continuationSeparator/>
      </w:r>
    </w:p>
  </w:endnote>
  <w:endnote w:type="continuationNotice" w:id="1">
    <w:p w14:paraId="7635E26C" w14:textId="77777777" w:rsidR="00A36FFE" w:rsidRDefault="00A36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61596"/>
      <w:docPartObj>
        <w:docPartGallery w:val="Page Numbers (Bottom of Page)"/>
        <w:docPartUnique/>
      </w:docPartObj>
    </w:sdtPr>
    <w:sdtEndPr/>
    <w:sdtContent>
      <w:sdt>
        <w:sdtPr>
          <w:id w:val="91591133"/>
          <w:docPartObj>
            <w:docPartGallery w:val="Page Numbers (Top of Page)"/>
            <w:docPartUnique/>
          </w:docPartObj>
        </w:sdtPr>
        <w:sdtEndPr/>
        <w:sdtContent>
          <w:p w14:paraId="25FCD316" w14:textId="16BCE149" w:rsidR="0004452A" w:rsidRDefault="00234619" w:rsidP="00AC23C0">
            <w:pPr>
              <w:pStyle w:val="Footer"/>
              <w:jc w:val="right"/>
            </w:pPr>
            <w:r w:rsidRPr="00234619">
              <w:t xml:space="preserve">Page </w:t>
            </w:r>
            <w:r w:rsidRPr="00234619">
              <w:rPr>
                <w:bCs/>
                <w:sz w:val="24"/>
                <w:szCs w:val="24"/>
              </w:rPr>
              <w:fldChar w:fldCharType="begin"/>
            </w:r>
            <w:r w:rsidRPr="00234619">
              <w:rPr>
                <w:bCs/>
              </w:rPr>
              <w:instrText xml:space="preserve"> PAGE </w:instrText>
            </w:r>
            <w:r w:rsidRPr="00234619">
              <w:rPr>
                <w:bCs/>
                <w:sz w:val="24"/>
                <w:szCs w:val="24"/>
              </w:rPr>
              <w:fldChar w:fldCharType="separate"/>
            </w:r>
            <w:r w:rsidR="001A5969">
              <w:rPr>
                <w:bCs/>
                <w:noProof/>
              </w:rPr>
              <w:t>3</w:t>
            </w:r>
            <w:r w:rsidRPr="00234619">
              <w:rPr>
                <w:bCs/>
                <w:sz w:val="24"/>
                <w:szCs w:val="24"/>
              </w:rPr>
              <w:fldChar w:fldCharType="end"/>
            </w:r>
            <w:r w:rsidRPr="00234619">
              <w:t xml:space="preserve"> of </w:t>
            </w:r>
            <w:r w:rsidRPr="00234619">
              <w:rPr>
                <w:bCs/>
                <w:sz w:val="24"/>
                <w:szCs w:val="24"/>
              </w:rPr>
              <w:fldChar w:fldCharType="begin"/>
            </w:r>
            <w:r w:rsidRPr="00234619">
              <w:rPr>
                <w:bCs/>
              </w:rPr>
              <w:instrText xml:space="preserve"> NUMPAGES  </w:instrText>
            </w:r>
            <w:r w:rsidRPr="00234619">
              <w:rPr>
                <w:bCs/>
                <w:sz w:val="24"/>
                <w:szCs w:val="24"/>
              </w:rPr>
              <w:fldChar w:fldCharType="separate"/>
            </w:r>
            <w:r w:rsidR="001A5969">
              <w:rPr>
                <w:bCs/>
                <w:noProof/>
              </w:rPr>
              <w:t>3</w:t>
            </w:r>
            <w:r w:rsidRPr="0023461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ECB5" w14:textId="77777777" w:rsidR="006F5435" w:rsidRDefault="006F5435" w:rsidP="0004452A">
    <w:pPr>
      <w:pStyle w:val="Footer"/>
      <w:tabs>
        <w:tab w:val="left" w:pos="9360"/>
        <w:tab w:val="right" w:pos="10204"/>
      </w:tabs>
      <w:jc w:val="right"/>
    </w:pPr>
    <w:r>
      <w:t xml:space="preserve">Page </w:t>
    </w:r>
    <w:sdt>
      <w:sdtPr>
        <w:id w:val="9422631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4619">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E94B" w14:textId="77777777" w:rsidR="00A36FFE" w:rsidRDefault="00A36FFE" w:rsidP="00F241D1">
      <w:pPr>
        <w:spacing w:after="60" w:line="240" w:lineRule="auto"/>
      </w:pPr>
      <w:r>
        <w:separator/>
      </w:r>
    </w:p>
  </w:footnote>
  <w:footnote w:type="continuationSeparator" w:id="0">
    <w:p w14:paraId="70704871" w14:textId="77777777" w:rsidR="00A36FFE" w:rsidRDefault="00A36FFE" w:rsidP="00F241D1">
      <w:pPr>
        <w:spacing w:after="60" w:line="240" w:lineRule="auto"/>
      </w:pPr>
      <w:r>
        <w:continuationSeparator/>
      </w:r>
    </w:p>
  </w:footnote>
  <w:footnote w:type="continuationNotice" w:id="1">
    <w:p w14:paraId="493187D9" w14:textId="77777777" w:rsidR="00A36FFE" w:rsidRDefault="00A36FFE">
      <w:pPr>
        <w:spacing w:after="0" w:line="240" w:lineRule="auto"/>
      </w:pPr>
    </w:p>
  </w:footnote>
  <w:footnote w:id="2">
    <w:p w14:paraId="01EC2F4A" w14:textId="77777777" w:rsidR="003D36F3" w:rsidRPr="00596F2C" w:rsidRDefault="003D36F3">
      <w:pPr>
        <w:pStyle w:val="FootnoteText"/>
        <w:rPr>
          <w:sz w:val="14"/>
          <w:szCs w:val="14"/>
        </w:rPr>
      </w:pPr>
      <w:r>
        <w:rPr>
          <w:rStyle w:val="FootnoteReference"/>
        </w:rPr>
        <w:footnoteRef/>
      </w:r>
      <w:r>
        <w:t xml:space="preserve"> </w:t>
      </w:r>
      <w:r w:rsidRPr="00596F2C">
        <w:rPr>
          <w:sz w:val="14"/>
          <w:szCs w:val="14"/>
        </w:rPr>
        <w:t xml:space="preserve">World Health Organization. WHO Fact Sheet: Dengue and severe dengue. Available from: </w:t>
      </w:r>
      <w:hyperlink r:id="rId1" w:history="1">
        <w:r w:rsidRPr="00596F2C">
          <w:rPr>
            <w:rStyle w:val="Hyperlink"/>
            <w:sz w:val="14"/>
            <w:szCs w:val="14"/>
          </w:rPr>
          <w:t>https://www.who.int/news-room/fact-sheets/detail/dengue-and-severe-dengue</w:t>
        </w:r>
      </w:hyperlink>
      <w:r w:rsidRPr="00596F2C">
        <w:rPr>
          <w:sz w:val="14"/>
          <w:szCs w:val="14"/>
        </w:rPr>
        <w:t xml:space="preserve"> (Accessed 13/12/18). </w:t>
      </w:r>
    </w:p>
  </w:footnote>
  <w:footnote w:id="3">
    <w:p w14:paraId="5CDEE8D2" w14:textId="77777777" w:rsidR="003D36F3" w:rsidRPr="00596F2C" w:rsidRDefault="003D36F3">
      <w:pPr>
        <w:pStyle w:val="FootnoteText"/>
        <w:rPr>
          <w:sz w:val="14"/>
          <w:szCs w:val="14"/>
        </w:rPr>
      </w:pPr>
      <w:r w:rsidRPr="00596F2C">
        <w:rPr>
          <w:rStyle w:val="FootnoteReference"/>
          <w:sz w:val="14"/>
          <w:szCs w:val="14"/>
        </w:rPr>
        <w:footnoteRef/>
      </w:r>
      <w:r w:rsidRPr="00596F2C">
        <w:rPr>
          <w:sz w:val="14"/>
          <w:szCs w:val="14"/>
        </w:rPr>
        <w:t xml:space="preserve"> World Health Organization. Updated Questions and Answers related to the dengue vaccine </w:t>
      </w:r>
      <w:proofErr w:type="spellStart"/>
      <w:r w:rsidRPr="00596F2C">
        <w:rPr>
          <w:sz w:val="14"/>
          <w:szCs w:val="14"/>
        </w:rPr>
        <w:t>Dengvaxia</w:t>
      </w:r>
      <w:proofErr w:type="spellEnd"/>
      <w:r w:rsidRPr="00596F2C">
        <w:rPr>
          <w:sz w:val="14"/>
          <w:szCs w:val="14"/>
        </w:rPr>
        <w:t xml:space="preserve">® and its use. 22 December 2017. Available from:  </w:t>
      </w:r>
      <w:hyperlink r:id="rId2" w:history="1">
        <w:r w:rsidRPr="00596F2C">
          <w:rPr>
            <w:rStyle w:val="Hyperlink"/>
            <w:sz w:val="14"/>
            <w:szCs w:val="14"/>
          </w:rPr>
          <w:t>https://www.who.int/immunization/diseases/dengue/q_and_a_dengue_vaccine_dengvaxia_use/en/</w:t>
        </w:r>
      </w:hyperlink>
      <w:r w:rsidRPr="00596F2C">
        <w:rPr>
          <w:sz w:val="14"/>
          <w:szCs w:val="14"/>
        </w:rPr>
        <w:t xml:space="preserve"> (Accessed 13/12/18). </w:t>
      </w:r>
    </w:p>
  </w:footnote>
  <w:footnote w:id="4">
    <w:p w14:paraId="6E96B04F" w14:textId="77777777" w:rsidR="0099102D" w:rsidRPr="00596F2C" w:rsidRDefault="0099102D">
      <w:pPr>
        <w:pStyle w:val="FootnoteText"/>
        <w:rPr>
          <w:sz w:val="14"/>
          <w:szCs w:val="14"/>
        </w:rPr>
      </w:pPr>
      <w:r w:rsidRPr="00596F2C">
        <w:rPr>
          <w:rStyle w:val="FootnoteReference"/>
          <w:sz w:val="14"/>
          <w:szCs w:val="14"/>
        </w:rPr>
        <w:footnoteRef/>
      </w:r>
      <w:r w:rsidRPr="00596F2C">
        <w:rPr>
          <w:sz w:val="14"/>
          <w:szCs w:val="14"/>
        </w:rPr>
        <w:t xml:space="preserve"> </w:t>
      </w:r>
      <w:proofErr w:type="spellStart"/>
      <w:r w:rsidRPr="00596F2C">
        <w:rPr>
          <w:sz w:val="14"/>
          <w:szCs w:val="14"/>
        </w:rPr>
        <w:t>Katzelnick</w:t>
      </w:r>
      <w:proofErr w:type="spellEnd"/>
      <w:r w:rsidRPr="00596F2C">
        <w:rPr>
          <w:sz w:val="14"/>
          <w:szCs w:val="14"/>
        </w:rPr>
        <w:t xml:space="preserve"> LC, </w:t>
      </w:r>
      <w:proofErr w:type="spellStart"/>
      <w:r w:rsidRPr="00596F2C">
        <w:rPr>
          <w:sz w:val="14"/>
          <w:szCs w:val="14"/>
        </w:rPr>
        <w:t>Gresh</w:t>
      </w:r>
      <w:proofErr w:type="spellEnd"/>
      <w:r w:rsidRPr="00596F2C">
        <w:rPr>
          <w:sz w:val="14"/>
          <w:szCs w:val="14"/>
        </w:rPr>
        <w:t xml:space="preserve"> L, Halloran ME et al. Antibody-dependent enhancement of severe dengue disease in humans. </w:t>
      </w:r>
      <w:r w:rsidRPr="00596F2C">
        <w:rPr>
          <w:i/>
          <w:sz w:val="14"/>
          <w:szCs w:val="14"/>
        </w:rPr>
        <w:t>Science</w:t>
      </w:r>
      <w:r w:rsidRPr="00596F2C">
        <w:rPr>
          <w:sz w:val="14"/>
          <w:szCs w:val="14"/>
        </w:rPr>
        <w:t xml:space="preserve"> 2017:358:929-32</w:t>
      </w:r>
    </w:p>
  </w:footnote>
  <w:footnote w:id="5">
    <w:p w14:paraId="25F6A662" w14:textId="77777777" w:rsidR="008B26D1" w:rsidRPr="00596F2C" w:rsidRDefault="008B26D1">
      <w:pPr>
        <w:pStyle w:val="FootnoteText"/>
        <w:rPr>
          <w:sz w:val="14"/>
          <w:szCs w:val="14"/>
        </w:rPr>
      </w:pPr>
      <w:r w:rsidRPr="006A6E8E">
        <w:rPr>
          <w:rStyle w:val="FootnoteReference"/>
          <w:sz w:val="14"/>
          <w:szCs w:val="14"/>
        </w:rPr>
        <w:footnoteRef/>
      </w:r>
      <w:r w:rsidRPr="006A6E8E">
        <w:rPr>
          <w:sz w:val="14"/>
          <w:szCs w:val="14"/>
        </w:rPr>
        <w:t xml:space="preserve"> </w:t>
      </w:r>
      <w:r w:rsidR="000F3C21" w:rsidRPr="00596F2C">
        <w:rPr>
          <w:sz w:val="14"/>
          <w:szCs w:val="14"/>
        </w:rPr>
        <w:t xml:space="preserve">Tai AY, McGuiness SL, </w:t>
      </w:r>
      <w:proofErr w:type="spellStart"/>
      <w:r w:rsidR="000F3C21" w:rsidRPr="00596F2C">
        <w:rPr>
          <w:sz w:val="14"/>
          <w:szCs w:val="14"/>
        </w:rPr>
        <w:t>Robosa</w:t>
      </w:r>
      <w:proofErr w:type="spellEnd"/>
      <w:r w:rsidR="000F3C21" w:rsidRPr="00596F2C">
        <w:rPr>
          <w:sz w:val="14"/>
          <w:szCs w:val="14"/>
        </w:rPr>
        <w:t xml:space="preserve"> R, et al. Management of dengue in Australian travellers: a retrospective multicentre analysis. </w:t>
      </w:r>
      <w:r w:rsidR="000F3C21" w:rsidRPr="00596F2C">
        <w:rPr>
          <w:i/>
          <w:sz w:val="14"/>
          <w:szCs w:val="14"/>
        </w:rPr>
        <w:t>Medical Journal of Australia</w:t>
      </w:r>
      <w:r w:rsidR="000F3C21" w:rsidRPr="00596F2C">
        <w:rPr>
          <w:sz w:val="14"/>
          <w:szCs w:val="14"/>
        </w:rPr>
        <w:t xml:space="preserve"> 2017; 206:295-300.</w:t>
      </w:r>
    </w:p>
  </w:footnote>
  <w:footnote w:id="6">
    <w:p w14:paraId="0259D5CC" w14:textId="77777777" w:rsidR="00104FEF" w:rsidRPr="00596F2C" w:rsidRDefault="00104FEF">
      <w:pPr>
        <w:pStyle w:val="FootnoteText"/>
        <w:rPr>
          <w:sz w:val="14"/>
          <w:szCs w:val="14"/>
        </w:rPr>
      </w:pPr>
      <w:r w:rsidRPr="00596F2C">
        <w:rPr>
          <w:rStyle w:val="FootnoteReference"/>
          <w:sz w:val="14"/>
          <w:szCs w:val="14"/>
        </w:rPr>
        <w:footnoteRef/>
      </w:r>
      <w:r w:rsidRPr="00596F2C">
        <w:rPr>
          <w:sz w:val="14"/>
          <w:szCs w:val="14"/>
        </w:rPr>
        <w:t xml:space="preserve"> </w:t>
      </w:r>
      <w:proofErr w:type="spellStart"/>
      <w:r w:rsidRPr="00596F2C">
        <w:rPr>
          <w:sz w:val="14"/>
          <w:szCs w:val="14"/>
        </w:rPr>
        <w:t>Capeding</w:t>
      </w:r>
      <w:proofErr w:type="spellEnd"/>
      <w:r w:rsidRPr="00596F2C">
        <w:rPr>
          <w:sz w:val="14"/>
          <w:szCs w:val="14"/>
        </w:rPr>
        <w:t xml:space="preserve"> MR, Tran NH, </w:t>
      </w:r>
      <w:proofErr w:type="spellStart"/>
      <w:r w:rsidRPr="00596F2C">
        <w:rPr>
          <w:sz w:val="14"/>
          <w:szCs w:val="14"/>
        </w:rPr>
        <w:t>Hadinegoro</w:t>
      </w:r>
      <w:proofErr w:type="spellEnd"/>
      <w:r w:rsidRPr="00596F2C">
        <w:rPr>
          <w:sz w:val="14"/>
          <w:szCs w:val="14"/>
        </w:rPr>
        <w:t xml:space="preserve"> SR et al. Clinical efficacy and safety of a novel tetravalent dengue vaccine in healthy children in Asia: a phase 3, randomised, observer-masked, placebo-controlled trial. </w:t>
      </w:r>
      <w:r w:rsidRPr="00596F2C">
        <w:rPr>
          <w:i/>
          <w:sz w:val="14"/>
          <w:szCs w:val="14"/>
        </w:rPr>
        <w:t xml:space="preserve">Lancet </w:t>
      </w:r>
      <w:r w:rsidRPr="00596F2C">
        <w:rPr>
          <w:sz w:val="14"/>
          <w:szCs w:val="14"/>
        </w:rPr>
        <w:t xml:space="preserve">2014:384:1358-65. </w:t>
      </w:r>
    </w:p>
  </w:footnote>
  <w:footnote w:id="7">
    <w:p w14:paraId="4B6B9E91" w14:textId="77777777" w:rsidR="00F8213F" w:rsidRPr="00596F2C" w:rsidRDefault="00F8213F">
      <w:pPr>
        <w:pStyle w:val="FootnoteText"/>
        <w:rPr>
          <w:sz w:val="14"/>
          <w:szCs w:val="14"/>
        </w:rPr>
      </w:pPr>
      <w:r w:rsidRPr="00596F2C">
        <w:rPr>
          <w:rStyle w:val="FootnoteReference"/>
          <w:sz w:val="14"/>
          <w:szCs w:val="14"/>
        </w:rPr>
        <w:footnoteRef/>
      </w:r>
      <w:r w:rsidRPr="00596F2C">
        <w:rPr>
          <w:sz w:val="14"/>
          <w:szCs w:val="14"/>
        </w:rPr>
        <w:t xml:space="preserve"> </w:t>
      </w:r>
      <w:proofErr w:type="spellStart"/>
      <w:r w:rsidRPr="00596F2C">
        <w:rPr>
          <w:sz w:val="14"/>
          <w:szCs w:val="14"/>
        </w:rPr>
        <w:t>Villar</w:t>
      </w:r>
      <w:proofErr w:type="spellEnd"/>
      <w:r w:rsidRPr="00596F2C">
        <w:rPr>
          <w:sz w:val="14"/>
          <w:szCs w:val="14"/>
        </w:rPr>
        <w:t xml:space="preserve"> L, Dayan GH, Arredondo-Garcia JL, et al. Efficacy of a tetravalent dengue vaccine in children in Latin America. </w:t>
      </w:r>
      <w:r w:rsidRPr="00596F2C">
        <w:rPr>
          <w:i/>
          <w:sz w:val="14"/>
          <w:szCs w:val="14"/>
        </w:rPr>
        <w:t xml:space="preserve">N </w:t>
      </w:r>
      <w:proofErr w:type="spellStart"/>
      <w:r w:rsidRPr="00596F2C">
        <w:rPr>
          <w:i/>
          <w:sz w:val="14"/>
          <w:szCs w:val="14"/>
        </w:rPr>
        <w:t>Engl</w:t>
      </w:r>
      <w:proofErr w:type="spellEnd"/>
      <w:r w:rsidRPr="00596F2C">
        <w:rPr>
          <w:i/>
          <w:sz w:val="14"/>
          <w:szCs w:val="14"/>
        </w:rPr>
        <w:t xml:space="preserve"> J Med</w:t>
      </w:r>
      <w:r w:rsidRPr="00596F2C">
        <w:rPr>
          <w:sz w:val="14"/>
          <w:szCs w:val="14"/>
        </w:rPr>
        <w:t xml:space="preserve"> 2018; 379: 327-40. </w:t>
      </w:r>
    </w:p>
  </w:footnote>
  <w:footnote w:id="8">
    <w:p w14:paraId="7AAF0800" w14:textId="77777777" w:rsidR="00F8213F" w:rsidRPr="00596F2C" w:rsidRDefault="00F8213F">
      <w:pPr>
        <w:pStyle w:val="FootnoteText"/>
        <w:rPr>
          <w:sz w:val="14"/>
          <w:szCs w:val="14"/>
        </w:rPr>
      </w:pPr>
      <w:r w:rsidRPr="00596F2C">
        <w:rPr>
          <w:rStyle w:val="FootnoteReference"/>
          <w:sz w:val="14"/>
          <w:szCs w:val="14"/>
        </w:rPr>
        <w:footnoteRef/>
      </w:r>
      <w:r w:rsidRPr="00596F2C">
        <w:rPr>
          <w:sz w:val="14"/>
          <w:szCs w:val="14"/>
        </w:rPr>
        <w:t xml:space="preserve"> Sridhar S, </w:t>
      </w:r>
      <w:proofErr w:type="spellStart"/>
      <w:r w:rsidRPr="00596F2C">
        <w:rPr>
          <w:sz w:val="14"/>
          <w:szCs w:val="14"/>
        </w:rPr>
        <w:t>Luedtke</w:t>
      </w:r>
      <w:proofErr w:type="spellEnd"/>
      <w:r w:rsidRPr="00596F2C">
        <w:rPr>
          <w:sz w:val="14"/>
          <w:szCs w:val="14"/>
        </w:rPr>
        <w:t xml:space="preserve"> A, </w:t>
      </w:r>
      <w:proofErr w:type="spellStart"/>
      <w:r w:rsidRPr="00596F2C">
        <w:rPr>
          <w:sz w:val="14"/>
          <w:szCs w:val="14"/>
        </w:rPr>
        <w:t>Langevin</w:t>
      </w:r>
      <w:proofErr w:type="spellEnd"/>
      <w:r w:rsidRPr="00596F2C">
        <w:rPr>
          <w:sz w:val="14"/>
          <w:szCs w:val="14"/>
        </w:rPr>
        <w:t xml:space="preserve"> E, et al. Effect of Dengue </w:t>
      </w:r>
      <w:proofErr w:type="spellStart"/>
      <w:r w:rsidRPr="00596F2C">
        <w:rPr>
          <w:sz w:val="14"/>
          <w:szCs w:val="14"/>
        </w:rPr>
        <w:t>Serostatus</w:t>
      </w:r>
      <w:proofErr w:type="spellEnd"/>
      <w:r w:rsidRPr="00596F2C">
        <w:rPr>
          <w:sz w:val="14"/>
          <w:szCs w:val="14"/>
        </w:rPr>
        <w:t xml:space="preserve"> on Dengue Vaccine Safety and Efficacy. </w:t>
      </w:r>
      <w:r w:rsidRPr="00596F2C">
        <w:rPr>
          <w:i/>
          <w:sz w:val="14"/>
          <w:szCs w:val="14"/>
        </w:rPr>
        <w:t xml:space="preserve">N </w:t>
      </w:r>
      <w:proofErr w:type="spellStart"/>
      <w:r w:rsidRPr="00596F2C">
        <w:rPr>
          <w:i/>
          <w:sz w:val="14"/>
          <w:szCs w:val="14"/>
        </w:rPr>
        <w:t>Engl</w:t>
      </w:r>
      <w:proofErr w:type="spellEnd"/>
      <w:r w:rsidRPr="00596F2C">
        <w:rPr>
          <w:i/>
          <w:sz w:val="14"/>
          <w:szCs w:val="14"/>
        </w:rPr>
        <w:t xml:space="preserve"> J Med</w:t>
      </w:r>
      <w:r w:rsidRPr="00596F2C">
        <w:rPr>
          <w:sz w:val="14"/>
          <w:szCs w:val="14"/>
        </w:rPr>
        <w:t xml:space="preserve"> 2018; 379: 327-40. </w:t>
      </w:r>
    </w:p>
  </w:footnote>
  <w:footnote w:id="9">
    <w:p w14:paraId="27D2EB5A" w14:textId="77777777" w:rsidR="00DD5DEE" w:rsidRPr="00596F2C" w:rsidRDefault="00DD5DEE">
      <w:pPr>
        <w:pStyle w:val="FootnoteText"/>
        <w:rPr>
          <w:sz w:val="14"/>
          <w:szCs w:val="14"/>
        </w:rPr>
      </w:pPr>
      <w:r w:rsidRPr="00596F2C">
        <w:rPr>
          <w:rStyle w:val="FootnoteReference"/>
          <w:sz w:val="14"/>
          <w:szCs w:val="14"/>
        </w:rPr>
        <w:footnoteRef/>
      </w:r>
      <w:r w:rsidRPr="00596F2C">
        <w:rPr>
          <w:sz w:val="14"/>
          <w:szCs w:val="14"/>
        </w:rPr>
        <w:t xml:space="preserve"> World Health Organization. Revised SAGE recommendation on the use of dengue vaccine. April 2018. 2018 Available from: </w:t>
      </w:r>
      <w:hyperlink r:id="rId3" w:history="1">
        <w:r w:rsidRPr="00596F2C">
          <w:rPr>
            <w:rStyle w:val="Hyperlink"/>
            <w:sz w:val="14"/>
            <w:szCs w:val="14"/>
          </w:rPr>
          <w:t>https://www.who.int/immunization/diseases/dengue/revised_SAGE_recommendations_dengue_vaccines_apr2018/en/</w:t>
        </w:r>
      </w:hyperlink>
      <w:r w:rsidRPr="00596F2C">
        <w:rPr>
          <w:sz w:val="14"/>
          <w:szCs w:val="14"/>
        </w:rPr>
        <w:t xml:space="preserve"> (Accessed 13/12/18)</w:t>
      </w:r>
    </w:p>
  </w:footnote>
  <w:footnote w:id="10">
    <w:p w14:paraId="619B9F34" w14:textId="77777777" w:rsidR="00DD5DEE" w:rsidRPr="00596F2C" w:rsidRDefault="00DD5DEE">
      <w:pPr>
        <w:pStyle w:val="FootnoteText"/>
        <w:rPr>
          <w:sz w:val="14"/>
          <w:szCs w:val="14"/>
        </w:rPr>
      </w:pPr>
      <w:r w:rsidRPr="00596F2C">
        <w:rPr>
          <w:rStyle w:val="FootnoteReference"/>
          <w:sz w:val="14"/>
          <w:szCs w:val="14"/>
        </w:rPr>
        <w:footnoteRef/>
      </w:r>
      <w:r w:rsidRPr="00596F2C">
        <w:rPr>
          <w:sz w:val="14"/>
          <w:szCs w:val="14"/>
        </w:rPr>
        <w:t xml:space="preserve"> World Health Organization. Dengue Position Paper September 2018. 2018. Available from: </w:t>
      </w:r>
      <w:hyperlink r:id="rId4" w:history="1">
        <w:r w:rsidRPr="00596F2C">
          <w:rPr>
            <w:rStyle w:val="Hyperlink"/>
            <w:sz w:val="14"/>
            <w:szCs w:val="14"/>
          </w:rPr>
          <w:t>http://apps.who.int/iris/bitstream/handle/10665/274315/WER9336.pdf</w:t>
        </w:r>
      </w:hyperlink>
      <w:r w:rsidRPr="00596F2C">
        <w:rPr>
          <w:sz w:val="14"/>
          <w:szCs w:val="14"/>
        </w:rPr>
        <w:t xml:space="preserve"> (Accessed 13/12/18).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084804"/>
    <w:lvl w:ilvl="0">
      <w:start w:val="1"/>
      <w:numFmt w:val="decimal"/>
      <w:lvlText w:val="%1."/>
      <w:lvlJc w:val="left"/>
      <w:pPr>
        <w:tabs>
          <w:tab w:val="num" w:pos="360"/>
        </w:tabs>
        <w:ind w:left="360" w:hanging="360"/>
      </w:pPr>
    </w:lvl>
  </w:abstractNum>
  <w:abstractNum w:abstractNumId="1" w15:restartNumberingAfterBreak="0">
    <w:nsid w:val="046F537A"/>
    <w:multiLevelType w:val="hybridMultilevel"/>
    <w:tmpl w:val="A3F46136"/>
    <w:lvl w:ilvl="0" w:tplc="BEAC84C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E5F5C"/>
    <w:multiLevelType w:val="multilevel"/>
    <w:tmpl w:val="5D723144"/>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B935F06"/>
    <w:multiLevelType w:val="hybridMultilevel"/>
    <w:tmpl w:val="BFF0D858"/>
    <w:lvl w:ilvl="0" w:tplc="8E40D3EC">
      <w:start w:val="1"/>
      <w:numFmt w:val="bullet"/>
      <w:pStyle w:val="Bodytext-bullet"/>
      <w:lvlText w:val=""/>
      <w:lvlJc w:val="left"/>
      <w:pPr>
        <w:ind w:left="1435" w:hanging="360"/>
      </w:pPr>
      <w:rPr>
        <w:rFonts w:ascii="Symbol" w:hAnsi="Symbol" w:hint="default"/>
      </w:rPr>
    </w:lvl>
    <w:lvl w:ilvl="1" w:tplc="99643D4C">
      <w:numFmt w:val="bullet"/>
      <w:lvlText w:val="-"/>
      <w:lvlJc w:val="left"/>
      <w:pPr>
        <w:ind w:left="2155" w:hanging="360"/>
      </w:pPr>
      <w:rPr>
        <w:rFonts w:ascii="Times New Roman" w:eastAsia="Times New Roman" w:hAnsi="Times New Roman" w:cs="Times New Roman" w:hint="default"/>
      </w:r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7" w15:restartNumberingAfterBreak="0">
    <w:nsid w:val="39D155AE"/>
    <w:multiLevelType w:val="multilevel"/>
    <w:tmpl w:val="6E3C571A"/>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B937CEF"/>
    <w:multiLevelType w:val="hybridMultilevel"/>
    <w:tmpl w:val="7CC647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92B05"/>
    <w:multiLevelType w:val="hybridMultilevel"/>
    <w:tmpl w:val="8842AD0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2"/>
  </w:num>
  <w:num w:numId="6">
    <w:abstractNumId w:val="11"/>
  </w:num>
  <w:num w:numId="7">
    <w:abstractNumId w:val="8"/>
  </w:num>
  <w:num w:numId="8">
    <w:abstractNumId w:val="13"/>
  </w:num>
  <w:num w:numId="9">
    <w:abstractNumId w:val="1"/>
  </w:num>
  <w:num w:numId="10">
    <w:abstractNumId w:val="6"/>
  </w:num>
  <w:num w:numId="11">
    <w:abstractNumId w:val="10"/>
  </w:num>
  <w:num w:numId="12">
    <w:abstractNumId w:val="4"/>
  </w:num>
  <w:num w:numId="13">
    <w:abstractNumId w:val="9"/>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0"/>
  <w:activeWritingStyle w:appName="MSWord" w:lang="en-US"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67"/>
    <w:rsid w:val="00003743"/>
    <w:rsid w:val="000068F3"/>
    <w:rsid w:val="00027861"/>
    <w:rsid w:val="00040128"/>
    <w:rsid w:val="0004452A"/>
    <w:rsid w:val="00060DA3"/>
    <w:rsid w:val="000613EA"/>
    <w:rsid w:val="000668B0"/>
    <w:rsid w:val="00067456"/>
    <w:rsid w:val="00070390"/>
    <w:rsid w:val="00083432"/>
    <w:rsid w:val="000838A5"/>
    <w:rsid w:val="000924FE"/>
    <w:rsid w:val="00096BD7"/>
    <w:rsid w:val="000A5E79"/>
    <w:rsid w:val="000C27C2"/>
    <w:rsid w:val="000E3B45"/>
    <w:rsid w:val="000F2055"/>
    <w:rsid w:val="000F3C21"/>
    <w:rsid w:val="000F4F73"/>
    <w:rsid w:val="00102857"/>
    <w:rsid w:val="001046F3"/>
    <w:rsid w:val="00104FEF"/>
    <w:rsid w:val="00162B3C"/>
    <w:rsid w:val="001634AA"/>
    <w:rsid w:val="00166F73"/>
    <w:rsid w:val="00183FB0"/>
    <w:rsid w:val="0018425E"/>
    <w:rsid w:val="00186E21"/>
    <w:rsid w:val="00190797"/>
    <w:rsid w:val="00191A3C"/>
    <w:rsid w:val="001A5969"/>
    <w:rsid w:val="001B1080"/>
    <w:rsid w:val="001B1C1F"/>
    <w:rsid w:val="001B3443"/>
    <w:rsid w:val="001C34F6"/>
    <w:rsid w:val="001E45A0"/>
    <w:rsid w:val="001F1297"/>
    <w:rsid w:val="00205C5A"/>
    <w:rsid w:val="00234619"/>
    <w:rsid w:val="0023568B"/>
    <w:rsid w:val="00247BCD"/>
    <w:rsid w:val="002530E9"/>
    <w:rsid w:val="002650A3"/>
    <w:rsid w:val="002664E3"/>
    <w:rsid w:val="00291A4E"/>
    <w:rsid w:val="00295ED2"/>
    <w:rsid w:val="002A7C0B"/>
    <w:rsid w:val="002B25C2"/>
    <w:rsid w:val="002E5BDC"/>
    <w:rsid w:val="002E7E50"/>
    <w:rsid w:val="002F3AE3"/>
    <w:rsid w:val="003021C5"/>
    <w:rsid w:val="00304DAF"/>
    <w:rsid w:val="0030786C"/>
    <w:rsid w:val="00314BC3"/>
    <w:rsid w:val="003151C1"/>
    <w:rsid w:val="00323B20"/>
    <w:rsid w:val="003240B3"/>
    <w:rsid w:val="00353274"/>
    <w:rsid w:val="003B441C"/>
    <w:rsid w:val="003B5F00"/>
    <w:rsid w:val="003B7900"/>
    <w:rsid w:val="003C4D88"/>
    <w:rsid w:val="003D17F9"/>
    <w:rsid w:val="003D36F3"/>
    <w:rsid w:val="003D52D7"/>
    <w:rsid w:val="003E58EC"/>
    <w:rsid w:val="003E7A6C"/>
    <w:rsid w:val="004021A5"/>
    <w:rsid w:val="0043689C"/>
    <w:rsid w:val="00455C08"/>
    <w:rsid w:val="004867E2"/>
    <w:rsid w:val="004A2CD4"/>
    <w:rsid w:val="004A32C3"/>
    <w:rsid w:val="004D4FA8"/>
    <w:rsid w:val="004E1037"/>
    <w:rsid w:val="004E64C7"/>
    <w:rsid w:val="004F28F5"/>
    <w:rsid w:val="004F3AA0"/>
    <w:rsid w:val="00535422"/>
    <w:rsid w:val="00543C9E"/>
    <w:rsid w:val="005452B7"/>
    <w:rsid w:val="00561352"/>
    <w:rsid w:val="00573D48"/>
    <w:rsid w:val="00577DDB"/>
    <w:rsid w:val="00586D91"/>
    <w:rsid w:val="005918D8"/>
    <w:rsid w:val="00596E15"/>
    <w:rsid w:val="00596F2C"/>
    <w:rsid w:val="005D2E42"/>
    <w:rsid w:val="005E0FAB"/>
    <w:rsid w:val="005F456E"/>
    <w:rsid w:val="005F4768"/>
    <w:rsid w:val="005F5E7E"/>
    <w:rsid w:val="00603545"/>
    <w:rsid w:val="006164C2"/>
    <w:rsid w:val="00627DF9"/>
    <w:rsid w:val="006460D6"/>
    <w:rsid w:val="0065191E"/>
    <w:rsid w:val="00654975"/>
    <w:rsid w:val="006603E3"/>
    <w:rsid w:val="00665484"/>
    <w:rsid w:val="006727F5"/>
    <w:rsid w:val="00672899"/>
    <w:rsid w:val="00681913"/>
    <w:rsid w:val="0068655B"/>
    <w:rsid w:val="006A6E8E"/>
    <w:rsid w:val="006B5200"/>
    <w:rsid w:val="006C28DD"/>
    <w:rsid w:val="006C3116"/>
    <w:rsid w:val="006D243E"/>
    <w:rsid w:val="006D5B79"/>
    <w:rsid w:val="006F5435"/>
    <w:rsid w:val="00706042"/>
    <w:rsid w:val="00713E5F"/>
    <w:rsid w:val="0074416B"/>
    <w:rsid w:val="00767E76"/>
    <w:rsid w:val="00774238"/>
    <w:rsid w:val="007B49AE"/>
    <w:rsid w:val="007C226F"/>
    <w:rsid w:val="007D71AA"/>
    <w:rsid w:val="007E6016"/>
    <w:rsid w:val="008264EB"/>
    <w:rsid w:val="00826860"/>
    <w:rsid w:val="008269FB"/>
    <w:rsid w:val="008462F8"/>
    <w:rsid w:val="00847DF0"/>
    <w:rsid w:val="00853F4D"/>
    <w:rsid w:val="00885093"/>
    <w:rsid w:val="008B26D1"/>
    <w:rsid w:val="008D4150"/>
    <w:rsid w:val="008E040B"/>
    <w:rsid w:val="00917E71"/>
    <w:rsid w:val="009205FB"/>
    <w:rsid w:val="00956E1E"/>
    <w:rsid w:val="00963935"/>
    <w:rsid w:val="00963B53"/>
    <w:rsid w:val="00967A88"/>
    <w:rsid w:val="00983721"/>
    <w:rsid w:val="0099102D"/>
    <w:rsid w:val="009A60F4"/>
    <w:rsid w:val="009C0336"/>
    <w:rsid w:val="009C305D"/>
    <w:rsid w:val="009D067A"/>
    <w:rsid w:val="009D7609"/>
    <w:rsid w:val="009D7661"/>
    <w:rsid w:val="009E44BA"/>
    <w:rsid w:val="009E5B4B"/>
    <w:rsid w:val="009F4281"/>
    <w:rsid w:val="009F4C87"/>
    <w:rsid w:val="009F7DAB"/>
    <w:rsid w:val="00A07564"/>
    <w:rsid w:val="00A07F46"/>
    <w:rsid w:val="00A1659F"/>
    <w:rsid w:val="00A229D3"/>
    <w:rsid w:val="00A25221"/>
    <w:rsid w:val="00A30660"/>
    <w:rsid w:val="00A30A78"/>
    <w:rsid w:val="00A36FFE"/>
    <w:rsid w:val="00A41017"/>
    <w:rsid w:val="00A4512D"/>
    <w:rsid w:val="00A66C82"/>
    <w:rsid w:val="00A705AF"/>
    <w:rsid w:val="00A861B2"/>
    <w:rsid w:val="00A92D2E"/>
    <w:rsid w:val="00A952FB"/>
    <w:rsid w:val="00AA282B"/>
    <w:rsid w:val="00AA54FD"/>
    <w:rsid w:val="00AC1AA3"/>
    <w:rsid w:val="00AC23C0"/>
    <w:rsid w:val="00AC513B"/>
    <w:rsid w:val="00AF207E"/>
    <w:rsid w:val="00B42851"/>
    <w:rsid w:val="00B42E48"/>
    <w:rsid w:val="00B44123"/>
    <w:rsid w:val="00B565E1"/>
    <w:rsid w:val="00B64B14"/>
    <w:rsid w:val="00B732C4"/>
    <w:rsid w:val="00B95AE4"/>
    <w:rsid w:val="00BB5576"/>
    <w:rsid w:val="00BC613B"/>
    <w:rsid w:val="00C259AF"/>
    <w:rsid w:val="00C40806"/>
    <w:rsid w:val="00C418A1"/>
    <w:rsid w:val="00C55AAE"/>
    <w:rsid w:val="00C617E9"/>
    <w:rsid w:val="00C639AF"/>
    <w:rsid w:val="00C64A85"/>
    <w:rsid w:val="00C658A4"/>
    <w:rsid w:val="00C90382"/>
    <w:rsid w:val="00C90E3F"/>
    <w:rsid w:val="00C93933"/>
    <w:rsid w:val="00CA093A"/>
    <w:rsid w:val="00CB4C13"/>
    <w:rsid w:val="00CB5B1A"/>
    <w:rsid w:val="00CD0C70"/>
    <w:rsid w:val="00CD2E65"/>
    <w:rsid w:val="00CD4CBD"/>
    <w:rsid w:val="00CE44AE"/>
    <w:rsid w:val="00CF6A28"/>
    <w:rsid w:val="00D0324B"/>
    <w:rsid w:val="00D04189"/>
    <w:rsid w:val="00D1673E"/>
    <w:rsid w:val="00D22D32"/>
    <w:rsid w:val="00D25895"/>
    <w:rsid w:val="00D3007E"/>
    <w:rsid w:val="00D3153C"/>
    <w:rsid w:val="00D33167"/>
    <w:rsid w:val="00D403F0"/>
    <w:rsid w:val="00D47507"/>
    <w:rsid w:val="00D511E2"/>
    <w:rsid w:val="00D638FD"/>
    <w:rsid w:val="00D73717"/>
    <w:rsid w:val="00D75FD7"/>
    <w:rsid w:val="00D91630"/>
    <w:rsid w:val="00D93A8C"/>
    <w:rsid w:val="00DB0439"/>
    <w:rsid w:val="00DD0878"/>
    <w:rsid w:val="00DD1480"/>
    <w:rsid w:val="00DD5B70"/>
    <w:rsid w:val="00DD5DEE"/>
    <w:rsid w:val="00DE28BE"/>
    <w:rsid w:val="00DF782A"/>
    <w:rsid w:val="00E02437"/>
    <w:rsid w:val="00E228B6"/>
    <w:rsid w:val="00E2601D"/>
    <w:rsid w:val="00E42ADC"/>
    <w:rsid w:val="00E47BC5"/>
    <w:rsid w:val="00E7099F"/>
    <w:rsid w:val="00E70AD1"/>
    <w:rsid w:val="00E71B5A"/>
    <w:rsid w:val="00E8287C"/>
    <w:rsid w:val="00E97BCF"/>
    <w:rsid w:val="00EC4CE8"/>
    <w:rsid w:val="00EE6AE7"/>
    <w:rsid w:val="00F14879"/>
    <w:rsid w:val="00F151D2"/>
    <w:rsid w:val="00F15390"/>
    <w:rsid w:val="00F241D1"/>
    <w:rsid w:val="00F410B0"/>
    <w:rsid w:val="00F4123D"/>
    <w:rsid w:val="00F55402"/>
    <w:rsid w:val="00F60DF4"/>
    <w:rsid w:val="00F61C42"/>
    <w:rsid w:val="00F66E71"/>
    <w:rsid w:val="00F72D24"/>
    <w:rsid w:val="00F743D5"/>
    <w:rsid w:val="00F8060C"/>
    <w:rsid w:val="00F8213F"/>
    <w:rsid w:val="00F9158F"/>
    <w:rsid w:val="00FB0979"/>
    <w:rsid w:val="00FC6CE7"/>
    <w:rsid w:val="00FD0D3F"/>
    <w:rsid w:val="00FD3DB6"/>
    <w:rsid w:val="00FD502F"/>
    <w:rsid w:val="00FF0F5E"/>
    <w:rsid w:val="00FF6AC8"/>
    <w:rsid w:val="4581BC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92072DB"/>
  <w15:docId w15:val="{3867EB53-2931-48A6-8928-4AD10868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070390"/>
    <w:pPr>
      <w:spacing w:before="12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070390"/>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uiPriority w:val="99"/>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uiPriority w:val="59"/>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0"/>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eastAsia="Times New Roman" w:hAnsi="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eastAsia="Times New Roman" w:hAnsi="Times New Roman" w:cs="Times New Roman"/>
      <w:b/>
      <w:szCs w:val="20"/>
    </w:rPr>
  </w:style>
  <w:style w:type="paragraph" w:customStyle="1" w:styleId="Tabletext0">
    <w:name w:val="Table text"/>
    <w:qFormat/>
    <w:rsid w:val="00F8060C"/>
    <w:pPr>
      <w:spacing w:before="40" w:after="40" w:line="240" w:lineRule="auto"/>
      <w:jc w:val="center"/>
    </w:pPr>
    <w:rPr>
      <w:rFonts w:ascii="Times New Roman" w:eastAsia="Times New Roman" w:hAnsi="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eastAsia="Times New Roman" w:hAnsi="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eastAsia="Times New Roman" w:hAnsi="Times New Roman" w:cs="Times New Roman"/>
      <w:i/>
      <w:szCs w:val="20"/>
    </w:rPr>
  </w:style>
  <w:style w:type="paragraph" w:styleId="ListParagraph">
    <w:name w:val="List Paragraph"/>
    <w:basedOn w:val="Normal"/>
    <w:uiPriority w:val="34"/>
    <w:qFormat/>
    <w:rsid w:val="00183FB0"/>
    <w:pPr>
      <w:spacing w:line="276" w:lineRule="auto"/>
      <w:ind w:left="720"/>
      <w:contextualSpacing/>
    </w:pPr>
    <w:rPr>
      <w:rFonts w:asciiTheme="minorHAnsi" w:eastAsiaTheme="minorHAnsi" w:hAnsiTheme="minorHAnsi" w:cstheme="minorBidi"/>
      <w:sz w:val="22"/>
      <w:szCs w:val="22"/>
      <w:lang w:eastAsia="en-US"/>
    </w:rPr>
  </w:style>
  <w:style w:type="paragraph" w:customStyle="1" w:styleId="EndNoteBibliography">
    <w:name w:val="EndNote Bibliography"/>
    <w:basedOn w:val="Normal"/>
    <w:link w:val="EndNoteBibliographyChar"/>
    <w:rsid w:val="00183FB0"/>
    <w:pPr>
      <w:spacing w:line="240" w:lineRule="auto"/>
    </w:pPr>
    <w:rPr>
      <w:rFonts w:ascii="Cambria" w:eastAsiaTheme="minorHAnsi" w:hAnsi="Cambria" w:cstheme="minorBidi"/>
      <w:noProof/>
      <w:sz w:val="28"/>
      <w:szCs w:val="22"/>
      <w:lang w:val="en-US" w:eastAsia="en-US"/>
    </w:rPr>
  </w:style>
  <w:style w:type="character" w:customStyle="1" w:styleId="EndNoteBibliographyChar">
    <w:name w:val="EndNote Bibliography Char"/>
    <w:basedOn w:val="DefaultParagraphFont"/>
    <w:link w:val="EndNoteBibliography"/>
    <w:rsid w:val="00183FB0"/>
    <w:rPr>
      <w:rFonts w:ascii="Cambria" w:eastAsiaTheme="minorHAnsi" w:hAnsi="Cambria" w:cstheme="minorBidi"/>
      <w:noProof/>
      <w:sz w:val="28"/>
      <w:lang w:val="en-US" w:eastAsia="en-US"/>
    </w:rPr>
  </w:style>
  <w:style w:type="character" w:styleId="FollowedHyperlink">
    <w:name w:val="FollowedHyperlink"/>
    <w:basedOn w:val="DefaultParagraphFont"/>
    <w:rsid w:val="000F4F73"/>
    <w:rPr>
      <w:color w:val="800080" w:themeColor="followedHyperlink"/>
      <w:u w:val="single"/>
    </w:rPr>
  </w:style>
  <w:style w:type="numbering" w:customStyle="1" w:styleId="Style1">
    <w:name w:val="Style1"/>
    <w:uiPriority w:val="99"/>
    <w:rsid w:val="004368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429615830">
      <w:bodyDiv w:val="1"/>
      <w:marLeft w:val="0"/>
      <w:marRight w:val="0"/>
      <w:marTop w:val="0"/>
      <w:marBottom w:val="0"/>
      <w:divBdr>
        <w:top w:val="none" w:sz="0" w:space="0" w:color="auto"/>
        <w:left w:val="none" w:sz="0" w:space="0" w:color="auto"/>
        <w:bottom w:val="none" w:sz="0" w:space="0" w:color="auto"/>
        <w:right w:val="none" w:sz="0" w:space="0" w:color="auto"/>
      </w:divBdr>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munisationhandbook.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immunization/diseases/dengue/revised_SAGE_recommendations_dengue_vaccines_apr2018/en/" TargetMode="External"/><Relationship Id="rId2" Type="http://schemas.openxmlformats.org/officeDocument/2006/relationships/hyperlink" Target="https://www.who.int/immunization/diseases/dengue/q_and_a_dengue_vaccine_dengvaxia_use/en/" TargetMode="External"/><Relationship Id="rId1" Type="http://schemas.openxmlformats.org/officeDocument/2006/relationships/hyperlink" Target="https://www.who.int/news-room/fact-sheets/detail/dengue-and-severe-dengue" TargetMode="External"/><Relationship Id="rId4" Type="http://schemas.openxmlformats.org/officeDocument/2006/relationships/hyperlink" Target="http://apps.who.int/iris/bitstream/handle/10665/274315/WER93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2019-07-17T14:00:00+00:00</Publishing_x0020_Required_x0020_By>
    <Approved_x0020_Date xmlns="2bd5d25a-ed67-4748-9d94-e4b1e4baa595">2019-07-17T14:00:00+00:00</Approved_x0020_Date>
    <IconOverlay xmlns="http://schemas.microsoft.com/sharepoint/v4" xsi:nil="true"/>
    <Content_x0020_Approver xmlns="2bd5d25a-ed67-4748-9d94-e4b1e4baa595">
      <UserInfo>
        <DisplayName>PEISLEY, Hope</DisplayName>
        <AccountId>4376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Lang, Alison</DisplayName>
        <AccountId>2453</AccountId>
        <AccountType/>
      </UserInfo>
    </Peer_x0020_Review_x0020_Required_x0020_By>
    <Content_x0020_Owner xmlns="2bd5d25a-ed67-4748-9d94-e4b1e4baa595">
      <UserInfo>
        <DisplayName>PEISLEY, Hope</DisplayName>
        <AccountId>4376</AccountId>
        <AccountType/>
      </UserInfo>
    </Content_x0020_Owner>
  </documentManagement>
</p:properties>
</file>

<file path=customXml/item4.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D90D2D84-BFEB-462F-A3CF-1D0A00F336DB}">
  <ds:schemaRefs>
    <ds:schemaRef ds:uri="http://schemas.microsoft.com/sharepoint/v3/contenttype/forms"/>
  </ds:schemaRefs>
</ds:datastoreItem>
</file>

<file path=customXml/itemProps2.xml><?xml version="1.0" encoding="utf-8"?>
<ds:datastoreItem xmlns:ds="http://schemas.openxmlformats.org/officeDocument/2006/customXml" ds:itemID="{2F53831C-E52F-4740-984F-F9237D054503}"/>
</file>

<file path=customXml/itemProps3.xml><?xml version="1.0" encoding="utf-8"?>
<ds:datastoreItem xmlns:ds="http://schemas.openxmlformats.org/officeDocument/2006/customXml" ds:itemID="{4AA33B45-2701-472D-BA1A-A4119897F28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20cad0c-95e1-4d77-8f91-210a7a33afa8"/>
    <ds:schemaRef ds:uri="http://schemas.openxmlformats.org/package/2006/metadata/core-properties"/>
    <ds:schemaRef ds:uri="06a46dfe-a20a-428e-95cd-f76c117fc5dd"/>
    <ds:schemaRef ds:uri="http://www.w3.org/XML/1998/namespace"/>
  </ds:schemaRefs>
</ds:datastoreItem>
</file>

<file path=customXml/itemProps4.xml><?xml version="1.0" encoding="utf-8"?>
<ds:datastoreItem xmlns:ds="http://schemas.openxmlformats.org/officeDocument/2006/customXml" ds:itemID="{94457E1E-F9E6-4C07-AD1D-1A474CEE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1358</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Alicia</dc:creator>
  <cp:lastModifiedBy>Keeling, Ashleigh</cp:lastModifiedBy>
  <cp:revision>4</cp:revision>
  <cp:lastPrinted>2019-07-17T22:58:00Z</cp:lastPrinted>
  <dcterms:created xsi:type="dcterms:W3CDTF">2019-07-12T05:03:00Z</dcterms:created>
  <dcterms:modified xsi:type="dcterms:W3CDTF">2019-07-17T22:58:00Z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b55235ed-5ca5-4ec6-8961-3a05ae543b2a,2;b55235ed-5ca5-4ec6-8961-3a05ae543b2a,2;b55235ed-5ca5-4ec6-8961-3a05ae543b2a,2;b55235ed-5ca5-4ec6-8961-3a05ae543b2a,2;</vt:lpwstr>
  </property>
  <property fmtid="{D5CDD505-2E9C-101B-9397-08002B2CF9AE}" pid="4" name="_docset_NoMedatataSyncRequired">
    <vt:lpwstr>False</vt:lpwstr>
  </property>
</Properties>
</file>