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us Gov and ATAGI header"/>
      </w:tblPr>
      <w:tblGrid>
        <w:gridCol w:w="3212"/>
        <w:gridCol w:w="6884"/>
      </w:tblGrid>
      <w:tr w:rsidR="004F3AA0" w14:paraId="40E3D525" w14:textId="77777777" w:rsidTr="00083432">
        <w:trPr>
          <w:trHeight w:val="1831"/>
          <w:tblHeader/>
        </w:trPr>
        <w:tc>
          <w:tcPr>
            <w:tcW w:w="3226" w:type="dxa"/>
            <w:shd w:val="clear" w:color="auto" w:fill="55259E"/>
            <w:vAlign w:val="center"/>
          </w:tcPr>
          <w:p w14:paraId="3B5954BA" w14:textId="77777777" w:rsidR="004F3AA0" w:rsidRPr="004F3AA0" w:rsidRDefault="004F3AA0" w:rsidP="004F3AA0">
            <w:r w:rsidRPr="004F3AA0">
              <w:rPr>
                <w:noProof/>
              </w:rPr>
              <w:drawing>
                <wp:inline distT="0" distB="0" distL="0" distR="0" wp14:anchorId="403E4461" wp14:editId="2FD21AFA">
                  <wp:extent cx="1477010" cy="979170"/>
                  <wp:effectExtent l="0" t="0" r="8890" b="0"/>
                  <wp:docPr id="1" name="Picture 1" title="Aus Gov -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stacked_white.png"/>
                          <pic:cNvPicPr/>
                        </pic:nvPicPr>
                        <pic:blipFill>
                          <a:blip r:embed="rId11">
                            <a:extLst>
                              <a:ext uri="{28A0092B-C50C-407E-A947-70E740481C1C}">
                                <a14:useLocalDpi xmlns:a14="http://schemas.microsoft.com/office/drawing/2010/main" val="0"/>
                              </a:ext>
                            </a:extLst>
                          </a:blip>
                          <a:stretch>
                            <a:fillRect/>
                          </a:stretch>
                        </pic:blipFill>
                        <pic:spPr>
                          <a:xfrm>
                            <a:off x="0" y="0"/>
                            <a:ext cx="1477010" cy="979170"/>
                          </a:xfrm>
                          <a:prstGeom prst="rect">
                            <a:avLst/>
                          </a:prstGeom>
                          <a:solidFill>
                            <a:srgbClr val="57259F"/>
                          </a:solidFill>
                        </pic:spPr>
                      </pic:pic>
                    </a:graphicData>
                  </a:graphic>
                </wp:inline>
              </w:drawing>
            </w:r>
          </w:p>
        </w:tc>
        <w:tc>
          <w:tcPr>
            <w:tcW w:w="6980" w:type="dxa"/>
            <w:shd w:val="clear" w:color="auto" w:fill="55259E"/>
            <w:vAlign w:val="center"/>
          </w:tcPr>
          <w:p w14:paraId="3A7F4E19" w14:textId="59F5167B" w:rsidR="003021C5" w:rsidRPr="00573A25" w:rsidRDefault="003021C5" w:rsidP="00573A25">
            <w:pPr>
              <w:ind w:right="175"/>
              <w:jc w:val="right"/>
              <w:rPr>
                <w:color w:val="FFFFFF" w:themeColor="background1"/>
                <w:sz w:val="28"/>
              </w:rPr>
            </w:pPr>
            <w:r w:rsidRPr="003021C5">
              <w:rPr>
                <w:color w:val="FFFFFF" w:themeColor="background1"/>
                <w:sz w:val="28"/>
              </w:rPr>
              <w:t>AUST</w:t>
            </w:r>
            <w:r w:rsidR="00573A25">
              <w:rPr>
                <w:color w:val="FFFFFF" w:themeColor="background1"/>
                <w:sz w:val="28"/>
              </w:rPr>
              <w:t xml:space="preserve">RALIAN TECHNICAL ADVISORY GROUP </w:t>
            </w:r>
            <w:r w:rsidRPr="003021C5">
              <w:rPr>
                <w:color w:val="FFFFFF" w:themeColor="background1"/>
                <w:sz w:val="28"/>
              </w:rPr>
              <w:t>ON</w:t>
            </w:r>
            <w:r w:rsidR="00573A25">
              <w:rPr>
                <w:color w:val="FFFFFF" w:themeColor="background1"/>
                <w:sz w:val="28"/>
              </w:rPr>
              <w:t xml:space="preserve"> </w:t>
            </w:r>
            <w:r w:rsidRPr="003021C5">
              <w:rPr>
                <w:color w:val="FFFFFF" w:themeColor="background1"/>
                <w:sz w:val="28"/>
              </w:rPr>
              <w:t>IMMUNISATION (ATAGI) |</w:t>
            </w:r>
            <w:r w:rsidRPr="003021C5">
              <w:rPr>
                <w:b/>
                <w:color w:val="FFFFFF" w:themeColor="background1"/>
                <w:sz w:val="28"/>
              </w:rPr>
              <w:t xml:space="preserve"> CLINICAL ADVICE</w:t>
            </w:r>
          </w:p>
        </w:tc>
      </w:tr>
      <w:tr w:rsidR="004F3AA0" w14:paraId="3B418089" w14:textId="77777777" w:rsidTr="003021C5">
        <w:tc>
          <w:tcPr>
            <w:tcW w:w="3226" w:type="dxa"/>
            <w:shd w:val="clear" w:color="auto" w:fill="55259E"/>
          </w:tcPr>
          <w:p w14:paraId="7F74D1E4" w14:textId="77777777" w:rsidR="004F3AA0" w:rsidRPr="004F3AA0" w:rsidRDefault="004F3AA0" w:rsidP="004F3AA0"/>
        </w:tc>
        <w:tc>
          <w:tcPr>
            <w:tcW w:w="6980" w:type="dxa"/>
            <w:shd w:val="clear" w:color="auto" w:fill="55259E"/>
            <w:vAlign w:val="center"/>
          </w:tcPr>
          <w:p w14:paraId="3FA515C8" w14:textId="5FAE5FCF" w:rsidR="004F3AA0" w:rsidRPr="003021C5" w:rsidRDefault="003021C5" w:rsidP="000736D8">
            <w:pPr>
              <w:pStyle w:val="BodyText"/>
              <w:ind w:right="175"/>
              <w:jc w:val="right"/>
              <w:rPr>
                <w:b/>
                <w:color w:val="FFFFFF" w:themeColor="background1"/>
              </w:rPr>
            </w:pPr>
            <w:r w:rsidRPr="003021C5">
              <w:rPr>
                <w:b/>
                <w:color w:val="FFFFFF" w:themeColor="background1"/>
              </w:rPr>
              <w:t xml:space="preserve">Issue date:  </w:t>
            </w:r>
            <w:r w:rsidR="000736D8">
              <w:rPr>
                <w:b/>
                <w:color w:val="FFFFFF" w:themeColor="background1"/>
              </w:rPr>
              <w:t>April</w:t>
            </w:r>
            <w:r w:rsidR="000E4B3F">
              <w:rPr>
                <w:b/>
                <w:color w:val="FFFFFF" w:themeColor="background1"/>
              </w:rPr>
              <w:t xml:space="preserve"> 2019</w:t>
            </w:r>
          </w:p>
        </w:tc>
      </w:tr>
      <w:tr w:rsidR="004F3AA0" w14:paraId="043B385E" w14:textId="77777777" w:rsidTr="003021C5">
        <w:trPr>
          <w:trHeight w:val="437"/>
        </w:trPr>
        <w:tc>
          <w:tcPr>
            <w:tcW w:w="3226" w:type="dxa"/>
            <w:shd w:val="clear" w:color="auto" w:fill="auto"/>
          </w:tcPr>
          <w:p w14:paraId="5AECCA4E" w14:textId="77777777" w:rsidR="004F3AA0" w:rsidRPr="004F3AA0" w:rsidRDefault="004F3AA0" w:rsidP="004F3AA0"/>
        </w:tc>
        <w:tc>
          <w:tcPr>
            <w:tcW w:w="6980" w:type="dxa"/>
            <w:shd w:val="clear" w:color="auto" w:fill="auto"/>
          </w:tcPr>
          <w:p w14:paraId="4919F790" w14:textId="77777777" w:rsidR="004F3AA0" w:rsidRPr="004F3AA0" w:rsidRDefault="004F3AA0" w:rsidP="004F3AA0"/>
        </w:tc>
      </w:tr>
    </w:tbl>
    <w:p w14:paraId="6EEE1496" w14:textId="77777777" w:rsidR="005E0FAB" w:rsidRPr="00AC23C0" w:rsidRDefault="00826860" w:rsidP="00826860">
      <w:pPr>
        <w:pStyle w:val="Heading1Black"/>
        <w:spacing w:after="0"/>
        <w:rPr>
          <w:sz w:val="28"/>
          <w:szCs w:val="30"/>
        </w:rPr>
      </w:pPr>
      <w:r w:rsidRPr="00AC23C0">
        <w:rPr>
          <w:sz w:val="28"/>
          <w:szCs w:val="30"/>
        </w:rPr>
        <w:t xml:space="preserve">STATEMENT ON THE </w:t>
      </w:r>
      <w:r w:rsidR="00DD0878">
        <w:rPr>
          <w:sz w:val="28"/>
          <w:szCs w:val="30"/>
        </w:rPr>
        <w:t>ADMINISTRATION OF SEASONAL INFL</w:t>
      </w:r>
      <w:r w:rsidRPr="00AC23C0">
        <w:rPr>
          <w:sz w:val="28"/>
          <w:szCs w:val="30"/>
        </w:rPr>
        <w:t>U</w:t>
      </w:r>
      <w:r w:rsidR="00DD0878">
        <w:rPr>
          <w:sz w:val="28"/>
          <w:szCs w:val="30"/>
        </w:rPr>
        <w:t>E</w:t>
      </w:r>
      <w:r w:rsidRPr="00AC23C0">
        <w:rPr>
          <w:sz w:val="28"/>
          <w:szCs w:val="30"/>
        </w:rPr>
        <w:t xml:space="preserve">NZA VACCINES IN </w:t>
      </w:r>
      <w:r w:rsidR="004F5DED" w:rsidRPr="00AC23C0">
        <w:rPr>
          <w:sz w:val="28"/>
          <w:szCs w:val="30"/>
        </w:rPr>
        <w:t>201</w:t>
      </w:r>
      <w:r w:rsidR="004F5DED">
        <w:rPr>
          <w:sz w:val="28"/>
          <w:szCs w:val="30"/>
        </w:rPr>
        <w:t>9</w:t>
      </w:r>
    </w:p>
    <w:p w14:paraId="3E989F4D" w14:textId="77777777" w:rsidR="006B5200" w:rsidRPr="00AC23C0" w:rsidRDefault="006B5200" w:rsidP="007D71AA">
      <w:pPr>
        <w:pStyle w:val="Sub-bullettedlist"/>
        <w:numPr>
          <w:ilvl w:val="0"/>
          <w:numId w:val="0"/>
        </w:numPr>
        <w:spacing w:before="240"/>
        <w:ind w:left="284"/>
        <w:rPr>
          <w:szCs w:val="21"/>
        </w:rPr>
      </w:pPr>
      <w:r w:rsidRPr="00AC23C0">
        <w:rPr>
          <w:szCs w:val="21"/>
        </w:rPr>
        <w:t xml:space="preserve">It is important to read this statement in conjunction with The Australian Immunisation Handbook available </w:t>
      </w:r>
      <w:r w:rsidR="004A1690">
        <w:rPr>
          <w:szCs w:val="21"/>
        </w:rPr>
        <w:t xml:space="preserve">at </w:t>
      </w:r>
      <w:r w:rsidR="00CF1008">
        <w:rPr>
          <w:szCs w:val="21"/>
        </w:rPr>
        <w:t>immunisationhandbook.</w:t>
      </w:r>
      <w:r w:rsidR="009A6FF4">
        <w:rPr>
          <w:szCs w:val="21"/>
        </w:rPr>
        <w:t>health</w:t>
      </w:r>
      <w:r w:rsidR="00CF1008">
        <w:rPr>
          <w:szCs w:val="21"/>
        </w:rPr>
        <w:t>.gov.au</w:t>
      </w:r>
      <w:r w:rsidRPr="00AC23C0">
        <w:rPr>
          <w:szCs w:val="21"/>
        </w:rPr>
        <w:t>.</w:t>
      </w:r>
    </w:p>
    <w:p w14:paraId="00241A87" w14:textId="77777777" w:rsidR="005E0FAB" w:rsidRPr="00AC23C0" w:rsidRDefault="00B64B14" w:rsidP="005E0FAB">
      <w:pPr>
        <w:pStyle w:val="Heading2"/>
        <w:rPr>
          <w:sz w:val="20"/>
          <w:szCs w:val="18"/>
          <w:lang w:eastAsia="en-US"/>
        </w:rPr>
      </w:pPr>
      <w:r w:rsidRPr="00AC23C0">
        <w:rPr>
          <w:sz w:val="20"/>
          <w:szCs w:val="18"/>
          <w:lang w:eastAsia="en-US"/>
        </w:rPr>
        <w:t>Overview of</w:t>
      </w:r>
      <w:r w:rsidR="005E0FAB" w:rsidRPr="00AC23C0">
        <w:rPr>
          <w:sz w:val="20"/>
          <w:szCs w:val="18"/>
          <w:lang w:eastAsia="en-US"/>
        </w:rPr>
        <w:t xml:space="preserve"> key </w:t>
      </w:r>
      <w:r w:rsidR="00826860" w:rsidRPr="00AC23C0">
        <w:rPr>
          <w:sz w:val="20"/>
          <w:szCs w:val="18"/>
          <w:lang w:eastAsia="en-US"/>
        </w:rPr>
        <w:t xml:space="preserve">points and updates for </w:t>
      </w:r>
      <w:r w:rsidR="00FF5344" w:rsidRPr="00AC23C0">
        <w:rPr>
          <w:sz w:val="20"/>
          <w:szCs w:val="18"/>
          <w:lang w:eastAsia="en-US"/>
        </w:rPr>
        <w:t>201</w:t>
      </w:r>
      <w:r w:rsidR="00FF5344">
        <w:rPr>
          <w:sz w:val="20"/>
          <w:szCs w:val="18"/>
          <w:lang w:eastAsia="en-US"/>
        </w:rPr>
        <w:t>9</w:t>
      </w:r>
      <w:r w:rsidR="00FF5344" w:rsidRPr="00AC23C0">
        <w:rPr>
          <w:sz w:val="20"/>
          <w:szCs w:val="18"/>
          <w:lang w:eastAsia="en-US"/>
        </w:rPr>
        <w:t xml:space="preserve"> </w:t>
      </w:r>
    </w:p>
    <w:p w14:paraId="041A6073" w14:textId="77777777" w:rsidR="00826860" w:rsidRPr="00AC23C0" w:rsidRDefault="00826860" w:rsidP="00826860">
      <w:pPr>
        <w:pStyle w:val="BulletedList"/>
        <w:rPr>
          <w:sz w:val="18"/>
          <w:szCs w:val="18"/>
        </w:rPr>
      </w:pPr>
      <w:r w:rsidRPr="00AC23C0">
        <w:rPr>
          <w:sz w:val="18"/>
          <w:szCs w:val="18"/>
        </w:rPr>
        <w:t>Annual vaccination is the most important measure to prevent influenza and its complications.</w:t>
      </w:r>
    </w:p>
    <w:p w14:paraId="02F2C020" w14:textId="77777777" w:rsidR="00574083" w:rsidRDefault="00826860" w:rsidP="00826860">
      <w:pPr>
        <w:pStyle w:val="BulletedList"/>
        <w:rPr>
          <w:sz w:val="18"/>
          <w:szCs w:val="18"/>
        </w:rPr>
      </w:pPr>
      <w:r w:rsidRPr="00AC23C0">
        <w:rPr>
          <w:sz w:val="18"/>
          <w:szCs w:val="18"/>
        </w:rPr>
        <w:t>Annual influenza vaccinatio</w:t>
      </w:r>
      <w:r w:rsidR="000E4B3F">
        <w:rPr>
          <w:sz w:val="18"/>
          <w:szCs w:val="18"/>
        </w:rPr>
        <w:t>n is recommended for all people</w:t>
      </w:r>
      <w:r w:rsidRPr="00AC23C0">
        <w:rPr>
          <w:sz w:val="18"/>
          <w:szCs w:val="18"/>
        </w:rPr>
        <w:t xml:space="preserve"> ≥6 months of age.</w:t>
      </w:r>
    </w:p>
    <w:p w14:paraId="35C12AC8" w14:textId="77777777" w:rsidR="00826860" w:rsidRPr="00AC23C0" w:rsidRDefault="00D908B7" w:rsidP="00826860">
      <w:pPr>
        <w:pStyle w:val="BulletedList"/>
        <w:rPr>
          <w:sz w:val="18"/>
          <w:szCs w:val="18"/>
        </w:rPr>
      </w:pPr>
      <w:r>
        <w:rPr>
          <w:sz w:val="18"/>
          <w:szCs w:val="18"/>
        </w:rPr>
        <w:t xml:space="preserve">All </w:t>
      </w:r>
      <w:r w:rsidR="00574083">
        <w:rPr>
          <w:sz w:val="18"/>
          <w:szCs w:val="18"/>
        </w:rPr>
        <w:t>Aboriginal and Torres Strait Islander pe</w:t>
      </w:r>
      <w:r w:rsidR="000E4B3F">
        <w:rPr>
          <w:sz w:val="18"/>
          <w:szCs w:val="18"/>
        </w:rPr>
        <w:t>ople</w:t>
      </w:r>
      <w:r>
        <w:rPr>
          <w:sz w:val="18"/>
          <w:szCs w:val="18"/>
        </w:rPr>
        <w:t>, including those</w:t>
      </w:r>
      <w:r w:rsidR="00574083">
        <w:rPr>
          <w:sz w:val="18"/>
          <w:szCs w:val="18"/>
        </w:rPr>
        <w:t xml:space="preserve"> aged 5 to 14 years</w:t>
      </w:r>
      <w:r>
        <w:rPr>
          <w:sz w:val="18"/>
          <w:szCs w:val="18"/>
        </w:rPr>
        <w:t>,</w:t>
      </w:r>
      <w:r w:rsidR="00574083">
        <w:rPr>
          <w:sz w:val="18"/>
          <w:szCs w:val="18"/>
        </w:rPr>
        <w:t xml:space="preserve"> are now eligible to receive free annual influenza vaccination under the National Immunisation Program</w:t>
      </w:r>
      <w:r w:rsidR="009B6E47">
        <w:rPr>
          <w:sz w:val="18"/>
          <w:szCs w:val="18"/>
        </w:rPr>
        <w:t xml:space="preserve"> (NIP)</w:t>
      </w:r>
      <w:r w:rsidR="00574083">
        <w:rPr>
          <w:sz w:val="18"/>
          <w:szCs w:val="18"/>
        </w:rPr>
        <w:t>.</w:t>
      </w:r>
    </w:p>
    <w:p w14:paraId="4E931331" w14:textId="77777777" w:rsidR="00826860" w:rsidRPr="00AC23C0" w:rsidRDefault="00826860" w:rsidP="00826860">
      <w:pPr>
        <w:pStyle w:val="BulletedList"/>
        <w:rPr>
          <w:sz w:val="18"/>
          <w:szCs w:val="18"/>
        </w:rPr>
      </w:pPr>
      <w:r w:rsidRPr="00AC23C0">
        <w:rPr>
          <w:sz w:val="18"/>
          <w:szCs w:val="18"/>
        </w:rPr>
        <w:t>For adults aged ≥65 years</w:t>
      </w:r>
      <w:r w:rsidR="00C93BFE">
        <w:rPr>
          <w:sz w:val="18"/>
          <w:szCs w:val="18"/>
        </w:rPr>
        <w:t xml:space="preserve"> </w:t>
      </w:r>
      <w:r w:rsidRPr="00AC23C0">
        <w:rPr>
          <w:sz w:val="18"/>
          <w:szCs w:val="18"/>
        </w:rPr>
        <w:t>two higher</w:t>
      </w:r>
      <w:r w:rsidRPr="00AC23C0">
        <w:rPr>
          <w:sz w:val="18"/>
          <w:szCs w:val="18"/>
        </w:rPr>
        <w:noBreakHyphen/>
        <w:t>immunogenicity trivalent influenza v</w:t>
      </w:r>
      <w:r w:rsidR="00D02886">
        <w:rPr>
          <w:sz w:val="18"/>
          <w:szCs w:val="18"/>
        </w:rPr>
        <w:t>accine (TIV) formulations (one</w:t>
      </w:r>
      <w:r w:rsidRPr="00AC23C0">
        <w:rPr>
          <w:sz w:val="18"/>
          <w:szCs w:val="18"/>
        </w:rPr>
        <w:t xml:space="preserve"> ‘high-dose’ vaccine and another containing an adjuvant) are available</w:t>
      </w:r>
      <w:r w:rsidR="00D908B7" w:rsidRPr="00AC23C0">
        <w:rPr>
          <w:sz w:val="18"/>
          <w:szCs w:val="18"/>
        </w:rPr>
        <w:t xml:space="preserve">, in addition to the </w:t>
      </w:r>
      <w:proofErr w:type="spellStart"/>
      <w:r w:rsidR="00D908B7" w:rsidRPr="00AC23C0">
        <w:rPr>
          <w:sz w:val="18"/>
          <w:szCs w:val="18"/>
        </w:rPr>
        <w:t>quadrivalent</w:t>
      </w:r>
      <w:proofErr w:type="spellEnd"/>
      <w:r w:rsidR="00D908B7" w:rsidRPr="00AC23C0">
        <w:rPr>
          <w:sz w:val="18"/>
          <w:szCs w:val="18"/>
        </w:rPr>
        <w:t xml:space="preserve"> influenza vaccines (QIVs)</w:t>
      </w:r>
      <w:r w:rsidRPr="00AC23C0">
        <w:rPr>
          <w:sz w:val="18"/>
          <w:szCs w:val="18"/>
        </w:rPr>
        <w:t xml:space="preserve">. </w:t>
      </w:r>
    </w:p>
    <w:p w14:paraId="7B54150A" w14:textId="77777777" w:rsidR="00F865DE" w:rsidRDefault="00F865DE" w:rsidP="002530E9">
      <w:pPr>
        <w:pStyle w:val="Sub-bullettedlist"/>
        <w:spacing w:before="60" w:after="60"/>
        <w:ind w:left="1434" w:hanging="357"/>
        <w:rPr>
          <w:sz w:val="18"/>
          <w:szCs w:val="18"/>
        </w:rPr>
      </w:pPr>
      <w:r>
        <w:rPr>
          <w:sz w:val="18"/>
          <w:szCs w:val="18"/>
        </w:rPr>
        <w:t xml:space="preserve">In 2019, only </w:t>
      </w:r>
      <w:proofErr w:type="spellStart"/>
      <w:r>
        <w:rPr>
          <w:sz w:val="18"/>
          <w:szCs w:val="18"/>
        </w:rPr>
        <w:t>Fluad</w:t>
      </w:r>
      <w:proofErr w:type="spellEnd"/>
      <w:r>
        <w:rPr>
          <w:rFonts w:ascii="Times New Roman" w:hAnsi="Times New Roman" w:cs="Times New Roman"/>
          <w:sz w:val="18"/>
          <w:szCs w:val="18"/>
        </w:rPr>
        <w:t>®</w:t>
      </w:r>
      <w:r>
        <w:rPr>
          <w:sz w:val="18"/>
          <w:szCs w:val="18"/>
        </w:rPr>
        <w:t xml:space="preserve"> (TIV containing an adjuvant) is NIP-funded.</w:t>
      </w:r>
    </w:p>
    <w:p w14:paraId="63B82375" w14:textId="77777777" w:rsidR="00826860" w:rsidRDefault="00826860" w:rsidP="002530E9">
      <w:pPr>
        <w:pStyle w:val="Sub-bullettedlist"/>
        <w:spacing w:before="60" w:after="60"/>
        <w:ind w:left="1434" w:hanging="357"/>
        <w:rPr>
          <w:sz w:val="18"/>
          <w:szCs w:val="18"/>
        </w:rPr>
      </w:pPr>
      <w:r w:rsidRPr="00AC23C0">
        <w:rPr>
          <w:sz w:val="18"/>
          <w:szCs w:val="18"/>
        </w:rPr>
        <w:t>The</w:t>
      </w:r>
      <w:r w:rsidR="00F255EF">
        <w:rPr>
          <w:sz w:val="18"/>
          <w:szCs w:val="18"/>
        </w:rPr>
        <w:t xml:space="preserve"> higher immunogenicity</w:t>
      </w:r>
      <w:r w:rsidRPr="00AC23C0">
        <w:rPr>
          <w:sz w:val="18"/>
          <w:szCs w:val="18"/>
        </w:rPr>
        <w:t xml:space="preserve"> TIVs are preferentially recommended over QIVs for adults aged ≥65 years. However, there is no preference for use between either of these two TIVs.</w:t>
      </w:r>
    </w:p>
    <w:p w14:paraId="2A351F0A" w14:textId="77777777" w:rsidR="00C93BFE" w:rsidRPr="00CE1A60" w:rsidRDefault="00C93BFE" w:rsidP="00C93BFE">
      <w:pPr>
        <w:pStyle w:val="Sub-bullettedlist"/>
      </w:pPr>
      <w:r w:rsidRPr="00C93BFE">
        <w:rPr>
          <w:sz w:val="18"/>
          <w:szCs w:val="18"/>
        </w:rPr>
        <w:t>The evidence around the use of higher immunogenicity TIVs</w:t>
      </w:r>
      <w:r>
        <w:rPr>
          <w:sz w:val="18"/>
          <w:szCs w:val="18"/>
        </w:rPr>
        <w:t xml:space="preserve"> is still evolving and ATAGI continues to review this evidence.</w:t>
      </w:r>
    </w:p>
    <w:p w14:paraId="52F48CD0" w14:textId="77777777" w:rsidR="00CE1A60" w:rsidRPr="002D5CC8" w:rsidRDefault="002D5CC8" w:rsidP="00CE1A60">
      <w:pPr>
        <w:pStyle w:val="BulletedList"/>
        <w:rPr>
          <w:sz w:val="18"/>
          <w:szCs w:val="18"/>
        </w:rPr>
      </w:pPr>
      <w:r w:rsidRPr="002D5CC8">
        <w:rPr>
          <w:sz w:val="18"/>
          <w:szCs w:val="18"/>
        </w:rPr>
        <w:t xml:space="preserve">All presentations of influenza vaccine brands registered </w:t>
      </w:r>
      <w:r>
        <w:rPr>
          <w:sz w:val="18"/>
          <w:szCs w:val="18"/>
        </w:rPr>
        <w:t xml:space="preserve">and available </w:t>
      </w:r>
      <w:r w:rsidRPr="002D5CC8">
        <w:rPr>
          <w:sz w:val="18"/>
          <w:szCs w:val="18"/>
        </w:rPr>
        <w:t>in Australia</w:t>
      </w:r>
      <w:r>
        <w:rPr>
          <w:sz w:val="18"/>
          <w:szCs w:val="18"/>
        </w:rPr>
        <w:t xml:space="preserve"> for 2019 are latex free.</w:t>
      </w:r>
    </w:p>
    <w:p w14:paraId="0ACADAA9" w14:textId="3F0D9D0B" w:rsidR="003151C1" w:rsidRPr="00AC23C0" w:rsidRDefault="003151C1" w:rsidP="00DD5B70">
      <w:pPr>
        <w:pStyle w:val="Heading2"/>
        <w:rPr>
          <w:sz w:val="20"/>
          <w:szCs w:val="18"/>
          <w:lang w:eastAsia="en-US"/>
        </w:rPr>
      </w:pPr>
      <w:r w:rsidRPr="00AC23C0">
        <w:rPr>
          <w:sz w:val="20"/>
          <w:szCs w:val="18"/>
          <w:lang w:eastAsia="en-US"/>
        </w:rPr>
        <w:t xml:space="preserve">Table </w:t>
      </w:r>
      <w:r w:rsidRPr="00AC23C0">
        <w:rPr>
          <w:sz w:val="20"/>
          <w:szCs w:val="18"/>
          <w:lang w:eastAsia="en-US"/>
        </w:rPr>
        <w:fldChar w:fldCharType="begin"/>
      </w:r>
      <w:r w:rsidRPr="00AC23C0">
        <w:rPr>
          <w:sz w:val="20"/>
          <w:szCs w:val="18"/>
          <w:lang w:eastAsia="en-US"/>
        </w:rPr>
        <w:instrText xml:space="preserve"> SEQ Table \* ARABIC </w:instrText>
      </w:r>
      <w:r w:rsidRPr="00AC23C0">
        <w:rPr>
          <w:sz w:val="20"/>
          <w:szCs w:val="18"/>
          <w:lang w:eastAsia="en-US"/>
        </w:rPr>
        <w:fldChar w:fldCharType="separate"/>
      </w:r>
      <w:r w:rsidR="00C41F90">
        <w:rPr>
          <w:noProof/>
          <w:sz w:val="20"/>
          <w:szCs w:val="18"/>
          <w:lang w:eastAsia="en-US"/>
        </w:rPr>
        <w:t>1</w:t>
      </w:r>
      <w:r w:rsidRPr="00AC23C0">
        <w:rPr>
          <w:sz w:val="20"/>
          <w:szCs w:val="18"/>
          <w:lang w:eastAsia="en-US"/>
        </w:rPr>
        <w:fldChar w:fldCharType="end"/>
      </w:r>
      <w:r w:rsidRPr="00AC23C0">
        <w:rPr>
          <w:sz w:val="20"/>
          <w:szCs w:val="18"/>
          <w:lang w:eastAsia="en-US"/>
        </w:rPr>
        <w:t xml:space="preserve">. Seasonal influenza vaccines available for use in Australia in </w:t>
      </w:r>
      <w:r w:rsidR="008A7CB9" w:rsidRPr="00AC23C0">
        <w:rPr>
          <w:sz w:val="20"/>
          <w:szCs w:val="18"/>
          <w:lang w:eastAsia="en-US"/>
        </w:rPr>
        <w:t>201</w:t>
      </w:r>
      <w:r w:rsidR="008A7CB9">
        <w:rPr>
          <w:sz w:val="20"/>
          <w:szCs w:val="18"/>
          <w:lang w:eastAsia="en-US"/>
        </w:rPr>
        <w:t>9</w:t>
      </w:r>
      <w:r w:rsidRPr="00AC23C0">
        <w:rPr>
          <w:sz w:val="20"/>
          <w:szCs w:val="18"/>
          <w:lang w:eastAsia="en-US"/>
        </w:rPr>
        <w:t xml:space="preserve">, by age </w:t>
      </w:r>
    </w:p>
    <w:tbl>
      <w:tblPr>
        <w:tblStyle w:val="TableGrid"/>
        <w:tblW w:w="4925" w:type="pct"/>
        <w:tblInd w:w="10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Seasonal influenza vaccines available for use in Australia in 2018, by age"/>
        <w:tblDescription w:val="Six influenza vaccines are available in Australia in 2018. FluQuadri Junior can be used from 6 months to less than 3 years. FluQuadri can be used from 3 years of age. Fluarix Tetra can be used from 3 years of age. Afluria Quad can be used from 18 years of age. Fluzone High-Dose can be used only for those 65 years of age and older. Fluad can be used only for those 65 years of age and older."/>
      </w:tblPr>
      <w:tblGrid>
        <w:gridCol w:w="2357"/>
        <w:gridCol w:w="1114"/>
        <w:gridCol w:w="973"/>
        <w:gridCol w:w="1166"/>
        <w:gridCol w:w="971"/>
        <w:gridCol w:w="1110"/>
        <w:gridCol w:w="1250"/>
        <w:gridCol w:w="1110"/>
      </w:tblGrid>
      <w:tr w:rsidR="00DE7D48" w:rsidRPr="00F8060C" w14:paraId="447B0D94" w14:textId="77777777" w:rsidTr="00846A2D">
        <w:trPr>
          <w:trHeight w:val="340"/>
          <w:tblHeader/>
        </w:trPr>
        <w:tc>
          <w:tcPr>
            <w:tcW w:w="1173" w:type="pct"/>
            <w:tcBorders>
              <w:bottom w:val="single" w:sz="4" w:space="0" w:color="A6A6A6" w:themeColor="background1" w:themeShade="A6"/>
            </w:tcBorders>
            <w:shd w:val="clear" w:color="auto" w:fill="57259F"/>
            <w:vAlign w:val="bottom"/>
          </w:tcPr>
          <w:p w14:paraId="233349BB" w14:textId="77777777" w:rsidR="00DE7D48" w:rsidRPr="00F8060C" w:rsidRDefault="00DE7D48" w:rsidP="00842FB7">
            <w:pPr>
              <w:keepNext/>
              <w:jc w:val="right"/>
              <w:rPr>
                <w:rFonts w:asciiTheme="minorHAnsi" w:hAnsiTheme="minorHAnsi" w:cstheme="minorHAnsi"/>
                <w:b/>
                <w:color w:val="FFFFFF" w:themeColor="background1"/>
                <w:sz w:val="18"/>
                <w:szCs w:val="18"/>
              </w:rPr>
            </w:pPr>
          </w:p>
        </w:tc>
        <w:tc>
          <w:tcPr>
            <w:tcW w:w="2652" w:type="pct"/>
            <w:gridSpan w:val="5"/>
            <w:shd w:val="clear" w:color="auto" w:fill="57259F"/>
            <w:vAlign w:val="center"/>
          </w:tcPr>
          <w:p w14:paraId="01A05797" w14:textId="77777777" w:rsidR="00DE7D48" w:rsidRPr="00F8060C" w:rsidRDefault="00DE7D48" w:rsidP="00425B7C">
            <w:pPr>
              <w:keepNext/>
              <w:jc w:val="center"/>
              <w:rPr>
                <w:rFonts w:asciiTheme="minorHAnsi" w:hAnsiTheme="minorHAnsi" w:cstheme="minorHAnsi"/>
                <w:b/>
                <w:color w:val="FFFFFF" w:themeColor="background1"/>
                <w:sz w:val="18"/>
                <w:szCs w:val="18"/>
              </w:rPr>
            </w:pPr>
            <w:proofErr w:type="spellStart"/>
            <w:r w:rsidRPr="00F8060C">
              <w:rPr>
                <w:rFonts w:asciiTheme="minorHAnsi" w:hAnsiTheme="minorHAnsi" w:cstheme="minorHAnsi"/>
                <w:b/>
                <w:color w:val="FFFFFF" w:themeColor="background1"/>
                <w:sz w:val="18"/>
                <w:szCs w:val="18"/>
              </w:rPr>
              <w:t>Quadrivalent</w:t>
            </w:r>
            <w:proofErr w:type="spellEnd"/>
          </w:p>
        </w:tc>
        <w:tc>
          <w:tcPr>
            <w:tcW w:w="1174" w:type="pct"/>
            <w:gridSpan w:val="2"/>
            <w:shd w:val="clear" w:color="auto" w:fill="57259F"/>
            <w:vAlign w:val="center"/>
          </w:tcPr>
          <w:p w14:paraId="7F4CE85C" w14:textId="77777777" w:rsidR="00DE7D48" w:rsidRPr="00F8060C" w:rsidRDefault="00DE7D48" w:rsidP="00842FB7">
            <w:pPr>
              <w:keepNext/>
              <w:jc w:val="center"/>
              <w:rPr>
                <w:rFonts w:asciiTheme="minorHAnsi" w:hAnsiTheme="minorHAnsi" w:cstheme="minorHAnsi"/>
                <w:b/>
                <w:color w:val="FFFFFF" w:themeColor="background1"/>
                <w:sz w:val="18"/>
                <w:szCs w:val="18"/>
              </w:rPr>
            </w:pPr>
            <w:r w:rsidRPr="00F8060C">
              <w:rPr>
                <w:rFonts w:asciiTheme="minorHAnsi" w:hAnsiTheme="minorHAnsi" w:cstheme="minorHAnsi"/>
                <w:b/>
                <w:color w:val="FFFFFF" w:themeColor="background1"/>
                <w:sz w:val="18"/>
                <w:szCs w:val="18"/>
              </w:rPr>
              <w:t>Trivalent</w:t>
            </w:r>
            <w:r w:rsidRPr="00F8060C">
              <w:rPr>
                <w:rFonts w:asciiTheme="minorHAnsi" w:hAnsiTheme="minorHAnsi" w:cstheme="minorHAnsi"/>
                <w:b/>
                <w:color w:val="FFFFFF" w:themeColor="background1"/>
                <w:sz w:val="18"/>
                <w:szCs w:val="18"/>
              </w:rPr>
              <w:br/>
            </w:r>
            <w:r w:rsidRPr="00F8060C">
              <w:rPr>
                <w:rFonts w:asciiTheme="minorHAnsi" w:hAnsiTheme="minorHAnsi" w:cstheme="minorHAnsi"/>
                <w:b/>
                <w:color w:val="FFFFFF" w:themeColor="background1"/>
                <w:sz w:val="18"/>
                <w:szCs w:val="18"/>
              </w:rPr>
              <w:t>(for age ≥65 years only)</w:t>
            </w:r>
          </w:p>
        </w:tc>
      </w:tr>
      <w:tr w:rsidR="00DE7D48" w:rsidRPr="00F8060C" w14:paraId="654D45B8" w14:textId="77777777" w:rsidTr="00846A2D">
        <w:trPr>
          <w:trHeight w:val="852"/>
        </w:trPr>
        <w:tc>
          <w:tcPr>
            <w:tcW w:w="1173" w:type="pct"/>
            <w:tcBorders>
              <w:tl2br w:val="single" w:sz="4" w:space="0" w:color="A6A6A6" w:themeColor="background1" w:themeShade="A6"/>
            </w:tcBorders>
            <w:shd w:val="clear" w:color="auto" w:fill="CCC0D9"/>
            <w:vAlign w:val="bottom"/>
          </w:tcPr>
          <w:p w14:paraId="3FC4CB65" w14:textId="77777777" w:rsidR="00DE7D48" w:rsidRPr="00F8060C" w:rsidRDefault="00DE7D48" w:rsidP="003E7A6C">
            <w:pPr>
              <w:keepNext/>
              <w:rPr>
                <w:rFonts w:asciiTheme="minorHAnsi" w:hAnsiTheme="minorHAnsi" w:cstheme="minorHAnsi"/>
                <w:b/>
                <w:sz w:val="18"/>
                <w:szCs w:val="18"/>
              </w:rPr>
            </w:pPr>
            <w:r w:rsidRPr="00CE1673">
              <w:rPr>
                <w:rFonts w:ascii="Times New Roman" w:hAnsi="Times New Roman"/>
                <w:b/>
                <w:noProof/>
              </w:rPr>
              <mc:AlternateContent>
                <mc:Choice Requires="wps">
                  <w:drawing>
                    <wp:anchor distT="0" distB="0" distL="114300" distR="114300" simplePos="0" relativeHeight="251678720" behindDoc="0" locked="0" layoutInCell="1" allowOverlap="1" wp14:anchorId="2A61A537" wp14:editId="7F0BF1E3">
                      <wp:simplePos x="0" y="0"/>
                      <wp:positionH relativeFrom="column">
                        <wp:posOffset>619125</wp:posOffset>
                      </wp:positionH>
                      <wp:positionV relativeFrom="paragraph">
                        <wp:posOffset>-284480</wp:posOffset>
                      </wp:positionV>
                      <wp:extent cx="723900"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noFill/>
                              <a:ln w="9525">
                                <a:noFill/>
                                <a:miter lim="800000"/>
                                <a:headEnd/>
                                <a:tailEnd/>
                              </a:ln>
                            </wps:spPr>
                            <wps:txbx>
                              <w:txbxContent>
                                <w:p w14:paraId="0DACC492" w14:textId="77777777" w:rsidR="00DE7D48" w:rsidRPr="00F8060C" w:rsidRDefault="00DE7D48" w:rsidP="00F8060C">
                                  <w:pPr>
                                    <w:jc w:val="center"/>
                                    <w:rPr>
                                      <w:b/>
                                      <w:sz w:val="18"/>
                                      <w:szCs w:val="18"/>
                                    </w:rPr>
                                  </w:pPr>
                                  <w:r w:rsidRPr="00F8060C">
                                    <w:rPr>
                                      <w:b/>
                                      <w:sz w:val="18"/>
                                      <w:szCs w:val="18"/>
                                    </w:rPr>
                                    <w:t>Vaccine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7EECA05">
                    <v:shapetype w14:anchorId="2A61A537" id="_x0000_t202" coordsize="21600,21600" o:spt="202" path="m,l,21600r21600,l21600,xe">
                      <v:stroke joinstyle="miter"/>
                      <v:path gradientshapeok="t" o:connecttype="rect"/>
                    </v:shapetype>
                    <v:shape id="Text Box 2" o:spid="_x0000_s1026" type="#_x0000_t202" style="position:absolute;margin-left:48.75pt;margin-top:-22.4pt;width:57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" filled="f" stroked="f">
                      <v:textbox>
                        <w:txbxContent>
                          <w:p w14:paraId="4A3D5F11" w14:textId="77777777" w:rsidR="00DE7D48" w:rsidRPr="00F8060C" w:rsidRDefault="00DE7D48" w:rsidP="00F8060C">
                            <w:pPr>
                              <w:jc w:val="center"/>
                              <w:rPr>
                                <w:b/>
                                <w:sz w:val="18"/>
                                <w:szCs w:val="18"/>
                              </w:rPr>
                            </w:pPr>
                            <w:r w:rsidRPr="00F8060C">
                              <w:rPr>
                                <w:b/>
                                <w:sz w:val="18"/>
                                <w:szCs w:val="18"/>
                              </w:rPr>
                              <w:t>Vaccine</w:t>
                            </w:r>
                          </w:p>
                        </w:txbxContent>
                      </v:textbox>
                    </v:shape>
                  </w:pict>
                </mc:Fallback>
              </mc:AlternateContent>
            </w:r>
            <w:r w:rsidRPr="00F8060C">
              <w:rPr>
                <w:rFonts w:asciiTheme="minorHAnsi" w:hAnsiTheme="minorHAnsi" w:cstheme="minorHAnsi"/>
                <w:b/>
                <w:sz w:val="18"/>
                <w:szCs w:val="18"/>
              </w:rPr>
              <w:t xml:space="preserve">Registered </w:t>
            </w:r>
          </w:p>
          <w:p w14:paraId="7BBBB95B" w14:textId="77777777" w:rsidR="00DE7D48" w:rsidRPr="00F8060C" w:rsidRDefault="00DE7D48" w:rsidP="003E7A6C">
            <w:pPr>
              <w:keepNext/>
              <w:rPr>
                <w:rFonts w:asciiTheme="minorHAnsi" w:hAnsiTheme="minorHAnsi" w:cstheme="minorHAnsi"/>
                <w:sz w:val="18"/>
                <w:szCs w:val="18"/>
              </w:rPr>
            </w:pPr>
            <w:r w:rsidRPr="00F8060C">
              <w:rPr>
                <w:rFonts w:asciiTheme="minorHAnsi" w:hAnsiTheme="minorHAnsi" w:cstheme="minorHAnsi"/>
                <w:b/>
                <w:sz w:val="18"/>
                <w:szCs w:val="18"/>
              </w:rPr>
              <w:t>age group</w:t>
            </w:r>
          </w:p>
        </w:tc>
        <w:tc>
          <w:tcPr>
            <w:tcW w:w="554" w:type="pct"/>
            <w:shd w:val="clear" w:color="auto" w:fill="E8E8E8"/>
            <w:vAlign w:val="center"/>
          </w:tcPr>
          <w:p w14:paraId="6BC2C5D4" w14:textId="77777777" w:rsidR="00DE7D48" w:rsidRPr="00F8060C" w:rsidRDefault="00DE7D48" w:rsidP="00DE7D48">
            <w:pPr>
              <w:keepNext/>
              <w:jc w:val="center"/>
              <w:rPr>
                <w:rFonts w:asciiTheme="minorHAnsi" w:hAnsiTheme="minorHAnsi" w:cstheme="minorHAnsi"/>
                <w:b/>
                <w:sz w:val="18"/>
                <w:szCs w:val="18"/>
              </w:rPr>
            </w:pPr>
            <w:proofErr w:type="spellStart"/>
            <w:r w:rsidRPr="00F8060C">
              <w:rPr>
                <w:rFonts w:asciiTheme="minorHAnsi" w:hAnsiTheme="minorHAnsi" w:cstheme="minorHAnsi"/>
                <w:b/>
                <w:sz w:val="18"/>
                <w:szCs w:val="18"/>
              </w:rPr>
              <w:t>FluQuadri</w:t>
            </w:r>
            <w:proofErr w:type="spellEnd"/>
            <w:r w:rsidRPr="00F8060C">
              <w:rPr>
                <w:rFonts w:asciiTheme="minorHAnsi" w:hAnsiTheme="minorHAnsi" w:cstheme="minorHAnsi"/>
                <w:b/>
                <w:sz w:val="18"/>
                <w:szCs w:val="18"/>
              </w:rPr>
              <w:t xml:space="preserve"> Junior</w:t>
            </w:r>
            <w:r w:rsidR="00846A2D">
              <w:rPr>
                <w:rFonts w:asciiTheme="minorHAnsi" w:hAnsiTheme="minorHAnsi" w:cstheme="minorHAnsi"/>
                <w:b/>
                <w:sz w:val="18"/>
                <w:szCs w:val="18"/>
              </w:rPr>
              <w:t>*</w:t>
            </w:r>
            <w:r w:rsidR="00B0053C" w:rsidRPr="00B0053C">
              <w:rPr>
                <w:sz w:val="14"/>
                <w:szCs w:val="18"/>
                <w:vertAlign w:val="superscript"/>
                <w:lang w:eastAsia="en-US"/>
              </w:rPr>
              <w:t>†</w:t>
            </w:r>
          </w:p>
          <w:p w14:paraId="2A2C33E7" w14:textId="77777777" w:rsidR="00DE7D48" w:rsidRPr="00F8060C" w:rsidRDefault="00DE7D48" w:rsidP="00DE7D48">
            <w:pPr>
              <w:keepNext/>
              <w:jc w:val="center"/>
              <w:rPr>
                <w:rFonts w:asciiTheme="minorHAnsi" w:hAnsiTheme="minorHAnsi" w:cstheme="minorHAnsi"/>
                <w:sz w:val="18"/>
                <w:szCs w:val="18"/>
              </w:rPr>
            </w:pPr>
            <w:r w:rsidRPr="00F8060C">
              <w:rPr>
                <w:rFonts w:asciiTheme="minorHAnsi" w:hAnsiTheme="minorHAnsi" w:cstheme="minorHAnsi"/>
                <w:sz w:val="18"/>
                <w:szCs w:val="18"/>
              </w:rPr>
              <w:t>0.25 mL</w:t>
            </w:r>
          </w:p>
          <w:p w14:paraId="7CCFEF52" w14:textId="77777777" w:rsidR="00DE7D48" w:rsidRPr="00F8060C" w:rsidRDefault="00DE7D48" w:rsidP="00DE7D48">
            <w:pPr>
              <w:keepNext/>
              <w:jc w:val="center"/>
              <w:rPr>
                <w:rFonts w:asciiTheme="minorHAnsi" w:hAnsiTheme="minorHAnsi" w:cstheme="minorHAnsi"/>
                <w:sz w:val="18"/>
                <w:szCs w:val="18"/>
              </w:rPr>
            </w:pPr>
            <w:r w:rsidRPr="00F8060C">
              <w:rPr>
                <w:rFonts w:asciiTheme="minorHAnsi" w:hAnsiTheme="minorHAnsi" w:cstheme="minorHAnsi"/>
                <w:sz w:val="18"/>
                <w:szCs w:val="18"/>
              </w:rPr>
              <w:t>(Sanofi)</w:t>
            </w:r>
          </w:p>
        </w:tc>
        <w:tc>
          <w:tcPr>
            <w:tcW w:w="484" w:type="pct"/>
            <w:shd w:val="clear" w:color="auto" w:fill="E8E8E8"/>
            <w:vAlign w:val="center"/>
          </w:tcPr>
          <w:p w14:paraId="501D04CA" w14:textId="77777777" w:rsidR="00DE7D48" w:rsidRPr="00F8060C" w:rsidRDefault="00DE7D48" w:rsidP="00DE7D48">
            <w:pPr>
              <w:keepNext/>
              <w:jc w:val="center"/>
              <w:rPr>
                <w:rFonts w:asciiTheme="minorHAnsi" w:hAnsiTheme="minorHAnsi" w:cstheme="minorHAnsi"/>
                <w:b/>
                <w:sz w:val="18"/>
                <w:szCs w:val="18"/>
              </w:rPr>
            </w:pPr>
            <w:proofErr w:type="spellStart"/>
            <w:r w:rsidRPr="00F8060C">
              <w:rPr>
                <w:rFonts w:asciiTheme="minorHAnsi" w:hAnsiTheme="minorHAnsi" w:cstheme="minorHAnsi"/>
                <w:b/>
                <w:sz w:val="18"/>
                <w:szCs w:val="18"/>
              </w:rPr>
              <w:t>Fluarix</w:t>
            </w:r>
            <w:proofErr w:type="spellEnd"/>
            <w:r w:rsidRPr="00F8060C">
              <w:rPr>
                <w:rFonts w:asciiTheme="minorHAnsi" w:hAnsiTheme="minorHAnsi" w:cstheme="minorHAnsi"/>
                <w:b/>
                <w:sz w:val="18"/>
                <w:szCs w:val="18"/>
              </w:rPr>
              <w:t xml:space="preserve"> Tetra</w:t>
            </w:r>
            <w:r w:rsidR="00846A2D">
              <w:rPr>
                <w:rFonts w:asciiTheme="minorHAnsi" w:hAnsiTheme="minorHAnsi" w:cstheme="minorHAnsi"/>
                <w:b/>
                <w:sz w:val="18"/>
                <w:szCs w:val="18"/>
              </w:rPr>
              <w:t>*</w:t>
            </w:r>
            <w:r w:rsidR="00B0053C" w:rsidRPr="00B0053C">
              <w:rPr>
                <w:sz w:val="14"/>
                <w:szCs w:val="18"/>
                <w:vertAlign w:val="superscript"/>
                <w:lang w:eastAsia="en-US"/>
              </w:rPr>
              <w:t>†</w:t>
            </w:r>
          </w:p>
          <w:p w14:paraId="044D97B9" w14:textId="77777777" w:rsidR="00DE7D48" w:rsidRPr="00F8060C" w:rsidRDefault="00DE7D48" w:rsidP="00DE7D48">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2FC23B9F" w14:textId="77777777" w:rsidR="00DE7D48" w:rsidRPr="00F8060C" w:rsidRDefault="00DE7D48" w:rsidP="00DE7D48">
            <w:pPr>
              <w:keepNext/>
              <w:jc w:val="center"/>
              <w:rPr>
                <w:rFonts w:asciiTheme="minorHAnsi" w:hAnsiTheme="minorHAnsi" w:cstheme="minorHAnsi"/>
                <w:b/>
                <w:sz w:val="18"/>
                <w:szCs w:val="18"/>
              </w:rPr>
            </w:pPr>
            <w:r w:rsidRPr="00F8060C">
              <w:rPr>
                <w:rFonts w:asciiTheme="minorHAnsi" w:hAnsiTheme="minorHAnsi" w:cstheme="minorHAnsi"/>
                <w:sz w:val="18"/>
                <w:szCs w:val="18"/>
              </w:rPr>
              <w:t>(GSK)</w:t>
            </w:r>
          </w:p>
        </w:tc>
        <w:tc>
          <w:tcPr>
            <w:tcW w:w="580" w:type="pct"/>
            <w:shd w:val="clear" w:color="auto" w:fill="E8E8E8"/>
            <w:vAlign w:val="center"/>
          </w:tcPr>
          <w:p w14:paraId="49760B11" w14:textId="77777777" w:rsidR="00DE7D48" w:rsidRPr="00F8060C" w:rsidRDefault="00DE7D48" w:rsidP="00DE7D48">
            <w:pPr>
              <w:keepNext/>
              <w:jc w:val="center"/>
              <w:rPr>
                <w:rFonts w:asciiTheme="minorHAnsi" w:hAnsiTheme="minorHAnsi" w:cstheme="minorHAnsi"/>
                <w:b/>
                <w:sz w:val="18"/>
                <w:szCs w:val="18"/>
              </w:rPr>
            </w:pPr>
            <w:proofErr w:type="spellStart"/>
            <w:r w:rsidRPr="00F8060C">
              <w:rPr>
                <w:rFonts w:asciiTheme="minorHAnsi" w:hAnsiTheme="minorHAnsi" w:cstheme="minorHAnsi"/>
                <w:b/>
                <w:sz w:val="18"/>
                <w:szCs w:val="18"/>
              </w:rPr>
              <w:t>FluQuadri</w:t>
            </w:r>
            <w:proofErr w:type="spellEnd"/>
            <w:r w:rsidR="00846A2D">
              <w:rPr>
                <w:rFonts w:asciiTheme="minorHAnsi" w:hAnsiTheme="minorHAnsi" w:cstheme="minorHAnsi"/>
                <w:b/>
                <w:sz w:val="18"/>
                <w:szCs w:val="18"/>
              </w:rPr>
              <w:t>*</w:t>
            </w:r>
          </w:p>
          <w:p w14:paraId="50936FE1" w14:textId="77777777" w:rsidR="00DE7D48" w:rsidRPr="00F8060C" w:rsidRDefault="00DE7D48" w:rsidP="00DE7D48">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4337E95F" w14:textId="77777777" w:rsidR="00DE7D48" w:rsidRPr="00F8060C" w:rsidRDefault="00DE7D48" w:rsidP="00DE7D48">
            <w:pPr>
              <w:keepNext/>
              <w:jc w:val="center"/>
              <w:rPr>
                <w:rFonts w:asciiTheme="minorHAnsi" w:hAnsiTheme="minorHAnsi" w:cstheme="minorHAnsi"/>
                <w:b/>
                <w:sz w:val="18"/>
                <w:szCs w:val="18"/>
              </w:rPr>
            </w:pPr>
            <w:r w:rsidRPr="00F8060C">
              <w:rPr>
                <w:rFonts w:asciiTheme="minorHAnsi" w:hAnsiTheme="minorHAnsi" w:cstheme="minorHAnsi"/>
                <w:sz w:val="18"/>
                <w:szCs w:val="18"/>
              </w:rPr>
              <w:t>(Sanofi)</w:t>
            </w:r>
          </w:p>
        </w:tc>
        <w:tc>
          <w:tcPr>
            <w:tcW w:w="483" w:type="pct"/>
            <w:shd w:val="clear" w:color="auto" w:fill="E8E8E8"/>
            <w:vAlign w:val="center"/>
          </w:tcPr>
          <w:p w14:paraId="5300CB29" w14:textId="77777777" w:rsidR="00DE7D48" w:rsidRPr="00F8060C" w:rsidRDefault="00DE7D48" w:rsidP="00DE7D48">
            <w:pPr>
              <w:keepNext/>
              <w:jc w:val="center"/>
              <w:rPr>
                <w:rFonts w:asciiTheme="minorHAnsi" w:hAnsiTheme="minorHAnsi" w:cstheme="minorHAnsi"/>
                <w:b/>
                <w:sz w:val="18"/>
                <w:szCs w:val="18"/>
              </w:rPr>
            </w:pPr>
            <w:r w:rsidRPr="00F8060C">
              <w:rPr>
                <w:rFonts w:asciiTheme="minorHAnsi" w:hAnsiTheme="minorHAnsi" w:cstheme="minorHAnsi"/>
                <w:b/>
                <w:sz w:val="18"/>
                <w:szCs w:val="18"/>
              </w:rPr>
              <w:t>Afluria Quad</w:t>
            </w:r>
            <w:r w:rsidR="00846A2D">
              <w:rPr>
                <w:rFonts w:asciiTheme="minorHAnsi" w:hAnsiTheme="minorHAnsi" w:cstheme="minorHAnsi"/>
                <w:b/>
                <w:sz w:val="18"/>
                <w:szCs w:val="18"/>
              </w:rPr>
              <w:t>*</w:t>
            </w:r>
          </w:p>
          <w:p w14:paraId="607EC214" w14:textId="77777777" w:rsidR="00DE7D48" w:rsidRPr="00F8060C" w:rsidRDefault="00DE7D48" w:rsidP="00DE7D48">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79E85F77" w14:textId="77777777" w:rsidR="00DE7D48" w:rsidRPr="00F8060C" w:rsidRDefault="00DE7D48" w:rsidP="00DE7D48">
            <w:pPr>
              <w:keepNext/>
              <w:jc w:val="center"/>
              <w:rPr>
                <w:rFonts w:asciiTheme="minorHAnsi" w:hAnsiTheme="minorHAnsi" w:cstheme="minorHAnsi"/>
                <w:sz w:val="18"/>
                <w:szCs w:val="18"/>
              </w:rPr>
            </w:pPr>
            <w:r w:rsidRPr="00F8060C">
              <w:rPr>
                <w:rFonts w:asciiTheme="minorHAnsi" w:hAnsiTheme="minorHAnsi" w:cstheme="minorHAnsi"/>
                <w:sz w:val="18"/>
                <w:szCs w:val="18"/>
              </w:rPr>
              <w:t>(</w:t>
            </w:r>
            <w:proofErr w:type="spellStart"/>
            <w:r w:rsidRPr="00F8060C">
              <w:rPr>
                <w:rFonts w:asciiTheme="minorHAnsi" w:hAnsiTheme="minorHAnsi" w:cstheme="minorHAnsi"/>
                <w:sz w:val="18"/>
                <w:szCs w:val="18"/>
              </w:rPr>
              <w:t>Seqirus</w:t>
            </w:r>
            <w:proofErr w:type="spellEnd"/>
            <w:r w:rsidRPr="00F8060C">
              <w:rPr>
                <w:rFonts w:asciiTheme="minorHAnsi" w:hAnsiTheme="minorHAnsi" w:cstheme="minorHAnsi"/>
                <w:sz w:val="18"/>
                <w:szCs w:val="18"/>
              </w:rPr>
              <w:t>)</w:t>
            </w:r>
          </w:p>
        </w:tc>
        <w:tc>
          <w:tcPr>
            <w:tcW w:w="552" w:type="pct"/>
            <w:shd w:val="clear" w:color="auto" w:fill="E8E8E8"/>
            <w:vAlign w:val="center"/>
          </w:tcPr>
          <w:p w14:paraId="62A34F24" w14:textId="77777777" w:rsidR="00DE7D48" w:rsidRPr="00F8060C" w:rsidRDefault="00DE7D48" w:rsidP="00DE7D48">
            <w:pPr>
              <w:keepNext/>
              <w:jc w:val="center"/>
              <w:rPr>
                <w:rFonts w:asciiTheme="minorHAnsi" w:hAnsiTheme="minorHAnsi" w:cstheme="minorHAnsi"/>
                <w:b/>
                <w:sz w:val="18"/>
                <w:szCs w:val="18"/>
              </w:rPr>
            </w:pPr>
            <w:proofErr w:type="spellStart"/>
            <w:r w:rsidRPr="00F8060C">
              <w:rPr>
                <w:rFonts w:asciiTheme="minorHAnsi" w:hAnsiTheme="minorHAnsi" w:cstheme="minorHAnsi"/>
                <w:b/>
                <w:sz w:val="18"/>
                <w:szCs w:val="18"/>
              </w:rPr>
              <w:t>Influvac</w:t>
            </w:r>
            <w:proofErr w:type="spellEnd"/>
            <w:r w:rsidRPr="00F8060C">
              <w:rPr>
                <w:rFonts w:asciiTheme="minorHAnsi" w:hAnsiTheme="minorHAnsi" w:cstheme="minorHAnsi"/>
                <w:b/>
                <w:sz w:val="18"/>
                <w:szCs w:val="18"/>
              </w:rPr>
              <w:t xml:space="preserve"> Tetra</w:t>
            </w:r>
          </w:p>
          <w:p w14:paraId="2E1FFC1C" w14:textId="77777777" w:rsidR="00DE7D48" w:rsidRPr="00F8060C" w:rsidRDefault="00DE7D48" w:rsidP="00DE7D48">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1C178475" w14:textId="77777777" w:rsidR="00DE7D48" w:rsidRPr="00F8060C" w:rsidRDefault="00DE7D48" w:rsidP="00DE7D48">
            <w:pPr>
              <w:keepNext/>
              <w:jc w:val="center"/>
              <w:rPr>
                <w:rFonts w:asciiTheme="minorHAnsi" w:hAnsiTheme="minorHAnsi" w:cstheme="minorHAnsi"/>
                <w:b/>
                <w:sz w:val="18"/>
                <w:szCs w:val="18"/>
              </w:rPr>
            </w:pPr>
            <w:r w:rsidRPr="00F8060C">
              <w:rPr>
                <w:rFonts w:asciiTheme="minorHAnsi" w:hAnsiTheme="minorHAnsi" w:cstheme="minorHAnsi"/>
                <w:sz w:val="18"/>
                <w:szCs w:val="18"/>
              </w:rPr>
              <w:t>(Mylan)</w:t>
            </w:r>
          </w:p>
        </w:tc>
        <w:tc>
          <w:tcPr>
            <w:tcW w:w="622" w:type="pct"/>
            <w:shd w:val="clear" w:color="auto" w:fill="E8E8E8"/>
            <w:vAlign w:val="center"/>
          </w:tcPr>
          <w:p w14:paraId="4D413E84" w14:textId="77777777" w:rsidR="00DE7D48" w:rsidRPr="00F8060C" w:rsidRDefault="00DE7D48" w:rsidP="00DE7D48">
            <w:pPr>
              <w:keepNext/>
              <w:jc w:val="center"/>
              <w:rPr>
                <w:rFonts w:asciiTheme="minorHAnsi" w:hAnsiTheme="minorHAnsi" w:cstheme="minorHAnsi"/>
                <w:b/>
                <w:sz w:val="18"/>
                <w:szCs w:val="18"/>
              </w:rPr>
            </w:pPr>
            <w:proofErr w:type="spellStart"/>
            <w:r w:rsidRPr="00F8060C">
              <w:rPr>
                <w:rFonts w:asciiTheme="minorHAnsi" w:hAnsiTheme="minorHAnsi" w:cstheme="minorHAnsi"/>
                <w:b/>
                <w:sz w:val="18"/>
                <w:szCs w:val="18"/>
              </w:rPr>
              <w:t>Fluzone</w:t>
            </w:r>
            <w:proofErr w:type="spellEnd"/>
            <w:r w:rsidRPr="00F8060C">
              <w:rPr>
                <w:rFonts w:asciiTheme="minorHAnsi" w:hAnsiTheme="minorHAnsi" w:cstheme="minorHAnsi"/>
                <w:b/>
                <w:sz w:val="18"/>
                <w:szCs w:val="18"/>
              </w:rPr>
              <w:t xml:space="preserve"> High-Dose</w:t>
            </w:r>
          </w:p>
          <w:p w14:paraId="5B0828C4" w14:textId="77777777" w:rsidR="00DE7D48" w:rsidRPr="00F8060C" w:rsidRDefault="00DE7D48" w:rsidP="00DE7D48">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6310C6BC" w14:textId="77777777" w:rsidR="00DE7D48" w:rsidRPr="00F8060C" w:rsidRDefault="00DE7D48" w:rsidP="00DE7D48">
            <w:pPr>
              <w:keepNext/>
              <w:jc w:val="center"/>
              <w:rPr>
                <w:rFonts w:asciiTheme="minorHAnsi" w:hAnsiTheme="minorHAnsi" w:cstheme="minorHAnsi"/>
                <w:sz w:val="18"/>
                <w:szCs w:val="18"/>
              </w:rPr>
            </w:pPr>
            <w:r w:rsidRPr="00F8060C">
              <w:rPr>
                <w:rFonts w:asciiTheme="minorHAnsi" w:hAnsiTheme="minorHAnsi" w:cstheme="minorHAnsi"/>
                <w:sz w:val="18"/>
                <w:szCs w:val="18"/>
              </w:rPr>
              <w:t>(Sanofi)</w:t>
            </w:r>
          </w:p>
        </w:tc>
        <w:tc>
          <w:tcPr>
            <w:tcW w:w="552" w:type="pct"/>
            <w:shd w:val="clear" w:color="auto" w:fill="E8E8E8"/>
            <w:vAlign w:val="center"/>
          </w:tcPr>
          <w:p w14:paraId="15A50AD8" w14:textId="77777777" w:rsidR="00DE7D48" w:rsidRPr="00F8060C" w:rsidRDefault="00DE7D48" w:rsidP="00DE7D48">
            <w:pPr>
              <w:keepNext/>
              <w:jc w:val="center"/>
              <w:rPr>
                <w:rFonts w:asciiTheme="minorHAnsi" w:hAnsiTheme="minorHAnsi" w:cstheme="minorHAnsi"/>
                <w:b/>
                <w:sz w:val="18"/>
                <w:szCs w:val="18"/>
              </w:rPr>
            </w:pPr>
            <w:proofErr w:type="spellStart"/>
            <w:r w:rsidRPr="00F8060C">
              <w:rPr>
                <w:rFonts w:asciiTheme="minorHAnsi" w:hAnsiTheme="minorHAnsi" w:cstheme="minorHAnsi"/>
                <w:b/>
                <w:sz w:val="18"/>
                <w:szCs w:val="18"/>
              </w:rPr>
              <w:t>Fluad</w:t>
            </w:r>
            <w:proofErr w:type="spellEnd"/>
            <w:r w:rsidR="00846A2D">
              <w:rPr>
                <w:rFonts w:asciiTheme="minorHAnsi" w:hAnsiTheme="minorHAnsi" w:cstheme="minorHAnsi"/>
                <w:b/>
                <w:sz w:val="18"/>
                <w:szCs w:val="18"/>
              </w:rPr>
              <w:t>*</w:t>
            </w:r>
          </w:p>
          <w:p w14:paraId="779DAD33" w14:textId="77777777" w:rsidR="00DE7D48" w:rsidRPr="00F8060C" w:rsidRDefault="00DE7D48" w:rsidP="00DE7D48">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770A6839" w14:textId="77777777" w:rsidR="00DE7D48" w:rsidRPr="00F8060C" w:rsidRDefault="00DE7D48" w:rsidP="00DE7D48">
            <w:pPr>
              <w:keepNext/>
              <w:jc w:val="center"/>
              <w:rPr>
                <w:rFonts w:asciiTheme="minorHAnsi" w:hAnsiTheme="minorHAnsi" w:cstheme="minorHAnsi"/>
                <w:sz w:val="18"/>
                <w:szCs w:val="18"/>
              </w:rPr>
            </w:pPr>
            <w:r w:rsidRPr="00F8060C">
              <w:rPr>
                <w:rFonts w:asciiTheme="minorHAnsi" w:hAnsiTheme="minorHAnsi" w:cstheme="minorHAnsi"/>
                <w:sz w:val="18"/>
                <w:szCs w:val="18"/>
              </w:rPr>
              <w:t>(</w:t>
            </w:r>
            <w:proofErr w:type="spellStart"/>
            <w:r w:rsidRPr="00F8060C">
              <w:rPr>
                <w:rFonts w:asciiTheme="minorHAnsi" w:hAnsiTheme="minorHAnsi" w:cstheme="minorHAnsi"/>
                <w:sz w:val="18"/>
                <w:szCs w:val="18"/>
              </w:rPr>
              <w:t>Seqirus</w:t>
            </w:r>
            <w:proofErr w:type="spellEnd"/>
            <w:r w:rsidRPr="00F8060C">
              <w:rPr>
                <w:rFonts w:asciiTheme="minorHAnsi" w:hAnsiTheme="minorHAnsi" w:cstheme="minorHAnsi"/>
                <w:sz w:val="18"/>
                <w:szCs w:val="18"/>
              </w:rPr>
              <w:t>)</w:t>
            </w:r>
          </w:p>
        </w:tc>
      </w:tr>
      <w:tr w:rsidR="00DE7D48" w:rsidRPr="00F8060C" w14:paraId="1F1D7A93" w14:textId="77777777" w:rsidTr="00846A2D">
        <w:trPr>
          <w:trHeight w:val="340"/>
        </w:trPr>
        <w:tc>
          <w:tcPr>
            <w:tcW w:w="1173" w:type="pct"/>
            <w:shd w:val="clear" w:color="auto" w:fill="CCC0D9"/>
            <w:vAlign w:val="center"/>
          </w:tcPr>
          <w:p w14:paraId="60789D27" w14:textId="77777777" w:rsidR="00DE7D48" w:rsidRPr="00F8060C" w:rsidRDefault="00DE7D48" w:rsidP="00842FB7">
            <w:pPr>
              <w:keepNext/>
              <w:rPr>
                <w:rFonts w:asciiTheme="minorHAnsi" w:hAnsiTheme="minorHAnsi" w:cstheme="minorHAnsi"/>
                <w:sz w:val="18"/>
                <w:szCs w:val="18"/>
              </w:rPr>
            </w:pPr>
            <w:r w:rsidRPr="00F8060C">
              <w:rPr>
                <w:rFonts w:ascii="Times New Roman" w:hAnsi="Times New Roman" w:cs="Times New Roman"/>
                <w:sz w:val="18"/>
                <w:szCs w:val="18"/>
              </w:rPr>
              <w:t>&lt;</w:t>
            </w:r>
            <w:r w:rsidRPr="00F8060C">
              <w:rPr>
                <w:rFonts w:asciiTheme="minorHAnsi" w:hAnsiTheme="minorHAnsi" w:cstheme="minorHAnsi"/>
                <w:sz w:val="18"/>
                <w:szCs w:val="18"/>
              </w:rPr>
              <w:t>6 months</w:t>
            </w:r>
          </w:p>
        </w:tc>
        <w:tc>
          <w:tcPr>
            <w:tcW w:w="554" w:type="pct"/>
            <w:shd w:val="clear" w:color="auto" w:fill="E8E8E8"/>
            <w:vAlign w:val="center"/>
          </w:tcPr>
          <w:p w14:paraId="0E31BDEF" w14:textId="77777777" w:rsidR="00DE7D48" w:rsidRPr="00F8060C" w:rsidRDefault="00DE7D48" w:rsidP="005641C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484" w:type="pct"/>
            <w:shd w:val="clear" w:color="auto" w:fill="E8E8E8"/>
            <w:vAlign w:val="center"/>
          </w:tcPr>
          <w:p w14:paraId="2550285B" w14:textId="77777777" w:rsidR="00DE7D48" w:rsidRPr="00F8060C" w:rsidRDefault="00DE7D48" w:rsidP="00C01D56">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80" w:type="pct"/>
            <w:shd w:val="clear" w:color="auto" w:fill="E8E8E8"/>
            <w:vAlign w:val="center"/>
          </w:tcPr>
          <w:p w14:paraId="0F28FD2F" w14:textId="77777777" w:rsidR="00DE7D48" w:rsidRPr="00F8060C" w:rsidRDefault="00DE7D48" w:rsidP="00D67F34">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483" w:type="pct"/>
            <w:shd w:val="clear" w:color="auto" w:fill="E8E8E8"/>
            <w:vAlign w:val="center"/>
          </w:tcPr>
          <w:p w14:paraId="3285AA8C"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52" w:type="pct"/>
            <w:shd w:val="clear" w:color="auto" w:fill="E8E8E8"/>
            <w:vAlign w:val="center"/>
          </w:tcPr>
          <w:p w14:paraId="4CEC98B9"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622" w:type="pct"/>
            <w:shd w:val="clear" w:color="auto" w:fill="E8E8E8"/>
            <w:vAlign w:val="center"/>
          </w:tcPr>
          <w:p w14:paraId="2BABBF35"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52" w:type="pct"/>
            <w:shd w:val="clear" w:color="auto" w:fill="E8E8E8"/>
            <w:vAlign w:val="center"/>
          </w:tcPr>
          <w:p w14:paraId="76D33176"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r>
      <w:tr w:rsidR="00DE7D48" w:rsidRPr="00F8060C" w14:paraId="10A585C2" w14:textId="77777777" w:rsidTr="00846A2D">
        <w:trPr>
          <w:trHeight w:val="340"/>
        </w:trPr>
        <w:tc>
          <w:tcPr>
            <w:tcW w:w="1173" w:type="pct"/>
            <w:shd w:val="clear" w:color="auto" w:fill="CCC0D9"/>
            <w:vAlign w:val="center"/>
          </w:tcPr>
          <w:p w14:paraId="48F412DF" w14:textId="77777777" w:rsidR="00DE7D48" w:rsidRPr="00F8060C" w:rsidRDefault="00DE7D48" w:rsidP="00842FB7">
            <w:pPr>
              <w:keepNext/>
              <w:rPr>
                <w:rFonts w:asciiTheme="minorHAnsi" w:hAnsiTheme="minorHAnsi" w:cstheme="minorHAnsi"/>
                <w:sz w:val="18"/>
                <w:szCs w:val="18"/>
              </w:rPr>
            </w:pPr>
            <w:r w:rsidRPr="00F8060C">
              <w:rPr>
                <w:rFonts w:asciiTheme="minorHAnsi" w:hAnsiTheme="minorHAnsi" w:cstheme="minorHAnsi"/>
                <w:sz w:val="18"/>
                <w:szCs w:val="18"/>
              </w:rPr>
              <w:t>6 to 35 months</w:t>
            </w:r>
            <w:r>
              <w:rPr>
                <w:rFonts w:asciiTheme="minorHAnsi" w:hAnsiTheme="minorHAnsi" w:cstheme="minorHAnsi"/>
                <w:sz w:val="18"/>
                <w:szCs w:val="18"/>
              </w:rPr>
              <w:t xml:space="preserve"> </w:t>
            </w:r>
            <w:r w:rsidRPr="00F8060C">
              <w:rPr>
                <w:rFonts w:asciiTheme="minorHAnsi" w:hAnsiTheme="minorHAnsi" w:cstheme="minorHAnsi"/>
                <w:sz w:val="18"/>
                <w:szCs w:val="18"/>
              </w:rPr>
              <w:t>(</w:t>
            </w:r>
            <w:r w:rsidRPr="00F8060C">
              <w:rPr>
                <w:rFonts w:ascii="Times New Roman" w:hAnsi="Times New Roman" w:cs="Times New Roman"/>
                <w:sz w:val="18"/>
                <w:szCs w:val="18"/>
              </w:rPr>
              <w:t>&lt;</w:t>
            </w:r>
            <w:r w:rsidRPr="00F8060C">
              <w:rPr>
                <w:rFonts w:asciiTheme="minorHAnsi" w:hAnsiTheme="minorHAnsi" w:cstheme="minorHAnsi"/>
                <w:sz w:val="18"/>
                <w:szCs w:val="18"/>
              </w:rPr>
              <w:t>3 years)</w:t>
            </w:r>
          </w:p>
        </w:tc>
        <w:tc>
          <w:tcPr>
            <w:tcW w:w="554" w:type="pct"/>
            <w:vAlign w:val="center"/>
          </w:tcPr>
          <w:p w14:paraId="5684DB10" w14:textId="77777777" w:rsidR="00DE7D48" w:rsidRPr="00F8060C" w:rsidRDefault="00DE7D48" w:rsidP="005641C8">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484" w:type="pct"/>
            <w:shd w:val="clear" w:color="auto" w:fill="auto"/>
            <w:vAlign w:val="center"/>
          </w:tcPr>
          <w:p w14:paraId="41D4DDCA" w14:textId="77777777" w:rsidR="00DE7D48" w:rsidRPr="00F8060C" w:rsidRDefault="00DE7D48" w:rsidP="00C01D56">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80" w:type="pct"/>
            <w:shd w:val="clear" w:color="auto" w:fill="E8E8E8"/>
            <w:vAlign w:val="center"/>
          </w:tcPr>
          <w:p w14:paraId="1E4D5438" w14:textId="77777777" w:rsidR="00DE7D48" w:rsidRPr="00F8060C" w:rsidRDefault="00DE7D48" w:rsidP="00D67F34">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483" w:type="pct"/>
            <w:shd w:val="clear" w:color="auto" w:fill="E8E8E8"/>
            <w:vAlign w:val="center"/>
          </w:tcPr>
          <w:p w14:paraId="17A4A6E9"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52" w:type="pct"/>
            <w:tcBorders>
              <w:bottom w:val="single" w:sz="4" w:space="0" w:color="A6A6A6" w:themeColor="background1" w:themeShade="A6"/>
            </w:tcBorders>
            <w:shd w:val="clear" w:color="auto" w:fill="E8E8E8"/>
            <w:vAlign w:val="center"/>
          </w:tcPr>
          <w:p w14:paraId="22A405D3"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622" w:type="pct"/>
            <w:shd w:val="clear" w:color="auto" w:fill="E8E8E8"/>
            <w:vAlign w:val="center"/>
          </w:tcPr>
          <w:p w14:paraId="09802694"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52" w:type="pct"/>
            <w:shd w:val="clear" w:color="auto" w:fill="E8E8E8"/>
            <w:vAlign w:val="center"/>
          </w:tcPr>
          <w:p w14:paraId="1454B4B7"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r>
      <w:tr w:rsidR="00DE7D48" w:rsidRPr="00F8060C" w14:paraId="259DDF03" w14:textId="77777777" w:rsidTr="00846A2D">
        <w:trPr>
          <w:trHeight w:val="340"/>
        </w:trPr>
        <w:tc>
          <w:tcPr>
            <w:tcW w:w="1173" w:type="pct"/>
            <w:shd w:val="clear" w:color="auto" w:fill="CCC0D9"/>
            <w:vAlign w:val="center"/>
          </w:tcPr>
          <w:p w14:paraId="39091C93" w14:textId="77777777" w:rsidR="00DE7D48" w:rsidRPr="00F8060C" w:rsidRDefault="00DE7D48" w:rsidP="0028298C">
            <w:pPr>
              <w:keepNext/>
              <w:rPr>
                <w:rFonts w:asciiTheme="minorHAnsi" w:hAnsiTheme="minorHAnsi" w:cstheme="minorHAnsi"/>
                <w:sz w:val="18"/>
                <w:szCs w:val="18"/>
              </w:rPr>
            </w:pPr>
            <w:r w:rsidRPr="00F8060C">
              <w:rPr>
                <w:rFonts w:ascii="Times New Roman" w:hAnsi="Times New Roman" w:cs="Times New Roman"/>
                <w:sz w:val="18"/>
                <w:szCs w:val="18"/>
              </w:rPr>
              <w:t>≥</w:t>
            </w:r>
            <w:r w:rsidRPr="00F8060C">
              <w:rPr>
                <w:rFonts w:asciiTheme="minorHAnsi" w:hAnsiTheme="minorHAnsi" w:cstheme="minorHAnsi"/>
                <w:sz w:val="18"/>
                <w:szCs w:val="18"/>
              </w:rPr>
              <w:t xml:space="preserve">3 to </w:t>
            </w:r>
            <w:r w:rsidRPr="0028298C">
              <w:rPr>
                <w:rFonts w:ascii="Times New Roman" w:hAnsi="Times New Roman" w:cs="Times New Roman"/>
                <w:sz w:val="18"/>
                <w:szCs w:val="18"/>
              </w:rPr>
              <w:t>&lt;</w:t>
            </w:r>
            <w:r>
              <w:rPr>
                <w:rFonts w:asciiTheme="minorHAnsi" w:hAnsiTheme="minorHAnsi" w:cstheme="minorHAnsi"/>
                <w:sz w:val="18"/>
                <w:szCs w:val="18"/>
              </w:rPr>
              <w:t>5</w:t>
            </w:r>
            <w:r w:rsidRPr="00F8060C">
              <w:rPr>
                <w:rFonts w:asciiTheme="minorHAnsi" w:hAnsiTheme="minorHAnsi" w:cstheme="minorHAnsi"/>
                <w:sz w:val="18"/>
                <w:szCs w:val="18"/>
              </w:rPr>
              <w:t xml:space="preserve"> years</w:t>
            </w:r>
          </w:p>
        </w:tc>
        <w:tc>
          <w:tcPr>
            <w:tcW w:w="554" w:type="pct"/>
            <w:shd w:val="clear" w:color="auto" w:fill="E8E8E8"/>
            <w:vAlign w:val="center"/>
          </w:tcPr>
          <w:p w14:paraId="2D99F69D" w14:textId="77777777" w:rsidR="00DE7D48" w:rsidRPr="00F8060C" w:rsidRDefault="00DE7D48" w:rsidP="005641C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484" w:type="pct"/>
            <w:vAlign w:val="center"/>
          </w:tcPr>
          <w:p w14:paraId="0696BC41" w14:textId="77777777" w:rsidR="00DE7D48" w:rsidRPr="00F8060C" w:rsidRDefault="00DE7D48" w:rsidP="00C01D56">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80" w:type="pct"/>
            <w:vAlign w:val="center"/>
          </w:tcPr>
          <w:p w14:paraId="5FC0CD92" w14:textId="77777777" w:rsidR="00DE7D48" w:rsidRPr="00F8060C" w:rsidRDefault="00DE7D48" w:rsidP="00D67F34">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483" w:type="pct"/>
            <w:shd w:val="clear" w:color="auto" w:fill="E8E8E8"/>
            <w:vAlign w:val="center"/>
          </w:tcPr>
          <w:p w14:paraId="029B5094"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52" w:type="pct"/>
            <w:shd w:val="clear" w:color="auto" w:fill="E8E8E8"/>
            <w:vAlign w:val="center"/>
          </w:tcPr>
          <w:p w14:paraId="1B6EFEE2"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622" w:type="pct"/>
            <w:shd w:val="clear" w:color="auto" w:fill="E8E8E8"/>
            <w:vAlign w:val="center"/>
          </w:tcPr>
          <w:p w14:paraId="0C34D1AA"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52" w:type="pct"/>
            <w:shd w:val="clear" w:color="auto" w:fill="E8E8E8"/>
            <w:vAlign w:val="center"/>
          </w:tcPr>
          <w:p w14:paraId="615C1BA8"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r>
      <w:tr w:rsidR="00DE7D48" w:rsidRPr="00F8060C" w14:paraId="18C09C91" w14:textId="77777777" w:rsidTr="00846A2D">
        <w:trPr>
          <w:trHeight w:val="340"/>
        </w:trPr>
        <w:tc>
          <w:tcPr>
            <w:tcW w:w="1173" w:type="pct"/>
            <w:shd w:val="clear" w:color="auto" w:fill="CCC0D9"/>
            <w:vAlign w:val="center"/>
          </w:tcPr>
          <w:p w14:paraId="34814DE8" w14:textId="77777777" w:rsidR="00DE7D48" w:rsidRPr="00F8060C" w:rsidRDefault="00DE7D48" w:rsidP="0028298C">
            <w:pPr>
              <w:keepNext/>
              <w:rPr>
                <w:rFonts w:ascii="Times New Roman" w:hAnsi="Times New Roman" w:cs="Times New Roman"/>
                <w:sz w:val="18"/>
                <w:szCs w:val="18"/>
              </w:rPr>
            </w:pPr>
            <w:r w:rsidRPr="00425B7C">
              <w:rPr>
                <w:rFonts w:ascii="Times New Roman" w:hAnsi="Times New Roman" w:cs="Times New Roman"/>
                <w:sz w:val="18"/>
                <w:szCs w:val="18"/>
              </w:rPr>
              <w:t>≥</w:t>
            </w:r>
            <w:r w:rsidRPr="0028298C">
              <w:rPr>
                <w:sz w:val="18"/>
                <w:szCs w:val="18"/>
              </w:rPr>
              <w:t>5 to 17 years</w:t>
            </w:r>
          </w:p>
        </w:tc>
        <w:tc>
          <w:tcPr>
            <w:tcW w:w="554" w:type="pct"/>
            <w:shd w:val="clear" w:color="auto" w:fill="E8E8E8"/>
            <w:vAlign w:val="center"/>
          </w:tcPr>
          <w:p w14:paraId="5F96929F" w14:textId="77777777" w:rsidR="00DE7D48" w:rsidRPr="00F8060C" w:rsidRDefault="00DE7D48" w:rsidP="005641C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484" w:type="pct"/>
            <w:vAlign w:val="center"/>
          </w:tcPr>
          <w:p w14:paraId="2E83D9B2" w14:textId="77777777" w:rsidR="00DE7D48" w:rsidRPr="00F8060C" w:rsidRDefault="00DE7D48" w:rsidP="005641C8">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80" w:type="pct"/>
            <w:vAlign w:val="center"/>
          </w:tcPr>
          <w:p w14:paraId="134345C7" w14:textId="77777777" w:rsidR="00DE7D48" w:rsidRPr="00F8060C" w:rsidRDefault="00DE7D48" w:rsidP="005641C8">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483" w:type="pct"/>
            <w:shd w:val="clear" w:color="auto" w:fill="auto"/>
            <w:vAlign w:val="center"/>
          </w:tcPr>
          <w:p w14:paraId="16D89B0B" w14:textId="77777777" w:rsidR="00DE7D48" w:rsidRPr="00F8060C" w:rsidRDefault="00DE7D48" w:rsidP="005641C8">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52" w:type="pct"/>
            <w:shd w:val="clear" w:color="auto" w:fill="E8E8E8"/>
            <w:vAlign w:val="center"/>
          </w:tcPr>
          <w:p w14:paraId="0EC0ADDF" w14:textId="77777777" w:rsidR="00DE7D48" w:rsidRPr="00F8060C" w:rsidRDefault="00DE7D48" w:rsidP="005641C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622" w:type="pct"/>
            <w:shd w:val="clear" w:color="auto" w:fill="E8E8E8"/>
            <w:vAlign w:val="center"/>
          </w:tcPr>
          <w:p w14:paraId="10DAF252" w14:textId="77777777" w:rsidR="00DE7D48" w:rsidRPr="00F8060C" w:rsidRDefault="00DE7D48" w:rsidP="005641C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52" w:type="pct"/>
            <w:shd w:val="clear" w:color="auto" w:fill="E8E8E8"/>
            <w:vAlign w:val="center"/>
          </w:tcPr>
          <w:p w14:paraId="3A8EF102" w14:textId="77777777" w:rsidR="00DE7D48" w:rsidRPr="00F8060C" w:rsidRDefault="00DE7D48" w:rsidP="005641C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r>
      <w:tr w:rsidR="00DE7D48" w:rsidRPr="00F8060C" w14:paraId="5B38E486" w14:textId="77777777" w:rsidTr="00846A2D">
        <w:trPr>
          <w:trHeight w:val="340"/>
        </w:trPr>
        <w:tc>
          <w:tcPr>
            <w:tcW w:w="1173" w:type="pct"/>
            <w:shd w:val="clear" w:color="auto" w:fill="CCC0D9"/>
            <w:vAlign w:val="center"/>
          </w:tcPr>
          <w:p w14:paraId="30431B0D" w14:textId="77777777" w:rsidR="00DE7D48" w:rsidRPr="00F8060C" w:rsidRDefault="00DE7D48" w:rsidP="00842FB7">
            <w:pPr>
              <w:keepNext/>
              <w:rPr>
                <w:rFonts w:asciiTheme="minorHAnsi" w:hAnsiTheme="minorHAnsi" w:cstheme="minorHAnsi"/>
                <w:sz w:val="18"/>
                <w:szCs w:val="18"/>
              </w:rPr>
            </w:pPr>
            <w:r w:rsidRPr="00F8060C">
              <w:rPr>
                <w:rFonts w:ascii="Times New Roman" w:hAnsi="Times New Roman" w:cs="Times New Roman"/>
                <w:sz w:val="18"/>
                <w:szCs w:val="18"/>
              </w:rPr>
              <w:t>≥</w:t>
            </w:r>
            <w:r w:rsidRPr="00F8060C">
              <w:rPr>
                <w:rFonts w:asciiTheme="minorHAnsi" w:hAnsiTheme="minorHAnsi" w:cstheme="minorHAnsi"/>
                <w:sz w:val="18"/>
                <w:szCs w:val="18"/>
              </w:rPr>
              <w:t>18 years</w:t>
            </w:r>
          </w:p>
        </w:tc>
        <w:tc>
          <w:tcPr>
            <w:tcW w:w="554" w:type="pct"/>
            <w:shd w:val="clear" w:color="auto" w:fill="E8E8E8"/>
            <w:vAlign w:val="center"/>
          </w:tcPr>
          <w:p w14:paraId="19719A4A" w14:textId="77777777" w:rsidR="00DE7D48" w:rsidRPr="00F8060C" w:rsidRDefault="00DE7D48" w:rsidP="005641C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484" w:type="pct"/>
            <w:vAlign w:val="center"/>
          </w:tcPr>
          <w:p w14:paraId="3638D72F" w14:textId="77777777" w:rsidR="00DE7D48" w:rsidRPr="00F8060C" w:rsidRDefault="00DE7D48" w:rsidP="00C01D56">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80" w:type="pct"/>
            <w:shd w:val="clear" w:color="auto" w:fill="auto"/>
            <w:vAlign w:val="center"/>
          </w:tcPr>
          <w:p w14:paraId="3DA3F8CC" w14:textId="77777777" w:rsidR="00DE7D48" w:rsidRPr="00F8060C" w:rsidRDefault="00DE7D48" w:rsidP="00D67F34">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483" w:type="pct"/>
            <w:vAlign w:val="center"/>
          </w:tcPr>
          <w:p w14:paraId="568C71F7"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52" w:type="pct"/>
            <w:shd w:val="clear" w:color="auto" w:fill="auto"/>
            <w:vAlign w:val="center"/>
          </w:tcPr>
          <w:p w14:paraId="64FCF1FC"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622" w:type="pct"/>
            <w:shd w:val="clear" w:color="auto" w:fill="E8E8E8"/>
            <w:vAlign w:val="center"/>
          </w:tcPr>
          <w:p w14:paraId="56DC47E8"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52" w:type="pct"/>
            <w:shd w:val="clear" w:color="auto" w:fill="E8E8E8"/>
            <w:vAlign w:val="center"/>
          </w:tcPr>
          <w:p w14:paraId="5BBF76AE" w14:textId="77777777" w:rsidR="00DE7D48" w:rsidRPr="00F8060C" w:rsidRDefault="00DE7D48" w:rsidP="00DE5628">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r>
      <w:tr w:rsidR="00DE7D48" w:rsidRPr="00F8060C" w14:paraId="67EA2D8D" w14:textId="77777777" w:rsidTr="00846A2D">
        <w:trPr>
          <w:trHeight w:val="340"/>
        </w:trPr>
        <w:tc>
          <w:tcPr>
            <w:tcW w:w="1173" w:type="pct"/>
            <w:shd w:val="clear" w:color="auto" w:fill="CCC0D9"/>
            <w:vAlign w:val="center"/>
          </w:tcPr>
          <w:p w14:paraId="30A3D76D" w14:textId="77777777" w:rsidR="00DE7D48" w:rsidRPr="00F8060C" w:rsidRDefault="00DE7D48" w:rsidP="00842FB7">
            <w:pPr>
              <w:rPr>
                <w:rFonts w:asciiTheme="minorHAnsi" w:hAnsiTheme="minorHAnsi" w:cstheme="minorHAnsi"/>
                <w:sz w:val="18"/>
                <w:szCs w:val="18"/>
              </w:rPr>
            </w:pPr>
            <w:r w:rsidRPr="00F8060C">
              <w:rPr>
                <w:rFonts w:ascii="Times" w:hAnsi="Times" w:cs="Times"/>
                <w:sz w:val="18"/>
                <w:szCs w:val="18"/>
              </w:rPr>
              <w:t>≥</w:t>
            </w:r>
            <w:r w:rsidRPr="00F8060C">
              <w:rPr>
                <w:rFonts w:asciiTheme="minorHAnsi" w:hAnsiTheme="minorHAnsi" w:cstheme="minorHAnsi"/>
                <w:sz w:val="18"/>
                <w:szCs w:val="18"/>
              </w:rPr>
              <w:t>65 years</w:t>
            </w:r>
          </w:p>
        </w:tc>
        <w:tc>
          <w:tcPr>
            <w:tcW w:w="554" w:type="pct"/>
            <w:shd w:val="clear" w:color="auto" w:fill="E8E8E8"/>
            <w:vAlign w:val="center"/>
          </w:tcPr>
          <w:p w14:paraId="188C35E9" w14:textId="77777777" w:rsidR="00DE7D48" w:rsidRPr="00F8060C" w:rsidRDefault="00DE7D48" w:rsidP="005641C8">
            <w:pPr>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484" w:type="pct"/>
            <w:vAlign w:val="center"/>
          </w:tcPr>
          <w:p w14:paraId="55FCDFCB" w14:textId="77777777" w:rsidR="00DE7D48" w:rsidRPr="00F8060C" w:rsidRDefault="00DE7D48" w:rsidP="00C01D56">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80" w:type="pct"/>
            <w:shd w:val="clear" w:color="auto" w:fill="auto"/>
            <w:vAlign w:val="center"/>
          </w:tcPr>
          <w:p w14:paraId="612258C5" w14:textId="77777777" w:rsidR="00DE7D48" w:rsidRPr="00F8060C" w:rsidRDefault="00DE7D48" w:rsidP="00D67F34">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483" w:type="pct"/>
            <w:vAlign w:val="center"/>
          </w:tcPr>
          <w:p w14:paraId="7DB4583A" w14:textId="77777777" w:rsidR="00DE7D48" w:rsidRPr="00F8060C" w:rsidRDefault="00DE7D48" w:rsidP="00DE5628">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52" w:type="pct"/>
            <w:vAlign w:val="center"/>
          </w:tcPr>
          <w:p w14:paraId="0AA9A109" w14:textId="77777777" w:rsidR="00DE7D48" w:rsidRPr="00F8060C" w:rsidRDefault="00DE7D48" w:rsidP="00DE5628">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622" w:type="pct"/>
            <w:vAlign w:val="center"/>
          </w:tcPr>
          <w:p w14:paraId="28938267" w14:textId="77777777" w:rsidR="00DE7D48" w:rsidRPr="00F8060C" w:rsidRDefault="00DE7D48" w:rsidP="00DE5628">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52" w:type="pct"/>
            <w:vAlign w:val="center"/>
          </w:tcPr>
          <w:p w14:paraId="3DFE82BC" w14:textId="77777777" w:rsidR="00DE7D48" w:rsidRPr="00F8060C" w:rsidRDefault="00DE7D48" w:rsidP="00DE5628">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r>
    </w:tbl>
    <w:p w14:paraId="1DE27076" w14:textId="77777777" w:rsidR="00B0053C" w:rsidRDefault="00846A2D" w:rsidP="00DF133D">
      <w:pPr>
        <w:spacing w:before="120" w:after="0"/>
        <w:rPr>
          <w:sz w:val="14"/>
          <w:szCs w:val="18"/>
          <w:lang w:eastAsia="en-US"/>
        </w:rPr>
      </w:pPr>
      <w:r w:rsidRPr="00DF133D">
        <w:rPr>
          <w:sz w:val="14"/>
          <w:szCs w:val="18"/>
          <w:lang w:eastAsia="en-US"/>
        </w:rPr>
        <w:t>* Vaccine funded under the NIP</w:t>
      </w:r>
    </w:p>
    <w:p w14:paraId="13012A79" w14:textId="77777777" w:rsidR="00846A2D" w:rsidRPr="00DF133D" w:rsidRDefault="00B0053C" w:rsidP="00DF133D">
      <w:pPr>
        <w:spacing w:before="120" w:after="0"/>
        <w:rPr>
          <w:sz w:val="14"/>
          <w:szCs w:val="18"/>
          <w:lang w:eastAsia="en-US"/>
        </w:rPr>
      </w:pPr>
      <w:r>
        <w:rPr>
          <w:sz w:val="14"/>
          <w:szCs w:val="18"/>
          <w:lang w:eastAsia="en-US"/>
        </w:rPr>
        <w:t>†</w:t>
      </w:r>
      <w:r w:rsidR="00CC0BFF">
        <w:rPr>
          <w:sz w:val="14"/>
          <w:szCs w:val="18"/>
          <w:lang w:eastAsia="en-US"/>
        </w:rPr>
        <w:t xml:space="preserve"> </w:t>
      </w:r>
      <w:r>
        <w:rPr>
          <w:sz w:val="14"/>
          <w:szCs w:val="18"/>
          <w:lang w:eastAsia="en-US"/>
        </w:rPr>
        <w:t>N</w:t>
      </w:r>
      <w:r w:rsidR="00CC0BFF">
        <w:rPr>
          <w:sz w:val="14"/>
          <w:szCs w:val="18"/>
          <w:lang w:eastAsia="en-US"/>
        </w:rPr>
        <w:t>ote different doses for vaccines available for children 6m-3y</w:t>
      </w:r>
    </w:p>
    <w:p w14:paraId="7DC9CF5C" w14:textId="77777777" w:rsidR="002430D1" w:rsidRDefault="002430D1">
      <w:pPr>
        <w:spacing w:line="276" w:lineRule="auto"/>
        <w:rPr>
          <w:b/>
          <w:color w:val="57259F"/>
          <w:sz w:val="20"/>
          <w:szCs w:val="18"/>
          <w:lang w:eastAsia="en-US"/>
        </w:rPr>
      </w:pPr>
      <w:r>
        <w:rPr>
          <w:sz w:val="20"/>
          <w:szCs w:val="18"/>
          <w:lang w:eastAsia="en-US"/>
        </w:rPr>
        <w:br w:type="page"/>
      </w:r>
    </w:p>
    <w:p w14:paraId="2EC72200" w14:textId="046DA7C4" w:rsidR="00F8060C" w:rsidRPr="00AC23C0" w:rsidRDefault="00F8060C" w:rsidP="00F8060C">
      <w:pPr>
        <w:pStyle w:val="Heading2"/>
        <w:rPr>
          <w:sz w:val="20"/>
          <w:szCs w:val="18"/>
          <w:lang w:eastAsia="en-US"/>
        </w:rPr>
      </w:pPr>
      <w:r w:rsidRPr="00AC23C0">
        <w:rPr>
          <w:sz w:val="20"/>
          <w:szCs w:val="18"/>
          <w:lang w:eastAsia="en-US"/>
        </w:rPr>
        <w:lastRenderedPageBreak/>
        <w:t xml:space="preserve">Influenza virus strains included in the </w:t>
      </w:r>
      <w:r w:rsidR="00EA221D" w:rsidRPr="00AC23C0">
        <w:rPr>
          <w:sz w:val="20"/>
          <w:szCs w:val="18"/>
          <w:lang w:eastAsia="en-US"/>
        </w:rPr>
        <w:t>201</w:t>
      </w:r>
      <w:r w:rsidR="00EA221D">
        <w:rPr>
          <w:sz w:val="20"/>
          <w:szCs w:val="18"/>
          <w:lang w:eastAsia="en-US"/>
        </w:rPr>
        <w:t>9</w:t>
      </w:r>
      <w:r w:rsidR="00EA221D" w:rsidRPr="00AC23C0">
        <w:rPr>
          <w:sz w:val="20"/>
          <w:szCs w:val="18"/>
          <w:lang w:eastAsia="en-US"/>
        </w:rPr>
        <w:t xml:space="preserve"> </w:t>
      </w:r>
      <w:r w:rsidRPr="00AC23C0">
        <w:rPr>
          <w:sz w:val="20"/>
          <w:szCs w:val="18"/>
          <w:lang w:eastAsia="en-US"/>
        </w:rPr>
        <w:t>southern hemisphere seasonal influenza vaccines:</w:t>
      </w:r>
    </w:p>
    <w:p w14:paraId="28701CC3" w14:textId="77777777" w:rsidR="00F8060C" w:rsidRPr="00AC23C0" w:rsidRDefault="00F8060C" w:rsidP="00F8060C">
      <w:pPr>
        <w:pStyle w:val="BulletedList"/>
        <w:ind w:left="714" w:hanging="357"/>
        <w:rPr>
          <w:sz w:val="18"/>
          <w:szCs w:val="18"/>
        </w:rPr>
      </w:pPr>
      <w:r w:rsidRPr="00AC23C0">
        <w:rPr>
          <w:sz w:val="18"/>
          <w:szCs w:val="18"/>
        </w:rPr>
        <w:t>A (H1N1): an A/Michigan/45/2015 (H1N1)pdm09 like virus</w:t>
      </w:r>
    </w:p>
    <w:p w14:paraId="700C389B" w14:textId="77777777" w:rsidR="00F8060C" w:rsidRDefault="00F8060C" w:rsidP="00F8060C">
      <w:pPr>
        <w:pStyle w:val="BulletedList"/>
        <w:ind w:left="714" w:hanging="357"/>
        <w:rPr>
          <w:sz w:val="18"/>
          <w:szCs w:val="18"/>
        </w:rPr>
      </w:pPr>
      <w:r w:rsidRPr="00AC23C0">
        <w:rPr>
          <w:sz w:val="18"/>
          <w:szCs w:val="18"/>
        </w:rPr>
        <w:t>A (H3N2): an A/</w:t>
      </w:r>
      <w:r w:rsidR="00DE7D48">
        <w:rPr>
          <w:sz w:val="18"/>
          <w:szCs w:val="18"/>
        </w:rPr>
        <w:t xml:space="preserve">Switzerland/8060/2017 </w:t>
      </w:r>
      <w:r w:rsidRPr="00AC23C0">
        <w:rPr>
          <w:sz w:val="18"/>
          <w:szCs w:val="18"/>
        </w:rPr>
        <w:t>(H3N2) like virus</w:t>
      </w:r>
    </w:p>
    <w:p w14:paraId="1FE4955C" w14:textId="77777777" w:rsidR="00DE7D48" w:rsidRPr="00AC23C0" w:rsidRDefault="00DE7D48" w:rsidP="00F8060C">
      <w:pPr>
        <w:pStyle w:val="BulletedList"/>
        <w:ind w:left="714" w:hanging="357"/>
        <w:rPr>
          <w:sz w:val="18"/>
          <w:szCs w:val="18"/>
        </w:rPr>
      </w:pPr>
      <w:r>
        <w:rPr>
          <w:sz w:val="18"/>
          <w:szCs w:val="18"/>
        </w:rPr>
        <w:t>B: a B/Colorado/06/2017 like virus</w:t>
      </w:r>
      <w:r w:rsidR="00D458E0">
        <w:rPr>
          <w:sz w:val="18"/>
          <w:szCs w:val="18"/>
        </w:rPr>
        <w:t xml:space="preserve"> (not included in the TIVs)</w:t>
      </w:r>
    </w:p>
    <w:p w14:paraId="1F42B86D" w14:textId="77777777" w:rsidR="00F8060C" w:rsidRPr="00AC23C0" w:rsidRDefault="00F8060C" w:rsidP="00F8060C">
      <w:pPr>
        <w:pStyle w:val="BulletedList"/>
        <w:ind w:left="714" w:hanging="357"/>
        <w:rPr>
          <w:sz w:val="18"/>
          <w:szCs w:val="18"/>
        </w:rPr>
      </w:pPr>
      <w:r w:rsidRPr="00AC23C0">
        <w:rPr>
          <w:sz w:val="18"/>
          <w:szCs w:val="18"/>
        </w:rPr>
        <w:t>B: a B/Phuket/3073/2013 like virus</w:t>
      </w:r>
      <w:r w:rsidR="00DE7D48">
        <w:rPr>
          <w:sz w:val="18"/>
          <w:szCs w:val="18"/>
        </w:rPr>
        <w:t xml:space="preserve"> </w:t>
      </w:r>
    </w:p>
    <w:p w14:paraId="5DA9E472" w14:textId="77777777" w:rsidR="00F8060C" w:rsidRPr="00AC23C0" w:rsidRDefault="007F162D" w:rsidP="00AC23C0">
      <w:pPr>
        <w:pStyle w:val="Heading3"/>
        <w:spacing w:after="40"/>
        <w:rPr>
          <w:sz w:val="18"/>
          <w:szCs w:val="18"/>
        </w:rPr>
      </w:pPr>
      <w:r>
        <w:rPr>
          <w:sz w:val="18"/>
          <w:szCs w:val="18"/>
        </w:rPr>
        <w:t>Highlights for 2019 i</w:t>
      </w:r>
      <w:r w:rsidR="00F8060C" w:rsidRPr="00AC23C0">
        <w:rPr>
          <w:sz w:val="18"/>
          <w:szCs w:val="18"/>
        </w:rPr>
        <w:t>nfluenza vaccine formulations</w:t>
      </w:r>
    </w:p>
    <w:p w14:paraId="59ADC1C1" w14:textId="77777777" w:rsidR="00F8060C" w:rsidRPr="00AC23C0" w:rsidRDefault="00F8060C" w:rsidP="00F8060C">
      <w:pPr>
        <w:pStyle w:val="BulletedList"/>
        <w:ind w:left="714" w:hanging="357"/>
        <w:contextualSpacing w:val="0"/>
        <w:rPr>
          <w:sz w:val="18"/>
          <w:szCs w:val="18"/>
        </w:rPr>
      </w:pPr>
      <w:r w:rsidRPr="00AC23C0">
        <w:rPr>
          <w:sz w:val="18"/>
          <w:szCs w:val="18"/>
        </w:rPr>
        <w:t xml:space="preserve">Age restrictions apply to all vaccine brands (Table 1). </w:t>
      </w:r>
    </w:p>
    <w:p w14:paraId="79EEE8DE" w14:textId="77777777" w:rsidR="00F8060C" w:rsidRDefault="002A602A" w:rsidP="00F8060C">
      <w:pPr>
        <w:pStyle w:val="BulletedList"/>
        <w:ind w:left="714" w:hanging="357"/>
        <w:rPr>
          <w:sz w:val="18"/>
          <w:szCs w:val="18"/>
        </w:rPr>
      </w:pPr>
      <w:proofErr w:type="spellStart"/>
      <w:r>
        <w:rPr>
          <w:sz w:val="18"/>
          <w:szCs w:val="18"/>
        </w:rPr>
        <w:t>Fluarix</w:t>
      </w:r>
      <w:proofErr w:type="spellEnd"/>
      <w:r>
        <w:rPr>
          <w:sz w:val="18"/>
          <w:szCs w:val="18"/>
        </w:rPr>
        <w:t xml:space="preserve"> Tetra</w:t>
      </w:r>
      <w:r w:rsidR="00F8060C" w:rsidRPr="00AC23C0">
        <w:rPr>
          <w:sz w:val="18"/>
          <w:szCs w:val="18"/>
        </w:rPr>
        <w:t xml:space="preserve">® </w:t>
      </w:r>
      <w:r w:rsidR="001B6C7E">
        <w:rPr>
          <w:sz w:val="18"/>
          <w:szCs w:val="18"/>
        </w:rPr>
        <w:t>is a</w:t>
      </w:r>
      <w:r w:rsidR="00F8060C" w:rsidRPr="00AC23C0">
        <w:rPr>
          <w:sz w:val="18"/>
          <w:szCs w:val="18"/>
        </w:rPr>
        <w:t xml:space="preserve"> </w:t>
      </w:r>
      <w:r w:rsidR="001B6C7E">
        <w:rPr>
          <w:sz w:val="18"/>
          <w:szCs w:val="18"/>
        </w:rPr>
        <w:t>Q</w:t>
      </w:r>
      <w:r w:rsidR="00F8060C" w:rsidRPr="00AC23C0">
        <w:rPr>
          <w:sz w:val="18"/>
          <w:szCs w:val="18"/>
        </w:rPr>
        <w:t>IV,</w:t>
      </w:r>
      <w:r w:rsidR="001B6C7E">
        <w:rPr>
          <w:sz w:val="18"/>
          <w:szCs w:val="18"/>
        </w:rPr>
        <w:t xml:space="preserve"> previously registered for children from 3 years of age. The age indication for this vaccine has now been extended to include children </w:t>
      </w:r>
      <w:r w:rsidR="004F7AFF">
        <w:rPr>
          <w:sz w:val="18"/>
          <w:szCs w:val="18"/>
        </w:rPr>
        <w:t xml:space="preserve">from </w:t>
      </w:r>
      <w:r w:rsidR="001B6C7E">
        <w:rPr>
          <w:sz w:val="18"/>
          <w:szCs w:val="18"/>
        </w:rPr>
        <w:t xml:space="preserve">6 months of age. The vaccine dose for all individuals is </w:t>
      </w:r>
      <w:r w:rsidR="009451A6">
        <w:rPr>
          <w:sz w:val="18"/>
          <w:szCs w:val="18"/>
        </w:rPr>
        <w:t xml:space="preserve">now </w:t>
      </w:r>
      <w:r w:rsidR="001B6C7E">
        <w:rPr>
          <w:sz w:val="18"/>
          <w:szCs w:val="18"/>
        </w:rPr>
        <w:t xml:space="preserve">0.5 </w:t>
      </w:r>
      <w:proofErr w:type="spellStart"/>
      <w:r w:rsidR="001B6C7E">
        <w:rPr>
          <w:sz w:val="18"/>
          <w:szCs w:val="18"/>
        </w:rPr>
        <w:t>mL.</w:t>
      </w:r>
      <w:proofErr w:type="spellEnd"/>
      <w:r w:rsidR="00CC0BFF">
        <w:rPr>
          <w:sz w:val="18"/>
          <w:szCs w:val="18"/>
        </w:rPr>
        <w:t xml:space="preserve"> Note that for children </w:t>
      </w:r>
      <w:r w:rsidR="00B0053C">
        <w:rPr>
          <w:sz w:val="18"/>
          <w:szCs w:val="18"/>
        </w:rPr>
        <w:t xml:space="preserve">aged </w:t>
      </w:r>
      <w:r w:rsidR="00CC0BFF">
        <w:rPr>
          <w:sz w:val="18"/>
          <w:szCs w:val="18"/>
        </w:rPr>
        <w:t>6</w:t>
      </w:r>
      <w:r w:rsidR="00B0053C">
        <w:rPr>
          <w:sz w:val="18"/>
          <w:szCs w:val="18"/>
        </w:rPr>
        <w:t xml:space="preserve"> </w:t>
      </w:r>
      <w:r w:rsidR="00CC0BFF">
        <w:rPr>
          <w:sz w:val="18"/>
          <w:szCs w:val="18"/>
        </w:rPr>
        <w:t>m</w:t>
      </w:r>
      <w:r w:rsidR="00B0053C">
        <w:rPr>
          <w:sz w:val="18"/>
          <w:szCs w:val="18"/>
        </w:rPr>
        <w:t>onths–</w:t>
      </w:r>
      <w:r w:rsidR="00CC0BFF">
        <w:rPr>
          <w:sz w:val="18"/>
          <w:szCs w:val="18"/>
        </w:rPr>
        <w:t>3</w:t>
      </w:r>
      <w:r w:rsidR="00B0053C">
        <w:rPr>
          <w:sz w:val="18"/>
          <w:szCs w:val="18"/>
        </w:rPr>
        <w:t xml:space="preserve"> </w:t>
      </w:r>
      <w:r w:rsidR="00CC0BFF">
        <w:rPr>
          <w:sz w:val="18"/>
          <w:szCs w:val="18"/>
        </w:rPr>
        <w:t>y</w:t>
      </w:r>
      <w:r w:rsidR="00B0053C">
        <w:rPr>
          <w:sz w:val="18"/>
          <w:szCs w:val="18"/>
        </w:rPr>
        <w:t>ears</w:t>
      </w:r>
      <w:r w:rsidR="00CC0BFF">
        <w:rPr>
          <w:sz w:val="18"/>
          <w:szCs w:val="18"/>
        </w:rPr>
        <w:t>, the two vaccines available have different doses.</w:t>
      </w:r>
    </w:p>
    <w:p w14:paraId="5D689218" w14:textId="77777777" w:rsidR="007F162D" w:rsidRDefault="00982861" w:rsidP="001B6C7E">
      <w:pPr>
        <w:pStyle w:val="BulletedList"/>
        <w:rPr>
          <w:sz w:val="18"/>
          <w:szCs w:val="18"/>
        </w:rPr>
      </w:pPr>
      <w:r>
        <w:rPr>
          <w:sz w:val="18"/>
          <w:szCs w:val="18"/>
        </w:rPr>
        <w:t>Afluria</w:t>
      </w:r>
      <w:r w:rsidR="007F162D">
        <w:rPr>
          <w:sz w:val="18"/>
          <w:szCs w:val="18"/>
        </w:rPr>
        <w:t xml:space="preserve"> Quad</w:t>
      </w:r>
      <w:r w:rsidRPr="00AC23C0">
        <w:rPr>
          <w:sz w:val="18"/>
          <w:szCs w:val="18"/>
        </w:rPr>
        <w:t>®</w:t>
      </w:r>
      <w:r>
        <w:rPr>
          <w:sz w:val="18"/>
          <w:szCs w:val="18"/>
        </w:rPr>
        <w:t xml:space="preserve"> is a QIV, previously registered for adults from 18 years of age. The age indication for this vaccine has now been extended to include children from 5 years of age</w:t>
      </w:r>
      <w:r w:rsidR="00BD2235">
        <w:rPr>
          <w:sz w:val="18"/>
          <w:szCs w:val="18"/>
        </w:rPr>
        <w:t xml:space="preserve"> in 2019</w:t>
      </w:r>
      <w:r>
        <w:rPr>
          <w:sz w:val="18"/>
          <w:szCs w:val="18"/>
        </w:rPr>
        <w:t>.</w:t>
      </w:r>
    </w:p>
    <w:p w14:paraId="0FB98FE4" w14:textId="77777777" w:rsidR="00F8060C" w:rsidRPr="00AC23C0" w:rsidRDefault="00F8060C" w:rsidP="00AC23C0">
      <w:pPr>
        <w:pStyle w:val="Heading3"/>
        <w:spacing w:after="40"/>
        <w:rPr>
          <w:sz w:val="18"/>
          <w:szCs w:val="18"/>
        </w:rPr>
      </w:pPr>
      <w:r w:rsidRPr="00AC23C0">
        <w:rPr>
          <w:sz w:val="18"/>
          <w:szCs w:val="18"/>
        </w:rPr>
        <w:t>Timing of vaccination</w:t>
      </w:r>
    </w:p>
    <w:p w14:paraId="5CD1EA41" w14:textId="77777777" w:rsidR="00F8060C" w:rsidRPr="00AC23C0" w:rsidRDefault="00F8060C" w:rsidP="00F8060C">
      <w:pPr>
        <w:pStyle w:val="BulletedList"/>
        <w:ind w:left="714" w:hanging="357"/>
        <w:rPr>
          <w:sz w:val="18"/>
          <w:szCs w:val="18"/>
        </w:rPr>
      </w:pPr>
      <w:r w:rsidRPr="00AC23C0">
        <w:rPr>
          <w:sz w:val="18"/>
          <w:szCs w:val="18"/>
        </w:rPr>
        <w:t xml:space="preserve">Annual vaccination before the onset of each influenza season is recommended. The period of peak influenza circulation is typically June to September </w:t>
      </w:r>
      <w:r w:rsidR="00BD2235">
        <w:rPr>
          <w:sz w:val="18"/>
          <w:szCs w:val="18"/>
        </w:rPr>
        <w:t>in</w:t>
      </w:r>
      <w:r w:rsidR="00BD2235" w:rsidRPr="00AC23C0">
        <w:rPr>
          <w:sz w:val="18"/>
          <w:szCs w:val="18"/>
        </w:rPr>
        <w:t xml:space="preserve"> </w:t>
      </w:r>
      <w:r w:rsidRPr="00AC23C0">
        <w:rPr>
          <w:sz w:val="18"/>
          <w:szCs w:val="18"/>
        </w:rPr>
        <w:t xml:space="preserve">most parts of Australia. </w:t>
      </w:r>
    </w:p>
    <w:p w14:paraId="7C14A3F0" w14:textId="77777777" w:rsidR="00F8060C" w:rsidRPr="00AC23C0" w:rsidRDefault="00F8060C" w:rsidP="00F8060C">
      <w:pPr>
        <w:pStyle w:val="BulletedList"/>
        <w:ind w:left="714" w:hanging="357"/>
        <w:rPr>
          <w:sz w:val="18"/>
          <w:szCs w:val="18"/>
        </w:rPr>
      </w:pPr>
      <w:r w:rsidRPr="00AC23C0">
        <w:rPr>
          <w:sz w:val="18"/>
          <w:szCs w:val="18"/>
        </w:rPr>
        <w:t>While protection is generally expected to last for the whole season, optimal protection against influenza occurs within the first 3 to 4 months following vaccination.</w:t>
      </w:r>
    </w:p>
    <w:p w14:paraId="3EE236B5" w14:textId="77777777" w:rsidR="00F8060C" w:rsidRPr="00AC23C0" w:rsidRDefault="00F8060C" w:rsidP="00F8060C">
      <w:pPr>
        <w:pStyle w:val="BulletedList"/>
        <w:ind w:left="714" w:hanging="357"/>
        <w:rPr>
          <w:sz w:val="18"/>
          <w:szCs w:val="18"/>
        </w:rPr>
      </w:pPr>
      <w:r w:rsidRPr="00AC23C0">
        <w:rPr>
          <w:sz w:val="18"/>
          <w:szCs w:val="18"/>
        </w:rPr>
        <w:t>It is never too late to vaccinate since influenza can circulate all year round. Vaccination should continue to be offered as long as influenza viruses are circulating and a valid vaccine (before expiration date) is available.</w:t>
      </w:r>
      <w:r w:rsidR="00C93BFE">
        <w:rPr>
          <w:sz w:val="18"/>
          <w:szCs w:val="18"/>
        </w:rPr>
        <w:t xml:space="preserve"> Some vaccine brands now have an expiry date of February 2020.</w:t>
      </w:r>
      <w:r w:rsidR="00CC0BFF">
        <w:rPr>
          <w:sz w:val="18"/>
          <w:szCs w:val="18"/>
        </w:rPr>
        <w:t xml:space="preserve"> </w:t>
      </w:r>
    </w:p>
    <w:p w14:paraId="075995CC" w14:textId="77777777" w:rsidR="00F8060C" w:rsidRPr="00AC23C0" w:rsidRDefault="00F8060C" w:rsidP="00F8060C">
      <w:pPr>
        <w:pStyle w:val="BulletedList"/>
        <w:ind w:left="714" w:hanging="357"/>
        <w:rPr>
          <w:sz w:val="18"/>
          <w:szCs w:val="18"/>
        </w:rPr>
      </w:pPr>
      <w:r w:rsidRPr="00AC23C0">
        <w:rPr>
          <w:sz w:val="18"/>
          <w:szCs w:val="18"/>
        </w:rPr>
        <w:t xml:space="preserve">Revaccination later in the same </w:t>
      </w:r>
      <w:r w:rsidR="00BD2235">
        <w:rPr>
          <w:sz w:val="18"/>
          <w:szCs w:val="18"/>
        </w:rPr>
        <w:t>year</w:t>
      </w:r>
      <w:r w:rsidR="00BD2235" w:rsidRPr="00AC23C0">
        <w:rPr>
          <w:sz w:val="18"/>
          <w:szCs w:val="18"/>
        </w:rPr>
        <w:t xml:space="preserve"> </w:t>
      </w:r>
      <w:r w:rsidRPr="00AC23C0">
        <w:rPr>
          <w:sz w:val="18"/>
          <w:szCs w:val="18"/>
        </w:rPr>
        <w:t xml:space="preserve">for individuals who have already received vaccination is not </w:t>
      </w:r>
      <w:r w:rsidR="00DF133D">
        <w:rPr>
          <w:sz w:val="18"/>
          <w:szCs w:val="18"/>
        </w:rPr>
        <w:t xml:space="preserve">routinely </w:t>
      </w:r>
      <w:r w:rsidRPr="00AC23C0">
        <w:rPr>
          <w:sz w:val="18"/>
          <w:szCs w:val="18"/>
        </w:rPr>
        <w:t>recommended, although not contraindicated.</w:t>
      </w:r>
      <w:r w:rsidR="00BD2235">
        <w:rPr>
          <w:sz w:val="18"/>
          <w:szCs w:val="18"/>
        </w:rPr>
        <w:t xml:space="preserve"> </w:t>
      </w:r>
      <w:r w:rsidR="00DF133D">
        <w:rPr>
          <w:sz w:val="18"/>
          <w:szCs w:val="18"/>
        </w:rPr>
        <w:t xml:space="preserve">Vaccination may be considered </w:t>
      </w:r>
      <w:r w:rsidR="00BD2235">
        <w:rPr>
          <w:sz w:val="18"/>
          <w:szCs w:val="18"/>
        </w:rPr>
        <w:t xml:space="preserve">for </w:t>
      </w:r>
      <w:r w:rsidR="00DF133D">
        <w:rPr>
          <w:sz w:val="18"/>
          <w:szCs w:val="18"/>
        </w:rPr>
        <w:t>travelers</w:t>
      </w:r>
      <w:r w:rsidR="00BD2235">
        <w:rPr>
          <w:sz w:val="18"/>
          <w:szCs w:val="18"/>
        </w:rPr>
        <w:t xml:space="preserve"> to the Northern Hemisphere in late 2019</w:t>
      </w:r>
      <w:r w:rsidR="00DF133D">
        <w:rPr>
          <w:sz w:val="18"/>
          <w:szCs w:val="18"/>
        </w:rPr>
        <w:t>, who were vaccinated earlier in 2019 prior to the Southern Hemisphere influenza season. The decision to recommend a second dose should take into account personal risk factors, risk of disease and currently circulating virus strains</w:t>
      </w:r>
      <w:r w:rsidR="00BD2235">
        <w:rPr>
          <w:sz w:val="18"/>
          <w:szCs w:val="18"/>
        </w:rPr>
        <w:t>.</w:t>
      </w:r>
    </w:p>
    <w:p w14:paraId="12D476FF" w14:textId="77777777" w:rsidR="00F8060C" w:rsidRPr="00AC23C0" w:rsidRDefault="00F8060C" w:rsidP="00AC23C0">
      <w:pPr>
        <w:pStyle w:val="Heading3"/>
        <w:spacing w:after="40"/>
        <w:rPr>
          <w:sz w:val="18"/>
          <w:szCs w:val="18"/>
        </w:rPr>
      </w:pPr>
      <w:r w:rsidRPr="00AC23C0">
        <w:rPr>
          <w:sz w:val="18"/>
          <w:szCs w:val="18"/>
        </w:rPr>
        <w:t>Influenza vaccination for pregnant women</w:t>
      </w:r>
    </w:p>
    <w:p w14:paraId="7BE5DDD7" w14:textId="77777777" w:rsidR="00C93BFE" w:rsidRPr="00DF2453" w:rsidRDefault="00C93BFE" w:rsidP="00C93BFE">
      <w:pPr>
        <w:pStyle w:val="BulletedList"/>
        <w:ind w:left="714" w:hanging="357"/>
        <w:rPr>
          <w:sz w:val="18"/>
          <w:szCs w:val="18"/>
        </w:rPr>
      </w:pPr>
      <w:r w:rsidRPr="00AC23C0">
        <w:rPr>
          <w:sz w:val="18"/>
          <w:szCs w:val="18"/>
        </w:rPr>
        <w:t xml:space="preserve">Influenza vaccination during pregnancy provides protection to </w:t>
      </w:r>
      <w:r>
        <w:rPr>
          <w:sz w:val="18"/>
          <w:szCs w:val="18"/>
        </w:rPr>
        <w:t>mothers and their</w:t>
      </w:r>
      <w:r w:rsidRPr="00AC23C0">
        <w:rPr>
          <w:sz w:val="18"/>
          <w:szCs w:val="18"/>
        </w:rPr>
        <w:t xml:space="preserve"> infant</w:t>
      </w:r>
      <w:r>
        <w:rPr>
          <w:sz w:val="18"/>
          <w:szCs w:val="18"/>
        </w:rPr>
        <w:t>s</w:t>
      </w:r>
      <w:r w:rsidRPr="00AC23C0">
        <w:rPr>
          <w:sz w:val="18"/>
          <w:szCs w:val="18"/>
        </w:rPr>
        <w:t xml:space="preserve">. </w:t>
      </w:r>
    </w:p>
    <w:p w14:paraId="3C7C6CB4" w14:textId="77777777" w:rsidR="001A51C8" w:rsidRPr="00DF2453" w:rsidRDefault="00F8060C" w:rsidP="00DF2453">
      <w:pPr>
        <w:pStyle w:val="BulletedList"/>
        <w:ind w:left="714" w:hanging="357"/>
        <w:rPr>
          <w:sz w:val="18"/>
          <w:szCs w:val="18"/>
        </w:rPr>
      </w:pPr>
      <w:r w:rsidRPr="00AC23C0">
        <w:rPr>
          <w:sz w:val="18"/>
          <w:szCs w:val="18"/>
        </w:rPr>
        <w:t>Influenza vaccine is recommended in every pregnancy</w:t>
      </w:r>
      <w:r w:rsidR="00846E7A">
        <w:rPr>
          <w:sz w:val="18"/>
          <w:szCs w:val="18"/>
        </w:rPr>
        <w:t xml:space="preserve"> and at any stage of pregnancy.</w:t>
      </w:r>
      <w:r w:rsidR="001A51C8" w:rsidRPr="001A51C8">
        <w:rPr>
          <w:sz w:val="18"/>
          <w:szCs w:val="18"/>
        </w:rPr>
        <w:t xml:space="preserve"> </w:t>
      </w:r>
      <w:r w:rsidR="001A51C8">
        <w:rPr>
          <w:sz w:val="18"/>
          <w:szCs w:val="18"/>
        </w:rPr>
        <w:t>Women who are in their first trimester in the first quarter of 2019 may wish to wait until the 2019 influenza vaccine becomes available, rather than receiving the 2018 influenza vaccine.</w:t>
      </w:r>
    </w:p>
    <w:p w14:paraId="0C6308F0" w14:textId="56113CA2" w:rsidR="00615976" w:rsidRPr="003C0F83" w:rsidRDefault="00615976" w:rsidP="00764BC6">
      <w:pPr>
        <w:pStyle w:val="BulletedList"/>
        <w:rPr>
          <w:sz w:val="18"/>
        </w:rPr>
      </w:pPr>
      <w:r w:rsidRPr="003C0F83">
        <w:rPr>
          <w:sz w:val="18"/>
        </w:rPr>
        <w:t>I</w:t>
      </w:r>
      <w:r w:rsidR="00F8060C" w:rsidRPr="003C0F83">
        <w:rPr>
          <w:sz w:val="18"/>
        </w:rPr>
        <w:t>nfluenza vaccin</w:t>
      </w:r>
      <w:r w:rsidR="001A51C8" w:rsidRPr="003C0F83">
        <w:rPr>
          <w:sz w:val="18"/>
        </w:rPr>
        <w:t>e</w:t>
      </w:r>
      <w:r w:rsidR="00F8060C" w:rsidRPr="003C0F83">
        <w:rPr>
          <w:sz w:val="18"/>
        </w:rPr>
        <w:t xml:space="preserve"> can </w:t>
      </w:r>
      <w:r w:rsidR="003C0F83">
        <w:rPr>
          <w:sz w:val="18"/>
        </w:rPr>
        <w:t xml:space="preserve">safely </w:t>
      </w:r>
      <w:r w:rsidR="001A51C8" w:rsidRPr="003C0F83">
        <w:rPr>
          <w:sz w:val="18"/>
        </w:rPr>
        <w:t>be given at</w:t>
      </w:r>
      <w:r w:rsidR="00F8060C" w:rsidRPr="003C0F83">
        <w:rPr>
          <w:sz w:val="18"/>
        </w:rPr>
        <w:t xml:space="preserve"> the </w:t>
      </w:r>
      <w:r w:rsidR="001A51C8" w:rsidRPr="003C0F83">
        <w:rPr>
          <w:sz w:val="18"/>
        </w:rPr>
        <w:t xml:space="preserve">same time as </w:t>
      </w:r>
      <w:r w:rsidR="00F8060C" w:rsidRPr="003C0F83">
        <w:rPr>
          <w:sz w:val="18"/>
        </w:rPr>
        <w:t>pertussis vaccine.</w:t>
      </w:r>
      <w:r w:rsidRPr="003C0F83">
        <w:rPr>
          <w:sz w:val="18"/>
        </w:rPr>
        <w:t xml:space="preserve"> </w:t>
      </w:r>
    </w:p>
    <w:p w14:paraId="4E5AA6F8" w14:textId="77777777" w:rsidR="00185613" w:rsidRDefault="00185613" w:rsidP="00185613">
      <w:pPr>
        <w:pStyle w:val="BulletedList"/>
        <w:ind w:left="714" w:hanging="357"/>
        <w:rPr>
          <w:sz w:val="18"/>
          <w:szCs w:val="18"/>
        </w:rPr>
      </w:pPr>
      <w:r>
        <w:rPr>
          <w:sz w:val="18"/>
          <w:szCs w:val="18"/>
        </w:rPr>
        <w:t>For women who receive</w:t>
      </w:r>
      <w:r w:rsidR="00615976">
        <w:rPr>
          <w:sz w:val="18"/>
          <w:szCs w:val="18"/>
        </w:rPr>
        <w:t>d</w:t>
      </w:r>
      <w:r>
        <w:rPr>
          <w:sz w:val="18"/>
          <w:szCs w:val="18"/>
        </w:rPr>
        <w:t xml:space="preserve"> an influenza vaccine late in the 2018 influenza season, revaccinate if the 2019 influenza vaccine becomes available before the end of pregnancy.</w:t>
      </w:r>
    </w:p>
    <w:p w14:paraId="06C45263" w14:textId="77777777" w:rsidR="00F8060C" w:rsidRPr="00AC23C0" w:rsidRDefault="00F8060C" w:rsidP="00AC23C0">
      <w:pPr>
        <w:pStyle w:val="Heading3"/>
        <w:spacing w:after="40"/>
        <w:rPr>
          <w:sz w:val="18"/>
          <w:szCs w:val="18"/>
        </w:rPr>
      </w:pPr>
      <w:r w:rsidRPr="00AC23C0">
        <w:rPr>
          <w:sz w:val="18"/>
          <w:szCs w:val="18"/>
        </w:rPr>
        <w:t>Eligibility for influenza vaccines funded by the National Immunisation Program (NIP)</w:t>
      </w:r>
    </w:p>
    <w:p w14:paraId="34994EB9" w14:textId="77777777" w:rsidR="00F8060C" w:rsidRPr="00AC23C0" w:rsidRDefault="00F8060C" w:rsidP="00F8060C">
      <w:pPr>
        <w:pStyle w:val="BulletedList"/>
        <w:ind w:left="714" w:hanging="357"/>
        <w:rPr>
          <w:sz w:val="18"/>
          <w:szCs w:val="18"/>
        </w:rPr>
      </w:pPr>
      <w:r w:rsidRPr="00AC23C0">
        <w:rPr>
          <w:sz w:val="18"/>
          <w:szCs w:val="18"/>
        </w:rPr>
        <w:t xml:space="preserve">Annual influenza vaccination is recommended, but </w:t>
      </w:r>
      <w:r w:rsidRPr="00AC23C0">
        <w:rPr>
          <w:sz w:val="18"/>
          <w:szCs w:val="18"/>
          <w:u w:val="single"/>
        </w:rPr>
        <w:t>not</w:t>
      </w:r>
      <w:r w:rsidRPr="00AC23C0">
        <w:rPr>
          <w:sz w:val="18"/>
          <w:szCs w:val="18"/>
        </w:rPr>
        <w:t xml:space="preserve"> NIP-funded, for all </w:t>
      </w:r>
      <w:r w:rsidR="004A1690" w:rsidRPr="00AC23C0">
        <w:rPr>
          <w:sz w:val="18"/>
          <w:szCs w:val="18"/>
        </w:rPr>
        <w:t>pe</w:t>
      </w:r>
      <w:r w:rsidR="004A1690">
        <w:rPr>
          <w:sz w:val="18"/>
          <w:szCs w:val="18"/>
        </w:rPr>
        <w:t>ople</w:t>
      </w:r>
      <w:r w:rsidR="004A1690" w:rsidRPr="00AC23C0">
        <w:rPr>
          <w:sz w:val="18"/>
          <w:szCs w:val="18"/>
        </w:rPr>
        <w:t xml:space="preserve"> </w:t>
      </w:r>
      <w:r w:rsidRPr="00AC23C0">
        <w:rPr>
          <w:sz w:val="18"/>
          <w:szCs w:val="18"/>
        </w:rPr>
        <w:t xml:space="preserve">≥6 months of age. Influenza vaccines are funded on the NIP in </w:t>
      </w:r>
      <w:r w:rsidR="001E232C" w:rsidRPr="00AC23C0">
        <w:rPr>
          <w:sz w:val="18"/>
          <w:szCs w:val="18"/>
        </w:rPr>
        <w:t>201</w:t>
      </w:r>
      <w:r w:rsidR="001E232C">
        <w:rPr>
          <w:sz w:val="18"/>
          <w:szCs w:val="18"/>
        </w:rPr>
        <w:t>9</w:t>
      </w:r>
      <w:r w:rsidR="001E232C" w:rsidRPr="00AC23C0">
        <w:rPr>
          <w:sz w:val="18"/>
          <w:szCs w:val="18"/>
        </w:rPr>
        <w:t xml:space="preserve"> </w:t>
      </w:r>
      <w:r w:rsidRPr="00AC23C0">
        <w:rPr>
          <w:sz w:val="18"/>
          <w:szCs w:val="18"/>
        </w:rPr>
        <w:t>for the following groups due to their increased risk of complications from influenza:</w:t>
      </w:r>
    </w:p>
    <w:p w14:paraId="786DCFDE" w14:textId="77777777" w:rsidR="00F8060C" w:rsidRPr="00AC23C0" w:rsidRDefault="00586D57" w:rsidP="002530E9">
      <w:pPr>
        <w:pStyle w:val="Sub-bullettedlist"/>
        <w:spacing w:before="60" w:after="60"/>
        <w:ind w:left="1434" w:hanging="357"/>
        <w:rPr>
          <w:sz w:val="18"/>
          <w:szCs w:val="18"/>
        </w:rPr>
      </w:pPr>
      <w:r>
        <w:rPr>
          <w:sz w:val="18"/>
          <w:szCs w:val="18"/>
        </w:rPr>
        <w:t xml:space="preserve">All </w:t>
      </w:r>
      <w:r w:rsidR="00F8060C" w:rsidRPr="00AC23C0">
        <w:rPr>
          <w:sz w:val="18"/>
          <w:szCs w:val="18"/>
        </w:rPr>
        <w:t xml:space="preserve">Aboriginal and/or Torres Strait Islander persons aged </w:t>
      </w:r>
      <w:r>
        <w:rPr>
          <w:sz w:val="18"/>
          <w:szCs w:val="18"/>
        </w:rPr>
        <w:t>≥</w:t>
      </w:r>
      <w:r w:rsidR="00F8060C" w:rsidRPr="00AC23C0">
        <w:rPr>
          <w:sz w:val="18"/>
          <w:szCs w:val="18"/>
        </w:rPr>
        <w:t>6 months</w:t>
      </w:r>
    </w:p>
    <w:p w14:paraId="27CC6E7D" w14:textId="77777777" w:rsidR="00F8060C" w:rsidRPr="00AC23C0" w:rsidRDefault="00F8060C" w:rsidP="002530E9">
      <w:pPr>
        <w:pStyle w:val="Sub-bullettedlist"/>
        <w:spacing w:before="60" w:after="60"/>
        <w:ind w:left="1434" w:hanging="357"/>
        <w:rPr>
          <w:sz w:val="18"/>
          <w:szCs w:val="18"/>
        </w:rPr>
      </w:pPr>
      <w:r w:rsidRPr="00AC23C0">
        <w:rPr>
          <w:sz w:val="18"/>
          <w:szCs w:val="18"/>
        </w:rPr>
        <w:t>All adults aged ≥65 years</w:t>
      </w:r>
    </w:p>
    <w:p w14:paraId="68B7682E" w14:textId="77777777" w:rsidR="00F8060C" w:rsidRPr="00AC23C0" w:rsidRDefault="00F8060C" w:rsidP="002530E9">
      <w:pPr>
        <w:pStyle w:val="Sub-bullettedlist"/>
        <w:spacing w:before="60" w:after="60"/>
        <w:ind w:left="1434" w:hanging="357"/>
        <w:rPr>
          <w:sz w:val="18"/>
          <w:szCs w:val="18"/>
        </w:rPr>
      </w:pPr>
      <w:r w:rsidRPr="00AC23C0">
        <w:rPr>
          <w:sz w:val="18"/>
          <w:szCs w:val="18"/>
        </w:rPr>
        <w:t>All pe</w:t>
      </w:r>
      <w:r w:rsidR="000E2673">
        <w:rPr>
          <w:sz w:val="18"/>
          <w:szCs w:val="18"/>
        </w:rPr>
        <w:t>ople</w:t>
      </w:r>
      <w:r w:rsidRPr="00AC23C0">
        <w:rPr>
          <w:sz w:val="18"/>
          <w:szCs w:val="18"/>
        </w:rPr>
        <w:t xml:space="preserve"> aged ≥6 months who have certain medical conditions which increase the risk of influenza disease complications; for example, severe asthma, lung or heart disease, low immunity or diabetes (refer to </w:t>
      </w:r>
      <w:r w:rsidR="009451A6">
        <w:rPr>
          <w:sz w:val="18"/>
          <w:szCs w:val="18"/>
        </w:rPr>
        <w:t>Table 2</w:t>
      </w:r>
      <w:r w:rsidRPr="00AC23C0">
        <w:rPr>
          <w:sz w:val="18"/>
          <w:szCs w:val="18"/>
        </w:rPr>
        <w:t>)</w:t>
      </w:r>
    </w:p>
    <w:p w14:paraId="5F24A472" w14:textId="77777777" w:rsidR="00F8060C" w:rsidRPr="00AC23C0" w:rsidRDefault="00F8060C" w:rsidP="002530E9">
      <w:pPr>
        <w:pStyle w:val="Sub-bullettedlist"/>
        <w:spacing w:before="60" w:after="60"/>
        <w:ind w:left="1434" w:hanging="357"/>
        <w:rPr>
          <w:sz w:val="18"/>
          <w:szCs w:val="18"/>
        </w:rPr>
      </w:pPr>
      <w:r w:rsidRPr="00AC23C0">
        <w:rPr>
          <w:sz w:val="18"/>
          <w:szCs w:val="18"/>
        </w:rPr>
        <w:t xml:space="preserve">Pregnant women (during any stage of pregnancy) </w:t>
      </w:r>
    </w:p>
    <w:p w14:paraId="6B129159" w14:textId="77777777" w:rsidR="002430D1" w:rsidRDefault="002430D1">
      <w:pPr>
        <w:spacing w:line="276" w:lineRule="auto"/>
        <w:rPr>
          <w:b/>
          <w:color w:val="57259F"/>
          <w:sz w:val="20"/>
          <w:szCs w:val="18"/>
          <w:lang w:eastAsia="en-US"/>
        </w:rPr>
      </w:pPr>
      <w:r>
        <w:rPr>
          <w:sz w:val="20"/>
          <w:szCs w:val="18"/>
          <w:lang w:eastAsia="en-US"/>
        </w:rPr>
        <w:br w:type="page"/>
      </w:r>
      <w:bookmarkStart w:id="0" w:name="_GoBack"/>
      <w:bookmarkEnd w:id="0"/>
    </w:p>
    <w:p w14:paraId="1BC58D4C" w14:textId="591DE622" w:rsidR="00F8060C" w:rsidRPr="00AC23C0" w:rsidRDefault="00F8060C" w:rsidP="00F8060C">
      <w:pPr>
        <w:pStyle w:val="Heading2"/>
        <w:rPr>
          <w:sz w:val="20"/>
          <w:szCs w:val="18"/>
          <w:lang w:eastAsia="en-US"/>
        </w:rPr>
      </w:pPr>
      <w:r w:rsidRPr="00AC23C0">
        <w:rPr>
          <w:sz w:val="20"/>
          <w:szCs w:val="18"/>
          <w:lang w:eastAsia="en-US"/>
        </w:rPr>
        <w:lastRenderedPageBreak/>
        <w:t>Table 2. Medical conditions associated with an increased risk of influenza disease complications and for which individuals are eligible for free vaccination under the NIP*</w:t>
      </w:r>
    </w:p>
    <w:tbl>
      <w:tblPr>
        <w:tblW w:w="4890" w:type="pct"/>
        <w:tblInd w:w="108" w:type="dxa"/>
        <w:tblLook w:val="01E0" w:firstRow="1" w:lastRow="1" w:firstColumn="1" w:lastColumn="1" w:noHBand="0" w:noVBand="0"/>
        <w:tblCaption w:val="Medical conditions associated with an increased risk of influenza disease complications and for which individuals are eligible for free vaccination under the NIP"/>
        <w:tblDescription w:val="This table lists the disease categories in the left column and examples in the right column."/>
      </w:tblPr>
      <w:tblGrid>
        <w:gridCol w:w="3886"/>
        <w:gridCol w:w="6094"/>
      </w:tblGrid>
      <w:tr w:rsidR="006B5200" w:rsidRPr="006B5200" w14:paraId="24188F0B" w14:textId="77777777" w:rsidTr="009451A6">
        <w:trPr>
          <w:trHeight w:val="397"/>
          <w:tblHeader/>
        </w:trPr>
        <w:tc>
          <w:tcPr>
            <w:tcW w:w="1947" w:type="pct"/>
            <w:shd w:val="clear" w:color="auto" w:fill="57259F"/>
            <w:tcMar>
              <w:top w:w="11" w:type="dxa"/>
              <w:bottom w:w="11" w:type="dxa"/>
            </w:tcMar>
            <w:vAlign w:val="center"/>
          </w:tcPr>
          <w:p w14:paraId="04CA54F6" w14:textId="77777777" w:rsidR="00F8060C" w:rsidRPr="006B5200" w:rsidRDefault="00F8060C" w:rsidP="00842FB7">
            <w:pPr>
              <w:pStyle w:val="Tablecolumnheading"/>
              <w:spacing w:before="0" w:after="0"/>
              <w:jc w:val="left"/>
              <w:rPr>
                <w:rFonts w:asciiTheme="minorHAnsi" w:hAnsiTheme="minorHAnsi" w:cstheme="minorHAnsi"/>
                <w:color w:val="FFFFFF" w:themeColor="background1"/>
                <w:sz w:val="18"/>
                <w:szCs w:val="24"/>
              </w:rPr>
            </w:pPr>
            <w:r w:rsidRPr="006B5200">
              <w:rPr>
                <w:rFonts w:asciiTheme="minorHAnsi" w:hAnsiTheme="minorHAnsi" w:cstheme="minorHAnsi"/>
                <w:color w:val="FFFFFF" w:themeColor="background1"/>
                <w:sz w:val="18"/>
                <w:szCs w:val="24"/>
              </w:rPr>
              <w:t>Category</w:t>
            </w:r>
          </w:p>
        </w:tc>
        <w:tc>
          <w:tcPr>
            <w:tcW w:w="3053" w:type="pct"/>
            <w:shd w:val="clear" w:color="auto" w:fill="57259F"/>
            <w:tcMar>
              <w:top w:w="11" w:type="dxa"/>
              <w:bottom w:w="11" w:type="dxa"/>
            </w:tcMar>
            <w:vAlign w:val="center"/>
          </w:tcPr>
          <w:p w14:paraId="612A0542" w14:textId="77777777" w:rsidR="00F8060C" w:rsidRPr="006B5200" w:rsidRDefault="00F8060C" w:rsidP="00842FB7">
            <w:pPr>
              <w:pStyle w:val="Tablecolumnheading"/>
              <w:spacing w:before="0" w:after="0"/>
              <w:jc w:val="left"/>
              <w:rPr>
                <w:rFonts w:asciiTheme="minorHAnsi" w:hAnsiTheme="minorHAnsi" w:cstheme="minorHAnsi"/>
                <w:color w:val="FFFFFF" w:themeColor="background1"/>
                <w:sz w:val="18"/>
                <w:szCs w:val="24"/>
              </w:rPr>
            </w:pPr>
            <w:r w:rsidRPr="006B5200">
              <w:rPr>
                <w:rFonts w:asciiTheme="minorHAnsi" w:hAnsiTheme="minorHAnsi" w:cstheme="minorHAnsi"/>
                <w:color w:val="FFFFFF" w:themeColor="background1"/>
                <w:sz w:val="18"/>
                <w:szCs w:val="24"/>
              </w:rPr>
              <w:t>Vaccination strongly recommended for individuals with the following conditions</w:t>
            </w:r>
          </w:p>
        </w:tc>
      </w:tr>
      <w:tr w:rsidR="006B5200" w:rsidRPr="006B5200" w14:paraId="46633E4A" w14:textId="77777777" w:rsidTr="009451A6">
        <w:trPr>
          <w:trHeight w:val="397"/>
        </w:trPr>
        <w:tc>
          <w:tcPr>
            <w:tcW w:w="1947" w:type="pct"/>
            <w:shd w:val="clear" w:color="auto" w:fill="CCC0D9"/>
            <w:tcMar>
              <w:top w:w="11" w:type="dxa"/>
              <w:bottom w:w="11" w:type="dxa"/>
            </w:tcMar>
            <w:vAlign w:val="center"/>
          </w:tcPr>
          <w:p w14:paraId="5D345935" w14:textId="77777777" w:rsidR="00F8060C" w:rsidRPr="002530E9" w:rsidRDefault="00F8060C" w:rsidP="009451A6">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Cardiac disease</w:t>
            </w:r>
          </w:p>
        </w:tc>
        <w:tc>
          <w:tcPr>
            <w:tcW w:w="3053" w:type="pct"/>
            <w:shd w:val="clear" w:color="auto" w:fill="CCC0D9"/>
            <w:tcMar>
              <w:top w:w="11" w:type="dxa"/>
              <w:bottom w:w="11" w:type="dxa"/>
            </w:tcMar>
            <w:vAlign w:val="center"/>
          </w:tcPr>
          <w:p w14:paraId="3C4F39A5" w14:textId="77777777" w:rsidR="00F8060C" w:rsidRPr="006B5200" w:rsidRDefault="00F8060C" w:rsidP="009451A6">
            <w:pPr>
              <w:pStyle w:val="Tabletext0"/>
              <w:spacing w:before="60" w:after="0"/>
              <w:jc w:val="left"/>
              <w:rPr>
                <w:rFonts w:asciiTheme="minorHAnsi" w:hAnsiTheme="minorHAnsi" w:cstheme="minorHAnsi"/>
                <w:sz w:val="18"/>
                <w:szCs w:val="22"/>
              </w:rPr>
            </w:pPr>
            <w:r w:rsidRPr="006B5200">
              <w:rPr>
                <w:rFonts w:asciiTheme="minorHAnsi" w:hAnsiTheme="minorHAnsi" w:cstheme="minorHAnsi"/>
                <w:sz w:val="18"/>
                <w:szCs w:val="22"/>
              </w:rPr>
              <w:t>Cyanotic congenital heart disease, congestive heart failure, coronary artery disease</w:t>
            </w:r>
          </w:p>
        </w:tc>
      </w:tr>
      <w:tr w:rsidR="006B5200" w:rsidRPr="006B5200" w14:paraId="56160B1E" w14:textId="77777777" w:rsidTr="009451A6">
        <w:trPr>
          <w:trHeight w:val="397"/>
        </w:trPr>
        <w:tc>
          <w:tcPr>
            <w:tcW w:w="1947" w:type="pct"/>
            <w:shd w:val="clear" w:color="auto" w:fill="auto"/>
            <w:tcMar>
              <w:top w:w="11" w:type="dxa"/>
              <w:bottom w:w="11" w:type="dxa"/>
            </w:tcMar>
            <w:vAlign w:val="center"/>
          </w:tcPr>
          <w:p w14:paraId="6859846E" w14:textId="77777777" w:rsidR="00F8060C" w:rsidRPr="002530E9" w:rsidRDefault="00F8060C" w:rsidP="009451A6">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Chronic respiratory conditions</w:t>
            </w:r>
          </w:p>
        </w:tc>
        <w:tc>
          <w:tcPr>
            <w:tcW w:w="3053" w:type="pct"/>
            <w:shd w:val="clear" w:color="auto" w:fill="auto"/>
            <w:tcMar>
              <w:top w:w="11" w:type="dxa"/>
              <w:bottom w:w="11" w:type="dxa"/>
            </w:tcMar>
            <w:vAlign w:val="center"/>
          </w:tcPr>
          <w:p w14:paraId="4D3A7136" w14:textId="77777777" w:rsidR="00F8060C" w:rsidRPr="006B5200" w:rsidRDefault="00F8060C" w:rsidP="009451A6">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 xml:space="preserve">Severe asthma, cystic fibrosis, bronchiectasis, </w:t>
            </w:r>
            <w:proofErr w:type="spellStart"/>
            <w:r w:rsidRPr="006B5200">
              <w:rPr>
                <w:rFonts w:asciiTheme="minorHAnsi" w:hAnsiTheme="minorHAnsi" w:cstheme="minorHAnsi"/>
                <w:sz w:val="18"/>
                <w:szCs w:val="22"/>
              </w:rPr>
              <w:t>suppurative</w:t>
            </w:r>
            <w:proofErr w:type="spellEnd"/>
            <w:r w:rsidRPr="006B5200">
              <w:rPr>
                <w:rFonts w:asciiTheme="minorHAnsi" w:hAnsiTheme="minorHAnsi" w:cstheme="minorHAnsi"/>
                <w:sz w:val="18"/>
                <w:szCs w:val="22"/>
              </w:rPr>
              <w:t xml:space="preserve"> lung disease, chronic obstructive pulmonary disease, chronic emphysema</w:t>
            </w:r>
          </w:p>
        </w:tc>
      </w:tr>
      <w:tr w:rsidR="006B5200" w:rsidRPr="006B5200" w14:paraId="17368E28" w14:textId="77777777" w:rsidTr="009451A6">
        <w:trPr>
          <w:trHeight w:val="397"/>
        </w:trPr>
        <w:tc>
          <w:tcPr>
            <w:tcW w:w="1947" w:type="pct"/>
            <w:shd w:val="clear" w:color="auto" w:fill="CCC0D9"/>
            <w:tcMar>
              <w:top w:w="11" w:type="dxa"/>
              <w:bottom w:w="11" w:type="dxa"/>
            </w:tcMar>
            <w:vAlign w:val="center"/>
          </w:tcPr>
          <w:p w14:paraId="26B56A52" w14:textId="77777777" w:rsidR="00F8060C" w:rsidRPr="002530E9" w:rsidRDefault="00F8060C" w:rsidP="009451A6">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Chronic neurological conditions</w:t>
            </w:r>
          </w:p>
        </w:tc>
        <w:tc>
          <w:tcPr>
            <w:tcW w:w="3053" w:type="pct"/>
            <w:shd w:val="clear" w:color="auto" w:fill="CCC0D9"/>
            <w:tcMar>
              <w:top w:w="11" w:type="dxa"/>
              <w:bottom w:w="11" w:type="dxa"/>
            </w:tcMar>
            <w:vAlign w:val="center"/>
          </w:tcPr>
          <w:p w14:paraId="18BC9F43" w14:textId="77777777" w:rsidR="00F8060C" w:rsidRPr="006B5200" w:rsidRDefault="00F8060C" w:rsidP="009451A6">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Hereditary and degenerative CNS diseases, seizure disorders, spinal cord injuries, neuromuscular disorders</w:t>
            </w:r>
          </w:p>
        </w:tc>
      </w:tr>
      <w:tr w:rsidR="006B5200" w:rsidRPr="006B5200" w14:paraId="2233CBC7" w14:textId="77777777" w:rsidTr="009451A6">
        <w:trPr>
          <w:trHeight w:val="397"/>
        </w:trPr>
        <w:tc>
          <w:tcPr>
            <w:tcW w:w="1947" w:type="pct"/>
            <w:shd w:val="clear" w:color="auto" w:fill="auto"/>
            <w:tcMar>
              <w:top w:w="11" w:type="dxa"/>
              <w:bottom w:w="11" w:type="dxa"/>
            </w:tcMar>
            <w:vAlign w:val="center"/>
          </w:tcPr>
          <w:p w14:paraId="22F84C94" w14:textId="77777777" w:rsidR="00F8060C" w:rsidRPr="002530E9" w:rsidRDefault="00F8060C" w:rsidP="009451A6">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Immunocompromising conditions</w:t>
            </w:r>
          </w:p>
        </w:tc>
        <w:tc>
          <w:tcPr>
            <w:tcW w:w="3053" w:type="pct"/>
            <w:shd w:val="clear" w:color="auto" w:fill="auto"/>
            <w:tcMar>
              <w:top w:w="11" w:type="dxa"/>
              <w:bottom w:w="11" w:type="dxa"/>
            </w:tcMar>
            <w:vAlign w:val="center"/>
          </w:tcPr>
          <w:p w14:paraId="2A9E9E83" w14:textId="77777777" w:rsidR="00F8060C" w:rsidRPr="006B5200" w:rsidRDefault="00F8060C" w:rsidP="009451A6">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 xml:space="preserve">Immunocompromised due to disease or treatment, </w:t>
            </w:r>
            <w:proofErr w:type="spellStart"/>
            <w:r w:rsidRPr="006B5200">
              <w:rPr>
                <w:rFonts w:asciiTheme="minorHAnsi" w:hAnsiTheme="minorHAnsi" w:cstheme="minorHAnsi"/>
                <w:sz w:val="18"/>
                <w:szCs w:val="22"/>
              </w:rPr>
              <w:t>asplenia</w:t>
            </w:r>
            <w:proofErr w:type="spellEnd"/>
            <w:r w:rsidRPr="006B5200">
              <w:rPr>
                <w:rFonts w:asciiTheme="minorHAnsi" w:hAnsiTheme="minorHAnsi" w:cstheme="minorHAnsi"/>
                <w:sz w:val="18"/>
                <w:szCs w:val="22"/>
              </w:rPr>
              <w:t xml:space="preserve"> or splenic dysfunction, HIV infection</w:t>
            </w:r>
          </w:p>
        </w:tc>
      </w:tr>
      <w:tr w:rsidR="006B5200" w:rsidRPr="006B5200" w14:paraId="45D20826" w14:textId="77777777" w:rsidTr="009451A6">
        <w:trPr>
          <w:trHeight w:val="283"/>
        </w:trPr>
        <w:tc>
          <w:tcPr>
            <w:tcW w:w="1947" w:type="pct"/>
            <w:shd w:val="clear" w:color="auto" w:fill="CCC0D9"/>
            <w:tcMar>
              <w:top w:w="11" w:type="dxa"/>
              <w:bottom w:w="11" w:type="dxa"/>
            </w:tcMar>
            <w:vAlign w:val="center"/>
          </w:tcPr>
          <w:p w14:paraId="381D5002" w14:textId="77777777" w:rsidR="00F8060C" w:rsidRPr="002530E9" w:rsidRDefault="00F8060C" w:rsidP="009451A6">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Diabetes and other metabolic disorders</w:t>
            </w:r>
          </w:p>
        </w:tc>
        <w:tc>
          <w:tcPr>
            <w:tcW w:w="3053" w:type="pct"/>
            <w:shd w:val="clear" w:color="auto" w:fill="CCC0D9"/>
            <w:tcMar>
              <w:top w:w="11" w:type="dxa"/>
              <w:bottom w:w="11" w:type="dxa"/>
            </w:tcMar>
            <w:vAlign w:val="center"/>
          </w:tcPr>
          <w:p w14:paraId="579337D7" w14:textId="77777777" w:rsidR="00F8060C" w:rsidRPr="006B5200" w:rsidRDefault="00F8060C" w:rsidP="009451A6">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Type 1 or 2 diabetes, chronic metabolic disorders</w:t>
            </w:r>
          </w:p>
        </w:tc>
      </w:tr>
      <w:tr w:rsidR="006B5200" w:rsidRPr="006B5200" w14:paraId="7DC67F59" w14:textId="77777777" w:rsidTr="009451A6">
        <w:trPr>
          <w:trHeight w:val="283"/>
        </w:trPr>
        <w:tc>
          <w:tcPr>
            <w:tcW w:w="1947" w:type="pct"/>
            <w:shd w:val="clear" w:color="auto" w:fill="auto"/>
            <w:tcMar>
              <w:top w:w="11" w:type="dxa"/>
              <w:bottom w:w="11" w:type="dxa"/>
            </w:tcMar>
            <w:vAlign w:val="center"/>
          </w:tcPr>
          <w:p w14:paraId="258F79DD" w14:textId="77777777" w:rsidR="00F8060C" w:rsidRPr="002530E9" w:rsidRDefault="00F8060C" w:rsidP="009451A6">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Renal disease</w:t>
            </w:r>
          </w:p>
        </w:tc>
        <w:tc>
          <w:tcPr>
            <w:tcW w:w="3053" w:type="pct"/>
            <w:shd w:val="clear" w:color="auto" w:fill="auto"/>
            <w:tcMar>
              <w:top w:w="11" w:type="dxa"/>
              <w:bottom w:w="11" w:type="dxa"/>
            </w:tcMar>
            <w:vAlign w:val="center"/>
          </w:tcPr>
          <w:p w14:paraId="0C42E7E2" w14:textId="77777777" w:rsidR="00F8060C" w:rsidRPr="006B5200" w:rsidRDefault="00F8060C" w:rsidP="009451A6">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Chronic renal failure</w:t>
            </w:r>
          </w:p>
        </w:tc>
      </w:tr>
      <w:tr w:rsidR="006B5200" w:rsidRPr="006B5200" w14:paraId="7467C1DC" w14:textId="77777777" w:rsidTr="009451A6">
        <w:trPr>
          <w:trHeight w:val="283"/>
        </w:trPr>
        <w:tc>
          <w:tcPr>
            <w:tcW w:w="1947" w:type="pct"/>
            <w:shd w:val="clear" w:color="auto" w:fill="CCC0D9"/>
            <w:tcMar>
              <w:top w:w="11" w:type="dxa"/>
              <w:bottom w:w="11" w:type="dxa"/>
            </w:tcMar>
            <w:vAlign w:val="center"/>
          </w:tcPr>
          <w:p w14:paraId="431066A7" w14:textId="77777777" w:rsidR="00F8060C" w:rsidRPr="002530E9" w:rsidRDefault="00F8060C" w:rsidP="009451A6">
            <w:pPr>
              <w:pStyle w:val="Tabletext0"/>
              <w:spacing w:before="60" w:after="0"/>
              <w:jc w:val="left"/>
              <w:rPr>
                <w:rFonts w:asciiTheme="minorHAnsi" w:hAnsiTheme="minorHAnsi" w:cstheme="minorHAnsi"/>
                <w:b/>
                <w:sz w:val="18"/>
                <w:szCs w:val="22"/>
              </w:rPr>
            </w:pPr>
            <w:proofErr w:type="spellStart"/>
            <w:r w:rsidRPr="002530E9">
              <w:rPr>
                <w:rFonts w:asciiTheme="minorHAnsi" w:hAnsiTheme="minorHAnsi" w:cstheme="minorHAnsi"/>
                <w:b/>
                <w:sz w:val="18"/>
                <w:szCs w:val="22"/>
              </w:rPr>
              <w:t>Haematological</w:t>
            </w:r>
            <w:proofErr w:type="spellEnd"/>
            <w:r w:rsidRPr="002530E9">
              <w:rPr>
                <w:rFonts w:asciiTheme="minorHAnsi" w:hAnsiTheme="minorHAnsi" w:cstheme="minorHAnsi"/>
                <w:b/>
                <w:sz w:val="18"/>
                <w:szCs w:val="22"/>
              </w:rPr>
              <w:t xml:space="preserve"> disorders</w:t>
            </w:r>
          </w:p>
        </w:tc>
        <w:tc>
          <w:tcPr>
            <w:tcW w:w="3053" w:type="pct"/>
            <w:shd w:val="clear" w:color="auto" w:fill="CCC0D9"/>
            <w:tcMar>
              <w:top w:w="11" w:type="dxa"/>
              <w:bottom w:w="11" w:type="dxa"/>
            </w:tcMar>
            <w:vAlign w:val="center"/>
          </w:tcPr>
          <w:p w14:paraId="673EEF1B" w14:textId="77777777" w:rsidR="00F8060C" w:rsidRPr="006B5200" w:rsidRDefault="00F8060C" w:rsidP="009451A6">
            <w:pPr>
              <w:pStyle w:val="Tabletext0"/>
              <w:spacing w:before="0" w:after="0"/>
              <w:jc w:val="left"/>
              <w:rPr>
                <w:rFonts w:asciiTheme="minorHAnsi" w:hAnsiTheme="minorHAnsi" w:cstheme="minorHAnsi"/>
                <w:sz w:val="18"/>
                <w:szCs w:val="22"/>
              </w:rPr>
            </w:pPr>
            <w:proofErr w:type="spellStart"/>
            <w:r w:rsidRPr="006B5200">
              <w:rPr>
                <w:rFonts w:asciiTheme="minorHAnsi" w:hAnsiTheme="minorHAnsi" w:cstheme="minorHAnsi"/>
                <w:sz w:val="18"/>
                <w:szCs w:val="22"/>
              </w:rPr>
              <w:t>Haemoglobinopathies</w:t>
            </w:r>
            <w:proofErr w:type="spellEnd"/>
          </w:p>
        </w:tc>
      </w:tr>
      <w:tr w:rsidR="006B5200" w:rsidRPr="006B5200" w14:paraId="32F4EFA8" w14:textId="77777777" w:rsidTr="009451A6">
        <w:trPr>
          <w:trHeight w:val="397"/>
        </w:trPr>
        <w:tc>
          <w:tcPr>
            <w:tcW w:w="1947" w:type="pct"/>
            <w:shd w:val="clear" w:color="auto" w:fill="auto"/>
            <w:tcMar>
              <w:top w:w="11" w:type="dxa"/>
              <w:bottom w:w="11" w:type="dxa"/>
            </w:tcMar>
            <w:vAlign w:val="center"/>
          </w:tcPr>
          <w:p w14:paraId="4B851A12" w14:textId="77777777" w:rsidR="00F8060C" w:rsidRPr="002530E9" w:rsidRDefault="00F8060C" w:rsidP="009451A6">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Long-term aspirin therapy in children aged 6 months to 10 years</w:t>
            </w:r>
          </w:p>
        </w:tc>
        <w:tc>
          <w:tcPr>
            <w:tcW w:w="3053" w:type="pct"/>
            <w:shd w:val="clear" w:color="auto" w:fill="auto"/>
            <w:tcMar>
              <w:top w:w="11" w:type="dxa"/>
              <w:bottom w:w="11" w:type="dxa"/>
            </w:tcMar>
            <w:vAlign w:val="center"/>
          </w:tcPr>
          <w:p w14:paraId="4C45F5D6" w14:textId="77777777" w:rsidR="00F8060C" w:rsidRPr="006B5200" w:rsidRDefault="00F8060C" w:rsidP="009451A6">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These children are at increased risk of Reye syndrome following influenza infection</w:t>
            </w:r>
          </w:p>
        </w:tc>
      </w:tr>
    </w:tbl>
    <w:p w14:paraId="799ABC7F" w14:textId="77777777" w:rsidR="00AD5F04" w:rsidRPr="00DD5B70" w:rsidRDefault="00AD5F04" w:rsidP="00AD5F04">
      <w:pPr>
        <w:pStyle w:val="BulletedList"/>
        <w:numPr>
          <w:ilvl w:val="0"/>
          <w:numId w:val="0"/>
        </w:numPr>
        <w:spacing w:before="120"/>
        <w:contextualSpacing w:val="0"/>
        <w:rPr>
          <w:sz w:val="18"/>
          <w:szCs w:val="18"/>
        </w:rPr>
      </w:pPr>
      <w:r w:rsidRPr="00DD5B70">
        <w:rPr>
          <w:sz w:val="20"/>
          <w:szCs w:val="18"/>
        </w:rPr>
        <w:t>*</w:t>
      </w:r>
      <w:r w:rsidRPr="00DD5B70">
        <w:rPr>
          <w:sz w:val="14"/>
          <w:szCs w:val="18"/>
        </w:rPr>
        <w:t xml:space="preserve"> Please refer to The Australian Immunisation Handbook available </w:t>
      </w:r>
      <w:r>
        <w:rPr>
          <w:sz w:val="14"/>
          <w:szCs w:val="18"/>
        </w:rPr>
        <w:t xml:space="preserve">at immunisationhandbook.health.gov.au </w:t>
      </w:r>
      <w:r w:rsidRPr="00DD5B70">
        <w:rPr>
          <w:sz w:val="14"/>
          <w:szCs w:val="18"/>
        </w:rPr>
        <w:t>for advice on persons who are strongly recommended to receive annual influenza vaccination but not eligible for NIP</w:t>
      </w:r>
      <w:r w:rsidRPr="00DD5B70">
        <w:rPr>
          <w:sz w:val="14"/>
          <w:szCs w:val="18"/>
        </w:rPr>
        <w:noBreakHyphen/>
        <w:t>funded influenza vaccines.</w:t>
      </w:r>
    </w:p>
    <w:sectPr w:rsidR="00AD5F04" w:rsidRPr="00DD5B70" w:rsidSect="00DF133D">
      <w:footerReference w:type="first" r:id="rId12"/>
      <w:pgSz w:w="11906" w:h="16838"/>
      <w:pgMar w:top="709" w:right="851" w:bottom="709" w:left="851" w:header="850" w:footer="5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1B6328" w16cid:durableId="200E7E4F"/>
  <w16cid:commentId w16cid:paraId="0D57C4A4" w16cid:durableId="200FD4EA"/>
  <w16cid:commentId w16cid:paraId="1D0C9452" w16cid:durableId="20113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4D25C" w14:textId="77777777" w:rsidR="00365888" w:rsidRDefault="00365888" w:rsidP="005F4768">
      <w:r>
        <w:separator/>
      </w:r>
    </w:p>
  </w:endnote>
  <w:endnote w:type="continuationSeparator" w:id="0">
    <w:p w14:paraId="6441DB17" w14:textId="77777777" w:rsidR="00365888" w:rsidRDefault="00365888" w:rsidP="005F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09A" w14:textId="7E6919E5" w:rsidR="0060508D" w:rsidRPr="0060508D" w:rsidRDefault="0060508D">
    <w:pPr>
      <w:pStyle w:val="Footer"/>
      <w:rPr>
        <w:sz w:val="18"/>
        <w:szCs w:val="18"/>
      </w:rPr>
    </w:pPr>
    <w:r w:rsidRPr="0060508D">
      <w:rPr>
        <w:sz w:val="18"/>
        <w:szCs w:val="18"/>
      </w:rPr>
      <w:t xml:space="preserve">Page </w:t>
    </w:r>
    <w:r w:rsidRPr="0060508D">
      <w:rPr>
        <w:sz w:val="18"/>
        <w:szCs w:val="18"/>
      </w:rPr>
      <w:fldChar w:fldCharType="begin"/>
    </w:r>
    <w:r w:rsidRPr="0060508D">
      <w:rPr>
        <w:sz w:val="18"/>
        <w:szCs w:val="18"/>
      </w:rPr>
      <w:instrText xml:space="preserve"> PAGE  \* Arabic  \* MERGEFORMAT </w:instrText>
    </w:r>
    <w:r w:rsidRPr="0060508D">
      <w:rPr>
        <w:sz w:val="18"/>
        <w:szCs w:val="18"/>
      </w:rPr>
      <w:fldChar w:fldCharType="separate"/>
    </w:r>
    <w:r w:rsidR="00C41F90">
      <w:rPr>
        <w:noProof/>
        <w:sz w:val="18"/>
        <w:szCs w:val="18"/>
      </w:rPr>
      <w:t>1</w:t>
    </w:r>
    <w:r w:rsidRPr="0060508D">
      <w:rPr>
        <w:sz w:val="18"/>
        <w:szCs w:val="18"/>
      </w:rPr>
      <w:fldChar w:fldCharType="end"/>
    </w:r>
    <w:r w:rsidRPr="0060508D">
      <w:rPr>
        <w:sz w:val="18"/>
        <w:szCs w:val="18"/>
      </w:rPr>
      <w:t xml:space="preserve"> of </w:t>
    </w:r>
    <w:r w:rsidRPr="0060508D">
      <w:rPr>
        <w:sz w:val="18"/>
        <w:szCs w:val="18"/>
      </w:rPr>
      <w:fldChar w:fldCharType="begin"/>
    </w:r>
    <w:r w:rsidRPr="0060508D">
      <w:rPr>
        <w:sz w:val="18"/>
        <w:szCs w:val="18"/>
      </w:rPr>
      <w:instrText xml:space="preserve"> NUMPAGES  \* Arabic  \* MERGEFORMAT </w:instrText>
    </w:r>
    <w:r w:rsidRPr="0060508D">
      <w:rPr>
        <w:sz w:val="18"/>
        <w:szCs w:val="18"/>
      </w:rPr>
      <w:fldChar w:fldCharType="separate"/>
    </w:r>
    <w:r w:rsidR="00C41F90">
      <w:rPr>
        <w:noProof/>
        <w:sz w:val="18"/>
        <w:szCs w:val="18"/>
      </w:rPr>
      <w:t>3</w:t>
    </w:r>
    <w:r w:rsidRPr="0060508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2913A" w14:textId="77777777" w:rsidR="00365888" w:rsidRDefault="00365888" w:rsidP="005F4768">
      <w:r>
        <w:separator/>
      </w:r>
    </w:p>
  </w:footnote>
  <w:footnote w:type="continuationSeparator" w:id="0">
    <w:p w14:paraId="2976D57E" w14:textId="77777777" w:rsidR="00365888" w:rsidRDefault="00365888" w:rsidP="005F4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37A"/>
    <w:multiLevelType w:val="hybridMultilevel"/>
    <w:tmpl w:val="A3F46136"/>
    <w:lvl w:ilvl="0" w:tplc="BEAC84C0">
      <w:start w:val="1"/>
      <w:numFmt w:val="bullet"/>
      <w:pStyle w:val="Sub-bullet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 w15:restartNumberingAfterBreak="0">
    <w:nsid w:val="172F1740"/>
    <w:multiLevelType w:val="multilevel"/>
    <w:tmpl w:val="4A1A5CB6"/>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120533"/>
    <w:multiLevelType w:val="hybridMultilevel"/>
    <w:tmpl w:val="1FBA9C56"/>
    <w:lvl w:ilvl="0" w:tplc="136C86B6">
      <w:start w:val="1"/>
      <w:numFmt w:val="bullet"/>
      <w:pStyle w:val="TableTextbullet"/>
      <w:lvlText w:val=""/>
      <w:lvlJc w:val="left"/>
      <w:pPr>
        <w:ind w:left="360" w:hanging="360"/>
      </w:pPr>
      <w:rPr>
        <w:rFonts w:ascii="Wingdings 3" w:hAnsi="Wingdings 3"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2B935F06"/>
    <w:multiLevelType w:val="hybridMultilevel"/>
    <w:tmpl w:val="BFF0D858"/>
    <w:lvl w:ilvl="0" w:tplc="8E40D3EC">
      <w:start w:val="1"/>
      <w:numFmt w:val="bullet"/>
      <w:pStyle w:val="Bodytext-bullet"/>
      <w:lvlText w:val=""/>
      <w:lvlJc w:val="left"/>
      <w:pPr>
        <w:ind w:left="1435" w:hanging="360"/>
      </w:pPr>
      <w:rPr>
        <w:rFonts w:ascii="Symbol" w:hAnsi="Symbol" w:hint="default"/>
      </w:rPr>
    </w:lvl>
    <w:lvl w:ilvl="1" w:tplc="99643D4C">
      <w:numFmt w:val="bullet"/>
      <w:lvlText w:val="-"/>
      <w:lvlJc w:val="left"/>
      <w:pPr>
        <w:ind w:left="2155" w:hanging="360"/>
      </w:pPr>
      <w:rPr>
        <w:rFonts w:ascii="Times New Roman" w:eastAsia="Times New Roman" w:hAnsi="Times New Roman" w:cs="Times New Roman" w:hint="default"/>
      </w:rPr>
    </w:lvl>
    <w:lvl w:ilvl="2" w:tplc="0C09001B" w:tentative="1">
      <w:start w:val="1"/>
      <w:numFmt w:val="lowerRoman"/>
      <w:lvlText w:val="%3."/>
      <w:lvlJc w:val="right"/>
      <w:pPr>
        <w:ind w:left="2875" w:hanging="180"/>
      </w:pPr>
    </w:lvl>
    <w:lvl w:ilvl="3" w:tplc="0C09000F" w:tentative="1">
      <w:start w:val="1"/>
      <w:numFmt w:val="decimal"/>
      <w:lvlText w:val="%4."/>
      <w:lvlJc w:val="left"/>
      <w:pPr>
        <w:ind w:left="3595" w:hanging="360"/>
      </w:pPr>
    </w:lvl>
    <w:lvl w:ilvl="4" w:tplc="0C090019" w:tentative="1">
      <w:start w:val="1"/>
      <w:numFmt w:val="lowerLetter"/>
      <w:lvlText w:val="%5."/>
      <w:lvlJc w:val="left"/>
      <w:pPr>
        <w:ind w:left="4315" w:hanging="360"/>
      </w:pPr>
    </w:lvl>
    <w:lvl w:ilvl="5" w:tplc="0C09001B" w:tentative="1">
      <w:start w:val="1"/>
      <w:numFmt w:val="lowerRoman"/>
      <w:lvlText w:val="%6."/>
      <w:lvlJc w:val="right"/>
      <w:pPr>
        <w:ind w:left="5035" w:hanging="180"/>
      </w:pPr>
    </w:lvl>
    <w:lvl w:ilvl="6" w:tplc="0C09000F" w:tentative="1">
      <w:start w:val="1"/>
      <w:numFmt w:val="decimal"/>
      <w:lvlText w:val="%7."/>
      <w:lvlJc w:val="left"/>
      <w:pPr>
        <w:ind w:left="5755" w:hanging="360"/>
      </w:pPr>
    </w:lvl>
    <w:lvl w:ilvl="7" w:tplc="0C090019" w:tentative="1">
      <w:start w:val="1"/>
      <w:numFmt w:val="lowerLetter"/>
      <w:lvlText w:val="%8."/>
      <w:lvlJc w:val="left"/>
      <w:pPr>
        <w:ind w:left="6475" w:hanging="360"/>
      </w:pPr>
    </w:lvl>
    <w:lvl w:ilvl="8" w:tplc="0C09001B" w:tentative="1">
      <w:start w:val="1"/>
      <w:numFmt w:val="lowerRoman"/>
      <w:lvlText w:val="%9."/>
      <w:lvlJc w:val="right"/>
      <w:pPr>
        <w:ind w:left="7195" w:hanging="180"/>
      </w:pPr>
    </w:lvl>
  </w:abstractNum>
  <w:abstractNum w:abstractNumId="5" w15:restartNumberingAfterBreak="0">
    <w:nsid w:val="39D155AE"/>
    <w:multiLevelType w:val="multilevel"/>
    <w:tmpl w:val="6E3C571A"/>
    <w:lvl w:ilvl="0">
      <w:start w:val="1"/>
      <w:numFmt w:val="bullet"/>
      <w:pStyle w:val="BulletedLis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917260"/>
    <w:multiLevelType w:val="hybridMultilevel"/>
    <w:tmpl w:val="3D2AFB66"/>
    <w:lvl w:ilvl="0" w:tplc="2476253E">
      <w:start w:val="1"/>
      <w:numFmt w:val="decimal"/>
      <w:pStyle w:val="Heading4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3B268B7"/>
    <w:multiLevelType w:val="hybridMultilevel"/>
    <w:tmpl w:val="3CE4843A"/>
    <w:lvl w:ilvl="0" w:tplc="04186316">
      <w:start w:val="1"/>
      <w:numFmt w:val="decimal"/>
      <w:pStyle w:val="Heading3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11921B9"/>
    <w:multiLevelType w:val="hybridMultilevel"/>
    <w:tmpl w:val="5FFE09A8"/>
    <w:lvl w:ilvl="0" w:tplc="CB5C1172">
      <w:start w:val="1"/>
      <w:numFmt w:val="decimal"/>
      <w:pStyle w:val="Heading2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7BB1F22"/>
    <w:multiLevelType w:val="hybridMultilevel"/>
    <w:tmpl w:val="031EE8DE"/>
    <w:lvl w:ilvl="0" w:tplc="F3F494B8">
      <w:start w:val="1"/>
      <w:numFmt w:val="bullet"/>
      <w:pStyle w:val="Sub-bulletedlis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8"/>
  </w:num>
  <w:num w:numId="6">
    <w:abstractNumId w:val="7"/>
  </w:num>
  <w:num w:numId="7">
    <w:abstractNumId w:val="6"/>
  </w:num>
  <w:num w:numId="8">
    <w:abstractNumId w:val="9"/>
  </w:num>
  <w:num w:numId="9">
    <w:abstractNumId w:val="0"/>
  </w:num>
  <w:num w:numId="10">
    <w:abstractNumId w:val="4"/>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67"/>
    <w:rsid w:val="00003743"/>
    <w:rsid w:val="00003A5E"/>
    <w:rsid w:val="00016DAB"/>
    <w:rsid w:val="0004452A"/>
    <w:rsid w:val="000602F3"/>
    <w:rsid w:val="00067456"/>
    <w:rsid w:val="000736D8"/>
    <w:rsid w:val="00083432"/>
    <w:rsid w:val="000924FE"/>
    <w:rsid w:val="000C27C2"/>
    <w:rsid w:val="000C7E8D"/>
    <w:rsid w:val="000E23F2"/>
    <w:rsid w:val="000E2673"/>
    <w:rsid w:val="000E40A7"/>
    <w:rsid w:val="000E4B3F"/>
    <w:rsid w:val="000F2055"/>
    <w:rsid w:val="00110BA0"/>
    <w:rsid w:val="00164684"/>
    <w:rsid w:val="0018425E"/>
    <w:rsid w:val="00185613"/>
    <w:rsid w:val="00190797"/>
    <w:rsid w:val="00191A3C"/>
    <w:rsid w:val="00194C75"/>
    <w:rsid w:val="001A51C8"/>
    <w:rsid w:val="001B3443"/>
    <w:rsid w:val="001B6C7E"/>
    <w:rsid w:val="001E232C"/>
    <w:rsid w:val="001E6EC7"/>
    <w:rsid w:val="001F1297"/>
    <w:rsid w:val="001F1A15"/>
    <w:rsid w:val="001F6022"/>
    <w:rsid w:val="002040EF"/>
    <w:rsid w:val="002058AD"/>
    <w:rsid w:val="00205C5A"/>
    <w:rsid w:val="0023299C"/>
    <w:rsid w:val="00234619"/>
    <w:rsid w:val="002377F5"/>
    <w:rsid w:val="002430D1"/>
    <w:rsid w:val="00243CB0"/>
    <w:rsid w:val="00247BCD"/>
    <w:rsid w:val="00252CAB"/>
    <w:rsid w:val="002530E9"/>
    <w:rsid w:val="002650A3"/>
    <w:rsid w:val="00275310"/>
    <w:rsid w:val="0028298C"/>
    <w:rsid w:val="00291A4E"/>
    <w:rsid w:val="00293701"/>
    <w:rsid w:val="002A602A"/>
    <w:rsid w:val="002A7C0B"/>
    <w:rsid w:val="002D5CC8"/>
    <w:rsid w:val="002E5BDC"/>
    <w:rsid w:val="002F3AE3"/>
    <w:rsid w:val="003021C5"/>
    <w:rsid w:val="00304DAF"/>
    <w:rsid w:val="0030786C"/>
    <w:rsid w:val="003151C1"/>
    <w:rsid w:val="00323B20"/>
    <w:rsid w:val="00353274"/>
    <w:rsid w:val="00365888"/>
    <w:rsid w:val="00387970"/>
    <w:rsid w:val="00394C68"/>
    <w:rsid w:val="003B7900"/>
    <w:rsid w:val="003C0F83"/>
    <w:rsid w:val="003D17F9"/>
    <w:rsid w:val="003E7A6C"/>
    <w:rsid w:val="0041495D"/>
    <w:rsid w:val="00425B7C"/>
    <w:rsid w:val="00434917"/>
    <w:rsid w:val="00452DCB"/>
    <w:rsid w:val="0047029A"/>
    <w:rsid w:val="0047625E"/>
    <w:rsid w:val="004867E2"/>
    <w:rsid w:val="004A0FA7"/>
    <w:rsid w:val="004A1690"/>
    <w:rsid w:val="004A2CD4"/>
    <w:rsid w:val="004A32C3"/>
    <w:rsid w:val="004D4FA8"/>
    <w:rsid w:val="004F2684"/>
    <w:rsid w:val="004F28F5"/>
    <w:rsid w:val="004F3AA0"/>
    <w:rsid w:val="004F5DED"/>
    <w:rsid w:val="004F7AFF"/>
    <w:rsid w:val="00517DBF"/>
    <w:rsid w:val="00543C9E"/>
    <w:rsid w:val="00561352"/>
    <w:rsid w:val="005641C8"/>
    <w:rsid w:val="00573A25"/>
    <w:rsid w:val="00573D48"/>
    <w:rsid w:val="00574083"/>
    <w:rsid w:val="00584750"/>
    <w:rsid w:val="00586D57"/>
    <w:rsid w:val="00596E15"/>
    <w:rsid w:val="005A0D19"/>
    <w:rsid w:val="005D1645"/>
    <w:rsid w:val="005D2E42"/>
    <w:rsid w:val="005E0FAB"/>
    <w:rsid w:val="005F4768"/>
    <w:rsid w:val="005F77E3"/>
    <w:rsid w:val="0060508D"/>
    <w:rsid w:val="00615976"/>
    <w:rsid w:val="006164C2"/>
    <w:rsid w:val="00627DF9"/>
    <w:rsid w:val="0063427B"/>
    <w:rsid w:val="00652F4E"/>
    <w:rsid w:val="006603E3"/>
    <w:rsid w:val="0067230D"/>
    <w:rsid w:val="006727F5"/>
    <w:rsid w:val="00672899"/>
    <w:rsid w:val="00696A5D"/>
    <w:rsid w:val="006A4949"/>
    <w:rsid w:val="006B5200"/>
    <w:rsid w:val="006B6561"/>
    <w:rsid w:val="006D3D60"/>
    <w:rsid w:val="006F5435"/>
    <w:rsid w:val="00764BC6"/>
    <w:rsid w:val="00783CE0"/>
    <w:rsid w:val="007D71AA"/>
    <w:rsid w:val="007F162D"/>
    <w:rsid w:val="008264EB"/>
    <w:rsid w:val="00826860"/>
    <w:rsid w:val="00842FB7"/>
    <w:rsid w:val="00846A2D"/>
    <w:rsid w:val="00846E7A"/>
    <w:rsid w:val="00885093"/>
    <w:rsid w:val="008A7234"/>
    <w:rsid w:val="008A7CB9"/>
    <w:rsid w:val="008D4150"/>
    <w:rsid w:val="00902A34"/>
    <w:rsid w:val="00917E71"/>
    <w:rsid w:val="00927698"/>
    <w:rsid w:val="009451A6"/>
    <w:rsid w:val="00961CDD"/>
    <w:rsid w:val="00963935"/>
    <w:rsid w:val="009825A0"/>
    <w:rsid w:val="00982861"/>
    <w:rsid w:val="0098296B"/>
    <w:rsid w:val="00983721"/>
    <w:rsid w:val="0099237D"/>
    <w:rsid w:val="009A6FF4"/>
    <w:rsid w:val="009A796E"/>
    <w:rsid w:val="009B6E47"/>
    <w:rsid w:val="009D7609"/>
    <w:rsid w:val="009D7661"/>
    <w:rsid w:val="009E5B4B"/>
    <w:rsid w:val="009F4281"/>
    <w:rsid w:val="009F4C87"/>
    <w:rsid w:val="009F7DAB"/>
    <w:rsid w:val="00A13607"/>
    <w:rsid w:val="00A21743"/>
    <w:rsid w:val="00A25693"/>
    <w:rsid w:val="00A30A78"/>
    <w:rsid w:val="00A36A30"/>
    <w:rsid w:val="00A4512D"/>
    <w:rsid w:val="00A51EE6"/>
    <w:rsid w:val="00A66C82"/>
    <w:rsid w:val="00A705AF"/>
    <w:rsid w:val="00A71B7A"/>
    <w:rsid w:val="00A952FB"/>
    <w:rsid w:val="00AC1AA3"/>
    <w:rsid w:val="00AC23C0"/>
    <w:rsid w:val="00AD31AE"/>
    <w:rsid w:val="00AD5F04"/>
    <w:rsid w:val="00AE5F36"/>
    <w:rsid w:val="00B0053C"/>
    <w:rsid w:val="00B24480"/>
    <w:rsid w:val="00B42851"/>
    <w:rsid w:val="00B44123"/>
    <w:rsid w:val="00B50A29"/>
    <w:rsid w:val="00B57300"/>
    <w:rsid w:val="00B64B14"/>
    <w:rsid w:val="00B91D3C"/>
    <w:rsid w:val="00B94280"/>
    <w:rsid w:val="00BA29B3"/>
    <w:rsid w:val="00BA71E7"/>
    <w:rsid w:val="00BB7BD9"/>
    <w:rsid w:val="00BD2235"/>
    <w:rsid w:val="00BE3CC6"/>
    <w:rsid w:val="00BF34CD"/>
    <w:rsid w:val="00C01D56"/>
    <w:rsid w:val="00C41F90"/>
    <w:rsid w:val="00C617E9"/>
    <w:rsid w:val="00C66FAD"/>
    <w:rsid w:val="00C87174"/>
    <w:rsid w:val="00C93BFE"/>
    <w:rsid w:val="00C94930"/>
    <w:rsid w:val="00CA5DA7"/>
    <w:rsid w:val="00CA7A1B"/>
    <w:rsid w:val="00CB4C13"/>
    <w:rsid w:val="00CB5B1A"/>
    <w:rsid w:val="00CC0BFF"/>
    <w:rsid w:val="00CD0C70"/>
    <w:rsid w:val="00CD34DC"/>
    <w:rsid w:val="00CE1346"/>
    <w:rsid w:val="00CE1A60"/>
    <w:rsid w:val="00CE3658"/>
    <w:rsid w:val="00CF1008"/>
    <w:rsid w:val="00D02886"/>
    <w:rsid w:val="00D04189"/>
    <w:rsid w:val="00D22D32"/>
    <w:rsid w:val="00D2518C"/>
    <w:rsid w:val="00D33167"/>
    <w:rsid w:val="00D34AD0"/>
    <w:rsid w:val="00D403F0"/>
    <w:rsid w:val="00D458E0"/>
    <w:rsid w:val="00D54FDA"/>
    <w:rsid w:val="00D67F34"/>
    <w:rsid w:val="00D73717"/>
    <w:rsid w:val="00D81C6C"/>
    <w:rsid w:val="00D908B7"/>
    <w:rsid w:val="00D93A8C"/>
    <w:rsid w:val="00DC73AA"/>
    <w:rsid w:val="00DD0878"/>
    <w:rsid w:val="00DD1480"/>
    <w:rsid w:val="00DD5B70"/>
    <w:rsid w:val="00DE28BE"/>
    <w:rsid w:val="00DE5628"/>
    <w:rsid w:val="00DE7D48"/>
    <w:rsid w:val="00DF133D"/>
    <w:rsid w:val="00DF2453"/>
    <w:rsid w:val="00DF782A"/>
    <w:rsid w:val="00E06ACB"/>
    <w:rsid w:val="00E228B6"/>
    <w:rsid w:val="00E7099F"/>
    <w:rsid w:val="00E8287C"/>
    <w:rsid w:val="00E83C5B"/>
    <w:rsid w:val="00EA221D"/>
    <w:rsid w:val="00EF034D"/>
    <w:rsid w:val="00F151D2"/>
    <w:rsid w:val="00F15390"/>
    <w:rsid w:val="00F22C97"/>
    <w:rsid w:val="00F255EF"/>
    <w:rsid w:val="00F26725"/>
    <w:rsid w:val="00F410B0"/>
    <w:rsid w:val="00F60DF4"/>
    <w:rsid w:val="00F72136"/>
    <w:rsid w:val="00F8060C"/>
    <w:rsid w:val="00F84137"/>
    <w:rsid w:val="00F84ECB"/>
    <w:rsid w:val="00F865DE"/>
    <w:rsid w:val="00F9158F"/>
    <w:rsid w:val="00F94D5B"/>
    <w:rsid w:val="00FB5F68"/>
    <w:rsid w:val="00FD3DB6"/>
    <w:rsid w:val="00FF0F5E"/>
    <w:rsid w:val="00FF53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8AA7D55"/>
  <w15:docId w15:val="{83EDD776-6F4C-41A0-987F-8DFF2C6D39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FAB"/>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CB4C13"/>
    <w:pPr>
      <w:spacing w:before="300" w:after="100" w:line="271" w:lineRule="auto"/>
      <w:outlineLvl w:val="1"/>
    </w:pPr>
    <w:rPr>
      <w:b/>
      <w:color w:val="57259F"/>
      <w:sz w:val="25"/>
      <w:szCs w:val="28"/>
    </w:rPr>
  </w:style>
  <w:style w:type="paragraph" w:styleId="Heading3">
    <w:name w:val="heading 3"/>
    <w:basedOn w:val="Normal"/>
    <w:next w:val="Normal"/>
    <w:link w:val="Heading3Char"/>
    <w:uiPriority w:val="9"/>
    <w:unhideWhenUsed/>
    <w:qFormat/>
    <w:rsid w:val="00CB4C13"/>
    <w:pPr>
      <w:spacing w:before="200" w:after="100" w:line="271" w:lineRule="auto"/>
      <w:outlineLvl w:val="2"/>
    </w:pPr>
    <w:rPr>
      <w:iCs/>
      <w:color w:val="57259F"/>
      <w:spacing w:val="5"/>
      <w:sz w:val="24"/>
      <w:szCs w:val="26"/>
    </w:rPr>
  </w:style>
  <w:style w:type="paragraph" w:styleId="Heading4">
    <w:name w:val="heading 4"/>
    <w:basedOn w:val="Normal"/>
    <w:next w:val="Normal"/>
    <w:link w:val="Heading4Char"/>
    <w:uiPriority w:val="9"/>
    <w:unhideWhenUsed/>
    <w:qFormat/>
    <w:rsid w:val="00CB4C13"/>
    <w:pPr>
      <w:spacing w:after="100" w:line="271" w:lineRule="auto"/>
      <w:outlineLvl w:val="3"/>
    </w:pPr>
    <w:rPr>
      <w:bCs/>
      <w:caps/>
      <w:color w:val="57259F"/>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hAnsiTheme="minorHAnsi" w:eastAsiaTheme="minorEastAsia"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color="auto" w:sz="4" w:space="10"/>
        <w:bottom w:val="single" w:color="auto" w:sz="4" w:space="10"/>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hAnsi="Arial" w:eastAsiaTheme="minorEastAsia"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hAnsi="Tahoma" w:cs="Tahoma" w:eastAsiaTheme="minorEastAsia"/>
      <w:sz w:val="16"/>
      <w:szCs w:val="16"/>
      <w:lang w:val="en-GB" w:eastAsia="en-GB"/>
    </w:rPr>
  </w:style>
  <w:style w:type="paragraph" w:styleId="Header">
    <w:name w:val="header"/>
    <w:basedOn w:val="Normal"/>
    <w:link w:val="HeaderChar"/>
    <w:uiPriority w:val="99"/>
    <w:rsid w:val="00A6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C82"/>
    <w:rPr>
      <w:rFonts w:ascii="Arial" w:hAnsi="Arial" w:eastAsiaTheme="minorEastAsia"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rsid w:val="00672899"/>
    <w:pPr>
      <w:numPr>
        <w:numId w:val="1"/>
      </w:numPr>
      <w:spacing w:after="120"/>
    </w:pPr>
  </w:style>
  <w:style w:type="paragraph" w:customStyle="1" w:styleId="Heading1Black">
    <w:name w:val="Heading 1 Black"/>
    <w:basedOn w:val="Heading1"/>
    <w:next w:val="Normal1stParaafterHeading1"/>
    <w:autoRedefine/>
    <w:qFormat/>
    <w:rsid w:val="00FF0F5E"/>
    <w:pPr>
      <w:pBdr>
        <w:left w:val="single" w:color="57259F" w:sz="48" w:space="8"/>
      </w:pBdr>
      <w:spacing w:after="120"/>
      <w:ind w:left="284"/>
    </w:pPr>
    <w:rPr>
      <w:bCs/>
      <w:caps/>
      <w:color w:val="000000" w:themeColor="text1"/>
      <w:sz w:val="32"/>
      <w:szCs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2"/>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color="F2F2F2" w:themeColor="background1" w:themeShade="F2" w:sz="4" w:space="8"/>
        <w:left w:val="single" w:color="F2F2F2" w:themeColor="background1" w:themeShade="F2" w:sz="4" w:space="8"/>
        <w:bottom w:val="single" w:color="F2F2F2" w:themeColor="background1" w:themeShade="F2" w:sz="4" w:space="8"/>
        <w:right w:val="single" w:color="F2F2F2" w:themeColor="background1" w:themeShade="F2" w:sz="4" w:space="8"/>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color="F2F2F2" w:themeColor="background1" w:themeShade="F2" w:sz="4" w:space="8"/>
        <w:left w:val="single" w:color="F2F2F2" w:themeColor="background1" w:themeShade="F2" w:sz="4" w:space="8"/>
        <w:bottom w:val="single" w:color="F2F2F2" w:themeColor="background1" w:themeShade="F2" w:sz="4" w:space="8"/>
        <w:right w:val="single" w:color="F2F2F2" w:themeColor="background1" w:themeShade="F2" w:sz="4" w:space="8"/>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color="F2F2F2" w:themeColor="background1" w:themeShade="F2" w:sz="4" w:space="8"/>
        <w:left w:val="single" w:color="F2F2F2" w:themeColor="background1" w:themeShade="F2" w:sz="4" w:space="8"/>
        <w:bottom w:val="single" w:color="F2F2F2" w:themeColor="background1" w:themeShade="F2" w:sz="4" w:space="8"/>
        <w:right w:val="single" w:color="F2F2F2" w:themeColor="background1" w:themeShade="F2" w:sz="4" w:space="8"/>
      </w:pBdr>
      <w:shd w:val="clear" w:color="auto" w:fill="F2F2F2" w:themeFill="background1" w:themeFillShade="F2"/>
      <w:ind w:right="170"/>
    </w:pPr>
  </w:style>
  <w:style w:type="paragraph" w:customStyle="1" w:styleId="CaptionReversed">
    <w:name w:val="Caption Reversed"/>
    <w:basedOn w:val="Caption"/>
    <w:rsid w:val="00672899"/>
    <w:pPr>
      <w:pBdr>
        <w:top w:val="single" w:color="00B0F0" w:sz="4" w:space="5"/>
        <w:left w:val="single" w:color="00B0F0" w:sz="4" w:space="5"/>
        <w:bottom w:val="single" w:color="00B0F0" w:sz="4" w:space="5"/>
        <w:right w:val="single" w:color="00B0F0" w:sz="4" w:space="5"/>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color="00B0F0" w:sz="4" w:space="8"/>
        <w:left w:val="single" w:color="00B0F0" w:sz="4" w:space="5"/>
        <w:bottom w:val="single" w:color="00B0F0" w:sz="4" w:space="5"/>
        <w:right w:val="single" w:color="00B0F0" w:sz="4" w:space="5"/>
      </w:pBdr>
      <w:ind w:right="142"/>
    </w:pPr>
  </w:style>
  <w:style w:type="paragraph" w:customStyle="1" w:styleId="BoxText">
    <w:name w:val="Box Text"/>
    <w:basedOn w:val="Boxbullets"/>
    <w:rsid w:val="00672899"/>
    <w:pPr>
      <w:pBdr>
        <w:left w:val="single" w:color="00B0F0" w:sz="4" w:space="8"/>
        <w:bottom w:val="single" w:color="00B0F0" w:sz="4" w:space="8"/>
        <w:right w:val="single" w:color="00B0F0" w:sz="4" w:space="8"/>
      </w:pBdr>
      <w:ind w:left="198" w:right="198"/>
    </w:pPr>
  </w:style>
  <w:style w:type="paragraph" w:customStyle="1" w:styleId="ActionBullet">
    <w:name w:val="Action Bullet"/>
    <w:basedOn w:val="Boxbullets"/>
    <w:rsid w:val="00672899"/>
    <w:pPr>
      <w:pBdr>
        <w:top w:val="none" w:color="auto" w:sz="0" w:space="0"/>
        <w:left w:val="none" w:color="auto" w:sz="0" w:space="0"/>
        <w:bottom w:val="single" w:color="00B0F0" w:sz="4" w:space="8"/>
        <w:right w:val="none" w:color="auto" w:sz="0" w:space="0"/>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CB4C13"/>
    <w:rPr>
      <w:rFonts w:ascii="Arial" w:hAnsi="Arial" w:cs="Arial"/>
      <w:b/>
      <w:color w:val="57259F"/>
      <w:sz w:val="25"/>
      <w:szCs w:val="28"/>
    </w:rPr>
  </w:style>
  <w:style w:type="character" w:customStyle="1" w:styleId="Heading3Char">
    <w:name w:val="Heading 3 Char"/>
    <w:basedOn w:val="DefaultParagraphFont"/>
    <w:link w:val="Heading3"/>
    <w:uiPriority w:val="9"/>
    <w:rsid w:val="00CB4C13"/>
    <w:rPr>
      <w:rFonts w:ascii="Arial" w:hAnsi="Arial" w:cs="Arial"/>
      <w:iCs/>
      <w:color w:val="57259F"/>
      <w:spacing w:val="5"/>
      <w:sz w:val="24"/>
      <w:szCs w:val="26"/>
    </w:rPr>
  </w:style>
  <w:style w:type="character" w:customStyle="1" w:styleId="Heading4Char">
    <w:name w:val="Heading 4 Char"/>
    <w:basedOn w:val="DefaultParagraphFont"/>
    <w:link w:val="Heading4"/>
    <w:uiPriority w:val="9"/>
    <w:rsid w:val="00CB4C13"/>
    <w:rPr>
      <w:rFonts w:ascii="Arial" w:hAnsi="Arial" w:cs="Arial"/>
      <w:bCs/>
      <w:caps/>
      <w:color w:val="57259F"/>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3"/>
      </w:numPr>
      <w:spacing w:after="100"/>
      <w:ind w:left="714" w:hanging="357"/>
    </w:pPr>
    <w:rPr>
      <w:lang w:val="en"/>
    </w:rPr>
  </w:style>
  <w:style w:type="paragraph" w:customStyle="1" w:styleId="BulletedList">
    <w:name w:val="Bulleted List"/>
    <w:basedOn w:val="Normal"/>
    <w:qFormat/>
    <w:rsid w:val="001F1297"/>
    <w:pPr>
      <w:numPr>
        <w:numId w:val="4"/>
      </w:numPr>
      <w:spacing w:after="0"/>
      <w:contextualSpacing/>
    </w:pPr>
    <w:rPr>
      <w:lang w:val="en"/>
    </w:rPr>
  </w:style>
  <w:style w:type="paragraph" w:customStyle="1" w:styleId="Heading2Numbered">
    <w:name w:val="Heading 2 Numbered"/>
    <w:basedOn w:val="Heading2"/>
    <w:qFormat/>
    <w:rsid w:val="006164C2"/>
    <w:pPr>
      <w:numPr>
        <w:numId w:val="5"/>
      </w:numPr>
    </w:pPr>
    <w:rPr>
      <w:lang w:val="en"/>
    </w:rPr>
  </w:style>
  <w:style w:type="paragraph" w:customStyle="1" w:styleId="Heading3Numbered">
    <w:name w:val="Heading 3 Numbered"/>
    <w:basedOn w:val="Heading3"/>
    <w:qFormat/>
    <w:rsid w:val="006164C2"/>
    <w:pPr>
      <w:numPr>
        <w:numId w:val="6"/>
      </w:numPr>
    </w:pPr>
  </w:style>
  <w:style w:type="paragraph" w:customStyle="1" w:styleId="Heading4Numbered">
    <w:name w:val="Heading 4 Numbered"/>
    <w:basedOn w:val="Heading4"/>
    <w:qFormat/>
    <w:rsid w:val="006164C2"/>
    <w:pPr>
      <w:numPr>
        <w:numId w:val="7"/>
      </w:numPr>
    </w:pPr>
  </w:style>
  <w:style w:type="paragraph" w:customStyle="1" w:styleId="Boxshadedcolourbackground">
    <w:name w:val="Box shaded colour background"/>
    <w:basedOn w:val="Normal"/>
    <w:qFormat/>
    <w:rsid w:val="00F9158F"/>
    <w:pPr>
      <w:pBdr>
        <w:top w:val="single" w:color="F2F2F2" w:sz="4" w:space="8"/>
        <w:left w:val="single" w:color="F2F2F2" w:sz="4" w:space="8"/>
        <w:bottom w:val="single" w:color="F2F2F2" w:sz="4" w:space="8"/>
        <w:right w:val="single" w:color="F2F2F2" w:sz="4" w:space="8"/>
      </w:pBdr>
      <w:shd w:val="clear" w:color="auto" w:fill="ECE5F5"/>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F15390"/>
    <w:pPr>
      <w:pBdr>
        <w:top w:val="single" w:color="573393" w:sz="4" w:space="8"/>
        <w:bottom w:val="single" w:color="573393" w:sz="4" w:space="8"/>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F15390"/>
    <w:pPr>
      <w:pBdr>
        <w:top w:val="single" w:color="573393" w:sz="4" w:space="8"/>
        <w:left w:val="single" w:color="573393" w:sz="4" w:space="8"/>
        <w:bottom w:val="single" w:color="573393" w:sz="4" w:space="8"/>
        <w:right w:val="single" w:color="573393" w:sz="4" w:space="8"/>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CD0C70"/>
    <w:pPr>
      <w:pBdr>
        <w:top w:val="single" w:color="57259F" w:sz="8" w:space="6"/>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561352"/>
    <w:pPr>
      <w:spacing w:after="100"/>
      <w:ind w:left="210"/>
    </w:pPr>
  </w:style>
  <w:style w:type="paragraph" w:customStyle="1" w:styleId="Heading1option2">
    <w:name w:val="Heading 1 option 2"/>
    <w:basedOn w:val="Heading1Black"/>
    <w:qFormat/>
    <w:rsid w:val="00561352"/>
    <w:pPr>
      <w:pBdr>
        <w:left w:val="none" w:color="auto" w:sz="0" w:space="0"/>
      </w:pBdr>
      <w:ind w:left="0"/>
    </w:pPr>
    <w:rPr>
      <w:caps w:val="0"/>
      <w:color w:val="57259F"/>
      <w:sz w:val="36"/>
    </w:r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paragraph" w:styleId="BodyText2">
    <w:name w:val="Body Text 2"/>
    <w:basedOn w:val="Normal"/>
    <w:link w:val="BodyText2Char"/>
    <w:rsid w:val="005E0FAB"/>
    <w:pPr>
      <w:spacing w:after="120" w:line="480" w:lineRule="auto"/>
    </w:pPr>
  </w:style>
  <w:style w:type="character" w:customStyle="1" w:styleId="BodyText2Char">
    <w:name w:val="Body Text 2 Char"/>
    <w:basedOn w:val="DefaultParagraphFont"/>
    <w:link w:val="BodyText2"/>
    <w:rsid w:val="005E0FAB"/>
    <w:rPr>
      <w:rFonts w:ascii="Arial" w:hAnsi="Arial" w:cs="Arial"/>
      <w:sz w:val="21"/>
      <w:szCs w:val="20"/>
    </w:rPr>
  </w:style>
  <w:style w:type="paragraph" w:styleId="FootnoteText">
    <w:name w:val="footnote text"/>
    <w:basedOn w:val="Normal"/>
    <w:link w:val="FootnoteTextChar"/>
    <w:uiPriority w:val="99"/>
    <w:unhideWhenUsed/>
    <w:rsid w:val="005E0FAB"/>
    <w:pPr>
      <w:spacing w:after="0" w:line="240" w:lineRule="auto"/>
    </w:pPr>
    <w:rPr>
      <w:rFonts w:asciiTheme="minorHAnsi" w:hAnsiTheme="minorHAnsi" w:eastAsiaTheme="minorEastAsia" w:cstheme="minorBidi"/>
      <w:sz w:val="20"/>
      <w:lang w:eastAsia="zh-CN"/>
    </w:rPr>
  </w:style>
  <w:style w:type="character" w:customStyle="1" w:styleId="FootnoteTextChar">
    <w:name w:val="Footnote Text Char"/>
    <w:basedOn w:val="DefaultParagraphFont"/>
    <w:link w:val="FootnoteText"/>
    <w:uiPriority w:val="99"/>
    <w:rsid w:val="005E0FAB"/>
    <w:rPr>
      <w:rFonts w:asciiTheme="minorHAnsi" w:hAnsiTheme="minorHAnsi" w:eastAsiaTheme="minorEastAsia" w:cstheme="minorBidi"/>
      <w:sz w:val="20"/>
      <w:szCs w:val="20"/>
      <w:lang w:eastAsia="zh-CN"/>
    </w:rPr>
  </w:style>
  <w:style w:type="character" w:styleId="FootnoteReference">
    <w:name w:val="footnote reference"/>
    <w:basedOn w:val="DefaultParagraphFont"/>
    <w:uiPriority w:val="99"/>
    <w:unhideWhenUsed/>
    <w:rsid w:val="005E0FAB"/>
    <w:rPr>
      <w:vertAlign w:val="superscript"/>
    </w:rPr>
  </w:style>
  <w:style w:type="table" w:styleId="TableGrid">
    <w:name w:val="Table Grid"/>
    <w:basedOn w:val="TableNormal"/>
    <w:rsid w:val="002A7C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Issuedateinfo">
    <w:name w:val="Issue date info"/>
    <w:basedOn w:val="Normal"/>
    <w:qFormat/>
    <w:rsid w:val="00B44123"/>
    <w:pPr>
      <w:spacing w:before="120" w:after="240" w:line="360" w:lineRule="auto"/>
      <w:jc w:val="right"/>
    </w:pPr>
  </w:style>
  <w:style w:type="paragraph" w:customStyle="1" w:styleId="Sub-bulletedlist">
    <w:name w:val="Sub-bulleted list"/>
    <w:basedOn w:val="BulletedList"/>
    <w:rsid w:val="0018425E"/>
    <w:pPr>
      <w:numPr>
        <w:numId w:val="8"/>
      </w:numPr>
      <w:spacing w:line="240" w:lineRule="auto"/>
      <w:ind w:left="1797" w:hanging="357"/>
    </w:pPr>
    <w:rPr>
      <w:lang w:eastAsia="en-US"/>
    </w:rPr>
  </w:style>
  <w:style w:type="paragraph" w:customStyle="1" w:styleId="Sub-bullettedlist">
    <w:name w:val="Sub-bulletted list"/>
    <w:basedOn w:val="BulletedList"/>
    <w:qFormat/>
    <w:rsid w:val="009F4C87"/>
    <w:pPr>
      <w:numPr>
        <w:numId w:val="9"/>
      </w:numPr>
      <w:spacing w:after="120"/>
      <w:contextualSpacing w:val="0"/>
    </w:pPr>
    <w:rPr>
      <w:i/>
    </w:rPr>
  </w:style>
  <w:style w:type="character" w:styleId="CommentReference">
    <w:name w:val="annotation reference"/>
    <w:basedOn w:val="DefaultParagraphFont"/>
    <w:rsid w:val="00E228B6"/>
    <w:rPr>
      <w:sz w:val="16"/>
      <w:szCs w:val="16"/>
    </w:rPr>
  </w:style>
  <w:style w:type="paragraph" w:styleId="CommentText">
    <w:name w:val="annotation text"/>
    <w:basedOn w:val="Normal"/>
    <w:link w:val="CommentTextChar"/>
    <w:rsid w:val="00E228B6"/>
    <w:pPr>
      <w:spacing w:line="240" w:lineRule="auto"/>
    </w:pPr>
    <w:rPr>
      <w:sz w:val="20"/>
    </w:rPr>
  </w:style>
  <w:style w:type="character" w:customStyle="1" w:styleId="CommentTextChar">
    <w:name w:val="Comment Text Char"/>
    <w:basedOn w:val="DefaultParagraphFont"/>
    <w:link w:val="CommentText"/>
    <w:rsid w:val="00E228B6"/>
    <w:rPr>
      <w:rFonts w:ascii="Arial" w:hAnsi="Arial" w:cs="Arial"/>
      <w:sz w:val="20"/>
      <w:szCs w:val="20"/>
    </w:rPr>
  </w:style>
  <w:style w:type="paragraph" w:styleId="CommentSubject">
    <w:name w:val="annotation subject"/>
    <w:basedOn w:val="CommentText"/>
    <w:next w:val="CommentText"/>
    <w:link w:val="CommentSubjectChar"/>
    <w:rsid w:val="00E228B6"/>
    <w:rPr>
      <w:b/>
      <w:bCs/>
    </w:rPr>
  </w:style>
  <w:style w:type="character" w:customStyle="1" w:styleId="CommentSubjectChar">
    <w:name w:val="Comment Subject Char"/>
    <w:basedOn w:val="CommentTextChar"/>
    <w:link w:val="CommentSubject"/>
    <w:rsid w:val="00E228B6"/>
    <w:rPr>
      <w:rFonts w:ascii="Arial" w:hAnsi="Arial" w:cs="Arial"/>
      <w:b/>
      <w:bCs/>
      <w:sz w:val="20"/>
      <w:szCs w:val="20"/>
    </w:rPr>
  </w:style>
  <w:style w:type="paragraph" w:styleId="Revision">
    <w:name w:val="Revision"/>
    <w:hidden/>
    <w:uiPriority w:val="99"/>
    <w:semiHidden/>
    <w:rsid w:val="00E228B6"/>
    <w:pPr>
      <w:spacing w:after="0" w:line="240" w:lineRule="auto"/>
    </w:pPr>
    <w:rPr>
      <w:rFonts w:ascii="Arial" w:hAnsi="Arial" w:cs="Arial"/>
      <w:sz w:val="21"/>
      <w:szCs w:val="20"/>
    </w:rPr>
  </w:style>
  <w:style w:type="paragraph" w:customStyle="1" w:styleId="Bodytext-bullet">
    <w:name w:val="Body text - bullet"/>
    <w:qFormat/>
    <w:rsid w:val="00826860"/>
    <w:pPr>
      <w:numPr>
        <w:numId w:val="10"/>
      </w:numPr>
      <w:tabs>
        <w:tab w:val="left" w:pos="709"/>
      </w:tabs>
      <w:spacing w:after="120" w:line="240" w:lineRule="auto"/>
    </w:pPr>
    <w:rPr>
      <w:rFonts w:ascii="Times New Roman" w:hAnsi="Times New Roman" w:eastAsia="Times New Roman" w:cs="Times New Roman"/>
      <w:szCs w:val="20"/>
      <w:lang w:val="en-US"/>
    </w:rPr>
  </w:style>
  <w:style w:type="paragraph" w:customStyle="1" w:styleId="Figureheading">
    <w:name w:val="Figure heading"/>
    <w:next w:val="Normal"/>
    <w:qFormat/>
    <w:rsid w:val="00F8060C"/>
    <w:pPr>
      <w:tabs>
        <w:tab w:val="left" w:pos="1134"/>
      </w:tabs>
      <w:spacing w:before="240" w:after="240" w:line="240" w:lineRule="auto"/>
      <w:ind w:left="1134" w:hanging="1134"/>
    </w:pPr>
    <w:rPr>
      <w:rFonts w:ascii="Times New Roman" w:hAnsi="Times New Roman" w:eastAsia="Times New Roman" w:cs="Times New Roman"/>
      <w:b/>
      <w:szCs w:val="20"/>
    </w:rPr>
  </w:style>
  <w:style w:type="paragraph" w:customStyle="1" w:styleId="Tabletext0">
    <w:name w:val="Table text"/>
    <w:qFormat/>
    <w:rsid w:val="00F8060C"/>
    <w:pPr>
      <w:spacing w:before="40" w:after="40" w:line="240" w:lineRule="auto"/>
      <w:jc w:val="center"/>
    </w:pPr>
    <w:rPr>
      <w:rFonts w:ascii="Times New Roman" w:hAnsi="Times New Roman" w:eastAsia="Times New Roman" w:cs="Times New Roman"/>
      <w:sz w:val="20"/>
      <w:szCs w:val="20"/>
      <w:lang w:val="en-US" w:eastAsia="ja-JP"/>
    </w:rPr>
  </w:style>
  <w:style w:type="paragraph" w:customStyle="1" w:styleId="Tablecolumnheading">
    <w:name w:val="Table column heading"/>
    <w:qFormat/>
    <w:rsid w:val="00F8060C"/>
    <w:pPr>
      <w:spacing w:before="60" w:after="60" w:line="240" w:lineRule="auto"/>
      <w:jc w:val="center"/>
    </w:pPr>
    <w:rPr>
      <w:rFonts w:ascii="Times New Roman" w:hAnsi="Times New Roman" w:eastAsia="Times New Roman" w:cs="Times New Roman"/>
      <w:b/>
      <w:sz w:val="20"/>
      <w:szCs w:val="20"/>
    </w:rPr>
  </w:style>
  <w:style w:type="paragraph" w:customStyle="1" w:styleId="Intropara">
    <w:name w:val="Intro para"/>
    <w:next w:val="BodyText"/>
    <w:qFormat/>
    <w:rsid w:val="006B5200"/>
    <w:pPr>
      <w:spacing w:before="240" w:after="240" w:line="240" w:lineRule="auto"/>
    </w:pPr>
    <w:rPr>
      <w:rFonts w:ascii="Times New Roman" w:hAnsi="Times New Roman" w:eastAsia="Times New Roman"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0777">
      <w:bodyDiv w:val="1"/>
      <w:marLeft w:val="0"/>
      <w:marRight w:val="0"/>
      <w:marTop w:val="0"/>
      <w:marBottom w:val="0"/>
      <w:divBdr>
        <w:top w:val="none" w:sz="0" w:space="0" w:color="auto"/>
        <w:left w:val="none" w:sz="0" w:space="0" w:color="auto"/>
        <w:bottom w:val="none" w:sz="0" w:space="0" w:color="auto"/>
        <w:right w:val="none" w:sz="0" w:space="0" w:color="auto"/>
      </w:divBdr>
      <w:divsChild>
        <w:div w:id="747917985">
          <w:marLeft w:val="0"/>
          <w:marRight w:val="0"/>
          <w:marTop w:val="135"/>
          <w:marBottom w:val="135"/>
          <w:divBdr>
            <w:top w:val="single" w:sz="6" w:space="6" w:color="DDDAD1"/>
            <w:left w:val="single" w:sz="6" w:space="17" w:color="DDDAD1"/>
            <w:bottom w:val="single" w:sz="6" w:space="6" w:color="DDDAD1"/>
            <w:right w:val="single" w:sz="6" w:space="6" w:color="DDDAD1"/>
          </w:divBdr>
        </w:div>
      </w:divsChild>
    </w:div>
    <w:div w:id="212275280">
      <w:bodyDiv w:val="1"/>
      <w:marLeft w:val="0"/>
      <w:marRight w:val="0"/>
      <w:marTop w:val="0"/>
      <w:marBottom w:val="0"/>
      <w:divBdr>
        <w:top w:val="none" w:sz="0" w:space="0" w:color="auto"/>
        <w:left w:val="none" w:sz="0" w:space="0" w:color="auto"/>
        <w:bottom w:val="none" w:sz="0" w:space="0" w:color="auto"/>
        <w:right w:val="none" w:sz="0" w:space="0" w:color="auto"/>
      </w:divBdr>
      <w:divsChild>
        <w:div w:id="2017343589">
          <w:marLeft w:val="0"/>
          <w:marRight w:val="0"/>
          <w:marTop w:val="135"/>
          <w:marBottom w:val="135"/>
          <w:divBdr>
            <w:top w:val="single" w:sz="6" w:space="6" w:color="DDDAD1"/>
            <w:left w:val="single" w:sz="6" w:space="17" w:color="DDDAD1"/>
            <w:bottom w:val="single" w:sz="6" w:space="6" w:color="DDDAD1"/>
            <w:right w:val="single" w:sz="6" w:space="6" w:color="DDDAD1"/>
          </w:divBdr>
          <w:divsChild>
            <w:div w:id="1484547412">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1508516380">
      <w:bodyDiv w:val="1"/>
      <w:marLeft w:val="0"/>
      <w:marRight w:val="0"/>
      <w:marTop w:val="0"/>
      <w:marBottom w:val="0"/>
      <w:divBdr>
        <w:top w:val="none" w:sz="0" w:space="0" w:color="auto"/>
        <w:left w:val="none" w:sz="0" w:space="0" w:color="auto"/>
        <w:bottom w:val="none" w:sz="0" w:space="0" w:color="auto"/>
        <w:right w:val="none" w:sz="0" w:space="0" w:color="auto"/>
      </w:divBdr>
      <w:divsChild>
        <w:div w:id="2072118681">
          <w:marLeft w:val="0"/>
          <w:marRight w:val="0"/>
          <w:marTop w:val="0"/>
          <w:marBottom w:val="0"/>
          <w:divBdr>
            <w:top w:val="none" w:sz="0" w:space="0" w:color="auto"/>
            <w:left w:val="none" w:sz="0" w:space="0" w:color="auto"/>
            <w:bottom w:val="none" w:sz="0" w:space="0" w:color="auto"/>
            <w:right w:val="none" w:sz="0" w:space="0" w:color="auto"/>
          </w:divBdr>
          <w:divsChild>
            <w:div w:id="1825469598">
              <w:marLeft w:val="-225"/>
              <w:marRight w:val="-225"/>
              <w:marTop w:val="0"/>
              <w:marBottom w:val="0"/>
              <w:divBdr>
                <w:top w:val="none" w:sz="0" w:space="0" w:color="auto"/>
                <w:left w:val="none" w:sz="0" w:space="0" w:color="auto"/>
                <w:bottom w:val="none" w:sz="0" w:space="0" w:color="auto"/>
                <w:right w:val="none" w:sz="0" w:space="0" w:color="auto"/>
              </w:divBdr>
              <w:divsChild>
                <w:div w:id="828860086">
                  <w:marLeft w:val="0"/>
                  <w:marRight w:val="0"/>
                  <w:marTop w:val="0"/>
                  <w:marBottom w:val="0"/>
                  <w:divBdr>
                    <w:top w:val="none" w:sz="0" w:space="0" w:color="auto"/>
                    <w:left w:val="none" w:sz="0" w:space="0" w:color="auto"/>
                    <w:bottom w:val="none" w:sz="0" w:space="0" w:color="auto"/>
                    <w:right w:val="none" w:sz="0" w:space="0" w:color="auto"/>
                  </w:divBdr>
                  <w:divsChild>
                    <w:div w:id="517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156">
      <w:bodyDiv w:val="1"/>
      <w:marLeft w:val="0"/>
      <w:marRight w:val="0"/>
      <w:marTop w:val="0"/>
      <w:marBottom w:val="0"/>
      <w:divBdr>
        <w:top w:val="none" w:sz="0" w:space="0" w:color="auto"/>
        <w:left w:val="none" w:sz="0" w:space="0" w:color="auto"/>
        <w:bottom w:val="none" w:sz="0" w:space="0" w:color="auto"/>
        <w:right w:val="none" w:sz="0" w:space="0" w:color="auto"/>
      </w:divBdr>
      <w:divsChild>
        <w:div w:id="466629922">
          <w:marLeft w:val="0"/>
          <w:marRight w:val="0"/>
          <w:marTop w:val="135"/>
          <w:marBottom w:val="135"/>
          <w:divBdr>
            <w:top w:val="single" w:sz="6" w:space="6" w:color="DDDAD1"/>
            <w:left w:val="single" w:sz="6" w:space="17" w:color="DDDAD1"/>
            <w:bottom w:val="single" w:sz="6" w:space="6" w:color="DDDAD1"/>
            <w:right w:val="single" w:sz="6" w:space="6" w:color="DDDAD1"/>
          </w:divBdr>
          <w:divsChild>
            <w:div w:id="1551308265">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2019-04-02T13:00:00+00:00</Publishing_x0020_Required_x0020_By>
    <Approved_x0020_Date xmlns="2bd5d25a-ed67-4748-9d94-e4b1e4baa595">2019-04-04T13:00:00+00:00</Approved_x0020_Date>
    <IconOverlay xmlns="http://schemas.microsoft.com/sharepoint/v4" xsi:nil="true"/>
    <Content_x0020_Approver xmlns="2bd5d25a-ed67-4748-9d94-e4b1e4baa595">
      <UserInfo>
        <DisplayName>SOMI, Masha</DisplayName>
        <AccountId>904</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PEISLEY, Hope</DisplayName>
        <AccountId>4376</AccountId>
        <AccountType/>
      </UserInfo>
    </Peer_x0020_Review_x0020_Required_x0020_By>
    <Content_x0020_Owner xmlns="2bd5d25a-ed67-4748-9d94-e4b1e4baa595">
      <UserInfo>
        <DisplayName>SOMI, Masha</DisplayName>
        <AccountId>904</AccountId>
        <AccountType/>
      </UserInfo>
    </Content_x0020_Owner>
  </documentManagement>
</p:properties>
</file>

<file path=customXml/item4.xml><?xml version="1.0" encoding="utf-8"?>
<b:Sources xmlns:b="http://schemas.openxmlformats.org/officeDocument/2006/bibliography" xmlns="http://schemas.openxmlformats.org/officeDocument/2006/bibliography" SelectedStyle="\APA.XSL" StyleName="APA">
  <b:Source>
    <b:Tag>Aus162</b:Tag>
    <b:SourceType>InternetSite</b:SourceType>
    <b:Guid>{EBAC5F51-2B39-A24B-BEC6-C2CC1D021785}</b:Guid>
    <b:Title>4364.0.55.001 - National Health Survey: First Results, 2014-15</b:Title>
    <b:Year>2016</b:Year>
    <b:Month>March</b:Month>
    <b:Day>23</b:Day>
    <b:Author>
      <b:Author>
        <b:Corporate>Australian Bureau of Statistics</b:Corporate>
      </b:Author>
    </b:Author>
    <b:URL>http://www.abs.gov.au/ausstats/abs@.nsf/mf/4364.0.55.001</b:URL>
    <b:YearAccessed>2016</b:YearAccessed>
    <b:MonthAccessed>October</b:MonthAccessed>
    <b:DayAccessed>10</b:DayAccessed>
    <b:InternetSiteTitle>Australian Bureau of Statistics</b:InternetSiteTitle>
    <b:RefOrder>14</b:RefOrder>
  </b:Source>
</b:Sources>
</file>

<file path=customXml/itemProps1.xml><?xml version="1.0" encoding="utf-8"?>
<ds:datastoreItem xmlns:ds="http://schemas.openxmlformats.org/officeDocument/2006/customXml" ds:itemID="{39D9F130-D49D-4AA0-A5FB-768FB2303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A7748-49AE-40BC-B65D-21F1AC0CAB8C}">
  <ds:schemaRefs>
    <ds:schemaRef ds:uri="http://schemas.microsoft.com/sharepoint/v3/contenttype/forms"/>
  </ds:schemaRefs>
</ds:datastoreItem>
</file>

<file path=customXml/itemProps3.xml><?xml version="1.0" encoding="utf-8"?>
<ds:datastoreItem xmlns:ds="http://schemas.openxmlformats.org/officeDocument/2006/customXml" ds:itemID="{9DA92DD6-81A4-4C7E-975D-40569B46A68D}">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2bd5d25a-ed67-4748-9d94-e4b1e4baa59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B254D54-8A09-461B-B4FA-12B364E2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1036</Words>
  <Characters>5810</Characters>
  <Application>Microsoft Office Word</Application>
  <DocSecurity>0</DocSecurity>
  <Lines>100</Lines>
  <Paragraphs>50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Alicia</dc:creator>
  <cp:lastModifiedBy>Breugelmans, Kristy</cp:lastModifiedBy>
  <cp:revision>6</cp:revision>
  <cp:lastPrinted>2018-03-14T00:54:00Z</cp:lastPrinted>
  <dcterms:created xsi:type="dcterms:W3CDTF">2019-03-24T23:28:00Z</dcterms:created>
  <dcterms:modified xsi:type="dcterms:W3CDTF">2019-04-03T05:19:00Z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_docset_NoMedatataSyncRequired">
    <vt:lpwstr>False</vt:lpwstr>
  </property>
  <property fmtid="{D5CDD505-2E9C-101B-9397-08002B2CF9AE}" pid="4" name="WorkflowChangePath">
    <vt:lpwstr>b55235ed-5ca5-4ec6-8961-3a05ae543b2a,6;b55235ed-5ca5-4ec6-8961-3a05ae543b2a,6;b55235ed-5ca5-4ec6-8961-3a05ae543b2a,6;b55235ed-5ca5-4ec6-8961-3a05ae543b2a,6;b55235ed-5ca5-4ec6-8961-3a05ae543b2a,2;b55235ed-5ca5-4ec6-8961-3a05ae543b2a,2;b55235ed-5ca5-4ec6-89</vt:lpwstr>
  </property>
</Properties>
</file>