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EF" w:rsidRPr="00291549" w:rsidRDefault="00600AEF" w:rsidP="00600AEF">
      <w:pPr>
        <w:rPr>
          <w:rFonts w:ascii="Arial" w:hAnsi="Arial" w:cs="Arial"/>
        </w:rPr>
      </w:pPr>
      <w:r w:rsidRPr="00291549">
        <w:rPr>
          <w:rFonts w:ascii="Arial" w:hAnsi="Arial" w:cs="Arial"/>
        </w:rPr>
        <w:t xml:space="preserve">Australian Government Department of Health </w:t>
      </w:r>
    </w:p>
    <w:p w:rsidR="00600AEF" w:rsidRDefault="00600AEF" w:rsidP="00600AEF">
      <w:pPr>
        <w:pStyle w:val="Title"/>
      </w:pPr>
    </w:p>
    <w:p w:rsidR="00600AEF" w:rsidRPr="00291549" w:rsidRDefault="00600AEF" w:rsidP="00600AEF">
      <w:pPr>
        <w:pStyle w:val="Title"/>
        <w:rPr>
          <w:b w:val="0"/>
        </w:rPr>
      </w:pPr>
      <w:r w:rsidRPr="00291549">
        <w:rPr>
          <w:b w:val="0"/>
        </w:rPr>
        <w:t>AUSTRALIAN TECHNICAL ADVISORY GROUP ON</w:t>
      </w:r>
    </w:p>
    <w:p w:rsidR="00600AEF" w:rsidRDefault="00600AEF" w:rsidP="00600AEF">
      <w:pPr>
        <w:pStyle w:val="Title"/>
        <w:rPr>
          <w:b w:val="0"/>
        </w:rPr>
      </w:pPr>
      <w:r w:rsidRPr="00291549">
        <w:rPr>
          <w:b w:val="0"/>
        </w:rPr>
        <w:t>IMMUNISATION (ATAGI) CLINICAL ADVICE</w:t>
      </w:r>
    </w:p>
    <w:p w:rsidR="00600AEF" w:rsidRDefault="00600AEF" w:rsidP="00600AEF">
      <w:pPr>
        <w:tabs>
          <w:tab w:val="left" w:pos="1141"/>
        </w:tabs>
        <w:rPr>
          <w:rFonts w:ascii="Arial" w:hAnsi="Arial" w:cs="Arial"/>
        </w:rPr>
      </w:pPr>
      <w:r w:rsidRPr="00291549">
        <w:rPr>
          <w:rFonts w:ascii="Arial" w:hAnsi="Arial" w:cs="Arial"/>
        </w:rPr>
        <w:t xml:space="preserve">Issue date: 25 June 2018 </w:t>
      </w:r>
    </w:p>
    <w:p w:rsidR="00600AEF" w:rsidRDefault="00600AEF" w:rsidP="00600AEF">
      <w:pPr>
        <w:pStyle w:val="Heading1"/>
      </w:pPr>
      <w:r w:rsidRPr="00600AEF">
        <w:t>ATAGI CLINICAL ADVICE FOR IMMUNISATION PROVIDERS REGARDING MATERNAL VACCINATION THROUGH THE NATIONAL IMMUNISATION PROGRAM (NIP)</w:t>
      </w:r>
    </w:p>
    <w:p w:rsidR="00CB171B" w:rsidRPr="00CB171B" w:rsidRDefault="00CB171B" w:rsidP="00CB171B">
      <w:pPr>
        <w:pStyle w:val="Sub-bullettedlist"/>
        <w:spacing w:before="240"/>
        <w:rPr>
          <w:i w:val="0"/>
          <w:sz w:val="24"/>
          <w:szCs w:val="24"/>
        </w:rPr>
      </w:pPr>
      <w:r w:rsidRPr="00CB171B">
        <w:rPr>
          <w:i w:val="0"/>
          <w:sz w:val="24"/>
          <w:szCs w:val="24"/>
        </w:rPr>
        <w:t xml:space="preserve">It is important to read this statement in conjunction with the current online version of The Australian Immunisation Handbook available on the </w:t>
      </w:r>
      <w:hyperlink r:id="rId8" w:history="1">
        <w:r w:rsidRPr="00CB171B">
          <w:rPr>
            <w:rStyle w:val="Hyperlink"/>
            <w:i w:val="0"/>
            <w:color w:val="57259F"/>
            <w:sz w:val="24"/>
            <w:szCs w:val="24"/>
          </w:rPr>
          <w:t>Immunise Australia</w:t>
        </w:r>
      </w:hyperlink>
      <w:r w:rsidRPr="00CB171B">
        <w:rPr>
          <w:i w:val="0"/>
          <w:sz w:val="24"/>
          <w:szCs w:val="24"/>
        </w:rPr>
        <w:t xml:space="preserve"> website.</w:t>
      </w:r>
    </w:p>
    <w:p w:rsidR="00CB171B" w:rsidRPr="00CB171B" w:rsidRDefault="00CB171B" w:rsidP="00CB171B">
      <w:pPr>
        <w:pStyle w:val="Heading2"/>
        <w:spacing w:after="120"/>
        <w:rPr>
          <w:szCs w:val="24"/>
        </w:rPr>
      </w:pPr>
      <w:r w:rsidRPr="00CB171B">
        <w:rPr>
          <w:szCs w:val="24"/>
        </w:rPr>
        <w:t xml:space="preserve">Key points 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 xml:space="preserve">From 1 July 2018, pertussis containing vaccines (given as diphtheria-tetanus-acellular pertussis, </w:t>
      </w:r>
      <w:proofErr w:type="spellStart"/>
      <w:r w:rsidRPr="00CB171B">
        <w:rPr>
          <w:sz w:val="24"/>
          <w:szCs w:val="24"/>
        </w:rPr>
        <w:t>dT</w:t>
      </w:r>
      <w:bookmarkStart w:id="0" w:name="_GoBack"/>
      <w:bookmarkEnd w:id="0"/>
      <w:r w:rsidRPr="00CB171B">
        <w:rPr>
          <w:sz w:val="24"/>
          <w:szCs w:val="24"/>
        </w:rPr>
        <w:t>pa</w:t>
      </w:r>
      <w:proofErr w:type="spellEnd"/>
      <w:r w:rsidRPr="00CB171B">
        <w:rPr>
          <w:sz w:val="24"/>
          <w:szCs w:val="24"/>
        </w:rPr>
        <w:t xml:space="preserve">) will be available through the NIP for women in each pregnancy.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The pertussis vaccine should be given as a single dose during the third trimester (preferably between weeks 28 and 32).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 xml:space="preserve">A seasonal influenza vaccine for pregnant women in each pregnancy will continue to be made available through the NIP.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Influenza vaccine can be given as a single dose at any time during pregnancy, preferably prior to the onset of the influenza season.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 xml:space="preserve">Vaccination of pregnant women provides protection to the mother.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In particular, the risk of complications from influenza increases in pregnancy as does the potential for preterm delivery.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 xml:space="preserve">Vaccination of pregnant women also provides protection to the newborn baby.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 xml:space="preserve">This occurs by passive transfer of antibodies from mother to baby across the placenta during the pregnancy.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 xml:space="preserve">This helps protect very young infants, who are at high risk of severe disease from both pertussis and influenza in the first few months of life.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High levels of maternal antibody give temporary protection up until the time that babies can be vaccinated themselves.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>Vaccination of pregnant women with pertussis and influenza vaccines is safe.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>Pertussis and influenza vaccines can be given at the same visit during pregnancy, if needed.</w:t>
      </w:r>
    </w:p>
    <w:p w:rsidR="00CB171B" w:rsidRPr="00CB171B" w:rsidRDefault="00CB171B" w:rsidP="00CB171B">
      <w:pPr>
        <w:pStyle w:val="Heading2"/>
        <w:spacing w:after="120"/>
        <w:rPr>
          <w:szCs w:val="24"/>
        </w:rPr>
      </w:pPr>
      <w:r w:rsidRPr="00CB171B">
        <w:rPr>
          <w:szCs w:val="24"/>
        </w:rPr>
        <w:lastRenderedPageBreak/>
        <w:t xml:space="preserve">General recommendations </w:t>
      </w:r>
    </w:p>
    <w:p w:rsidR="00CB171B" w:rsidRPr="00CB171B" w:rsidRDefault="00CB171B" w:rsidP="00CB171B">
      <w:pPr>
        <w:pStyle w:val="BulletedList"/>
        <w:spacing w:after="120"/>
        <w:rPr>
          <w:sz w:val="24"/>
          <w:szCs w:val="24"/>
        </w:rPr>
      </w:pPr>
      <w:r w:rsidRPr="00CB171B">
        <w:rPr>
          <w:sz w:val="24"/>
          <w:szCs w:val="24"/>
        </w:rPr>
        <w:t xml:space="preserve">Immunisation providers should encourage pregnant women to receive pertussis and influenza vaccines. Women are more likely to be vaccinated if their health care provider specifically recommends it. 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 xml:space="preserve">Antenatal </w:t>
      </w:r>
      <w:r w:rsidRPr="00CB171B">
        <w:rPr>
          <w:b/>
          <w:sz w:val="24"/>
          <w:szCs w:val="24"/>
        </w:rPr>
        <w:t>pertussis vaccination</w:t>
      </w:r>
      <w:r w:rsidRPr="00CB171B">
        <w:rPr>
          <w:sz w:val="24"/>
          <w:szCs w:val="24"/>
        </w:rPr>
        <w:t xml:space="preserve"> is primarily aiming for protecting the baby against pertussis: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Vaccination during pregnancy has been shown to reduce pertussis disease in infants aged &lt;3 months by 91%.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 xml:space="preserve">Protection against pertussis disease for newborn infants is achieved via the transfer of maternal antibodies across the placenta during pregnancy; the highest levels of infant pertussis antibodies are achieved when vaccination occurs early in the third trimester.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The vaccine shouldn’t be delayed until too close to birth because:</w:t>
      </w:r>
    </w:p>
    <w:p w:rsidR="00CB171B" w:rsidRPr="00CB171B" w:rsidRDefault="00CB171B" w:rsidP="00CB171B">
      <w:pPr>
        <w:numPr>
          <w:ilvl w:val="2"/>
          <w:numId w:val="3"/>
        </w:numPr>
        <w:spacing w:before="120"/>
        <w:ind w:left="2160"/>
        <w:rPr>
          <w:rFonts w:ascii="Arial" w:hAnsi="Arial" w:cs="Arial"/>
        </w:rPr>
      </w:pPr>
      <w:r w:rsidRPr="00CB171B">
        <w:rPr>
          <w:rFonts w:ascii="Arial" w:hAnsi="Arial" w:cs="Arial"/>
        </w:rPr>
        <w:t>Maternal pertussis antibodies do not peak until approximately 2 weeks after vaccination,</w:t>
      </w:r>
    </w:p>
    <w:p w:rsidR="00CB171B" w:rsidRPr="00CB171B" w:rsidRDefault="00CB171B" w:rsidP="00CB171B">
      <w:pPr>
        <w:numPr>
          <w:ilvl w:val="2"/>
          <w:numId w:val="3"/>
        </w:numPr>
        <w:spacing w:before="120" w:after="120"/>
        <w:ind w:left="2160"/>
        <w:rPr>
          <w:rFonts w:ascii="Arial" w:hAnsi="Arial" w:cs="Arial"/>
        </w:rPr>
      </w:pPr>
      <w:r w:rsidRPr="00CB171B">
        <w:rPr>
          <w:rFonts w:ascii="Arial" w:hAnsi="Arial" w:cs="Arial"/>
        </w:rPr>
        <w:t>Some women may give birth before they reach full-term.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 xml:space="preserve">Antenatal </w:t>
      </w:r>
      <w:r w:rsidRPr="00CB171B">
        <w:rPr>
          <w:b/>
          <w:sz w:val="24"/>
          <w:szCs w:val="24"/>
        </w:rPr>
        <w:t>influenza vaccination</w:t>
      </w:r>
      <w:r w:rsidRPr="00CB171B">
        <w:rPr>
          <w:sz w:val="24"/>
          <w:szCs w:val="24"/>
        </w:rPr>
        <w:t xml:space="preserve"> is recommended to protect both the mother and the baby from influenza and its complications: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 xml:space="preserve">Vaccination during pregnancy is estimated to reduce the risk of influenza in infants aged &lt;6 months by about half.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Infants born to mothers who contract influenza during pregnancy are at higher risk of preterm birth and low birth weight.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Pregnant women are at higher risk of complications from influenza compared with non-pregnant women, including being twice as likely to require hospitalisation.</w:t>
      </w:r>
      <w:r w:rsidRPr="00CB171B" w:rsidDel="005E3491">
        <w:rPr>
          <w:sz w:val="24"/>
          <w:szCs w:val="24"/>
          <w:lang w:val="en-AU"/>
        </w:rPr>
        <w:t xml:space="preserve"> 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>Vaccination with pertussis and influenza vaccines during pregnancy is safe for both the mother and her baby.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>There is no evidence of an increased risk of adverse pregnancy outcomes (such as stillbirth, low birth weight, pre-eclampsia, or neonatal renal failure) related to pertussis or influenza vaccination during pregnancy.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 xml:space="preserve">Expected adverse events, like injection site reactions and fever, do not occur more frequently in pregnant women than in non-pregnant women: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Approximately 70% of women vaccinated with pertussis experience mild injection site reactions; fever is rare and occurs in about 5% of vaccinated women.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spacing w:after="0"/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lastRenderedPageBreak/>
        <w:t>Approximately 10% of women vaccinated with influenza vaccine experience mild injection site reactions; fever, fatigue, muscle aches and other more general reactions are even less frequent.</w:t>
      </w:r>
    </w:p>
    <w:p w:rsidR="00CB171B" w:rsidRPr="00CB171B" w:rsidRDefault="00CB171B" w:rsidP="00CB171B">
      <w:pPr>
        <w:pStyle w:val="Heading2"/>
        <w:spacing w:after="120"/>
        <w:rPr>
          <w:szCs w:val="24"/>
        </w:rPr>
      </w:pPr>
      <w:r w:rsidRPr="00CB171B">
        <w:rPr>
          <w:szCs w:val="24"/>
        </w:rPr>
        <w:t xml:space="preserve">Specific recommendations 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b/>
          <w:sz w:val="24"/>
          <w:szCs w:val="24"/>
        </w:rPr>
        <w:t>Pertussis vaccination</w:t>
      </w:r>
      <w:r w:rsidRPr="00CB171B">
        <w:rPr>
          <w:sz w:val="24"/>
          <w:szCs w:val="24"/>
        </w:rPr>
        <w:t xml:space="preserve"> should ideally be given </w:t>
      </w:r>
      <w:r w:rsidRPr="00CB171B">
        <w:rPr>
          <w:b/>
          <w:sz w:val="24"/>
          <w:szCs w:val="24"/>
        </w:rPr>
        <w:t>early in the third trimester, between 28 and 32 weeks of gestation</w:t>
      </w:r>
      <w:r w:rsidRPr="00CB171B">
        <w:rPr>
          <w:sz w:val="24"/>
          <w:szCs w:val="24"/>
        </w:rPr>
        <w:t>, of each pregnancy, including pregnancies which are closely spaced.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 xml:space="preserve">If the vaccine has not been given by 32 weeks of gestation, it should still be given at any time up to delivery.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If the vaccine is given before the third trimester, a repeat dose during that same pregnancy is not required.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>For any pregnancy where antenatal vaccination does not occur, vaccination during the post-partum period, preferably as soon as possible after delivery, may still provide a benefit. This will reduce the likelihood of pertussis occurring in the mother and give some indirect protection to the infant. However, this is not as effective as antenatal vaccination.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b/>
          <w:sz w:val="24"/>
          <w:szCs w:val="24"/>
        </w:rPr>
        <w:t>Influenza vaccination</w:t>
      </w:r>
      <w:r w:rsidRPr="00CB171B">
        <w:rPr>
          <w:sz w:val="24"/>
          <w:szCs w:val="24"/>
        </w:rPr>
        <w:t xml:space="preserve"> can be given at any time during each pregnancy, preferably prior to the onset of the influenza season. 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If a pregnancy overlaps two influenza seasons and the woman has already received influenza vaccine in the prior season, she can also receive the current season vaccine later in pregnancy.</w:t>
      </w:r>
    </w:p>
    <w:p w:rsidR="00CB171B" w:rsidRPr="00CB171B" w:rsidRDefault="00CB171B" w:rsidP="00CB171B">
      <w:pPr>
        <w:pStyle w:val="Sub-bullettedlist"/>
        <w:numPr>
          <w:ilvl w:val="0"/>
          <w:numId w:val="2"/>
        </w:numPr>
        <w:rPr>
          <w:sz w:val="24"/>
          <w:szCs w:val="24"/>
          <w:lang w:val="en-AU"/>
        </w:rPr>
      </w:pPr>
      <w:r w:rsidRPr="00CB171B">
        <w:rPr>
          <w:sz w:val="24"/>
          <w:szCs w:val="24"/>
          <w:lang w:val="en-AU"/>
        </w:rPr>
        <w:t>An influenza vaccine can be given at any time during the year, not just prior to the influenza season.</w:t>
      </w:r>
    </w:p>
    <w:p w:rsidR="00CB171B" w:rsidRPr="00CB171B" w:rsidRDefault="00CB171B" w:rsidP="00CB171B">
      <w:pPr>
        <w:pStyle w:val="BulletedList"/>
        <w:rPr>
          <w:sz w:val="24"/>
          <w:szCs w:val="24"/>
        </w:rPr>
      </w:pPr>
      <w:r w:rsidRPr="00CB171B">
        <w:rPr>
          <w:sz w:val="24"/>
          <w:szCs w:val="24"/>
        </w:rPr>
        <w:t xml:space="preserve">The influenza vaccine can be given at the same time as the pertussis vaccine during pregnancy. </w:t>
      </w:r>
    </w:p>
    <w:p w:rsidR="00C7482A" w:rsidRDefault="00C7482A" w:rsidP="00C7482A">
      <w:pPr>
        <w:rPr>
          <w:rFonts w:ascii="Arial" w:hAnsi="Arial" w:cs="Arial"/>
        </w:rPr>
      </w:pPr>
    </w:p>
    <w:p w:rsidR="00C7482A" w:rsidRPr="00C7482A" w:rsidRDefault="00C7482A" w:rsidP="00C7482A">
      <w:pPr>
        <w:rPr>
          <w:rFonts w:ascii="Arial" w:hAnsi="Arial" w:cs="Arial"/>
        </w:rPr>
      </w:pPr>
      <w:proofErr w:type="gramStart"/>
      <w:r w:rsidRPr="00C7482A">
        <w:rPr>
          <w:rFonts w:ascii="Arial" w:hAnsi="Arial" w:cs="Arial"/>
        </w:rPr>
        <w:t>Table 1.</w:t>
      </w:r>
      <w:proofErr w:type="gramEnd"/>
      <w:r w:rsidRPr="00C7482A">
        <w:rPr>
          <w:rFonts w:ascii="Arial" w:hAnsi="Arial" w:cs="Arial"/>
        </w:rPr>
        <w:t xml:space="preserve"> Vaccines available for maternal vaccination </w:t>
      </w:r>
    </w:p>
    <w:tbl>
      <w:tblPr>
        <w:tblW w:w="567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Vaccines available for maternal vaccination"/>
        <w:tblDescription w:val="Headings: maternal vaccination, vaccine available"/>
      </w:tblPr>
      <w:tblGrid>
        <w:gridCol w:w="2694"/>
        <w:gridCol w:w="7796"/>
      </w:tblGrid>
      <w:tr w:rsidR="00C7482A" w:rsidRPr="006B5200" w:rsidTr="00C7482A">
        <w:trPr>
          <w:trHeight w:val="399"/>
          <w:tblHeader/>
        </w:trPr>
        <w:tc>
          <w:tcPr>
            <w:tcW w:w="1284" w:type="pct"/>
            <w:shd w:val="clear" w:color="auto" w:fill="57259F"/>
            <w:tcMar>
              <w:top w:w="11" w:type="dxa"/>
              <w:bottom w:w="11" w:type="dxa"/>
            </w:tcMar>
          </w:tcPr>
          <w:p w:rsidR="00C7482A" w:rsidRPr="00C7482A" w:rsidRDefault="00C7482A" w:rsidP="004F6E74">
            <w:pPr>
              <w:pStyle w:val="Tablecolumnheading"/>
              <w:spacing w:before="12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C7482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Maternal vaccination </w:t>
            </w:r>
            <w:r w:rsidRPr="00C7482A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3716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:rsidR="00C7482A" w:rsidRPr="00C7482A" w:rsidRDefault="00C7482A" w:rsidP="004F6E74">
            <w:pPr>
              <w:pStyle w:val="Tablecolumnheading"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C7482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Vaccine available</w:t>
            </w:r>
          </w:p>
        </w:tc>
      </w:tr>
      <w:tr w:rsidR="00C7482A" w:rsidRPr="006B5200" w:rsidTr="00C7482A">
        <w:trPr>
          <w:trHeight w:val="368"/>
        </w:trPr>
        <w:tc>
          <w:tcPr>
            <w:tcW w:w="1284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:rsidR="00C7482A" w:rsidRPr="00C7482A" w:rsidRDefault="00C7482A" w:rsidP="004F6E74">
            <w:pPr>
              <w:pStyle w:val="Tabletext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  <w:r w:rsidRPr="00C7482A">
              <w:rPr>
                <w:rFonts w:ascii="Arial" w:hAnsi="Arial" w:cs="Arial"/>
                <w:b/>
                <w:sz w:val="18"/>
                <w:szCs w:val="18"/>
              </w:rPr>
              <w:t>Pertussis</w:t>
            </w:r>
          </w:p>
        </w:tc>
        <w:tc>
          <w:tcPr>
            <w:tcW w:w="371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:rsidR="00C7482A" w:rsidRPr="00C7482A" w:rsidRDefault="00C7482A" w:rsidP="004F6E7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482A">
              <w:rPr>
                <w:rFonts w:ascii="Arial" w:hAnsi="Arial" w:cs="Arial"/>
                <w:sz w:val="18"/>
                <w:szCs w:val="18"/>
              </w:rPr>
              <w:t xml:space="preserve">For adolescents or adults is available in combination with diphtheria and tetanus as </w:t>
            </w:r>
            <w:proofErr w:type="spellStart"/>
            <w:r w:rsidRPr="00C7482A">
              <w:rPr>
                <w:rFonts w:ascii="Arial" w:hAnsi="Arial" w:cs="Arial"/>
                <w:sz w:val="18"/>
                <w:szCs w:val="18"/>
              </w:rPr>
              <w:t>dTpa</w:t>
            </w:r>
            <w:proofErr w:type="spellEnd"/>
            <w:r w:rsidRPr="00C7482A">
              <w:rPr>
                <w:rFonts w:ascii="Arial" w:hAnsi="Arial" w:cs="Arial"/>
                <w:sz w:val="18"/>
                <w:szCs w:val="18"/>
              </w:rPr>
              <w:t xml:space="preserve"> vaccine. Two vaccines are available:</w:t>
            </w:r>
          </w:p>
          <w:p w:rsidR="00C7482A" w:rsidRPr="00C7482A" w:rsidRDefault="00C7482A" w:rsidP="00C7482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482A">
              <w:rPr>
                <w:rFonts w:ascii="Arial" w:hAnsi="Arial" w:cs="Arial"/>
                <w:sz w:val="18"/>
                <w:szCs w:val="18"/>
              </w:rPr>
              <w:t>Adacel</w:t>
            </w:r>
            <w:proofErr w:type="spellEnd"/>
            <w:r w:rsidRPr="00C7482A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C7482A">
              <w:rPr>
                <w:rFonts w:ascii="Arial" w:hAnsi="Arial" w:cs="Arial"/>
                <w:sz w:val="18"/>
                <w:szCs w:val="18"/>
              </w:rPr>
              <w:t xml:space="preserve"> (Sanofi-Aventis) </w:t>
            </w:r>
          </w:p>
          <w:p w:rsidR="00C7482A" w:rsidRPr="00C7482A" w:rsidRDefault="00C7482A" w:rsidP="00C7482A">
            <w:pPr>
              <w:pStyle w:val="Tabletext"/>
              <w:numPr>
                <w:ilvl w:val="0"/>
                <w:numId w:val="4"/>
              </w:numPr>
              <w:spacing w:before="60" w:after="60"/>
              <w:jc w:val="left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C7482A">
              <w:rPr>
                <w:rFonts w:ascii="Arial" w:hAnsi="Arial" w:cs="Arial"/>
                <w:sz w:val="18"/>
                <w:szCs w:val="18"/>
              </w:rPr>
              <w:t>Boostrix</w:t>
            </w:r>
            <w:proofErr w:type="spellEnd"/>
            <w:r w:rsidRPr="00C7482A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C7482A">
              <w:rPr>
                <w:rFonts w:ascii="Arial" w:hAnsi="Arial" w:cs="Arial"/>
                <w:sz w:val="18"/>
                <w:szCs w:val="18"/>
              </w:rPr>
              <w:t xml:space="preserve"> (GlaxoSmithKline)</w:t>
            </w:r>
          </w:p>
        </w:tc>
      </w:tr>
      <w:tr w:rsidR="00C7482A" w:rsidRPr="006B5200" w:rsidTr="00C7482A">
        <w:trPr>
          <w:trHeight w:val="368"/>
        </w:trPr>
        <w:tc>
          <w:tcPr>
            <w:tcW w:w="1284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:rsidR="00C7482A" w:rsidRPr="00C7482A" w:rsidRDefault="00C7482A" w:rsidP="004F6E74">
            <w:pPr>
              <w:pStyle w:val="Tabletext"/>
              <w:spacing w:before="6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7482A">
              <w:rPr>
                <w:rFonts w:ascii="Arial" w:hAnsi="Arial" w:cs="Arial"/>
                <w:b/>
                <w:sz w:val="18"/>
                <w:szCs w:val="18"/>
              </w:rPr>
              <w:t>Influenza vaccines</w:t>
            </w:r>
            <w:r w:rsidRPr="00C7482A">
              <w:rPr>
                <w:rStyle w:val="FootnoteReference"/>
                <w:rFonts w:ascii="Arial" w:eastAsiaTheme="minorEastAsia" w:hAnsi="Arial" w:cs="Arial"/>
                <w:b/>
                <w:sz w:val="18"/>
                <w:szCs w:val="18"/>
              </w:rPr>
              <w:footnoteReference w:id="1"/>
            </w:r>
            <w:r w:rsidRPr="00C748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16" w:type="pct"/>
            <w:shd w:val="clear" w:color="auto" w:fill="FFFFFF" w:themeFill="background1"/>
            <w:tcMar>
              <w:top w:w="11" w:type="dxa"/>
              <w:bottom w:w="11" w:type="dxa"/>
            </w:tcMar>
          </w:tcPr>
          <w:p w:rsidR="00C7482A" w:rsidRPr="00C7482A" w:rsidRDefault="00C7482A" w:rsidP="004F6E7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7482A">
              <w:rPr>
                <w:rFonts w:ascii="Arial" w:hAnsi="Arial" w:cs="Arial"/>
                <w:sz w:val="18"/>
                <w:szCs w:val="18"/>
              </w:rPr>
              <w:t>All QIVs used in Australia are inactivated vaccines and are safe for use in pregnant women. For 2018, three vaccines are available for use through the NIP for pregnant women:</w:t>
            </w:r>
          </w:p>
          <w:p w:rsidR="00C7482A" w:rsidRPr="00C7482A" w:rsidRDefault="00C7482A" w:rsidP="00C7482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482A">
              <w:rPr>
                <w:rFonts w:ascii="Arial" w:hAnsi="Arial" w:cs="Arial"/>
                <w:sz w:val="18"/>
                <w:szCs w:val="18"/>
              </w:rPr>
              <w:t>FluQuadri</w:t>
            </w:r>
            <w:proofErr w:type="spellEnd"/>
            <w:r w:rsidRPr="00C7482A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C7482A">
              <w:rPr>
                <w:rFonts w:ascii="Arial" w:hAnsi="Arial" w:cs="Arial"/>
                <w:sz w:val="18"/>
                <w:szCs w:val="18"/>
              </w:rPr>
              <w:t xml:space="preserve"> (Sanofi) – for all pregnant women</w:t>
            </w:r>
          </w:p>
          <w:p w:rsidR="00C7482A" w:rsidRPr="00C7482A" w:rsidRDefault="00C7482A" w:rsidP="00C7482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482A">
              <w:rPr>
                <w:rFonts w:ascii="Arial" w:hAnsi="Arial" w:cs="Arial"/>
                <w:sz w:val="18"/>
                <w:szCs w:val="18"/>
              </w:rPr>
              <w:t>Fluarix</w:t>
            </w:r>
            <w:proofErr w:type="spellEnd"/>
            <w:r w:rsidRPr="00C7482A">
              <w:rPr>
                <w:rFonts w:ascii="Arial" w:hAnsi="Arial" w:cs="Arial"/>
                <w:sz w:val="18"/>
                <w:szCs w:val="18"/>
              </w:rPr>
              <w:t xml:space="preserve"> Tetra</w:t>
            </w:r>
            <w:r w:rsidRPr="00C7482A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C7482A">
              <w:rPr>
                <w:rFonts w:ascii="Arial" w:hAnsi="Arial" w:cs="Arial"/>
                <w:sz w:val="18"/>
                <w:szCs w:val="18"/>
              </w:rPr>
              <w:t xml:space="preserve"> (GlaxoSmithKline) – for all pregnant women</w:t>
            </w:r>
            <w:r w:rsidRPr="00C7482A" w:rsidDel="00F32B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482A" w:rsidRPr="00C7482A" w:rsidRDefault="00C7482A" w:rsidP="00C7482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7482A">
              <w:rPr>
                <w:rFonts w:ascii="Arial" w:hAnsi="Arial" w:cs="Arial"/>
                <w:sz w:val="18"/>
                <w:szCs w:val="18"/>
              </w:rPr>
              <w:t>Afluria Quad</w:t>
            </w:r>
            <w:r w:rsidRPr="00C7482A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C7482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7482A">
              <w:rPr>
                <w:rFonts w:ascii="Arial" w:hAnsi="Arial" w:cs="Arial"/>
                <w:sz w:val="18"/>
                <w:szCs w:val="18"/>
              </w:rPr>
              <w:t>Seqirus</w:t>
            </w:r>
            <w:proofErr w:type="spellEnd"/>
            <w:r w:rsidRPr="00C7482A">
              <w:rPr>
                <w:rFonts w:ascii="Arial" w:hAnsi="Arial" w:cs="Arial"/>
                <w:sz w:val="18"/>
                <w:szCs w:val="18"/>
              </w:rPr>
              <w:t>) – only for use in pregnant women aged ≥18 years</w:t>
            </w:r>
          </w:p>
        </w:tc>
      </w:tr>
    </w:tbl>
    <w:p w:rsidR="00CB171B" w:rsidRPr="00CB171B" w:rsidRDefault="00CB171B" w:rsidP="00600AEF">
      <w:pPr>
        <w:rPr>
          <w:rFonts w:ascii="Arial" w:hAnsi="Arial" w:cs="Arial"/>
        </w:rPr>
      </w:pPr>
    </w:p>
    <w:sectPr w:rsidR="00CB171B" w:rsidRPr="00CB171B" w:rsidSect="00600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2A" w:rsidRDefault="00C7482A" w:rsidP="00C7482A">
      <w:r>
        <w:separator/>
      </w:r>
    </w:p>
  </w:endnote>
  <w:endnote w:type="continuationSeparator" w:id="0">
    <w:p w:rsidR="00C7482A" w:rsidRDefault="00C7482A" w:rsidP="00C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2A" w:rsidRDefault="00C7482A" w:rsidP="00C7482A">
      <w:r>
        <w:separator/>
      </w:r>
    </w:p>
  </w:footnote>
  <w:footnote w:type="continuationSeparator" w:id="0">
    <w:p w:rsidR="00C7482A" w:rsidRDefault="00C7482A" w:rsidP="00C7482A">
      <w:r>
        <w:continuationSeparator/>
      </w:r>
    </w:p>
  </w:footnote>
  <w:footnote w:id="1">
    <w:p w:rsidR="00C7482A" w:rsidRPr="003240B3" w:rsidRDefault="00C7482A" w:rsidP="00C7482A">
      <w:pPr>
        <w:pStyle w:val="FootnoteText"/>
        <w:rPr>
          <w:rFonts w:ascii="Arial" w:hAnsi="Arial" w:cs="Arial"/>
          <w:sz w:val="18"/>
          <w:szCs w:val="18"/>
        </w:rPr>
      </w:pPr>
      <w:r w:rsidRPr="003240B3">
        <w:rPr>
          <w:rStyle w:val="FootnoteReference"/>
          <w:rFonts w:ascii="Arial" w:hAnsi="Arial" w:cs="Arial"/>
        </w:rPr>
        <w:footnoteRef/>
      </w:r>
      <w:r w:rsidRPr="003240B3">
        <w:rPr>
          <w:rFonts w:ascii="Arial" w:hAnsi="Arial" w:cs="Arial"/>
        </w:rPr>
        <w:t xml:space="preserve"> </w:t>
      </w:r>
      <w:r w:rsidRPr="003240B3">
        <w:rPr>
          <w:rFonts w:ascii="Arial" w:hAnsi="Arial" w:cs="Arial"/>
          <w:sz w:val="18"/>
          <w:szCs w:val="18"/>
        </w:rPr>
        <w:t xml:space="preserve">Another QIV, </w:t>
      </w:r>
      <w:proofErr w:type="spellStart"/>
      <w:r w:rsidRPr="003240B3">
        <w:rPr>
          <w:rFonts w:ascii="Arial" w:hAnsi="Arial" w:cs="Arial"/>
          <w:sz w:val="18"/>
          <w:szCs w:val="18"/>
        </w:rPr>
        <w:t>Influvac</w:t>
      </w:r>
      <w:proofErr w:type="spellEnd"/>
      <w:r w:rsidRPr="003240B3">
        <w:rPr>
          <w:rFonts w:ascii="Arial" w:hAnsi="Arial" w:cs="Arial"/>
          <w:sz w:val="18"/>
          <w:szCs w:val="18"/>
        </w:rPr>
        <w:t xml:space="preserve"> Tetra</w:t>
      </w:r>
      <w:r w:rsidRPr="003240B3">
        <w:rPr>
          <w:rFonts w:ascii="Arial" w:hAnsi="Arial" w:cs="Arial"/>
          <w:sz w:val="18"/>
          <w:szCs w:val="18"/>
          <w:vertAlign w:val="superscript"/>
        </w:rPr>
        <w:t>®</w:t>
      </w:r>
      <w:r w:rsidRPr="003240B3">
        <w:rPr>
          <w:rFonts w:ascii="Arial" w:hAnsi="Arial" w:cs="Arial"/>
          <w:sz w:val="18"/>
          <w:szCs w:val="18"/>
        </w:rPr>
        <w:t xml:space="preserve"> (Mylan), is not free for pregnant women under the NIP. However, this vaccine is also suitable for use in pregnancy.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7A"/>
    <w:multiLevelType w:val="hybridMultilevel"/>
    <w:tmpl w:val="A3F46136"/>
    <w:lvl w:ilvl="0" w:tplc="BEAC8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D155AE"/>
    <w:multiLevelType w:val="multilevel"/>
    <w:tmpl w:val="6E3C571A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7E2DB7"/>
    <w:multiLevelType w:val="hybridMultilevel"/>
    <w:tmpl w:val="C41E3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C1068"/>
    <w:multiLevelType w:val="hybridMultilevel"/>
    <w:tmpl w:val="505E957A"/>
    <w:lvl w:ilvl="0" w:tplc="0C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4">
    <w:nsid w:val="65B354B1"/>
    <w:multiLevelType w:val="hybridMultilevel"/>
    <w:tmpl w:val="562C2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EF"/>
    <w:rsid w:val="00003743"/>
    <w:rsid w:val="00067456"/>
    <w:rsid w:val="001B3443"/>
    <w:rsid w:val="002F3AE3"/>
    <w:rsid w:val="0030786C"/>
    <w:rsid w:val="003D17F9"/>
    <w:rsid w:val="004867E2"/>
    <w:rsid w:val="00600AEF"/>
    <w:rsid w:val="008264EB"/>
    <w:rsid w:val="00A4512D"/>
    <w:rsid w:val="00A705AF"/>
    <w:rsid w:val="00AA3ACB"/>
    <w:rsid w:val="00B42851"/>
    <w:rsid w:val="00C7482A"/>
    <w:rsid w:val="00CB171B"/>
    <w:rsid w:val="00CB5B1A"/>
    <w:rsid w:val="00F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A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BulletedList">
    <w:name w:val="Bulleted List"/>
    <w:basedOn w:val="Normal"/>
    <w:qFormat/>
    <w:rsid w:val="00CB171B"/>
    <w:pPr>
      <w:numPr>
        <w:numId w:val="1"/>
      </w:numPr>
      <w:spacing w:line="300" w:lineRule="auto"/>
      <w:contextualSpacing/>
    </w:pPr>
    <w:rPr>
      <w:rFonts w:ascii="Arial" w:eastAsiaTheme="majorEastAsia" w:hAnsi="Arial" w:cs="Arial"/>
      <w:sz w:val="21"/>
      <w:szCs w:val="20"/>
      <w:lang w:val="en" w:eastAsia="en-AU"/>
    </w:rPr>
  </w:style>
  <w:style w:type="character" w:styleId="Hyperlink">
    <w:name w:val="Hyperlink"/>
    <w:basedOn w:val="DefaultParagraphFont"/>
    <w:uiPriority w:val="99"/>
    <w:unhideWhenUsed/>
    <w:rsid w:val="00CB171B"/>
    <w:rPr>
      <w:color w:val="0000FF" w:themeColor="hyperlink"/>
      <w:u w:val="single"/>
    </w:rPr>
  </w:style>
  <w:style w:type="paragraph" w:customStyle="1" w:styleId="Sub-bullettedlist">
    <w:name w:val="Sub-bulletted list"/>
    <w:basedOn w:val="BulletedList"/>
    <w:qFormat/>
    <w:rsid w:val="00CB171B"/>
    <w:pPr>
      <w:numPr>
        <w:numId w:val="0"/>
      </w:numPr>
      <w:spacing w:after="120"/>
      <w:contextualSpacing w:val="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C7482A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82A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C7482A"/>
    <w:rPr>
      <w:vertAlign w:val="superscript"/>
    </w:rPr>
  </w:style>
  <w:style w:type="paragraph" w:customStyle="1" w:styleId="Tabletext">
    <w:name w:val="Table text"/>
    <w:qFormat/>
    <w:rsid w:val="00C7482A"/>
    <w:pPr>
      <w:spacing w:before="40" w:after="40"/>
      <w:jc w:val="center"/>
    </w:pPr>
    <w:rPr>
      <w:lang w:val="en-US" w:eastAsia="ja-JP"/>
    </w:rPr>
  </w:style>
  <w:style w:type="paragraph" w:customStyle="1" w:styleId="Tablecolumnheading">
    <w:name w:val="Table column heading"/>
    <w:qFormat/>
    <w:rsid w:val="00C7482A"/>
    <w:pPr>
      <w:spacing w:before="60" w:after="6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A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BulletedList">
    <w:name w:val="Bulleted List"/>
    <w:basedOn w:val="Normal"/>
    <w:qFormat/>
    <w:rsid w:val="00CB171B"/>
    <w:pPr>
      <w:numPr>
        <w:numId w:val="1"/>
      </w:numPr>
      <w:spacing w:line="300" w:lineRule="auto"/>
      <w:contextualSpacing/>
    </w:pPr>
    <w:rPr>
      <w:rFonts w:ascii="Arial" w:eastAsiaTheme="majorEastAsia" w:hAnsi="Arial" w:cs="Arial"/>
      <w:sz w:val="21"/>
      <w:szCs w:val="20"/>
      <w:lang w:val="en" w:eastAsia="en-AU"/>
    </w:rPr>
  </w:style>
  <w:style w:type="character" w:styleId="Hyperlink">
    <w:name w:val="Hyperlink"/>
    <w:basedOn w:val="DefaultParagraphFont"/>
    <w:uiPriority w:val="99"/>
    <w:unhideWhenUsed/>
    <w:rsid w:val="00CB171B"/>
    <w:rPr>
      <w:color w:val="0000FF" w:themeColor="hyperlink"/>
      <w:u w:val="single"/>
    </w:rPr>
  </w:style>
  <w:style w:type="paragraph" w:customStyle="1" w:styleId="Sub-bullettedlist">
    <w:name w:val="Sub-bulletted list"/>
    <w:basedOn w:val="BulletedList"/>
    <w:qFormat/>
    <w:rsid w:val="00CB171B"/>
    <w:pPr>
      <w:numPr>
        <w:numId w:val="0"/>
      </w:numPr>
      <w:spacing w:after="120"/>
      <w:contextualSpacing w:val="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C7482A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82A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C7482A"/>
    <w:rPr>
      <w:vertAlign w:val="superscript"/>
    </w:rPr>
  </w:style>
  <w:style w:type="paragraph" w:customStyle="1" w:styleId="Tabletext">
    <w:name w:val="Table text"/>
    <w:qFormat/>
    <w:rsid w:val="00C7482A"/>
    <w:pPr>
      <w:spacing w:before="40" w:after="40"/>
      <w:jc w:val="center"/>
    </w:pPr>
    <w:rPr>
      <w:lang w:val="en-US" w:eastAsia="ja-JP"/>
    </w:rPr>
  </w:style>
  <w:style w:type="paragraph" w:customStyle="1" w:styleId="Tablecolumnheading">
    <w:name w:val="Table column heading"/>
    <w:qFormat/>
    <w:rsid w:val="00C7482A"/>
    <w:pPr>
      <w:spacing w:before="60" w:after="6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munise.health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5152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Kimberley</dc:creator>
  <cp:lastModifiedBy>APPLETON, Claire</cp:lastModifiedBy>
  <cp:revision>2</cp:revision>
  <dcterms:created xsi:type="dcterms:W3CDTF">2018-06-25T07:15:00Z</dcterms:created>
  <dcterms:modified xsi:type="dcterms:W3CDTF">2018-06-25T07:15:00Z</dcterms:modified>
</cp:coreProperties>
</file>