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s Gov and ATAGI header"/>
      </w:tblPr>
      <w:tblGrid>
        <w:gridCol w:w="3226"/>
        <w:gridCol w:w="6980"/>
      </w:tblGrid>
      <w:tr w:rsidR="004F3AA0" w14:paraId="44C418B3" w14:textId="77777777" w:rsidTr="00083432">
        <w:trPr>
          <w:trHeight w:val="1831"/>
          <w:tblHeader/>
        </w:trPr>
        <w:tc>
          <w:tcPr>
            <w:tcW w:w="3226" w:type="dxa"/>
            <w:shd w:val="clear" w:color="auto" w:fill="55259E"/>
            <w:vAlign w:val="center"/>
          </w:tcPr>
          <w:p w14:paraId="54D39D14" w14:textId="441829BE" w:rsidR="004F3AA0" w:rsidRPr="004F3AA0" w:rsidRDefault="004F3AA0" w:rsidP="004F3AA0">
            <w:r w:rsidRPr="004F3AA0">
              <w:rPr>
                <w:noProof/>
              </w:rPr>
              <w:drawing>
                <wp:anchor distT="0" distB="0" distL="114300" distR="114300" simplePos="0" relativeHeight="251658240" behindDoc="0" locked="0" layoutInCell="1" allowOverlap="1" wp14:anchorId="21C50B33" wp14:editId="6A89EFCA">
                  <wp:simplePos x="718185" y="544195"/>
                  <wp:positionH relativeFrom="margin">
                    <wp:align>center</wp:align>
                  </wp:positionH>
                  <wp:positionV relativeFrom="margin">
                    <wp:align>center</wp:align>
                  </wp:positionV>
                  <wp:extent cx="1477010" cy="979170"/>
                  <wp:effectExtent l="0" t="0" r="8890" b="0"/>
                  <wp:wrapNone/>
                  <wp:docPr id="1" name="Picture 1" title="Aus Gov -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_stacked_white.png"/>
                          <pic:cNvPicPr/>
                        </pic:nvPicPr>
                        <pic:blipFill>
                          <a:blip r:embed="rId9">
                            <a:extLst>
                              <a:ext uri="{28A0092B-C50C-407E-A947-70E740481C1C}">
                                <a14:useLocalDpi xmlns:a14="http://schemas.microsoft.com/office/drawing/2010/main" val="0"/>
                              </a:ext>
                            </a:extLst>
                          </a:blip>
                          <a:stretch>
                            <a:fillRect/>
                          </a:stretch>
                        </pic:blipFill>
                        <pic:spPr>
                          <a:xfrm>
                            <a:off x="0" y="0"/>
                            <a:ext cx="1477010" cy="979170"/>
                          </a:xfrm>
                          <a:prstGeom prst="rect">
                            <a:avLst/>
                          </a:prstGeom>
                        </pic:spPr>
                      </pic:pic>
                    </a:graphicData>
                  </a:graphic>
                  <wp14:sizeRelH relativeFrom="margin">
                    <wp14:pctWidth>0</wp14:pctWidth>
                  </wp14:sizeRelH>
                  <wp14:sizeRelV relativeFrom="margin">
                    <wp14:pctHeight>0</wp14:pctHeight>
                  </wp14:sizeRelV>
                </wp:anchor>
              </w:drawing>
            </w:r>
          </w:p>
        </w:tc>
        <w:tc>
          <w:tcPr>
            <w:tcW w:w="6980" w:type="dxa"/>
            <w:shd w:val="clear" w:color="auto" w:fill="55259E"/>
            <w:vAlign w:val="center"/>
          </w:tcPr>
          <w:p w14:paraId="31C0D79D" w14:textId="77777777" w:rsidR="004F3AA0" w:rsidRPr="003021C5" w:rsidRDefault="003021C5" w:rsidP="003021C5">
            <w:pPr>
              <w:ind w:right="175"/>
              <w:jc w:val="right"/>
              <w:rPr>
                <w:color w:val="FFFFFF" w:themeColor="background1"/>
                <w:sz w:val="28"/>
              </w:rPr>
            </w:pPr>
            <w:r w:rsidRPr="003021C5">
              <w:rPr>
                <w:color w:val="FFFFFF" w:themeColor="background1"/>
                <w:sz w:val="28"/>
              </w:rPr>
              <w:t>AUSTRALIAN TECHNICAL ADVISORY GROUP ON</w:t>
            </w:r>
          </w:p>
          <w:p w14:paraId="553DF3F0" w14:textId="29160181" w:rsidR="003021C5" w:rsidRPr="004F3AA0" w:rsidRDefault="003021C5" w:rsidP="003021C5">
            <w:pPr>
              <w:ind w:right="175"/>
              <w:jc w:val="right"/>
            </w:pPr>
            <w:r w:rsidRPr="003021C5">
              <w:rPr>
                <w:color w:val="FFFFFF" w:themeColor="background1"/>
                <w:sz w:val="28"/>
              </w:rPr>
              <w:t>IMMUNISATION (ATAGI) |</w:t>
            </w:r>
            <w:r w:rsidRPr="003021C5">
              <w:rPr>
                <w:b/>
                <w:color w:val="FFFFFF" w:themeColor="background1"/>
                <w:sz w:val="28"/>
              </w:rPr>
              <w:t xml:space="preserve"> CLINICAL ADVICE</w:t>
            </w:r>
          </w:p>
        </w:tc>
      </w:tr>
      <w:tr w:rsidR="004F3AA0" w14:paraId="203AFD90" w14:textId="77777777" w:rsidTr="003021C5">
        <w:tc>
          <w:tcPr>
            <w:tcW w:w="3226" w:type="dxa"/>
            <w:shd w:val="clear" w:color="auto" w:fill="55259E"/>
          </w:tcPr>
          <w:p w14:paraId="31F4750D" w14:textId="4E1C6B9D" w:rsidR="004F3AA0" w:rsidRPr="004F3AA0" w:rsidRDefault="004F3AA0" w:rsidP="004F3AA0"/>
        </w:tc>
        <w:tc>
          <w:tcPr>
            <w:tcW w:w="6980" w:type="dxa"/>
            <w:shd w:val="clear" w:color="auto" w:fill="55259E"/>
            <w:vAlign w:val="center"/>
          </w:tcPr>
          <w:p w14:paraId="0A3B4E64" w14:textId="38782111" w:rsidR="004F3AA0" w:rsidRPr="003021C5" w:rsidRDefault="003021C5" w:rsidP="003021C5">
            <w:pPr>
              <w:pStyle w:val="BodyText"/>
              <w:ind w:right="175"/>
              <w:jc w:val="right"/>
              <w:rPr>
                <w:b/>
                <w:color w:val="FFFFFF" w:themeColor="background1"/>
              </w:rPr>
            </w:pPr>
            <w:r w:rsidRPr="003021C5">
              <w:rPr>
                <w:b/>
                <w:color w:val="FFFFFF" w:themeColor="background1"/>
              </w:rPr>
              <w:t>Issue date: 18 December 2017</w:t>
            </w:r>
          </w:p>
        </w:tc>
      </w:tr>
      <w:tr w:rsidR="004F3AA0" w14:paraId="4F27D70B" w14:textId="77777777" w:rsidTr="003021C5">
        <w:trPr>
          <w:trHeight w:val="437"/>
        </w:trPr>
        <w:tc>
          <w:tcPr>
            <w:tcW w:w="3226" w:type="dxa"/>
            <w:shd w:val="clear" w:color="auto" w:fill="auto"/>
          </w:tcPr>
          <w:p w14:paraId="32288B2B" w14:textId="77777777" w:rsidR="004F3AA0" w:rsidRPr="004F3AA0" w:rsidRDefault="004F3AA0" w:rsidP="004F3AA0"/>
        </w:tc>
        <w:tc>
          <w:tcPr>
            <w:tcW w:w="6980" w:type="dxa"/>
            <w:shd w:val="clear" w:color="auto" w:fill="auto"/>
          </w:tcPr>
          <w:p w14:paraId="586FAC0A" w14:textId="77777777" w:rsidR="004F3AA0" w:rsidRPr="004F3AA0" w:rsidRDefault="004F3AA0" w:rsidP="004F3AA0"/>
        </w:tc>
      </w:tr>
    </w:tbl>
    <w:p w14:paraId="402FA38C" w14:textId="7D86017A" w:rsidR="005E0FAB" w:rsidRPr="00FF0F5E" w:rsidRDefault="00DD1480" w:rsidP="00FF0F5E">
      <w:pPr>
        <w:pStyle w:val="Heading1Black"/>
        <w:rPr>
          <w:sz w:val="30"/>
          <w:szCs w:val="30"/>
        </w:rPr>
      </w:pPr>
      <w:r w:rsidRPr="00FF0F5E">
        <w:rPr>
          <w:sz w:val="30"/>
          <w:szCs w:val="30"/>
        </w:rPr>
        <w:t xml:space="preserve">Introduction of </w:t>
      </w:r>
      <w:r w:rsidR="005E0FAB" w:rsidRPr="00FF0F5E">
        <w:rPr>
          <w:i/>
          <w:sz w:val="30"/>
          <w:szCs w:val="30"/>
        </w:rPr>
        <w:t>Gardasil</w:t>
      </w:r>
      <w:r w:rsidR="005E0FAB" w:rsidRPr="00FF0F5E">
        <w:rPr>
          <w:i/>
          <w:sz w:val="30"/>
          <w:szCs w:val="30"/>
          <w:vertAlign w:val="superscript"/>
        </w:rPr>
        <w:t>®</w:t>
      </w:r>
      <w:r w:rsidR="005E0FAB" w:rsidRPr="00FF0F5E">
        <w:rPr>
          <w:i/>
          <w:sz w:val="30"/>
          <w:szCs w:val="30"/>
        </w:rPr>
        <w:t>9</w:t>
      </w:r>
      <w:r w:rsidR="005E0FAB" w:rsidRPr="00FF0F5E">
        <w:rPr>
          <w:sz w:val="30"/>
          <w:szCs w:val="30"/>
        </w:rPr>
        <w:t xml:space="preserve"> </w:t>
      </w:r>
      <w:r w:rsidRPr="00FF0F5E">
        <w:rPr>
          <w:sz w:val="30"/>
          <w:szCs w:val="30"/>
        </w:rPr>
        <w:t xml:space="preserve">in a 2-dose schedule under the </w:t>
      </w:r>
      <w:r w:rsidR="005E0FAB" w:rsidRPr="00FF0F5E">
        <w:rPr>
          <w:sz w:val="30"/>
          <w:szCs w:val="30"/>
        </w:rPr>
        <w:t>school-based National Immunisation Program (NIP)</w:t>
      </w:r>
    </w:p>
    <w:p w14:paraId="448A9158" w14:textId="77777777" w:rsidR="005E0FAB" w:rsidRDefault="005E0FAB" w:rsidP="005E0FAB">
      <w:pPr>
        <w:pStyle w:val="Heading2"/>
        <w:rPr>
          <w:lang w:eastAsia="en-US"/>
        </w:rPr>
      </w:pPr>
      <w:r w:rsidRPr="007C56ED">
        <w:rPr>
          <w:lang w:eastAsia="en-US"/>
        </w:rPr>
        <w:t xml:space="preserve">Overview of the key changes to the NIP-funded school-based human papillomavirus (HPV) vaccination program </w:t>
      </w:r>
    </w:p>
    <w:p w14:paraId="347B3398" w14:textId="77777777" w:rsidR="005E0FAB" w:rsidRPr="007C56ED" w:rsidRDefault="005E0FAB" w:rsidP="005E0FAB">
      <w:pPr>
        <w:pStyle w:val="BulletedList"/>
        <w:rPr>
          <w:lang w:eastAsia="en-US"/>
        </w:rPr>
      </w:pPr>
      <w:r w:rsidRPr="007C56ED">
        <w:rPr>
          <w:lang w:eastAsia="en-US"/>
        </w:rPr>
        <w:t>From January 2018, individuals aged approximately 12 to 14 years will be offered the 9-valent HPV vaccine (</w:t>
      </w: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in a 2-dose schedule through school based programs.</w:t>
      </w:r>
    </w:p>
    <w:p w14:paraId="757715C6" w14:textId="77777777" w:rsidR="005E0FAB" w:rsidRPr="007C56ED" w:rsidRDefault="005E0FAB" w:rsidP="009F4C87">
      <w:pPr>
        <w:pStyle w:val="Sub-bullettedlist"/>
      </w:pPr>
      <w:r w:rsidRPr="007C56ED">
        <w:t>Gardasil</w:t>
      </w:r>
      <w:r w:rsidRPr="007C56ED">
        <w:rPr>
          <w:vertAlign w:val="superscript"/>
        </w:rPr>
        <w:t>®</w:t>
      </w:r>
      <w:r w:rsidRPr="007C56ED">
        <w:t>9 replaces the 4-valent HPV vaccine (Gardasil</w:t>
      </w:r>
      <w:r w:rsidRPr="007C56ED">
        <w:rPr>
          <w:vertAlign w:val="superscript"/>
        </w:rPr>
        <w:t>®</w:t>
      </w:r>
      <w:r w:rsidRPr="007C56ED">
        <w:t xml:space="preserve">), for which a 3-dose schedule has been used. </w:t>
      </w:r>
    </w:p>
    <w:p w14:paraId="748B38AC" w14:textId="77777777" w:rsidR="005E0FAB" w:rsidRPr="007C56ED" w:rsidRDefault="005E0FAB" w:rsidP="005E0FAB">
      <w:pPr>
        <w:pStyle w:val="BulletedList"/>
        <w:rPr>
          <w:lang w:eastAsia="en-US"/>
        </w:rPr>
      </w:pP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includes the HPV types covered by </w:t>
      </w:r>
      <w:r w:rsidRPr="007C56ED">
        <w:rPr>
          <w:i/>
          <w:lang w:eastAsia="en-US"/>
        </w:rPr>
        <w:t>Gardasil</w:t>
      </w:r>
      <w:r w:rsidRPr="007C56ED">
        <w:rPr>
          <w:i/>
          <w:vertAlign w:val="superscript"/>
          <w:lang w:eastAsia="en-US"/>
        </w:rPr>
        <w:t>®</w:t>
      </w:r>
      <w:r w:rsidRPr="007C56ED">
        <w:rPr>
          <w:lang w:eastAsia="en-US"/>
        </w:rPr>
        <w:t xml:space="preserve"> (6, 11, 16 and 18) plus an additional five oncogenic HPV types (31, 33, 45, 52 and 58).</w:t>
      </w:r>
      <w:bookmarkStart w:id="0" w:name="_GoBack"/>
      <w:bookmarkEnd w:id="0"/>
    </w:p>
    <w:p w14:paraId="1C0A2655" w14:textId="77777777" w:rsidR="005E0FAB" w:rsidRPr="007C56ED" w:rsidRDefault="005E0FAB" w:rsidP="009F4C87">
      <w:pPr>
        <w:pStyle w:val="Sub-bullettedlist"/>
        <w:rPr>
          <w:lang w:eastAsia="en-US"/>
        </w:rPr>
      </w:pPr>
      <w:r w:rsidRPr="007C56ED">
        <w:rPr>
          <w:lang w:eastAsia="en-US"/>
        </w:rPr>
        <w:t>Gardasil</w:t>
      </w:r>
      <w:r w:rsidRPr="007C56ED">
        <w:rPr>
          <w:vertAlign w:val="superscript"/>
          <w:lang w:eastAsia="en-US"/>
        </w:rPr>
        <w:t>®</w:t>
      </w:r>
      <w:r w:rsidRPr="007C56ED">
        <w:rPr>
          <w:lang w:eastAsia="en-US"/>
        </w:rPr>
        <w:t xml:space="preserve">9 therefore extends the protection against disease caused by HPV.  </w:t>
      </w:r>
    </w:p>
    <w:p w14:paraId="4C6D4A7E" w14:textId="77777777" w:rsidR="005E0FAB" w:rsidRPr="007C56ED" w:rsidRDefault="005E0FAB" w:rsidP="005E0FAB">
      <w:pPr>
        <w:pStyle w:val="BulletedList"/>
        <w:rPr>
          <w:lang w:eastAsia="en-US"/>
        </w:rPr>
      </w:pPr>
      <w:r w:rsidRPr="007C56ED">
        <w:rPr>
          <w:lang w:eastAsia="en-US"/>
        </w:rPr>
        <w:t xml:space="preserve">The two doses of </w:t>
      </w: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should be administered 6 to 12 months apart.</w:t>
      </w:r>
    </w:p>
    <w:p w14:paraId="17CFA5C8" w14:textId="77777777" w:rsidR="005E0FAB" w:rsidRPr="007C56ED" w:rsidRDefault="005E0FAB" w:rsidP="009F4C87">
      <w:pPr>
        <w:pStyle w:val="Sub-bullettedlist"/>
        <w:rPr>
          <w:lang w:eastAsia="en-US"/>
        </w:rPr>
      </w:pPr>
      <w:r w:rsidRPr="007C56ED">
        <w:rPr>
          <w:lang w:eastAsia="en-US"/>
        </w:rPr>
        <w:t xml:space="preserve">If the second dose </w:t>
      </w:r>
      <w:r w:rsidRPr="007C56ED">
        <w:t>is</w:t>
      </w:r>
      <w:r w:rsidRPr="007C56ED">
        <w:rPr>
          <w:lang w:eastAsia="en-US"/>
        </w:rPr>
        <w:t xml:space="preserve"> inadvertently received at less than 5 months after the first dose, a third dose is required.</w:t>
      </w:r>
    </w:p>
    <w:p w14:paraId="1417B39D" w14:textId="77777777" w:rsidR="005E0FAB" w:rsidRPr="007C56ED" w:rsidRDefault="005E0FAB" w:rsidP="005E0FAB">
      <w:pPr>
        <w:pStyle w:val="BulletedList"/>
        <w:rPr>
          <w:lang w:eastAsia="en-US"/>
        </w:rPr>
      </w:pPr>
      <w:r w:rsidRPr="007C56ED">
        <w:rPr>
          <w:bCs/>
          <w:lang w:eastAsia="en-US"/>
        </w:rPr>
        <w:t xml:space="preserve">Immunocompromised individuals (with select major medical conditions) require three doses of </w:t>
      </w:r>
      <w:r w:rsidRPr="007C56ED">
        <w:rPr>
          <w:i/>
          <w:lang w:eastAsia="en-US"/>
        </w:rPr>
        <w:t>Gardasil</w:t>
      </w:r>
      <w:r w:rsidRPr="007C56ED">
        <w:rPr>
          <w:i/>
          <w:vertAlign w:val="superscript"/>
          <w:lang w:eastAsia="en-US"/>
        </w:rPr>
        <w:t>®</w:t>
      </w:r>
      <w:r w:rsidRPr="007C56ED">
        <w:rPr>
          <w:i/>
          <w:lang w:eastAsia="en-US"/>
        </w:rPr>
        <w:t>9</w:t>
      </w:r>
      <w:r w:rsidRPr="007C56ED">
        <w:rPr>
          <w:bCs/>
          <w:lang w:eastAsia="en-US"/>
        </w:rPr>
        <w:t xml:space="preserve"> to attain adequate protection</w:t>
      </w:r>
      <w:r>
        <w:rPr>
          <w:bCs/>
          <w:lang w:eastAsia="en-US"/>
        </w:rPr>
        <w:t>.</w:t>
      </w:r>
    </w:p>
    <w:p w14:paraId="6C524C39" w14:textId="77777777" w:rsidR="005E0FAB" w:rsidRPr="007C56ED" w:rsidRDefault="005E0FAB" w:rsidP="009F4C87">
      <w:pPr>
        <w:pStyle w:val="Sub-bullettedlist"/>
        <w:rPr>
          <w:lang w:eastAsia="en-US"/>
        </w:rPr>
      </w:pPr>
      <w:r>
        <w:rPr>
          <w:lang w:eastAsia="en-US"/>
        </w:rPr>
        <w:t>I</w:t>
      </w:r>
      <w:r w:rsidRPr="007C56ED">
        <w:rPr>
          <w:lang w:eastAsia="en-US"/>
        </w:rPr>
        <w:t>mmunocompromised individuals aged approximately 12 to 14 years are able to receive 3 doses of the vaccine through the NIP, which should be administered at 0, 2 and 6 months.</w:t>
      </w:r>
    </w:p>
    <w:p w14:paraId="2C431DC5" w14:textId="77777777" w:rsidR="005E0FAB" w:rsidRDefault="005E0FAB" w:rsidP="009F4C87">
      <w:pPr>
        <w:pStyle w:val="Sub-bullettedlist"/>
        <w:rPr>
          <w:lang w:eastAsia="en-US"/>
        </w:rPr>
      </w:pPr>
      <w:r w:rsidRPr="007C56ED">
        <w:rPr>
          <w:lang w:eastAsia="en-US"/>
        </w:rPr>
        <w:t xml:space="preserve">Given scheduling of school programs, immunocompromised individuals may require referral to their treating GP or </w:t>
      </w:r>
      <w:r w:rsidRPr="007C56ED">
        <w:t>primary</w:t>
      </w:r>
      <w:r w:rsidRPr="007C56ED">
        <w:rPr>
          <w:lang w:eastAsia="en-US"/>
        </w:rPr>
        <w:t xml:space="preserve"> care provider to ensure the completion of all 3 doses of Gardasil</w:t>
      </w:r>
      <w:r w:rsidRPr="007C56ED">
        <w:rPr>
          <w:vertAlign w:val="superscript"/>
          <w:lang w:eastAsia="en-US"/>
        </w:rPr>
        <w:t>®</w:t>
      </w:r>
      <w:r w:rsidRPr="007C56ED">
        <w:rPr>
          <w:lang w:eastAsia="en-US"/>
        </w:rPr>
        <w:t>9 vaccination.</w:t>
      </w:r>
    </w:p>
    <w:p w14:paraId="4A6AC48D" w14:textId="0DA2340C" w:rsidR="005E0FAB" w:rsidRDefault="005E0FAB" w:rsidP="005E0FAB">
      <w:pPr>
        <w:pStyle w:val="Heading2"/>
        <w:rPr>
          <w:lang w:eastAsia="en-US"/>
        </w:rPr>
      </w:pPr>
      <w:r w:rsidRPr="007C56ED">
        <w:t xml:space="preserve">ATAGI recommendations for use of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9</w:t>
      </w:r>
      <w:r w:rsidRPr="007C56ED">
        <w:rPr>
          <w:rFonts w:eastAsiaTheme="minorHAnsi"/>
          <w:lang w:eastAsia="en-US"/>
        </w:rPr>
        <w:t xml:space="preserve"> in </w:t>
      </w:r>
      <w:r w:rsidRPr="007C56ED">
        <w:rPr>
          <w:lang w:eastAsia="en-US"/>
        </w:rPr>
        <w:t>NIP</w:t>
      </w:r>
      <w:r w:rsidR="00E228B6">
        <w:rPr>
          <w:lang w:eastAsia="en-US"/>
        </w:rPr>
        <w:t>-</w:t>
      </w:r>
      <w:r w:rsidRPr="007C56ED">
        <w:rPr>
          <w:lang w:eastAsia="en-US"/>
        </w:rPr>
        <w:t>school based vaccination programs</w:t>
      </w:r>
    </w:p>
    <w:p w14:paraId="2BF0C39D" w14:textId="77777777" w:rsidR="005E0FAB" w:rsidRPr="007C56ED" w:rsidRDefault="005E0FAB" w:rsidP="005E0FAB">
      <w:pPr>
        <w:pStyle w:val="Heading3"/>
      </w:pPr>
      <w:r w:rsidRPr="007C56ED">
        <w:t>Background</w:t>
      </w:r>
    </w:p>
    <w:p w14:paraId="4E8D21FF" w14:textId="77777777" w:rsidR="005E0FAB" w:rsidRPr="007C56ED" w:rsidRDefault="005E0FAB" w:rsidP="005E0FAB">
      <w:pPr>
        <w:pStyle w:val="BodyText"/>
        <w:rPr>
          <w:rFonts w:eastAsiaTheme="minorHAnsi"/>
          <w:lang w:eastAsia="en-US"/>
        </w:rPr>
      </w:pPr>
      <w:r w:rsidRPr="007C56ED">
        <w:rPr>
          <w:rFonts w:eastAsiaTheme="minorHAnsi"/>
          <w:lang w:eastAsia="en-US"/>
        </w:rPr>
        <w:t xml:space="preserve">The National HPV Vaccination Program, which commenced in 2007, has been credited with dramatically reducing the incidence of the HPV infection and disease in Australia. From 2007 to the end of 2015, there has been a more than 90 per cent reduction in genital warts among Australian-born women and heterosexual men aged 21 years or younger attending sexual health clinics.  In 2015, the proportion of people diagnosed with genital warts in both these groups was less than 1 per cent. </w:t>
      </w:r>
    </w:p>
    <w:p w14:paraId="0CC503AE" w14:textId="4B3F0C96" w:rsidR="005E0FAB" w:rsidRPr="007C56ED" w:rsidRDefault="005E0FAB" w:rsidP="005E0FAB">
      <w:pPr>
        <w:pStyle w:val="BodyText"/>
        <w:rPr>
          <w:rFonts w:eastAsiaTheme="minorHAnsi"/>
          <w:lang w:eastAsia="en-US"/>
        </w:rPr>
      </w:pPr>
      <w:r w:rsidRPr="007C56ED">
        <w:rPr>
          <w:rFonts w:eastAsiaTheme="minorHAnsi"/>
          <w:lang w:eastAsia="en-US"/>
        </w:rPr>
        <w:t>High grade cervical abnormalities have also declined, with detection rates declining between 2006 and 2014 by 62 per cent in women aged 20 years or younger, and 35 per cent in women aged 20–24 years.</w:t>
      </w:r>
    </w:p>
    <w:p w14:paraId="6FA464D3" w14:textId="77777777" w:rsidR="005E0FAB" w:rsidRPr="007C56ED" w:rsidRDefault="005E0FAB" w:rsidP="005E0FAB">
      <w:pPr>
        <w:pStyle w:val="BodyText"/>
      </w:pPr>
      <w:r w:rsidRPr="00963935">
        <w:rPr>
          <w:rFonts w:eastAsiaTheme="minorHAnsi"/>
          <w:i/>
          <w:lang w:eastAsia="en-US"/>
        </w:rPr>
        <w:lastRenderedPageBreak/>
        <w:t>Gardasil</w:t>
      </w:r>
      <w:r w:rsidRPr="00963935">
        <w:rPr>
          <w:rFonts w:eastAsiaTheme="minorHAnsi"/>
          <w:i/>
          <w:vertAlign w:val="superscript"/>
          <w:lang w:eastAsia="en-US"/>
        </w:rPr>
        <w:t>®</w:t>
      </w:r>
      <w:r w:rsidRPr="00963935">
        <w:rPr>
          <w:rFonts w:eastAsiaTheme="minorHAnsi"/>
          <w:i/>
          <w:lang w:eastAsia="en-US"/>
        </w:rPr>
        <w:t>9</w:t>
      </w:r>
      <w:r w:rsidRPr="007C56ED">
        <w:rPr>
          <w:rFonts w:eastAsiaTheme="minorHAnsi"/>
          <w:lang w:eastAsia="en-US"/>
        </w:rPr>
        <w:t xml:space="preserve"> has been registered in Australia for use in a two dose schedule since 11 July 2017.  Two doses of </w:t>
      </w:r>
      <w:r w:rsidRPr="00963935">
        <w:rPr>
          <w:rFonts w:eastAsiaTheme="minorHAnsi"/>
          <w:i/>
          <w:lang w:eastAsia="en-US"/>
        </w:rPr>
        <w:t>Gardasil</w:t>
      </w:r>
      <w:r w:rsidRPr="00963935">
        <w:rPr>
          <w:rFonts w:eastAsiaTheme="minorHAnsi"/>
          <w:i/>
          <w:vertAlign w:val="superscript"/>
          <w:lang w:eastAsia="en-US"/>
        </w:rPr>
        <w:t>®</w:t>
      </w:r>
      <w:r w:rsidRPr="007C56ED">
        <w:rPr>
          <w:rFonts w:eastAsiaTheme="minorHAnsi"/>
          <w:lang w:eastAsia="en-US"/>
        </w:rPr>
        <w:t xml:space="preserve">9 spaced at </w:t>
      </w:r>
      <w:r w:rsidRPr="007C56ED">
        <w:t>least six months apart have been proven to have equivalent immunogenicity and clinical protection in individuals aged 9–14 years</w:t>
      </w:r>
      <w:r w:rsidRPr="007C56ED" w:rsidDel="0024615B">
        <w:t xml:space="preserve"> </w:t>
      </w:r>
      <w:r w:rsidRPr="007C56ED">
        <w:t xml:space="preserve">compared to a 3-dose schedule. </w:t>
      </w:r>
    </w:p>
    <w:p w14:paraId="38BB2FF7" w14:textId="77777777" w:rsidR="005E0FAB" w:rsidRPr="007C56ED" w:rsidRDefault="005E0FAB" w:rsidP="005E0FAB">
      <w:pPr>
        <w:pStyle w:val="BodyText"/>
        <w:rPr>
          <w:rFonts w:eastAsiaTheme="minorHAnsi"/>
          <w:lang w:eastAsia="en-US"/>
        </w:rPr>
      </w:pPr>
      <w:r w:rsidRPr="00963935">
        <w:rPr>
          <w:rFonts w:eastAsiaTheme="minorHAnsi"/>
          <w:i/>
          <w:lang w:eastAsia="en-US"/>
        </w:rPr>
        <w:t>Gardasil</w:t>
      </w:r>
      <w:r w:rsidRPr="00963935">
        <w:rPr>
          <w:rFonts w:eastAsiaTheme="minorHAnsi"/>
          <w:i/>
          <w:vertAlign w:val="superscript"/>
          <w:lang w:eastAsia="en-US"/>
        </w:rPr>
        <w:t>®</w:t>
      </w:r>
      <w:r w:rsidRPr="00963935">
        <w:rPr>
          <w:rFonts w:eastAsiaTheme="minorHAnsi"/>
          <w:i/>
          <w:lang w:eastAsia="en-US"/>
        </w:rPr>
        <w:t>9</w:t>
      </w:r>
      <w:r w:rsidRPr="007C56ED">
        <w:rPr>
          <w:rFonts w:eastAsiaTheme="minorHAnsi"/>
          <w:lang w:eastAsia="en-US"/>
        </w:rPr>
        <w:t xml:space="preserve"> </w:t>
      </w:r>
      <w:r w:rsidRPr="007C56ED">
        <w:t xml:space="preserve">will continue to provide similar protection to </w:t>
      </w:r>
      <w:r w:rsidRPr="00963935">
        <w:rPr>
          <w:rFonts w:eastAsiaTheme="minorHAnsi"/>
          <w:i/>
          <w:lang w:eastAsia="en-US"/>
        </w:rPr>
        <w:t>Gardasil</w:t>
      </w:r>
      <w:r w:rsidRPr="00963935">
        <w:rPr>
          <w:rFonts w:eastAsiaTheme="minorHAnsi"/>
          <w:i/>
          <w:vertAlign w:val="superscript"/>
          <w:lang w:eastAsia="en-US"/>
        </w:rPr>
        <w:t>®</w:t>
      </w:r>
      <w:r w:rsidRPr="007C56ED">
        <w:t xml:space="preserve"> against infection and associated disease caused by HPV types 6, 11, 16 and 18, and will further protect against five oncogenic HPV types unique to </w:t>
      </w:r>
      <w:r w:rsidRPr="00963935">
        <w:rPr>
          <w:rFonts w:eastAsiaTheme="minorHAnsi"/>
          <w:i/>
          <w:lang w:eastAsia="en-US"/>
        </w:rPr>
        <w:t>Gardasil</w:t>
      </w:r>
      <w:r w:rsidRPr="00963935">
        <w:rPr>
          <w:rFonts w:eastAsiaTheme="minorHAnsi"/>
          <w:i/>
          <w:vertAlign w:val="superscript"/>
          <w:lang w:eastAsia="en-US"/>
        </w:rPr>
        <w:t>®</w:t>
      </w:r>
      <w:r w:rsidRPr="00963935">
        <w:rPr>
          <w:rFonts w:eastAsiaTheme="minorHAnsi"/>
          <w:i/>
          <w:lang w:eastAsia="en-US"/>
        </w:rPr>
        <w:t>9</w:t>
      </w:r>
      <w:r w:rsidRPr="007C56ED">
        <w:rPr>
          <w:rFonts w:eastAsiaTheme="minorHAnsi"/>
          <w:lang w:eastAsia="en-US"/>
        </w:rPr>
        <w:t xml:space="preserve"> </w:t>
      </w:r>
      <w:r w:rsidRPr="007C56ED">
        <w:t>(HPV types 31, 33, 45, 52 and 58).</w:t>
      </w:r>
    </w:p>
    <w:p w14:paraId="307C856E" w14:textId="77777777" w:rsidR="005E0FAB" w:rsidRPr="007C56ED" w:rsidRDefault="005E0FAB" w:rsidP="005E0FAB">
      <w:pPr>
        <w:pStyle w:val="BodyText"/>
        <w:rPr>
          <w:rFonts w:eastAsiaTheme="minorHAnsi"/>
          <w:lang w:eastAsia="en-US"/>
        </w:rPr>
      </w:pPr>
      <w:r w:rsidRPr="007C56ED">
        <w:t>Among Australian women, these five HPV types cause an additional 15% of all cervical cancers, above those due to HPV 16 and 18. Moving to a HPV vaccine that covers extra oncogenic HPV types in a schedule with one less dose is anticipated to improve HPV vaccination coverage and disease prevention.</w:t>
      </w:r>
    </w:p>
    <w:p w14:paraId="5BBC2282" w14:textId="4F4222D9" w:rsidR="00F15390" w:rsidRDefault="005E0FAB" w:rsidP="005E0FAB">
      <w:pPr>
        <w:pStyle w:val="BodyText"/>
        <w:rPr>
          <w:rFonts w:eastAsiaTheme="minorHAnsi"/>
          <w:lang w:eastAsia="en-US"/>
        </w:rPr>
      </w:pPr>
      <w:r w:rsidRPr="007C56ED">
        <w:rPr>
          <w:rFonts w:eastAsiaTheme="minorHAnsi"/>
          <w:lang w:eastAsia="en-US"/>
        </w:rPr>
        <w:t xml:space="preserve">The following evidence-based clinical guidance is to assist NIP school based programs in the move from </w:t>
      </w:r>
      <w:r w:rsidRPr="00963935">
        <w:rPr>
          <w:rFonts w:eastAsiaTheme="minorHAnsi"/>
          <w:i/>
          <w:lang w:eastAsia="en-US"/>
        </w:rPr>
        <w:t>Gardasil</w:t>
      </w:r>
      <w:r w:rsidRPr="00963935">
        <w:rPr>
          <w:rFonts w:eastAsiaTheme="minorHAnsi"/>
          <w:i/>
          <w:vertAlign w:val="superscript"/>
          <w:lang w:eastAsia="en-US"/>
        </w:rPr>
        <w:t>®</w:t>
      </w:r>
      <w:r w:rsidRPr="007C56ED">
        <w:rPr>
          <w:rFonts w:eastAsiaTheme="minorHAnsi"/>
          <w:lang w:eastAsia="en-US"/>
        </w:rPr>
        <w:t xml:space="preserve"> to </w:t>
      </w:r>
      <w:r w:rsidRPr="00963935">
        <w:rPr>
          <w:rFonts w:eastAsiaTheme="minorHAnsi"/>
          <w:i/>
          <w:lang w:eastAsia="en-US"/>
        </w:rPr>
        <w:t>Gardasil</w:t>
      </w:r>
      <w:r w:rsidRPr="00963935">
        <w:rPr>
          <w:rFonts w:eastAsiaTheme="minorHAnsi"/>
          <w:i/>
          <w:vertAlign w:val="superscript"/>
          <w:lang w:eastAsia="en-US"/>
        </w:rPr>
        <w:t>®</w:t>
      </w:r>
      <w:r w:rsidRPr="00963935">
        <w:rPr>
          <w:rFonts w:eastAsiaTheme="minorHAnsi"/>
          <w:i/>
          <w:lang w:eastAsia="en-US"/>
        </w:rPr>
        <w:t>9</w:t>
      </w:r>
      <w:r w:rsidRPr="007C56ED">
        <w:rPr>
          <w:rFonts w:eastAsiaTheme="minorHAnsi"/>
          <w:lang w:eastAsia="en-US"/>
        </w:rPr>
        <w:t xml:space="preserve">. </w:t>
      </w:r>
      <w:r>
        <w:rPr>
          <w:rFonts w:eastAsiaTheme="minorHAnsi"/>
          <w:lang w:eastAsia="en-US"/>
        </w:rPr>
        <w:t xml:space="preserve">A separate document will become available prior to the commencement of the </w:t>
      </w:r>
      <w:r w:rsidRPr="007C56ED">
        <w:rPr>
          <w:rFonts w:eastAsiaTheme="minorHAnsi"/>
          <w:lang w:eastAsia="en-US"/>
        </w:rPr>
        <w:t>NIP school based programs</w:t>
      </w:r>
      <w:r>
        <w:rPr>
          <w:rFonts w:eastAsiaTheme="minorHAnsi"/>
          <w:lang w:eastAsia="en-US"/>
        </w:rPr>
        <w:t xml:space="preserve"> and </w:t>
      </w:r>
      <w:r w:rsidRPr="007C56ED">
        <w:rPr>
          <w:rFonts w:eastAsiaTheme="minorHAnsi"/>
          <w:lang w:eastAsia="en-US"/>
        </w:rPr>
        <w:t>will</w:t>
      </w:r>
      <w:r>
        <w:rPr>
          <w:rFonts w:eastAsiaTheme="minorHAnsi"/>
          <w:lang w:eastAsia="en-US"/>
        </w:rPr>
        <w:t xml:space="preserve"> provide </w:t>
      </w:r>
      <w:r w:rsidRPr="007C56ED">
        <w:rPr>
          <w:rFonts w:eastAsiaTheme="minorHAnsi"/>
          <w:lang w:eastAsia="en-US"/>
        </w:rPr>
        <w:t>further guidance for immunisation providers on additional scenarios relating to HPV vaccination.</w:t>
      </w:r>
    </w:p>
    <w:p w14:paraId="2149D956" w14:textId="77777777" w:rsidR="005E0FAB" w:rsidRPr="007C56ED" w:rsidRDefault="005E0FAB" w:rsidP="005E0FAB">
      <w:pPr>
        <w:pStyle w:val="Heading3"/>
        <w:rPr>
          <w:lang w:eastAsia="en-US"/>
        </w:rPr>
      </w:pPr>
      <w:r w:rsidRPr="007C56ED">
        <w:rPr>
          <w:lang w:eastAsia="en-US"/>
        </w:rPr>
        <w:t>General Recommendations</w:t>
      </w:r>
    </w:p>
    <w:p w14:paraId="2923796E" w14:textId="77777777" w:rsidR="005E0FAB" w:rsidRPr="007C56ED" w:rsidRDefault="005E0FAB" w:rsidP="005E0FAB">
      <w:pPr>
        <w:pStyle w:val="BulletedList"/>
        <w:rPr>
          <w:bCs/>
        </w:rPr>
      </w:pPr>
      <w:r w:rsidRPr="007C56ED">
        <w:rPr>
          <w:bCs/>
        </w:rPr>
        <w:t xml:space="preserve">Vaccination providers administering </w:t>
      </w: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through school based programs to young individuals aged 12 to 14 years should ensure an interval of 6 to 12 months between the two doses.</w:t>
      </w:r>
    </w:p>
    <w:p w14:paraId="50F64BD9" w14:textId="77777777" w:rsidR="005E0FAB" w:rsidRPr="007C56ED" w:rsidRDefault="005E0FAB" w:rsidP="009F4C87">
      <w:pPr>
        <w:pStyle w:val="Sub-bullettedlist"/>
        <w:rPr>
          <w:rFonts w:eastAsiaTheme="minorHAnsi"/>
          <w:lang w:eastAsia="en-US"/>
        </w:rPr>
      </w:pPr>
      <w:r w:rsidRPr="007C56ED">
        <w:t xml:space="preserve">While there is no upper time interval or age (although not exceeding the maximum age registered for use of </w:t>
      </w:r>
      <w:r w:rsidRPr="007C56ED">
        <w:rPr>
          <w:rFonts w:eastAsiaTheme="minorHAnsi"/>
          <w:lang w:eastAsia="en-US"/>
        </w:rPr>
        <w:t>Gardasil</w:t>
      </w:r>
      <w:r w:rsidRPr="007C56ED">
        <w:rPr>
          <w:rFonts w:eastAsiaTheme="minorHAnsi"/>
          <w:vertAlign w:val="superscript"/>
          <w:lang w:eastAsia="en-US"/>
        </w:rPr>
        <w:t>®</w:t>
      </w:r>
      <w:r w:rsidRPr="007C56ED">
        <w:rPr>
          <w:rFonts w:eastAsiaTheme="minorHAnsi"/>
          <w:lang w:eastAsia="en-US"/>
        </w:rPr>
        <w:t>9</w:t>
      </w:r>
      <w:r w:rsidRPr="007C56ED">
        <w:t>) for administration of their second dose for those individuals who receive their first dose before turning 15 years, it is important to ensure timely completion of the schedule, and preferably before sexual debut, to maximise protection.</w:t>
      </w:r>
    </w:p>
    <w:p w14:paraId="13C8AA56" w14:textId="77777777" w:rsidR="005E0FAB" w:rsidRPr="007C56ED" w:rsidRDefault="005E0FAB" w:rsidP="009F4C87">
      <w:pPr>
        <w:pStyle w:val="Sub-bullettedlist"/>
        <w:rPr>
          <w:lang w:eastAsia="en-US"/>
        </w:rPr>
      </w:pPr>
      <w:r w:rsidRPr="007C56ED">
        <w:rPr>
          <w:lang w:eastAsia="en-US"/>
        </w:rPr>
        <w:t>If the second dose is inadvertently received at &lt;6 months but ≥5 months after the first dose, a third dose is not required, as clinical trial data support this interval still being sufficiently immunogenic. However, if the second dose is received less than 5 months after the first dose, a third dose is required</w:t>
      </w:r>
      <w:r>
        <w:rPr>
          <w:lang w:eastAsia="en-US"/>
        </w:rPr>
        <w:t>, to be given</w:t>
      </w:r>
      <w:r w:rsidRPr="007C56ED">
        <w:rPr>
          <w:lang w:eastAsia="en-US"/>
        </w:rPr>
        <w:t xml:space="preserve"> at least 12 weeks after the second dose</w:t>
      </w:r>
      <w:r>
        <w:rPr>
          <w:lang w:eastAsia="en-US"/>
        </w:rPr>
        <w:t xml:space="preserve"> and at least 5 months after the first dose, whichever is later</w:t>
      </w:r>
      <w:r w:rsidRPr="007C56ED">
        <w:rPr>
          <w:lang w:eastAsia="en-US"/>
        </w:rPr>
        <w:t xml:space="preserve">. </w:t>
      </w:r>
    </w:p>
    <w:p w14:paraId="143B6B4E" w14:textId="77777777" w:rsidR="005E0FAB" w:rsidRPr="007C56ED" w:rsidRDefault="005E0FAB" w:rsidP="005E0FAB">
      <w:pPr>
        <w:pStyle w:val="BulletedList"/>
      </w:pPr>
      <w:r w:rsidRPr="007C56ED">
        <w:t xml:space="preserve">Select immunocompromised individuals require three doses of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9</w:t>
      </w:r>
      <w:r w:rsidRPr="007C56ED">
        <w:rPr>
          <w:rFonts w:eastAsiaTheme="minorHAnsi"/>
          <w:lang w:eastAsia="en-US"/>
        </w:rPr>
        <w:t xml:space="preserve">, delivered at </w:t>
      </w:r>
      <w:r w:rsidRPr="007C56ED">
        <w:t>0, 2, and 6 months.</w:t>
      </w:r>
    </w:p>
    <w:p w14:paraId="46903C71" w14:textId="77777777" w:rsidR="005E0FAB" w:rsidRPr="007C56ED" w:rsidRDefault="005E0FAB" w:rsidP="009F4C87">
      <w:pPr>
        <w:pStyle w:val="Sub-bullettedlist"/>
      </w:pPr>
      <w:r w:rsidRPr="007C56ED">
        <w:t>Includes individuals with the following major medical conditions: primary or secondary immunodeficiencies (B lymphocyte antibody and T lymphocyte complete or partial deficiencies); HIV infection; malignancy; organ transplantation; or significant immunosuppressive therapy (excluding asplenia or hyposplenia)</w:t>
      </w:r>
      <w:r w:rsidRPr="009F4C87">
        <w:footnoteReference w:id="1"/>
      </w:r>
      <w:r w:rsidRPr="007C56ED">
        <w:t>.</w:t>
      </w:r>
    </w:p>
    <w:p w14:paraId="266BA23B" w14:textId="77777777" w:rsidR="005E0FAB" w:rsidRPr="007C56ED" w:rsidRDefault="005E0FAB" w:rsidP="009F4C87">
      <w:pPr>
        <w:pStyle w:val="Sub-bullettedlist"/>
      </w:pPr>
      <w:r w:rsidRPr="007C56ED">
        <w:t>Given the service model of school based programs, please consider referral of these immunocompromised individuals to their General Practitioner or primary care provider to ensure they receive vaccines as recommended.</w:t>
      </w:r>
    </w:p>
    <w:p w14:paraId="0A3B697C" w14:textId="77777777" w:rsidR="005E0FAB" w:rsidRPr="007C56ED" w:rsidRDefault="005E0FAB" w:rsidP="00FD3DB6">
      <w:pPr>
        <w:pStyle w:val="BulletedList"/>
        <w:rPr>
          <w:bCs/>
        </w:rPr>
      </w:pP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can be safely and effectively used to complete a schedule started with </w:t>
      </w:r>
      <w:r w:rsidRPr="007C56ED">
        <w:rPr>
          <w:i/>
          <w:lang w:eastAsia="en-US"/>
        </w:rPr>
        <w:t>Gardasil</w:t>
      </w:r>
      <w:r w:rsidRPr="007C56ED">
        <w:rPr>
          <w:i/>
          <w:vertAlign w:val="superscript"/>
          <w:lang w:eastAsia="en-US"/>
        </w:rPr>
        <w:t>®</w:t>
      </w:r>
      <w:r w:rsidRPr="007C56ED">
        <w:rPr>
          <w:lang w:eastAsia="en-US"/>
        </w:rPr>
        <w:t xml:space="preserve"> or </w:t>
      </w:r>
      <w:r w:rsidRPr="007C56ED">
        <w:rPr>
          <w:i/>
          <w:lang w:eastAsia="en-US"/>
        </w:rPr>
        <w:t>Cervarix</w:t>
      </w:r>
      <w:r w:rsidRPr="007C56ED">
        <w:rPr>
          <w:i/>
          <w:vertAlign w:val="superscript"/>
          <w:lang w:eastAsia="en-US"/>
        </w:rPr>
        <w:t>®</w:t>
      </w:r>
      <w:r w:rsidRPr="007C56ED">
        <w:rPr>
          <w:lang w:eastAsia="en-US"/>
        </w:rPr>
        <w:t xml:space="preserve"> (the 2 valent HPV vaccine).</w:t>
      </w:r>
    </w:p>
    <w:p w14:paraId="244A686E" w14:textId="77777777" w:rsidR="005E0FAB" w:rsidRPr="007C56ED" w:rsidRDefault="005E0FAB" w:rsidP="009F4C87">
      <w:pPr>
        <w:pStyle w:val="Sub-bullettedlist"/>
      </w:pPr>
      <w:r w:rsidRPr="007C56ED">
        <w:t xml:space="preserve">Individuals who commenced a </w:t>
      </w:r>
      <w:r w:rsidRPr="007C56ED">
        <w:rPr>
          <w:rFonts w:eastAsiaTheme="minorHAnsi"/>
          <w:lang w:eastAsia="en-US"/>
        </w:rPr>
        <w:t>Gardasil</w:t>
      </w:r>
      <w:r w:rsidRPr="007C56ED">
        <w:rPr>
          <w:rFonts w:eastAsiaTheme="minorHAnsi"/>
          <w:vertAlign w:val="superscript"/>
          <w:lang w:eastAsia="en-US"/>
        </w:rPr>
        <w:t>®</w:t>
      </w:r>
      <w:r w:rsidRPr="007C56ED">
        <w:rPr>
          <w:rFonts w:eastAsiaTheme="minorHAnsi"/>
          <w:lang w:eastAsia="en-US"/>
        </w:rPr>
        <w:t xml:space="preserve"> </w:t>
      </w:r>
      <w:r w:rsidRPr="007C56ED">
        <w:t xml:space="preserve">schedule and complete it with </w:t>
      </w:r>
      <w:r w:rsidRPr="007C56ED">
        <w:rPr>
          <w:rFonts w:eastAsiaTheme="minorHAnsi"/>
          <w:lang w:eastAsia="en-US"/>
        </w:rPr>
        <w:t>Gardasil</w:t>
      </w:r>
      <w:r w:rsidRPr="007C56ED">
        <w:rPr>
          <w:rFonts w:eastAsiaTheme="minorHAnsi"/>
          <w:vertAlign w:val="superscript"/>
          <w:lang w:eastAsia="en-US"/>
        </w:rPr>
        <w:t>®</w:t>
      </w:r>
      <w:r w:rsidRPr="007C56ED">
        <w:rPr>
          <w:rFonts w:eastAsiaTheme="minorHAnsi"/>
          <w:lang w:eastAsia="en-US"/>
        </w:rPr>
        <w:t xml:space="preserve">9 </w:t>
      </w:r>
      <w:r w:rsidRPr="007C56ED">
        <w:t xml:space="preserve">will be adequately protected against the 4 HPV types covered by </w:t>
      </w:r>
      <w:r w:rsidRPr="007C56ED">
        <w:rPr>
          <w:rFonts w:eastAsiaTheme="minorHAnsi"/>
          <w:lang w:eastAsia="en-US"/>
        </w:rPr>
        <w:t>Gardasil</w:t>
      </w:r>
      <w:r w:rsidRPr="007C56ED">
        <w:rPr>
          <w:rFonts w:eastAsiaTheme="minorHAnsi"/>
          <w:vertAlign w:val="superscript"/>
          <w:lang w:eastAsia="en-US"/>
        </w:rPr>
        <w:t>®</w:t>
      </w:r>
      <w:r w:rsidRPr="007C56ED">
        <w:rPr>
          <w:rFonts w:eastAsiaTheme="minorHAnsi"/>
          <w:lang w:eastAsia="en-US"/>
        </w:rPr>
        <w:t>.</w:t>
      </w:r>
    </w:p>
    <w:p w14:paraId="55950825" w14:textId="77777777" w:rsidR="005E0FAB" w:rsidRPr="007C56ED" w:rsidRDefault="005E0FAB" w:rsidP="00FD3DB6">
      <w:pPr>
        <w:pStyle w:val="BulletedList"/>
      </w:pPr>
      <w:r w:rsidRPr="007C56ED">
        <w:t xml:space="preserve">Re-vaccination with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9</w:t>
      </w:r>
      <w:r w:rsidRPr="007C56ED">
        <w:rPr>
          <w:rFonts w:eastAsiaTheme="minorHAnsi"/>
          <w:lang w:eastAsia="en-US"/>
        </w:rPr>
        <w:t xml:space="preserve"> is not </w:t>
      </w:r>
      <w:r w:rsidRPr="007C56ED">
        <w:t xml:space="preserve">routinely recommended for individuals who have already completed a full schedule with either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lang w:eastAsia="en-US"/>
        </w:rPr>
        <w:t xml:space="preserve"> or </w:t>
      </w:r>
      <w:r w:rsidRPr="007C56ED">
        <w:rPr>
          <w:rFonts w:eastAsiaTheme="minorHAnsi"/>
          <w:i/>
          <w:lang w:eastAsia="en-US"/>
        </w:rPr>
        <w:t>Cervarix</w:t>
      </w:r>
      <w:r w:rsidRPr="007C56ED">
        <w:rPr>
          <w:rFonts w:eastAsiaTheme="minorHAnsi"/>
          <w:i/>
          <w:vertAlign w:val="superscript"/>
          <w:lang w:eastAsia="en-US"/>
        </w:rPr>
        <w:t>®</w:t>
      </w:r>
      <w:r w:rsidRPr="007C56ED">
        <w:rPr>
          <w:rFonts w:eastAsiaTheme="minorHAnsi"/>
          <w:lang w:eastAsia="en-US"/>
        </w:rPr>
        <w:t xml:space="preserve"> </w:t>
      </w:r>
      <w:r w:rsidRPr="007C56ED">
        <w:t>vaccine.</w:t>
      </w:r>
    </w:p>
    <w:p w14:paraId="51665885" w14:textId="77777777" w:rsidR="005E0FAB" w:rsidRPr="007C56ED" w:rsidRDefault="005E0FAB" w:rsidP="009F4C87">
      <w:pPr>
        <w:pStyle w:val="Sub-bullettedlist"/>
        <w:rPr>
          <w:bCs/>
        </w:rPr>
      </w:pPr>
      <w:r w:rsidRPr="007C56ED">
        <w:rPr>
          <w:bCs/>
        </w:rPr>
        <w:lastRenderedPageBreak/>
        <w:t xml:space="preserve">Individuals who </w:t>
      </w:r>
      <w:r w:rsidRPr="00E228B6">
        <w:t>have</w:t>
      </w:r>
      <w:r w:rsidRPr="007C56ED">
        <w:rPr>
          <w:bCs/>
        </w:rPr>
        <w:t xml:space="preserve"> </w:t>
      </w:r>
      <w:r w:rsidRPr="00FD3DB6">
        <w:rPr>
          <w:bCs/>
        </w:rPr>
        <w:t>already</w:t>
      </w:r>
      <w:r w:rsidRPr="007C56ED">
        <w:rPr>
          <w:bCs/>
        </w:rPr>
        <w:t xml:space="preserve"> received a completed schedule of </w:t>
      </w:r>
      <w:r w:rsidRPr="007C56ED">
        <w:rPr>
          <w:lang w:eastAsia="en-US"/>
        </w:rPr>
        <w:t>Gardasil</w:t>
      </w:r>
      <w:r w:rsidRPr="007C56ED">
        <w:rPr>
          <w:vertAlign w:val="superscript"/>
          <w:lang w:eastAsia="en-US"/>
        </w:rPr>
        <w:t>®</w:t>
      </w:r>
      <w:r w:rsidRPr="007C56ED">
        <w:rPr>
          <w:lang w:eastAsia="en-US"/>
        </w:rPr>
        <w:t xml:space="preserve"> through the NIP are not eligible for free Gardasil</w:t>
      </w:r>
      <w:r w:rsidRPr="007C56ED">
        <w:rPr>
          <w:vertAlign w:val="superscript"/>
          <w:lang w:eastAsia="en-US"/>
        </w:rPr>
        <w:t>®</w:t>
      </w:r>
      <w:r w:rsidRPr="007C56ED">
        <w:rPr>
          <w:lang w:eastAsia="en-US"/>
        </w:rPr>
        <w:t>9 vaccination.</w:t>
      </w:r>
    </w:p>
    <w:p w14:paraId="5E5EC16D" w14:textId="77777777" w:rsidR="005E0FAB" w:rsidRPr="007C56ED" w:rsidRDefault="005E0FAB" w:rsidP="00FD3DB6">
      <w:pPr>
        <w:pStyle w:val="BulletedList"/>
      </w:pPr>
      <w:r w:rsidRPr="007C56ED">
        <w:t xml:space="preserve">Refer to the </w:t>
      </w:r>
      <w:r w:rsidRPr="007C56ED">
        <w:rPr>
          <w:i/>
        </w:rPr>
        <w:t>Australian Immunisation Handbook</w:t>
      </w:r>
      <w:r w:rsidRPr="007C56ED">
        <w:t xml:space="preserve">  if the individual:</w:t>
      </w:r>
    </w:p>
    <w:p w14:paraId="742F6E00" w14:textId="77777777" w:rsidR="005E0FAB" w:rsidRPr="007C56ED" w:rsidRDefault="005E0FAB" w:rsidP="009F4C87">
      <w:pPr>
        <w:pStyle w:val="Sub-bullettedlist"/>
        <w:rPr>
          <w:bCs/>
        </w:rPr>
      </w:pPr>
      <w:r w:rsidRPr="007C56ED">
        <w:rPr>
          <w:lang w:eastAsia="en-US"/>
        </w:rPr>
        <w:t>is aged  15 years or more when  the first dose of Gardasil</w:t>
      </w:r>
      <w:r w:rsidRPr="007C56ED">
        <w:rPr>
          <w:vertAlign w:val="superscript"/>
          <w:lang w:eastAsia="en-US"/>
        </w:rPr>
        <w:t>®</w:t>
      </w:r>
      <w:r w:rsidRPr="007C56ED">
        <w:rPr>
          <w:lang w:eastAsia="en-US"/>
        </w:rPr>
        <w:t>9 was received, as  3 doses of Gardasil</w:t>
      </w:r>
      <w:r w:rsidRPr="007C56ED">
        <w:rPr>
          <w:vertAlign w:val="superscript"/>
          <w:lang w:eastAsia="en-US"/>
        </w:rPr>
        <w:t>®</w:t>
      </w:r>
      <w:r w:rsidRPr="007C56ED">
        <w:rPr>
          <w:lang w:eastAsia="en-US"/>
        </w:rPr>
        <w:t xml:space="preserve">9 </w:t>
      </w:r>
      <w:r w:rsidRPr="007C56ED">
        <w:t>would</w:t>
      </w:r>
      <w:r w:rsidRPr="007C56ED">
        <w:rPr>
          <w:lang w:eastAsia="en-US"/>
        </w:rPr>
        <w:t xml:space="preserve"> then be required. Note: only 2 doses of Gardasil</w:t>
      </w:r>
      <w:r w:rsidRPr="007C56ED">
        <w:rPr>
          <w:vertAlign w:val="superscript"/>
          <w:lang w:eastAsia="en-US"/>
        </w:rPr>
        <w:t>®</w:t>
      </w:r>
      <w:r w:rsidRPr="007C56ED">
        <w:rPr>
          <w:lang w:eastAsia="en-US"/>
        </w:rPr>
        <w:t>9 are funded through the NIP for each of these individuals.</w:t>
      </w:r>
    </w:p>
    <w:p w14:paraId="7B414DAC" w14:textId="77777777" w:rsidR="00FD3DB6" w:rsidRPr="007C56ED" w:rsidRDefault="00FD3DB6" w:rsidP="00FD3DB6">
      <w:pPr>
        <w:pStyle w:val="Heading2"/>
        <w:rPr>
          <w:lang w:eastAsia="en-US"/>
        </w:rPr>
      </w:pPr>
      <w:r w:rsidRPr="007C56ED">
        <w:rPr>
          <w:bCs/>
        </w:rPr>
        <w:t xml:space="preserve">Specific recommendations for using </w:t>
      </w:r>
      <w:r w:rsidRPr="007C56ED">
        <w:rPr>
          <w:i/>
          <w:lang w:eastAsia="en-US"/>
        </w:rPr>
        <w:t>Gardasil</w:t>
      </w:r>
      <w:r w:rsidRPr="007C56ED">
        <w:rPr>
          <w:i/>
          <w:vertAlign w:val="superscript"/>
          <w:lang w:eastAsia="en-US"/>
        </w:rPr>
        <w:t>®</w:t>
      </w:r>
      <w:r w:rsidRPr="007C56ED">
        <w:rPr>
          <w:i/>
          <w:lang w:eastAsia="en-US"/>
        </w:rPr>
        <w:t>9</w:t>
      </w:r>
      <w:r w:rsidRPr="007C56ED">
        <w:rPr>
          <w:lang w:eastAsia="en-US"/>
        </w:rPr>
        <w:t xml:space="preserve"> to complete an HPV vaccine schedule commenced with another HPV vaccine</w:t>
      </w:r>
    </w:p>
    <w:p w14:paraId="134DBEF1" w14:textId="77777777" w:rsidR="00FD3DB6" w:rsidRPr="007C56ED" w:rsidRDefault="00FD3DB6" w:rsidP="00FD3DB6">
      <w:pPr>
        <w:pStyle w:val="BodyText"/>
      </w:pPr>
      <w:r w:rsidRPr="007C56ED">
        <w:t xml:space="preserve">Individuals who have commenced but not completed a vaccine course with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 xml:space="preserve"> </w:t>
      </w:r>
      <w:r w:rsidRPr="007C56ED">
        <w:t xml:space="preserve">or </w:t>
      </w:r>
      <w:r w:rsidRPr="007C56ED">
        <w:rPr>
          <w:rFonts w:eastAsiaTheme="minorHAnsi"/>
          <w:i/>
          <w:lang w:eastAsia="en-US"/>
        </w:rPr>
        <w:t>Cervarix</w:t>
      </w:r>
      <w:r w:rsidRPr="007C56ED">
        <w:rPr>
          <w:rFonts w:eastAsiaTheme="minorHAnsi"/>
          <w:i/>
          <w:vertAlign w:val="superscript"/>
          <w:lang w:eastAsia="en-US"/>
        </w:rPr>
        <w:t>®</w:t>
      </w:r>
      <w:r w:rsidRPr="007C56ED">
        <w:rPr>
          <w:rFonts w:eastAsiaTheme="minorHAnsi"/>
          <w:lang w:eastAsia="en-US"/>
        </w:rPr>
        <w:t xml:space="preserve"> </w:t>
      </w:r>
      <w:r w:rsidRPr="007C56ED">
        <w:t xml:space="preserve">can complete their schedule with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 xml:space="preserve">9 </w:t>
      </w:r>
      <w:r w:rsidRPr="007C56ED">
        <w:t xml:space="preserve">as shown in Table 1 below. </w:t>
      </w:r>
    </w:p>
    <w:p w14:paraId="09F7BB07" w14:textId="5D2DD39C" w:rsidR="00FD3DB6" w:rsidRPr="007C56ED" w:rsidRDefault="00FD3DB6" w:rsidP="009F4C87">
      <w:pPr>
        <w:pStyle w:val="BodyText"/>
        <w:rPr>
          <w:vertAlign w:val="superscript"/>
        </w:rPr>
      </w:pPr>
      <w:r w:rsidRPr="007C56ED">
        <w:rPr>
          <w:i/>
        </w:rPr>
        <w:t>Table 1.</w:t>
      </w:r>
      <w:r w:rsidRPr="007C56ED">
        <w:t xml:space="preserve"> Recommendations regarding doses of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i/>
          <w:lang w:eastAsia="en-US"/>
        </w:rPr>
        <w:t>9</w:t>
      </w:r>
      <w:r w:rsidRPr="007C56ED">
        <w:rPr>
          <w:rFonts w:eastAsiaTheme="minorHAnsi"/>
          <w:lang w:eastAsia="en-US"/>
        </w:rPr>
        <w:t xml:space="preserve"> </w:t>
      </w:r>
      <w:r w:rsidRPr="007C56ED">
        <w:t xml:space="preserve">vaccine required for those who have already </w:t>
      </w:r>
      <w:r w:rsidR="009F4C87">
        <w:t xml:space="preserve"> r</w:t>
      </w:r>
      <w:r w:rsidRPr="007C56ED">
        <w:t>eceived one or more doses of another HPV vaccine (</w:t>
      </w:r>
      <w:r w:rsidRPr="007C56ED">
        <w:rPr>
          <w:rFonts w:eastAsiaTheme="minorHAnsi"/>
          <w:i/>
          <w:lang w:eastAsia="en-US"/>
        </w:rPr>
        <w:t>Gardasil</w:t>
      </w:r>
      <w:r w:rsidRPr="007C56ED">
        <w:rPr>
          <w:rFonts w:eastAsiaTheme="minorHAnsi"/>
          <w:i/>
          <w:vertAlign w:val="superscript"/>
          <w:lang w:eastAsia="en-US"/>
        </w:rPr>
        <w:t>®</w:t>
      </w:r>
      <w:r w:rsidRPr="007C56ED">
        <w:rPr>
          <w:rFonts w:eastAsiaTheme="minorHAnsi"/>
          <w:lang w:eastAsia="en-US"/>
        </w:rPr>
        <w:t xml:space="preserve"> or </w:t>
      </w:r>
      <w:r w:rsidRPr="007C56ED">
        <w:rPr>
          <w:rFonts w:eastAsiaTheme="minorHAnsi"/>
          <w:i/>
          <w:lang w:eastAsia="en-US"/>
        </w:rPr>
        <w:t>Cervarix</w:t>
      </w:r>
      <w:r w:rsidRPr="007C56ED">
        <w:rPr>
          <w:rFonts w:eastAsiaTheme="minorHAnsi"/>
          <w:i/>
          <w:vertAlign w:val="superscript"/>
          <w:lang w:eastAsia="en-US"/>
        </w:rPr>
        <w:t>®</w:t>
      </w:r>
      <w:r w:rsidRPr="007C56ED">
        <w:t>) at age ≤14 years</w:t>
      </w:r>
      <w:r w:rsidRPr="007C56ED">
        <w:rPr>
          <w:vertAlign w:val="superscript"/>
        </w:rPr>
        <w:t xml:space="preserve">* </w:t>
      </w:r>
    </w:p>
    <w:tbl>
      <w:tblPr>
        <w:tblStyle w:val="PlainTable41"/>
        <w:tblW w:w="0" w:type="auto"/>
        <w:tblInd w:w="113" w:type="dxa"/>
        <w:tblLook w:val="04A0" w:firstRow="1" w:lastRow="0" w:firstColumn="1" w:lastColumn="0" w:noHBand="0" w:noVBand="1"/>
        <w:tblCaption w:val="HPV vaccine doses and recommendations"/>
      </w:tblPr>
      <w:tblGrid>
        <w:gridCol w:w="3964"/>
        <w:gridCol w:w="6237"/>
      </w:tblGrid>
      <w:tr w:rsidR="00FD3DB6" w:rsidRPr="0082082F" w14:paraId="5CEF4881" w14:textId="77777777" w:rsidTr="00083432">
        <w:trPr>
          <w:cnfStyle w:val="100000000000" w:firstRow="1" w:lastRow="0" w:firstColumn="0" w:lastColumn="0" w:oddVBand="0" w:evenVBand="0" w:oddHBand="0" w:evenHBand="0" w:firstRowFirstColumn="0" w:firstRowLastColumn="0" w:lastRowFirstColumn="0" w:lastRowLastColumn="0"/>
          <w:trHeight w:val="878"/>
          <w:tblHeader/>
        </w:trPr>
        <w:tc>
          <w:tcPr>
            <w:cnfStyle w:val="001000000000" w:firstRow="0" w:lastRow="0" w:firstColumn="1" w:lastColumn="0" w:oddVBand="0" w:evenVBand="0" w:oddHBand="0" w:evenHBand="0" w:firstRowFirstColumn="0" w:firstRowLastColumn="0" w:lastRowFirstColumn="0" w:lastRowLastColumn="0"/>
            <w:tcW w:w="3964" w:type="dxa"/>
            <w:shd w:val="clear" w:color="auto" w:fill="57259F"/>
            <w:vAlign w:val="center"/>
          </w:tcPr>
          <w:p w14:paraId="27C8E5CE" w14:textId="22B367F5" w:rsidR="00FD3DB6" w:rsidRPr="0082082F" w:rsidRDefault="00FD3DB6" w:rsidP="009F4C87">
            <w:pPr>
              <w:spacing w:line="240" w:lineRule="auto"/>
              <w:rPr>
                <w:color w:val="FFFFFF" w:themeColor="background1"/>
              </w:rPr>
            </w:pPr>
            <w:r w:rsidRPr="00FD3DB6">
              <w:rPr>
                <w:color w:val="FFFFFF" w:themeColor="background1"/>
              </w:rPr>
              <w:t>Number of HPV vaccine doses (any type) received previously at age ≤14</w:t>
            </w:r>
            <w:r w:rsidR="00E228B6">
              <w:rPr>
                <w:color w:val="FFFFFF" w:themeColor="background1"/>
              </w:rPr>
              <w:t> </w:t>
            </w:r>
            <w:r w:rsidRPr="00FD3DB6">
              <w:rPr>
                <w:color w:val="FFFFFF" w:themeColor="background1"/>
              </w:rPr>
              <w:t>years †‡</w:t>
            </w:r>
          </w:p>
        </w:tc>
        <w:tc>
          <w:tcPr>
            <w:tcW w:w="6237" w:type="dxa"/>
            <w:shd w:val="clear" w:color="auto" w:fill="57259F"/>
            <w:vAlign w:val="center"/>
          </w:tcPr>
          <w:p w14:paraId="6124D43E" w14:textId="2A2AC192" w:rsidR="00FD3DB6" w:rsidRPr="0082082F" w:rsidRDefault="00FD3DB6" w:rsidP="009F4C87">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FD3DB6">
              <w:rPr>
                <w:color w:val="FFFFFF" w:themeColor="background1"/>
              </w:rPr>
              <w:t xml:space="preserve">Further </w:t>
            </w:r>
            <w:r w:rsidRPr="00963935">
              <w:rPr>
                <w:i/>
                <w:color w:val="FFFFFF" w:themeColor="background1"/>
              </w:rPr>
              <w:t>Gardasil</w:t>
            </w:r>
            <w:r w:rsidRPr="00963935">
              <w:rPr>
                <w:i/>
                <w:color w:val="FFFFFF" w:themeColor="background1"/>
                <w:vertAlign w:val="superscript"/>
              </w:rPr>
              <w:t>®</w:t>
            </w:r>
            <w:r w:rsidRPr="00963935">
              <w:rPr>
                <w:i/>
                <w:color w:val="FFFFFF" w:themeColor="background1"/>
              </w:rPr>
              <w:t>9</w:t>
            </w:r>
            <w:r w:rsidRPr="00FD3DB6">
              <w:rPr>
                <w:color w:val="FFFFFF" w:themeColor="background1"/>
              </w:rPr>
              <w:t xml:space="preserve"> vaccine doses recommended‡</w:t>
            </w:r>
          </w:p>
        </w:tc>
      </w:tr>
      <w:tr w:rsidR="00FD3DB6" w:rsidRPr="00C73207" w14:paraId="467A96EC" w14:textId="77777777" w:rsidTr="009F4C87">
        <w:trPr>
          <w:cnfStyle w:val="000000100000" w:firstRow="0" w:lastRow="0" w:firstColumn="0" w:lastColumn="0" w:oddVBand="0" w:evenVBand="0" w:oddHBand="1" w:evenHBand="0" w:firstRowFirstColumn="0" w:firstRowLastColumn="0" w:lastRowFirstColumn="0" w:lastRowLastColumn="0"/>
          <w:trHeight w:val="733"/>
        </w:trPr>
        <w:tc>
          <w:tcPr>
            <w:cnfStyle w:val="001000000000" w:firstRow="0" w:lastRow="0" w:firstColumn="1" w:lastColumn="0" w:oddVBand="0" w:evenVBand="0" w:oddHBand="0" w:evenHBand="0" w:firstRowFirstColumn="0" w:firstRowLastColumn="0" w:lastRowFirstColumn="0" w:lastRowLastColumn="0"/>
            <w:tcW w:w="3964" w:type="dxa"/>
            <w:shd w:val="clear" w:color="auto" w:fill="CCC0D9" w:themeFill="accent4" w:themeFillTint="66"/>
          </w:tcPr>
          <w:p w14:paraId="18CA59FE" w14:textId="58744F2E" w:rsidR="00FD3DB6" w:rsidRPr="009F4C87" w:rsidRDefault="00FD3DB6" w:rsidP="009F4C87">
            <w:pPr>
              <w:spacing w:before="120"/>
            </w:pPr>
            <w:r w:rsidRPr="00E228B6">
              <w:t>1 dose</w:t>
            </w:r>
          </w:p>
        </w:tc>
        <w:tc>
          <w:tcPr>
            <w:tcW w:w="6237" w:type="dxa"/>
            <w:shd w:val="clear" w:color="auto" w:fill="CCC0D9" w:themeFill="accent4" w:themeFillTint="66"/>
          </w:tcPr>
          <w:p w14:paraId="25EB1468" w14:textId="22943AFB" w:rsidR="00FD3DB6" w:rsidRPr="0082082F" w:rsidRDefault="00FD3DB6" w:rsidP="009F4C87">
            <w:pPr>
              <w:spacing w:before="120"/>
              <w:cnfStyle w:val="000000100000" w:firstRow="0" w:lastRow="0" w:firstColumn="0" w:lastColumn="0" w:oddVBand="0" w:evenVBand="0" w:oddHBand="1" w:evenHBand="0" w:firstRowFirstColumn="0" w:firstRowLastColumn="0" w:lastRowFirstColumn="0" w:lastRowLastColumn="0"/>
            </w:pPr>
            <w:r w:rsidRPr="006D4F59">
              <w:t xml:space="preserve">1 dose at least 6 months after the previous dose. </w:t>
            </w:r>
          </w:p>
        </w:tc>
      </w:tr>
      <w:tr w:rsidR="00FD3DB6" w:rsidRPr="00C73207" w14:paraId="4983B62E" w14:textId="77777777" w:rsidTr="009F4C87">
        <w:trPr>
          <w:trHeight w:val="3382"/>
        </w:trPr>
        <w:tc>
          <w:tcPr>
            <w:cnfStyle w:val="001000000000" w:firstRow="0" w:lastRow="0" w:firstColumn="1" w:lastColumn="0" w:oddVBand="0" w:evenVBand="0" w:oddHBand="0" w:evenHBand="0" w:firstRowFirstColumn="0" w:firstRowLastColumn="0" w:lastRowFirstColumn="0" w:lastRowLastColumn="0"/>
            <w:tcW w:w="3964" w:type="dxa"/>
          </w:tcPr>
          <w:p w14:paraId="66108B96" w14:textId="471EC1BF" w:rsidR="00FD3DB6" w:rsidRPr="009F4C87" w:rsidRDefault="00FD3DB6" w:rsidP="009F4C87">
            <w:pPr>
              <w:spacing w:before="120"/>
            </w:pPr>
            <w:r w:rsidRPr="00E228B6">
              <w:t>2 doses with &lt;6 months between doses</w:t>
            </w:r>
          </w:p>
        </w:tc>
        <w:tc>
          <w:tcPr>
            <w:tcW w:w="6237" w:type="dxa"/>
          </w:tcPr>
          <w:p w14:paraId="5DC8705A" w14:textId="57A7F34D" w:rsidR="00FD3DB6" w:rsidRPr="007C56ED" w:rsidRDefault="00FD3DB6" w:rsidP="009F4C87">
            <w:pPr>
              <w:spacing w:before="120"/>
              <w:cnfStyle w:val="000000000000" w:firstRow="0" w:lastRow="0" w:firstColumn="0" w:lastColumn="0" w:oddVBand="0" w:evenVBand="0" w:oddHBand="0" w:evenHBand="0" w:firstRowFirstColumn="0" w:firstRowLastColumn="0" w:lastRowFirstColumn="0" w:lastRowLastColumn="0"/>
            </w:pPr>
            <w:r w:rsidRPr="007C56ED">
              <w:rPr>
                <w:rFonts w:hint="eastAsia"/>
              </w:rPr>
              <w:t xml:space="preserve">If the second dose is inadvertently received at &lt;6 months but </w:t>
            </w:r>
            <w:r w:rsidRPr="007C56ED">
              <w:rPr>
                <w:rFonts w:hint="eastAsia"/>
              </w:rPr>
              <w:t>≥</w:t>
            </w:r>
            <w:r w:rsidRPr="007C56ED">
              <w:rPr>
                <w:rFonts w:hint="eastAsia"/>
              </w:rPr>
              <w:t>5 months after the first dose, a third dose is not required</w:t>
            </w:r>
            <w:r w:rsidRPr="007C56ED">
              <w:t>.</w:t>
            </w:r>
          </w:p>
          <w:p w14:paraId="0AD11893" w14:textId="612DADE2" w:rsidR="00FD3DB6" w:rsidRPr="007C56ED" w:rsidRDefault="00FD3DB6" w:rsidP="009F4C87">
            <w:pPr>
              <w:spacing w:before="120"/>
              <w:cnfStyle w:val="000000000000" w:firstRow="0" w:lastRow="0" w:firstColumn="0" w:lastColumn="0" w:oddVBand="0" w:evenVBand="0" w:oddHBand="0" w:evenHBand="0" w:firstRowFirstColumn="0" w:firstRowLastColumn="0" w:lastRowFirstColumn="0" w:lastRowLastColumn="0"/>
            </w:pPr>
            <w:r w:rsidRPr="007C56ED">
              <w:t>I</w:t>
            </w:r>
            <w:r w:rsidRPr="007C56ED">
              <w:rPr>
                <w:rFonts w:hint="eastAsia"/>
              </w:rPr>
              <w:t>f the second dose is received less t</w:t>
            </w:r>
            <w:r w:rsidRPr="007C56ED">
              <w:t>han 5 months after the first dose, a third dose is required, to be given at least 12 weeks after the second dose</w:t>
            </w:r>
            <w:r>
              <w:rPr>
                <w:rFonts w:eastAsiaTheme="minorHAnsi"/>
              </w:rPr>
              <w:t xml:space="preserve"> and at least 5 months after the first dose, whichever is later</w:t>
            </w:r>
            <w:r w:rsidRPr="007C56ED">
              <w:t>.</w:t>
            </w:r>
          </w:p>
          <w:p w14:paraId="23C7F80C" w14:textId="307499EF" w:rsidR="00FD3DB6" w:rsidRPr="0082082F" w:rsidRDefault="00FD3DB6" w:rsidP="009F4C87">
            <w:pPr>
              <w:spacing w:before="120"/>
              <w:cnfStyle w:val="000000000000" w:firstRow="0" w:lastRow="0" w:firstColumn="0" w:lastColumn="0" w:oddVBand="0" w:evenVBand="0" w:oddHBand="0" w:evenHBand="0" w:firstRowFirstColumn="0" w:firstRowLastColumn="0" w:lastRowFirstColumn="0" w:lastRowLastColumn="0"/>
            </w:pPr>
            <w:r w:rsidRPr="007C56ED">
              <w:t xml:space="preserve">Reference to your state or territory health department and/or the </w:t>
            </w:r>
            <w:r w:rsidRPr="007C56ED">
              <w:rPr>
                <w:i/>
              </w:rPr>
              <w:t>Australian Immunisation Handbook</w:t>
            </w:r>
            <w:r w:rsidRPr="007C56ED">
              <w:t xml:space="preserve"> 2018 update may also be required. </w:t>
            </w:r>
          </w:p>
        </w:tc>
      </w:tr>
      <w:tr w:rsidR="00FD3DB6" w:rsidRPr="00C73207" w14:paraId="090F16DB" w14:textId="77777777" w:rsidTr="009F4C87">
        <w:trPr>
          <w:cnfStyle w:val="000000100000" w:firstRow="0" w:lastRow="0" w:firstColumn="0" w:lastColumn="0" w:oddVBand="0" w:evenVBand="0" w:oddHBand="1" w:evenHBand="0" w:firstRowFirstColumn="0" w:firstRowLastColumn="0" w:lastRowFirstColumn="0" w:lastRowLastColumn="0"/>
          <w:trHeight w:val="822"/>
        </w:trPr>
        <w:tc>
          <w:tcPr>
            <w:cnfStyle w:val="001000000000" w:firstRow="0" w:lastRow="0" w:firstColumn="1" w:lastColumn="0" w:oddVBand="0" w:evenVBand="0" w:oddHBand="0" w:evenHBand="0" w:firstRowFirstColumn="0" w:firstRowLastColumn="0" w:lastRowFirstColumn="0" w:lastRowLastColumn="0"/>
            <w:tcW w:w="3964" w:type="dxa"/>
            <w:shd w:val="clear" w:color="auto" w:fill="CCC0D9" w:themeFill="accent4" w:themeFillTint="66"/>
          </w:tcPr>
          <w:p w14:paraId="214F479E" w14:textId="0FD1D4C4" w:rsidR="00FD3DB6" w:rsidRPr="009F4C87" w:rsidRDefault="00FD3DB6" w:rsidP="009F4C87">
            <w:pPr>
              <w:spacing w:before="120"/>
            </w:pPr>
            <w:r w:rsidRPr="00E228B6">
              <w:t>2 doses with ≥6 months between doses</w:t>
            </w:r>
          </w:p>
        </w:tc>
        <w:tc>
          <w:tcPr>
            <w:tcW w:w="6237" w:type="dxa"/>
            <w:shd w:val="clear" w:color="auto" w:fill="CCC0D9" w:themeFill="accent4" w:themeFillTint="66"/>
          </w:tcPr>
          <w:p w14:paraId="797B44E6" w14:textId="1A641079" w:rsidR="00FD3DB6" w:rsidRPr="0082082F" w:rsidRDefault="00FD3DB6" w:rsidP="00596E15">
            <w:pPr>
              <w:spacing w:before="120"/>
              <w:cnfStyle w:val="000000100000" w:firstRow="0" w:lastRow="0" w:firstColumn="0" w:lastColumn="0" w:oddVBand="0" w:evenVBand="0" w:oddHBand="1" w:evenHBand="0" w:firstRowFirstColumn="0" w:firstRowLastColumn="0" w:lastRowFirstColumn="0" w:lastRowLastColumn="0"/>
            </w:pPr>
            <w:r w:rsidRPr="005D2543">
              <w:t>None</w:t>
            </w:r>
            <w:r w:rsidR="00596E15">
              <w:t xml:space="preserve"> β</w:t>
            </w:r>
            <w:r w:rsidR="00247BCD">
              <w:t xml:space="preserve">. </w:t>
            </w:r>
          </w:p>
        </w:tc>
      </w:tr>
      <w:tr w:rsidR="00FD3DB6" w:rsidRPr="00C73207" w14:paraId="70475E21" w14:textId="77777777" w:rsidTr="00B44123">
        <w:trPr>
          <w:trHeight w:val="340"/>
        </w:trPr>
        <w:tc>
          <w:tcPr>
            <w:cnfStyle w:val="001000000000" w:firstRow="0" w:lastRow="0" w:firstColumn="1" w:lastColumn="0" w:oddVBand="0" w:evenVBand="0" w:oddHBand="0" w:evenHBand="0" w:firstRowFirstColumn="0" w:firstRowLastColumn="0" w:lastRowFirstColumn="0" w:lastRowLastColumn="0"/>
            <w:tcW w:w="3964" w:type="dxa"/>
          </w:tcPr>
          <w:p w14:paraId="670CBAB2" w14:textId="02EFAB0C" w:rsidR="00FD3DB6" w:rsidRPr="009F4C87" w:rsidRDefault="00FD3DB6" w:rsidP="009F4C87">
            <w:pPr>
              <w:spacing w:before="120"/>
            </w:pPr>
            <w:r w:rsidRPr="00E228B6">
              <w:t xml:space="preserve">≥3 doses </w:t>
            </w:r>
          </w:p>
        </w:tc>
        <w:tc>
          <w:tcPr>
            <w:tcW w:w="6237" w:type="dxa"/>
          </w:tcPr>
          <w:p w14:paraId="6E633DD1" w14:textId="6764C80F" w:rsidR="00FD3DB6" w:rsidRPr="0082082F" w:rsidRDefault="00FD3DB6" w:rsidP="00596E15">
            <w:pPr>
              <w:spacing w:before="120"/>
              <w:cnfStyle w:val="000000000000" w:firstRow="0" w:lastRow="0" w:firstColumn="0" w:lastColumn="0" w:oddVBand="0" w:evenVBand="0" w:oddHBand="0" w:evenHBand="0" w:firstRowFirstColumn="0" w:firstRowLastColumn="0" w:lastRowFirstColumn="0" w:lastRowLastColumn="0"/>
            </w:pPr>
            <w:r w:rsidRPr="005D2543">
              <w:t>None</w:t>
            </w:r>
            <w:r w:rsidR="00596E15">
              <w:t xml:space="preserve"> β</w:t>
            </w:r>
            <w:r w:rsidRPr="005D2543">
              <w:t>, if minimum intervals for a 3-dose schedule are met#</w:t>
            </w:r>
          </w:p>
        </w:tc>
      </w:tr>
    </w:tbl>
    <w:p w14:paraId="4CBD3C47" w14:textId="77777777" w:rsidR="00B44123" w:rsidRDefault="00B44123" w:rsidP="00FD3DB6">
      <w:pPr>
        <w:pStyle w:val="Caption"/>
      </w:pPr>
    </w:p>
    <w:p w14:paraId="46C8F87B" w14:textId="06168A4F" w:rsidR="00FD3DB6" w:rsidRPr="00F410B0" w:rsidRDefault="00FD3DB6" w:rsidP="00F410B0">
      <w:pPr>
        <w:pStyle w:val="FootnoteText"/>
        <w:rPr>
          <w:rStyle w:val="FootnoteReference"/>
        </w:rPr>
      </w:pPr>
      <w:r w:rsidRPr="00F410B0">
        <w:rPr>
          <w:rStyle w:val="FootnoteReference"/>
        </w:rPr>
        <w:t>*Individuals who are aged ≥15 years (i.e. on or passed their 15th birthday) at the time of their first HPV vaccine dose require a 3-dose HPV vaccine schedule. More detailed advice is provided in the Australian Immunisation Handbook 2018 update.</w:t>
      </w:r>
    </w:p>
    <w:p w14:paraId="26F1702F" w14:textId="77777777" w:rsidR="00FD3DB6" w:rsidRPr="00F410B0" w:rsidRDefault="00FD3DB6" w:rsidP="00F410B0">
      <w:pPr>
        <w:pStyle w:val="FootnoteText"/>
        <w:rPr>
          <w:rStyle w:val="FootnoteReference"/>
        </w:rPr>
      </w:pPr>
      <w:r w:rsidRPr="00F410B0">
        <w:rPr>
          <w:rStyle w:val="FootnoteReference"/>
        </w:rPr>
        <w:t xml:space="preserve">†Recommendations for 2 dose schedule and minimum acceptable intervals for 3 dose schedule are the same regardless of the type of HPV vaccine already received (i.e. all </w:t>
      </w:r>
      <w:r w:rsidRPr="00963935">
        <w:rPr>
          <w:rStyle w:val="FootnoteReference"/>
          <w:i/>
        </w:rPr>
        <w:t>Cervarix®</w:t>
      </w:r>
      <w:r w:rsidRPr="00F410B0">
        <w:rPr>
          <w:rStyle w:val="FootnoteReference"/>
        </w:rPr>
        <w:t xml:space="preserve">, all </w:t>
      </w:r>
      <w:r w:rsidRPr="00963935">
        <w:rPr>
          <w:rStyle w:val="FootnoteReference"/>
          <w:i/>
        </w:rPr>
        <w:t xml:space="preserve">Gardasil® </w:t>
      </w:r>
      <w:r w:rsidRPr="00F410B0">
        <w:rPr>
          <w:rStyle w:val="FootnoteReference"/>
        </w:rPr>
        <w:t>or  combination of both)</w:t>
      </w:r>
    </w:p>
    <w:p w14:paraId="17698B53" w14:textId="77777777" w:rsidR="00FD3DB6" w:rsidRPr="00F410B0" w:rsidRDefault="00FD3DB6" w:rsidP="00F410B0">
      <w:pPr>
        <w:pStyle w:val="FootnoteText"/>
        <w:rPr>
          <w:rStyle w:val="FootnoteReference"/>
        </w:rPr>
      </w:pPr>
      <w:r w:rsidRPr="00F410B0">
        <w:rPr>
          <w:rStyle w:val="FootnoteReference"/>
        </w:rPr>
        <w:t>‡For select immunocompromised individuals, a 3-dose schedule (at 0, 2 and 6 months) is required for adequate protection against vaccine-type HPV. Refer to the Australian Immunisation Handbook 2018 update.</w:t>
      </w:r>
    </w:p>
    <w:p w14:paraId="4712B73C" w14:textId="205BD72B" w:rsidR="00FD3DB6" w:rsidRPr="00F410B0" w:rsidRDefault="00596E15" w:rsidP="00F410B0">
      <w:pPr>
        <w:pStyle w:val="FootnoteText"/>
        <w:rPr>
          <w:rStyle w:val="FootnoteReference"/>
        </w:rPr>
      </w:pPr>
      <w:r>
        <w:rPr>
          <w:rStyle w:val="FootnoteReference"/>
          <w:rFonts w:cstheme="minorHAnsi"/>
        </w:rPr>
        <w:t>β</w:t>
      </w:r>
      <w:r w:rsidR="00FD3DB6" w:rsidRPr="00F410B0">
        <w:rPr>
          <w:rStyle w:val="FootnoteReference"/>
        </w:rPr>
        <w:t xml:space="preserve"> </w:t>
      </w:r>
      <w:r w:rsidR="00FD3DB6" w:rsidRPr="00963935">
        <w:rPr>
          <w:rStyle w:val="FootnoteReference"/>
          <w:i/>
        </w:rPr>
        <w:t>Gardasil®9</w:t>
      </w:r>
      <w:r w:rsidR="00FD3DB6" w:rsidRPr="00F410B0">
        <w:rPr>
          <w:rStyle w:val="FootnoteReference"/>
        </w:rPr>
        <w:t xml:space="preserve"> vaccine doses for protection against the extra HPV types, in individuals who have previously completed either a </w:t>
      </w:r>
      <w:r w:rsidR="00FD3DB6" w:rsidRPr="00963935">
        <w:rPr>
          <w:rStyle w:val="FootnoteReference"/>
          <w:i/>
        </w:rPr>
        <w:t>Cervarix®</w:t>
      </w:r>
      <w:r w:rsidR="00FD3DB6" w:rsidRPr="00F410B0">
        <w:rPr>
          <w:rStyle w:val="FootnoteReference"/>
        </w:rPr>
        <w:t xml:space="preserve"> or </w:t>
      </w:r>
      <w:r w:rsidR="00FD3DB6" w:rsidRPr="00963935">
        <w:rPr>
          <w:rStyle w:val="FootnoteReference"/>
          <w:i/>
        </w:rPr>
        <w:t>Gardasil®</w:t>
      </w:r>
      <w:r w:rsidR="00FD3DB6" w:rsidRPr="00F410B0">
        <w:rPr>
          <w:rStyle w:val="FootnoteReference"/>
        </w:rPr>
        <w:t xml:space="preserve"> vaccine course is neither routinely recommended nor funded under the NIP. </w:t>
      </w:r>
    </w:p>
    <w:p w14:paraId="04F2EE2E" w14:textId="6D5EC658" w:rsidR="00A66C82" w:rsidRPr="00F410B0" w:rsidRDefault="00FD3DB6" w:rsidP="00F410B0">
      <w:pPr>
        <w:pStyle w:val="FootnoteText"/>
        <w:rPr>
          <w:rStyle w:val="FootnoteReference"/>
        </w:rPr>
      </w:pPr>
      <w:r w:rsidRPr="00F410B0">
        <w:rPr>
          <w:rStyle w:val="FootnoteReference"/>
        </w:rPr>
        <w:t># All of the following recommended minimum intervals for a 3-dose schedule have to be satisfied: at least 4 weeks between dose 1 and dose 2; at least 12 weeks between dose 2 and dose 3; and at least 5 months between dose 1 and dose 3.</w:t>
      </w:r>
      <w:r w:rsidR="00247BCD">
        <w:rPr>
          <w:rStyle w:val="FootnoteReference"/>
        </w:rPr>
        <w:t xml:space="preserve"> </w:t>
      </w:r>
    </w:p>
    <w:sectPr w:rsidR="00A66C82" w:rsidRPr="00F410B0" w:rsidSect="004F3AA0">
      <w:headerReference w:type="even" r:id="rId10"/>
      <w:headerReference w:type="default" r:id="rId11"/>
      <w:footerReference w:type="even" r:id="rId12"/>
      <w:footerReference w:type="default" r:id="rId13"/>
      <w:headerReference w:type="first" r:id="rId14"/>
      <w:footerReference w:type="first" r:id="rId15"/>
      <w:pgSz w:w="11906" w:h="16838"/>
      <w:pgMar w:top="851" w:right="851" w:bottom="1134"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F95477" w14:textId="77777777" w:rsidR="009E5B4B" w:rsidRDefault="009E5B4B" w:rsidP="005F4768">
      <w:r>
        <w:separator/>
      </w:r>
    </w:p>
  </w:endnote>
  <w:endnote w:type="continuationSeparator" w:id="0">
    <w:p w14:paraId="0ECA6AA0" w14:textId="77777777" w:rsidR="009E5B4B" w:rsidRDefault="009E5B4B" w:rsidP="005F4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altName w:val="MS Mincho"/>
    <w:charset w:val="4E"/>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017DC" w14:textId="77777777" w:rsidR="00F42897" w:rsidRDefault="00F428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79C41" w14:textId="1CA74D25" w:rsidR="0004452A" w:rsidRDefault="0004452A" w:rsidP="0004452A">
    <w:pPr>
      <w:pStyle w:val="Footer"/>
      <w:jc w:val="right"/>
    </w:pPr>
    <w:r>
      <w:t xml:space="preserve">Page </w:t>
    </w:r>
    <w:sdt>
      <w:sdtPr>
        <w:id w:val="-93451512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6850">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5DDC1" w14:textId="1750E8D8" w:rsidR="006F5435" w:rsidRDefault="006F5435" w:rsidP="0004452A">
    <w:pPr>
      <w:pStyle w:val="Footer"/>
      <w:tabs>
        <w:tab w:val="left" w:pos="9360"/>
        <w:tab w:val="right" w:pos="10204"/>
      </w:tabs>
      <w:jc w:val="right"/>
    </w:pPr>
    <w:r>
      <w:t xml:space="preserve">Page </w:t>
    </w:r>
    <w:sdt>
      <w:sdtPr>
        <w:id w:val="-14901734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86850">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AEE5DA" w14:textId="77777777" w:rsidR="009E5B4B" w:rsidRDefault="009E5B4B" w:rsidP="005F4768">
      <w:r>
        <w:separator/>
      </w:r>
    </w:p>
  </w:footnote>
  <w:footnote w:type="continuationSeparator" w:id="0">
    <w:p w14:paraId="5EFD7159" w14:textId="77777777" w:rsidR="009E5B4B" w:rsidRDefault="009E5B4B" w:rsidP="005F4768">
      <w:r>
        <w:continuationSeparator/>
      </w:r>
    </w:p>
  </w:footnote>
  <w:footnote w:id="1">
    <w:p w14:paraId="5A9BFC6C" w14:textId="77777777" w:rsidR="005E0FAB" w:rsidRDefault="005E0FAB" w:rsidP="005E0FAB">
      <w:pPr>
        <w:pStyle w:val="FootnoteText"/>
      </w:pPr>
      <w:r w:rsidRPr="00CB7565">
        <w:rPr>
          <w:rStyle w:val="FootnoteReference"/>
        </w:rPr>
        <w:footnoteRef/>
      </w:r>
      <w:r w:rsidRPr="00CB7565">
        <w:t xml:space="preserve"> </w:t>
      </w:r>
      <w:r w:rsidRPr="00CB7565">
        <w:rPr>
          <w:rFonts w:hint="eastAsia"/>
          <w:sz w:val="16"/>
          <w:szCs w:val="16"/>
        </w:rPr>
        <w:t xml:space="preserve">The recommendation for a 3-dose schedule does not apply to children aged </w:t>
      </w:r>
      <w:r w:rsidRPr="00CB7565">
        <w:rPr>
          <w:rFonts w:hint="eastAsia"/>
          <w:sz w:val="16"/>
          <w:szCs w:val="16"/>
        </w:rPr>
        <w:t>≤</w:t>
      </w:r>
      <w:r w:rsidRPr="00CB7565">
        <w:rPr>
          <w:rFonts w:hint="eastAsia"/>
          <w:sz w:val="16"/>
          <w:szCs w:val="16"/>
        </w:rPr>
        <w:t>14 years with asplenia, asthma, chronic granulomatous disease, chronic heart/liver/lung/renal disease, CNS anatomic barrier defects (e.g., cochlear implant), complement deficiency, d</w:t>
      </w:r>
      <w:r w:rsidRPr="00CB7565">
        <w:rPr>
          <w:sz w:val="16"/>
          <w:szCs w:val="16"/>
        </w:rPr>
        <w:t>iabetes, or sickle cell disease, in the absence of any of the above 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5E91C" w14:textId="77777777" w:rsidR="00F42897" w:rsidRDefault="00F428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07A0B" w14:textId="77777777" w:rsidR="00F42897" w:rsidRDefault="00F428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7D6CE" w14:textId="77777777" w:rsidR="00F42897" w:rsidRDefault="00F428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287E6E"/>
    <w:lvl w:ilvl="0">
      <w:start w:val="1"/>
      <w:numFmt w:val="decimal"/>
      <w:lvlText w:val="%1."/>
      <w:lvlJc w:val="left"/>
      <w:pPr>
        <w:tabs>
          <w:tab w:val="num" w:pos="1492"/>
        </w:tabs>
        <w:ind w:left="1492" w:hanging="360"/>
      </w:pPr>
    </w:lvl>
  </w:abstractNum>
  <w:abstractNum w:abstractNumId="1">
    <w:nsid w:val="FFFFFF7D"/>
    <w:multiLevelType w:val="singleLevel"/>
    <w:tmpl w:val="3432CA2E"/>
    <w:lvl w:ilvl="0">
      <w:start w:val="1"/>
      <w:numFmt w:val="decimal"/>
      <w:lvlText w:val="%1."/>
      <w:lvlJc w:val="left"/>
      <w:pPr>
        <w:tabs>
          <w:tab w:val="num" w:pos="1209"/>
        </w:tabs>
        <w:ind w:left="1209" w:hanging="360"/>
      </w:pPr>
    </w:lvl>
  </w:abstractNum>
  <w:abstractNum w:abstractNumId="2">
    <w:nsid w:val="FFFFFF7E"/>
    <w:multiLevelType w:val="singleLevel"/>
    <w:tmpl w:val="574EA99C"/>
    <w:lvl w:ilvl="0">
      <w:start w:val="1"/>
      <w:numFmt w:val="decimal"/>
      <w:lvlText w:val="%1."/>
      <w:lvlJc w:val="left"/>
      <w:pPr>
        <w:tabs>
          <w:tab w:val="num" w:pos="926"/>
        </w:tabs>
        <w:ind w:left="926" w:hanging="360"/>
      </w:pPr>
    </w:lvl>
  </w:abstractNum>
  <w:abstractNum w:abstractNumId="3">
    <w:nsid w:val="FFFFFF7F"/>
    <w:multiLevelType w:val="singleLevel"/>
    <w:tmpl w:val="06CCFB3A"/>
    <w:lvl w:ilvl="0">
      <w:start w:val="1"/>
      <w:numFmt w:val="decimal"/>
      <w:lvlText w:val="%1."/>
      <w:lvlJc w:val="left"/>
      <w:pPr>
        <w:tabs>
          <w:tab w:val="num" w:pos="643"/>
        </w:tabs>
        <w:ind w:left="643" w:hanging="360"/>
      </w:pPr>
    </w:lvl>
  </w:abstractNum>
  <w:abstractNum w:abstractNumId="4">
    <w:nsid w:val="FFFFFF80"/>
    <w:multiLevelType w:val="singleLevel"/>
    <w:tmpl w:val="AF32AA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4E14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396069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9CCB4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D6E94EE"/>
    <w:lvl w:ilvl="0">
      <w:start w:val="1"/>
      <w:numFmt w:val="decimal"/>
      <w:lvlText w:val="%1."/>
      <w:lvlJc w:val="left"/>
      <w:pPr>
        <w:tabs>
          <w:tab w:val="num" w:pos="360"/>
        </w:tabs>
        <w:ind w:left="360" w:hanging="360"/>
      </w:pPr>
    </w:lvl>
  </w:abstractNum>
  <w:abstractNum w:abstractNumId="9">
    <w:nsid w:val="FFFFFF89"/>
    <w:multiLevelType w:val="singleLevel"/>
    <w:tmpl w:val="C2049EDC"/>
    <w:lvl w:ilvl="0">
      <w:start w:val="1"/>
      <w:numFmt w:val="bullet"/>
      <w:lvlText w:val=""/>
      <w:lvlJc w:val="left"/>
      <w:pPr>
        <w:tabs>
          <w:tab w:val="num" w:pos="360"/>
        </w:tabs>
        <w:ind w:left="360" w:hanging="360"/>
      </w:pPr>
      <w:rPr>
        <w:rFonts w:ascii="Symbol" w:hAnsi="Symbol" w:hint="default"/>
      </w:rPr>
    </w:lvl>
  </w:abstractNum>
  <w:abstractNum w:abstractNumId="10">
    <w:nsid w:val="046F537A"/>
    <w:multiLevelType w:val="hybridMultilevel"/>
    <w:tmpl w:val="A3F46136"/>
    <w:lvl w:ilvl="0" w:tplc="BEAC84C0">
      <w:start w:val="1"/>
      <w:numFmt w:val="bullet"/>
      <w:pStyle w:val="Sub-bullettedlis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09884AA4"/>
    <w:multiLevelType w:val="hybridMultilevel"/>
    <w:tmpl w:val="A8C2A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EB72A90"/>
    <w:multiLevelType w:val="hybridMultilevel"/>
    <w:tmpl w:val="989E6F56"/>
    <w:lvl w:ilvl="0" w:tplc="D668E5A4">
      <w:start w:val="1"/>
      <w:numFmt w:val="bullet"/>
      <w:pStyle w:val="Bullet"/>
      <w:lvlText w:val=""/>
      <w:lvlJc w:val="left"/>
      <w:pPr>
        <w:ind w:left="360" w:hanging="360"/>
      </w:pPr>
      <w:rPr>
        <w:rFonts w:ascii="Wingdings 3" w:hAnsi="Wingdings 3" w:hint="default"/>
        <w:sz w:val="15"/>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3">
    <w:nsid w:val="172F1740"/>
    <w:multiLevelType w:val="multilevel"/>
    <w:tmpl w:val="4A1A5CB6"/>
    <w:lvl w:ilvl="0">
      <w:start w:val="1"/>
      <w:numFmt w:val="decimal"/>
      <w:pStyle w:val="NumberedList"/>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120533"/>
    <w:multiLevelType w:val="hybridMultilevel"/>
    <w:tmpl w:val="1FBA9C56"/>
    <w:lvl w:ilvl="0" w:tplc="136C86B6">
      <w:start w:val="1"/>
      <w:numFmt w:val="bullet"/>
      <w:pStyle w:val="TableTextbullet"/>
      <w:lvlText w:val=""/>
      <w:lvlJc w:val="left"/>
      <w:pPr>
        <w:ind w:left="360" w:hanging="360"/>
      </w:pPr>
      <w:rPr>
        <w:rFonts w:ascii="Wingdings 3" w:hAnsi="Wingdings 3" w:hint="default"/>
        <w:sz w:val="11"/>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5">
    <w:nsid w:val="39D155AE"/>
    <w:multiLevelType w:val="multilevel"/>
    <w:tmpl w:val="6E3C571A"/>
    <w:lvl w:ilvl="0">
      <w:start w:val="1"/>
      <w:numFmt w:val="bullet"/>
      <w:pStyle w:val="BulletedList"/>
      <w:lvlText w:val=""/>
      <w:lvlJc w:val="left"/>
      <w:pPr>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C41621"/>
    <w:multiLevelType w:val="hybridMultilevel"/>
    <w:tmpl w:val="58AE9E6A"/>
    <w:lvl w:ilvl="0" w:tplc="E36428BC">
      <w:start w:val="1"/>
      <w:numFmt w:val="bullet"/>
      <w:lvlText w:val="•"/>
      <w:lvlJc w:val="left"/>
      <w:pPr>
        <w:tabs>
          <w:tab w:val="num" w:pos="720"/>
        </w:tabs>
        <w:ind w:left="720" w:hanging="360"/>
      </w:pPr>
      <w:rPr>
        <w:rFonts w:ascii="Arial" w:hAnsi="Arial" w:hint="default"/>
      </w:rPr>
    </w:lvl>
    <w:lvl w:ilvl="1" w:tplc="3F9007F0">
      <w:start w:val="1"/>
      <w:numFmt w:val="bullet"/>
      <w:lvlText w:val="•"/>
      <w:lvlJc w:val="left"/>
      <w:pPr>
        <w:tabs>
          <w:tab w:val="num" w:pos="1440"/>
        </w:tabs>
        <w:ind w:left="1440" w:hanging="360"/>
      </w:pPr>
      <w:rPr>
        <w:rFonts w:ascii="Arial" w:hAnsi="Arial" w:hint="default"/>
      </w:rPr>
    </w:lvl>
    <w:lvl w:ilvl="2" w:tplc="E76CDBF0" w:tentative="1">
      <w:start w:val="1"/>
      <w:numFmt w:val="bullet"/>
      <w:lvlText w:val="•"/>
      <w:lvlJc w:val="left"/>
      <w:pPr>
        <w:tabs>
          <w:tab w:val="num" w:pos="2160"/>
        </w:tabs>
        <w:ind w:left="2160" w:hanging="360"/>
      </w:pPr>
      <w:rPr>
        <w:rFonts w:ascii="Arial" w:hAnsi="Arial" w:hint="default"/>
      </w:rPr>
    </w:lvl>
    <w:lvl w:ilvl="3" w:tplc="0C486614" w:tentative="1">
      <w:start w:val="1"/>
      <w:numFmt w:val="bullet"/>
      <w:lvlText w:val="•"/>
      <w:lvlJc w:val="left"/>
      <w:pPr>
        <w:tabs>
          <w:tab w:val="num" w:pos="2880"/>
        </w:tabs>
        <w:ind w:left="2880" w:hanging="360"/>
      </w:pPr>
      <w:rPr>
        <w:rFonts w:ascii="Arial" w:hAnsi="Arial" w:hint="default"/>
      </w:rPr>
    </w:lvl>
    <w:lvl w:ilvl="4" w:tplc="9D984064" w:tentative="1">
      <w:start w:val="1"/>
      <w:numFmt w:val="bullet"/>
      <w:lvlText w:val="•"/>
      <w:lvlJc w:val="left"/>
      <w:pPr>
        <w:tabs>
          <w:tab w:val="num" w:pos="3600"/>
        </w:tabs>
        <w:ind w:left="3600" w:hanging="360"/>
      </w:pPr>
      <w:rPr>
        <w:rFonts w:ascii="Arial" w:hAnsi="Arial" w:hint="default"/>
      </w:rPr>
    </w:lvl>
    <w:lvl w:ilvl="5" w:tplc="CB88DF74" w:tentative="1">
      <w:start w:val="1"/>
      <w:numFmt w:val="bullet"/>
      <w:lvlText w:val="•"/>
      <w:lvlJc w:val="left"/>
      <w:pPr>
        <w:tabs>
          <w:tab w:val="num" w:pos="4320"/>
        </w:tabs>
        <w:ind w:left="4320" w:hanging="360"/>
      </w:pPr>
      <w:rPr>
        <w:rFonts w:ascii="Arial" w:hAnsi="Arial" w:hint="default"/>
      </w:rPr>
    </w:lvl>
    <w:lvl w:ilvl="6" w:tplc="1C2AF95C" w:tentative="1">
      <w:start w:val="1"/>
      <w:numFmt w:val="bullet"/>
      <w:lvlText w:val="•"/>
      <w:lvlJc w:val="left"/>
      <w:pPr>
        <w:tabs>
          <w:tab w:val="num" w:pos="5040"/>
        </w:tabs>
        <w:ind w:left="5040" w:hanging="360"/>
      </w:pPr>
      <w:rPr>
        <w:rFonts w:ascii="Arial" w:hAnsi="Arial" w:hint="default"/>
      </w:rPr>
    </w:lvl>
    <w:lvl w:ilvl="7" w:tplc="E02EFDE2" w:tentative="1">
      <w:start w:val="1"/>
      <w:numFmt w:val="bullet"/>
      <w:lvlText w:val="•"/>
      <w:lvlJc w:val="left"/>
      <w:pPr>
        <w:tabs>
          <w:tab w:val="num" w:pos="5760"/>
        </w:tabs>
        <w:ind w:left="5760" w:hanging="360"/>
      </w:pPr>
      <w:rPr>
        <w:rFonts w:ascii="Arial" w:hAnsi="Arial" w:hint="default"/>
      </w:rPr>
    </w:lvl>
    <w:lvl w:ilvl="8" w:tplc="4F9688E8" w:tentative="1">
      <w:start w:val="1"/>
      <w:numFmt w:val="bullet"/>
      <w:lvlText w:val="•"/>
      <w:lvlJc w:val="left"/>
      <w:pPr>
        <w:tabs>
          <w:tab w:val="num" w:pos="6480"/>
        </w:tabs>
        <w:ind w:left="6480" w:hanging="360"/>
      </w:pPr>
      <w:rPr>
        <w:rFonts w:ascii="Arial" w:hAnsi="Arial" w:hint="default"/>
      </w:rPr>
    </w:lvl>
  </w:abstractNum>
  <w:abstractNum w:abstractNumId="17">
    <w:nsid w:val="4A917260"/>
    <w:multiLevelType w:val="hybridMultilevel"/>
    <w:tmpl w:val="3D2AFB66"/>
    <w:lvl w:ilvl="0" w:tplc="2476253E">
      <w:start w:val="1"/>
      <w:numFmt w:val="decimal"/>
      <w:pStyle w:val="Heading4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3B268B7"/>
    <w:multiLevelType w:val="hybridMultilevel"/>
    <w:tmpl w:val="3CE4843A"/>
    <w:lvl w:ilvl="0" w:tplc="04186316">
      <w:start w:val="1"/>
      <w:numFmt w:val="decimal"/>
      <w:pStyle w:val="Heading3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711921B9"/>
    <w:multiLevelType w:val="hybridMultilevel"/>
    <w:tmpl w:val="5FFE09A8"/>
    <w:lvl w:ilvl="0" w:tplc="CB5C1172">
      <w:start w:val="1"/>
      <w:numFmt w:val="decimal"/>
      <w:pStyle w:val="Heading2Numbered"/>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7BB1F22"/>
    <w:multiLevelType w:val="hybridMultilevel"/>
    <w:tmpl w:val="031EE8DE"/>
    <w:lvl w:ilvl="0" w:tplc="F3F494B8">
      <w:start w:val="1"/>
      <w:numFmt w:val="bullet"/>
      <w:pStyle w:val="Sub-bulletedlis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2"/>
  </w:num>
  <w:num w:numId="2">
    <w:abstractNumId w:val="16"/>
  </w:num>
  <w:num w:numId="3">
    <w:abstractNumId w:val="14"/>
  </w:num>
  <w:num w:numId="4">
    <w:abstractNumId w:val="12"/>
  </w:num>
  <w:num w:numId="5">
    <w:abstractNumId w:val="16"/>
  </w:num>
  <w:num w:numId="6">
    <w:abstractNumId w:val="14"/>
  </w:num>
  <w:num w:numId="7">
    <w:abstractNumId w:val="13"/>
  </w:num>
  <w:num w:numId="8">
    <w:abstractNumId w:val="15"/>
  </w:num>
  <w:num w:numId="9">
    <w:abstractNumId w:val="19"/>
  </w:num>
  <w:num w:numId="10">
    <w:abstractNumId w:val="18"/>
  </w:num>
  <w:num w:numId="11">
    <w:abstractNumId w:val="17"/>
  </w:num>
  <w:num w:numId="12">
    <w:abstractNumId w:val="1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removePersonalInformation/>
  <w:removeDateAndTime/>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67"/>
    <w:rsid w:val="00003743"/>
    <w:rsid w:val="0004452A"/>
    <w:rsid w:val="00067456"/>
    <w:rsid w:val="00083432"/>
    <w:rsid w:val="000C27C2"/>
    <w:rsid w:val="000F2055"/>
    <w:rsid w:val="0018425E"/>
    <w:rsid w:val="00190797"/>
    <w:rsid w:val="001B3443"/>
    <w:rsid w:val="001F1297"/>
    <w:rsid w:val="00205C5A"/>
    <w:rsid w:val="00247BCD"/>
    <w:rsid w:val="002650A3"/>
    <w:rsid w:val="00291A4E"/>
    <w:rsid w:val="002A7C0B"/>
    <w:rsid w:val="002F3AE3"/>
    <w:rsid w:val="003021C5"/>
    <w:rsid w:val="00304DAF"/>
    <w:rsid w:val="0030786C"/>
    <w:rsid w:val="00323B20"/>
    <w:rsid w:val="003D17F9"/>
    <w:rsid w:val="004217A7"/>
    <w:rsid w:val="004867E2"/>
    <w:rsid w:val="004A2CD4"/>
    <w:rsid w:val="004A32C3"/>
    <w:rsid w:val="004F3AA0"/>
    <w:rsid w:val="00543C9E"/>
    <w:rsid w:val="00561352"/>
    <w:rsid w:val="00573D48"/>
    <w:rsid w:val="00596E15"/>
    <w:rsid w:val="005D2E42"/>
    <w:rsid w:val="005E0FAB"/>
    <w:rsid w:val="005F4768"/>
    <w:rsid w:val="006164C2"/>
    <w:rsid w:val="00627DF9"/>
    <w:rsid w:val="006603E3"/>
    <w:rsid w:val="006727F5"/>
    <w:rsid w:val="00672899"/>
    <w:rsid w:val="006F5435"/>
    <w:rsid w:val="008264EB"/>
    <w:rsid w:val="00917E71"/>
    <w:rsid w:val="00963935"/>
    <w:rsid w:val="00983721"/>
    <w:rsid w:val="00986850"/>
    <w:rsid w:val="009D7609"/>
    <w:rsid w:val="009D7661"/>
    <w:rsid w:val="009E5B4B"/>
    <w:rsid w:val="009F4C87"/>
    <w:rsid w:val="009F7DAB"/>
    <w:rsid w:val="00A30A78"/>
    <w:rsid w:val="00A4512D"/>
    <w:rsid w:val="00A66C82"/>
    <w:rsid w:val="00A705AF"/>
    <w:rsid w:val="00AC1AA3"/>
    <w:rsid w:val="00B42851"/>
    <w:rsid w:val="00B44123"/>
    <w:rsid w:val="00CB4C13"/>
    <w:rsid w:val="00CB5B1A"/>
    <w:rsid w:val="00CD0C70"/>
    <w:rsid w:val="00D04189"/>
    <w:rsid w:val="00D22D32"/>
    <w:rsid w:val="00D33167"/>
    <w:rsid w:val="00DD1480"/>
    <w:rsid w:val="00DE28BE"/>
    <w:rsid w:val="00DF782A"/>
    <w:rsid w:val="00E228B6"/>
    <w:rsid w:val="00E7099F"/>
    <w:rsid w:val="00F151D2"/>
    <w:rsid w:val="00F15390"/>
    <w:rsid w:val="00F410B0"/>
    <w:rsid w:val="00F42897"/>
    <w:rsid w:val="00F60DF4"/>
    <w:rsid w:val="00F9158F"/>
    <w:rsid w:val="00FD3DB6"/>
    <w:rsid w:val="00FF0F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310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1F1297"/>
    <w:pPr>
      <w:numPr>
        <w:numId w:val="8"/>
      </w:numPr>
      <w:spacing w:after="0"/>
      <w:ind w:left="714" w:hanging="357"/>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23"/>
      </w:numPr>
      <w:spacing w:line="240" w:lineRule="auto"/>
      <w:ind w:left="1797" w:hanging="357"/>
    </w:pPr>
    <w:rPr>
      <w:lang w:eastAsia="en-US"/>
    </w:rPr>
  </w:style>
  <w:style w:type="paragraph" w:customStyle="1" w:styleId="Sub-bullettedlist">
    <w:name w:val="Sub-bulletted list"/>
    <w:basedOn w:val="BulletedList"/>
    <w:qFormat/>
    <w:rsid w:val="009F4C87"/>
    <w:pPr>
      <w:numPr>
        <w:numId w:val="24"/>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AU" w:eastAsia="en-AU"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footnote text" w:uiPriority="99"/>
    <w:lsdException w:name="footer" w:uiPriority="99"/>
    <w:lsdException w:name="caption" w:semiHidden="1" w:uiPriority="35" w:unhideWhenUsed="1" w:qFormat="1"/>
    <w:lsdException w:name="footnote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0FAB"/>
    <w:pPr>
      <w:spacing w:line="300" w:lineRule="auto"/>
    </w:pPr>
    <w:rPr>
      <w:rFonts w:ascii="Arial" w:hAnsi="Arial" w:cs="Arial"/>
      <w:sz w:val="21"/>
      <w:szCs w:val="20"/>
    </w:rPr>
  </w:style>
  <w:style w:type="paragraph" w:styleId="Heading1">
    <w:name w:val="heading 1"/>
    <w:aliases w:val="Blue"/>
    <w:basedOn w:val="Normal"/>
    <w:next w:val="Normal"/>
    <w:link w:val="Heading1Char"/>
    <w:uiPriority w:val="9"/>
    <w:rsid w:val="004A32C3"/>
    <w:pPr>
      <w:outlineLvl w:val="0"/>
    </w:pPr>
  </w:style>
  <w:style w:type="paragraph" w:styleId="Heading2">
    <w:name w:val="heading 2"/>
    <w:basedOn w:val="Normal"/>
    <w:next w:val="Normal"/>
    <w:link w:val="Heading2Char"/>
    <w:uiPriority w:val="9"/>
    <w:unhideWhenUsed/>
    <w:qFormat/>
    <w:rsid w:val="00CB4C13"/>
    <w:pPr>
      <w:spacing w:before="300" w:after="100" w:line="271" w:lineRule="auto"/>
      <w:outlineLvl w:val="1"/>
    </w:pPr>
    <w:rPr>
      <w:b/>
      <w:color w:val="57259F"/>
      <w:sz w:val="25"/>
      <w:szCs w:val="28"/>
    </w:rPr>
  </w:style>
  <w:style w:type="paragraph" w:styleId="Heading3">
    <w:name w:val="heading 3"/>
    <w:basedOn w:val="Normal"/>
    <w:next w:val="Normal"/>
    <w:link w:val="Heading3Char"/>
    <w:uiPriority w:val="9"/>
    <w:unhideWhenUsed/>
    <w:qFormat/>
    <w:rsid w:val="00CB4C13"/>
    <w:pPr>
      <w:spacing w:before="200" w:after="100" w:line="271" w:lineRule="auto"/>
      <w:outlineLvl w:val="2"/>
    </w:pPr>
    <w:rPr>
      <w:iCs/>
      <w:color w:val="57259F"/>
      <w:spacing w:val="5"/>
      <w:sz w:val="24"/>
      <w:szCs w:val="26"/>
    </w:rPr>
  </w:style>
  <w:style w:type="paragraph" w:styleId="Heading4">
    <w:name w:val="heading 4"/>
    <w:basedOn w:val="Normal"/>
    <w:next w:val="Normal"/>
    <w:link w:val="Heading4Char"/>
    <w:uiPriority w:val="9"/>
    <w:unhideWhenUsed/>
    <w:qFormat/>
    <w:rsid w:val="00CB4C13"/>
    <w:pPr>
      <w:spacing w:after="100" w:line="271" w:lineRule="auto"/>
      <w:outlineLvl w:val="3"/>
    </w:pPr>
    <w:rPr>
      <w:bCs/>
      <w:caps/>
      <w:color w:val="57259F"/>
      <w:spacing w:val="5"/>
      <w:sz w:val="22"/>
      <w:szCs w:val="22"/>
      <w:lang w:val="en"/>
    </w:rPr>
  </w:style>
  <w:style w:type="paragraph" w:styleId="Heading5">
    <w:name w:val="heading 5"/>
    <w:basedOn w:val="Normal"/>
    <w:next w:val="Normal"/>
    <w:link w:val="Heading5Char"/>
    <w:uiPriority w:val="9"/>
    <w:semiHidden/>
    <w:unhideWhenUsed/>
    <w:qFormat/>
    <w:rsid w:val="00672899"/>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72899"/>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72899"/>
    <w:pPr>
      <w:spacing w:after="0"/>
      <w:outlineLvl w:val="6"/>
    </w:pPr>
    <w:rPr>
      <w:b/>
      <w:bCs/>
      <w:i/>
      <w:iCs/>
      <w:color w:val="5A5A5A" w:themeColor="text1" w:themeTint="A5"/>
      <w:sz w:val="20"/>
    </w:rPr>
  </w:style>
  <w:style w:type="paragraph" w:styleId="Heading8">
    <w:name w:val="heading 8"/>
    <w:basedOn w:val="Normal"/>
    <w:next w:val="Normal"/>
    <w:link w:val="Heading8Char"/>
    <w:uiPriority w:val="9"/>
    <w:semiHidden/>
    <w:unhideWhenUsed/>
    <w:qFormat/>
    <w:rsid w:val="00672899"/>
    <w:pPr>
      <w:spacing w:after="0"/>
      <w:outlineLvl w:val="7"/>
    </w:pPr>
    <w:rPr>
      <w:b/>
      <w:bCs/>
      <w:color w:val="7F7F7F" w:themeColor="text1" w:themeTint="80"/>
      <w:sz w:val="20"/>
    </w:rPr>
  </w:style>
  <w:style w:type="paragraph" w:styleId="Heading9">
    <w:name w:val="heading 9"/>
    <w:basedOn w:val="Normal"/>
    <w:next w:val="Normal"/>
    <w:link w:val="Heading9Char"/>
    <w:uiPriority w:val="9"/>
    <w:semiHidden/>
    <w:unhideWhenUsed/>
    <w:qFormat/>
    <w:rsid w:val="00672899"/>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672899"/>
    <w:rPr>
      <w:b/>
      <w:bCs/>
      <w:i/>
      <w:iCs/>
      <w:spacing w:val="10"/>
    </w:rPr>
  </w:style>
  <w:style w:type="character" w:styleId="Strong">
    <w:name w:val="Strong"/>
    <w:uiPriority w:val="22"/>
    <w:qFormat/>
    <w:rsid w:val="00672899"/>
    <w:rPr>
      <w:b/>
      <w:bCs/>
    </w:rPr>
  </w:style>
  <w:style w:type="table" w:customStyle="1" w:styleId="PlainTable41">
    <w:name w:val="Plain Table 41"/>
    <w:basedOn w:val="TableNormal"/>
    <w:rsid w:val="004A32C3"/>
    <w:pPr>
      <w:spacing w:after="0" w:line="240" w:lineRule="auto"/>
    </w:pPr>
    <w:rPr>
      <w:rFonts w:asciiTheme="minorHAnsi" w:eastAsiaTheme="minorEastAsia"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4A32C3"/>
    <w:pPr>
      <w:keepNext/>
      <w:keepLines/>
      <w:spacing w:before="360" w:after="0" w:line="240" w:lineRule="auto"/>
    </w:pPr>
    <w:rPr>
      <w:caps/>
      <w:kern w:val="20"/>
      <w:sz w:val="44"/>
      <w:szCs w:val="48"/>
      <w:lang w:eastAsia="en-US"/>
    </w:rPr>
  </w:style>
  <w:style w:type="character" w:customStyle="1" w:styleId="TitleChar">
    <w:name w:val="Title Char"/>
    <w:basedOn w:val="DefaultParagraphFont"/>
    <w:link w:val="Title"/>
    <w:uiPriority w:val="10"/>
    <w:rsid w:val="00672899"/>
    <w:rPr>
      <w:rFonts w:cs="Arial"/>
      <w:caps/>
      <w:kern w:val="20"/>
      <w:sz w:val="44"/>
      <w:szCs w:val="48"/>
      <w:lang w:eastAsia="en-US"/>
    </w:rPr>
  </w:style>
  <w:style w:type="paragraph" w:styleId="NoSpacing">
    <w:name w:val="No Spacing"/>
    <w:basedOn w:val="Normal"/>
    <w:link w:val="NoSpacingChar"/>
    <w:uiPriority w:val="1"/>
    <w:qFormat/>
    <w:rsid w:val="00672899"/>
    <w:pPr>
      <w:spacing w:after="0" w:line="240" w:lineRule="auto"/>
    </w:pPr>
  </w:style>
  <w:style w:type="character" w:styleId="SubtleEmphasis">
    <w:name w:val="Subtle Emphasis"/>
    <w:uiPriority w:val="19"/>
    <w:qFormat/>
    <w:rsid w:val="00672899"/>
    <w:rPr>
      <w:i/>
      <w:iCs/>
    </w:rPr>
  </w:style>
  <w:style w:type="character" w:styleId="IntenseEmphasis">
    <w:name w:val="Intense Emphasis"/>
    <w:uiPriority w:val="21"/>
    <w:qFormat/>
    <w:rsid w:val="00672899"/>
    <w:rPr>
      <w:b/>
      <w:bCs/>
      <w:i/>
      <w:iCs/>
    </w:rPr>
  </w:style>
  <w:style w:type="paragraph" w:styleId="Quote">
    <w:name w:val="Quote"/>
    <w:aliases w:val="Actions Intro Para"/>
    <w:basedOn w:val="Normal"/>
    <w:next w:val="Normal"/>
    <w:link w:val="QuoteChar"/>
    <w:uiPriority w:val="29"/>
    <w:qFormat/>
    <w:rsid w:val="00672899"/>
    <w:rPr>
      <w:i/>
      <w:iCs/>
    </w:rPr>
  </w:style>
  <w:style w:type="character" w:customStyle="1" w:styleId="QuoteChar">
    <w:name w:val="Quote Char"/>
    <w:aliases w:val="Actions Intro Para Char"/>
    <w:basedOn w:val="DefaultParagraphFont"/>
    <w:link w:val="Quote"/>
    <w:uiPriority w:val="29"/>
    <w:rsid w:val="00672899"/>
    <w:rPr>
      <w:i/>
      <w:iCs/>
    </w:rPr>
  </w:style>
  <w:style w:type="paragraph" w:styleId="IntenseQuote">
    <w:name w:val="Intense Quote"/>
    <w:basedOn w:val="Normal"/>
    <w:next w:val="Normal"/>
    <w:link w:val="IntenseQuoteChar"/>
    <w:uiPriority w:val="30"/>
    <w:qFormat/>
    <w:rsid w:val="00672899"/>
    <w:pPr>
      <w:pBdr>
        <w:top w:val="single" w:sz="4" w:space="10" w:color="auto"/>
        <w:bottom w:val="single" w:sz="4" w:space="10" w:color="auto"/>
      </w:pBdr>
      <w:spacing w:before="240" w:after="240"/>
      <w:ind w:left="1152" w:right="1152"/>
      <w:jc w:val="both"/>
    </w:pPr>
    <w:rPr>
      <w:i/>
      <w:iCs/>
    </w:rPr>
  </w:style>
  <w:style w:type="character" w:customStyle="1" w:styleId="IntenseQuoteChar">
    <w:name w:val="Intense Quote Char"/>
    <w:basedOn w:val="DefaultParagraphFont"/>
    <w:link w:val="IntenseQuote"/>
    <w:uiPriority w:val="30"/>
    <w:rsid w:val="00672899"/>
    <w:rPr>
      <w:i/>
      <w:iCs/>
    </w:rPr>
  </w:style>
  <w:style w:type="character" w:styleId="SubtleReference">
    <w:name w:val="Subtle Reference"/>
    <w:basedOn w:val="DefaultParagraphFont"/>
    <w:uiPriority w:val="31"/>
    <w:rsid w:val="00672899"/>
    <w:rPr>
      <w:smallCaps/>
    </w:rPr>
  </w:style>
  <w:style w:type="character" w:styleId="IntenseReference">
    <w:name w:val="Intense Reference"/>
    <w:uiPriority w:val="32"/>
    <w:qFormat/>
    <w:rsid w:val="00672899"/>
    <w:rPr>
      <w:b/>
      <w:bCs/>
      <w:smallCaps/>
    </w:rPr>
  </w:style>
  <w:style w:type="character" w:styleId="BookTitle">
    <w:name w:val="Book Title"/>
    <w:basedOn w:val="DefaultParagraphFont"/>
    <w:uiPriority w:val="33"/>
    <w:qFormat/>
    <w:rsid w:val="00672899"/>
    <w:rPr>
      <w:i/>
      <w:iCs/>
      <w:smallCaps/>
      <w:spacing w:val="5"/>
    </w:rPr>
  </w:style>
  <w:style w:type="paragraph" w:customStyle="1" w:styleId="SubtitleCover">
    <w:name w:val="Subtitle Cover"/>
    <w:basedOn w:val="Normal"/>
    <w:next w:val="BodyText"/>
    <w:rsid w:val="004A32C3"/>
    <w:pPr>
      <w:keepNext/>
      <w:keepLines/>
      <w:spacing w:after="120" w:line="240" w:lineRule="auto"/>
    </w:pPr>
    <w:rPr>
      <w:kern w:val="20"/>
      <w:sz w:val="36"/>
      <w:szCs w:val="48"/>
      <w:lang w:eastAsia="en-US"/>
    </w:rPr>
  </w:style>
  <w:style w:type="paragraph" w:styleId="BodyText">
    <w:name w:val="Body Text"/>
    <w:basedOn w:val="Normal"/>
    <w:link w:val="BodyTextChar"/>
    <w:rsid w:val="00D33167"/>
    <w:pPr>
      <w:spacing w:after="120"/>
    </w:pPr>
  </w:style>
  <w:style w:type="character" w:customStyle="1" w:styleId="BodyTextChar">
    <w:name w:val="Body Text Char"/>
    <w:basedOn w:val="DefaultParagraphFont"/>
    <w:link w:val="BodyText"/>
    <w:rsid w:val="00D33167"/>
    <w:rPr>
      <w:rFonts w:ascii="Arial" w:eastAsiaTheme="minorEastAsia" w:hAnsi="Arial" w:cstheme="minorBidi"/>
      <w:szCs w:val="24"/>
      <w:lang w:val="en-GB" w:eastAsia="en-GB"/>
    </w:rPr>
  </w:style>
  <w:style w:type="paragraph" w:styleId="BalloonText">
    <w:name w:val="Balloon Text"/>
    <w:basedOn w:val="Normal"/>
    <w:link w:val="BalloonTextChar"/>
    <w:rsid w:val="00D33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33167"/>
    <w:rPr>
      <w:rFonts w:ascii="Tahoma" w:eastAsiaTheme="minorEastAsia" w:hAnsi="Tahoma" w:cs="Tahoma"/>
      <w:sz w:val="16"/>
      <w:szCs w:val="16"/>
      <w:lang w:val="en-GB" w:eastAsia="en-GB"/>
    </w:rPr>
  </w:style>
  <w:style w:type="paragraph" w:styleId="Header">
    <w:name w:val="header"/>
    <w:basedOn w:val="Normal"/>
    <w:link w:val="HeaderChar"/>
    <w:rsid w:val="00A66C82"/>
    <w:pPr>
      <w:tabs>
        <w:tab w:val="center" w:pos="4513"/>
        <w:tab w:val="right" w:pos="9026"/>
      </w:tabs>
      <w:spacing w:after="0" w:line="240" w:lineRule="auto"/>
    </w:pPr>
  </w:style>
  <w:style w:type="character" w:customStyle="1" w:styleId="HeaderChar">
    <w:name w:val="Header Char"/>
    <w:basedOn w:val="DefaultParagraphFont"/>
    <w:link w:val="Header"/>
    <w:rsid w:val="00A66C82"/>
    <w:rPr>
      <w:rFonts w:ascii="Arial" w:eastAsiaTheme="minorEastAsia" w:hAnsi="Arial" w:cstheme="minorBidi"/>
      <w:szCs w:val="24"/>
      <w:lang w:val="en-GB" w:eastAsia="en-GB"/>
    </w:rPr>
  </w:style>
  <w:style w:type="paragraph" w:styleId="Footer">
    <w:name w:val="footer"/>
    <w:basedOn w:val="Normal"/>
    <w:link w:val="FooterChar"/>
    <w:uiPriority w:val="99"/>
    <w:rsid w:val="00CB4C13"/>
    <w:pPr>
      <w:tabs>
        <w:tab w:val="center" w:pos="4513"/>
        <w:tab w:val="right" w:pos="9026"/>
      </w:tabs>
      <w:spacing w:after="240" w:line="240" w:lineRule="auto"/>
      <w:jc w:val="center"/>
    </w:pPr>
    <w:rPr>
      <w:sz w:val="19"/>
    </w:rPr>
  </w:style>
  <w:style w:type="character" w:customStyle="1" w:styleId="FooterChar">
    <w:name w:val="Footer Char"/>
    <w:basedOn w:val="DefaultParagraphFont"/>
    <w:link w:val="Footer"/>
    <w:uiPriority w:val="99"/>
    <w:rsid w:val="00CB4C13"/>
    <w:rPr>
      <w:rFonts w:ascii="Arial" w:hAnsi="Arial" w:cs="Arial"/>
      <w:sz w:val="19"/>
      <w:szCs w:val="20"/>
    </w:rPr>
  </w:style>
  <w:style w:type="paragraph" w:customStyle="1" w:styleId="Bullet">
    <w:name w:val="Bullet"/>
    <w:basedOn w:val="Normal"/>
    <w:rsid w:val="00672899"/>
    <w:pPr>
      <w:numPr>
        <w:numId w:val="4"/>
      </w:numPr>
      <w:spacing w:after="120"/>
    </w:pPr>
  </w:style>
  <w:style w:type="paragraph" w:customStyle="1" w:styleId="Heading1Black">
    <w:name w:val="Heading 1 Black"/>
    <w:basedOn w:val="Heading1"/>
    <w:next w:val="Normal1stParaafterHeading1"/>
    <w:autoRedefine/>
    <w:qFormat/>
    <w:rsid w:val="00FF0F5E"/>
    <w:pPr>
      <w:pBdr>
        <w:left w:val="single" w:sz="48" w:space="8" w:color="57259F"/>
      </w:pBdr>
      <w:spacing w:after="120"/>
      <w:ind w:left="284"/>
    </w:pPr>
    <w:rPr>
      <w:bCs/>
      <w:caps/>
      <w:color w:val="000000" w:themeColor="text1"/>
      <w:sz w:val="32"/>
      <w:szCs w:val="32"/>
    </w:rPr>
  </w:style>
  <w:style w:type="paragraph" w:customStyle="1" w:styleId="QuoteRef">
    <w:name w:val="Quote Ref"/>
    <w:basedOn w:val="Normal"/>
    <w:rsid w:val="00672899"/>
    <w:pPr>
      <w:spacing w:before="120"/>
    </w:pPr>
    <w:rPr>
      <w:color w:val="000000" w:themeColor="text1"/>
    </w:rPr>
  </w:style>
  <w:style w:type="paragraph" w:customStyle="1" w:styleId="TableText">
    <w:name w:val="Table Text"/>
    <w:rsid w:val="00672899"/>
    <w:pPr>
      <w:spacing w:after="120"/>
    </w:pPr>
    <w:rPr>
      <w:rFonts w:ascii="Arial" w:hAnsi="Arial"/>
      <w:bCs/>
      <w:sz w:val="18"/>
      <w:szCs w:val="18"/>
    </w:rPr>
  </w:style>
  <w:style w:type="paragraph" w:customStyle="1" w:styleId="TableHeaderRow">
    <w:name w:val="Table Header Row"/>
    <w:basedOn w:val="Normal"/>
    <w:rsid w:val="00672899"/>
    <w:pPr>
      <w:spacing w:after="0" w:line="240" w:lineRule="auto"/>
    </w:pPr>
    <w:rPr>
      <w:rFonts w:cs="Times New Roman"/>
      <w:bCs/>
      <w:color w:val="FFFFFF" w:themeColor="background1"/>
    </w:rPr>
  </w:style>
  <w:style w:type="paragraph" w:customStyle="1" w:styleId="TableTextbullet">
    <w:name w:val="Table Text bullet"/>
    <w:basedOn w:val="TableText"/>
    <w:rsid w:val="00672899"/>
    <w:pPr>
      <w:numPr>
        <w:numId w:val="6"/>
      </w:numPr>
      <w:spacing w:after="60" w:line="240" w:lineRule="auto"/>
    </w:pPr>
  </w:style>
  <w:style w:type="paragraph" w:customStyle="1" w:styleId="TabletextfirstColumn">
    <w:name w:val="Table text first Column"/>
    <w:basedOn w:val="TableText"/>
    <w:rsid w:val="00672899"/>
    <w:pPr>
      <w:spacing w:line="300" w:lineRule="auto"/>
    </w:pPr>
    <w:rPr>
      <w:bCs w:val="0"/>
      <w:i/>
    </w:rPr>
  </w:style>
  <w:style w:type="paragraph" w:customStyle="1" w:styleId="Heading2PriorityIntro">
    <w:name w:val="Heading 2 Priority Intro"/>
    <w:basedOn w:val="Heading2"/>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spacing w:before="240"/>
      <w:ind w:left="170" w:right="170"/>
    </w:pPr>
  </w:style>
  <w:style w:type="paragraph" w:customStyle="1" w:styleId="NormalPriorityIntro">
    <w:name w:val="Normal Priority Intro"/>
    <w:basedOn w:val="Normal"/>
    <w:rsid w:val="00672899"/>
    <w:p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left="170" w:right="170"/>
    </w:pPr>
  </w:style>
  <w:style w:type="paragraph" w:customStyle="1" w:styleId="BulletPriorityIntro">
    <w:name w:val="Bullet Priority Intro"/>
    <w:basedOn w:val="Bullet"/>
    <w:rsid w:val="00672899"/>
    <w:pPr>
      <w:numPr>
        <w:numId w:val="0"/>
      </w:numPr>
      <w:pBdr>
        <w:top w:val="single" w:sz="4" w:space="8" w:color="F2F2F2" w:themeColor="background1" w:themeShade="F2"/>
        <w:left w:val="single" w:sz="4" w:space="8" w:color="F2F2F2" w:themeColor="background1" w:themeShade="F2"/>
        <w:bottom w:val="single" w:sz="4" w:space="8" w:color="F2F2F2" w:themeColor="background1" w:themeShade="F2"/>
        <w:right w:val="single" w:sz="4" w:space="8" w:color="F2F2F2" w:themeColor="background1" w:themeShade="F2"/>
      </w:pBdr>
      <w:shd w:val="clear" w:color="auto" w:fill="F2F2F2" w:themeFill="background1" w:themeFillShade="F2"/>
      <w:ind w:right="170"/>
    </w:pPr>
  </w:style>
  <w:style w:type="paragraph" w:customStyle="1" w:styleId="CaptionReversed">
    <w:name w:val="Caption Reversed"/>
    <w:basedOn w:val="Caption"/>
    <w:rsid w:val="00672899"/>
    <w:pPr>
      <w:pBdr>
        <w:top w:val="single" w:sz="4" w:space="5" w:color="00B0F0"/>
        <w:left w:val="single" w:sz="4" w:space="5" w:color="00B0F0"/>
        <w:bottom w:val="single" w:sz="4" w:space="5" w:color="00B0F0"/>
        <w:right w:val="single" w:sz="4" w:space="5" w:color="00B0F0"/>
      </w:pBdr>
      <w:shd w:val="clear" w:color="auto" w:fill="00B0F0"/>
      <w:ind w:left="113" w:right="113"/>
    </w:pPr>
    <w:rPr>
      <w:color w:val="FFFFFF" w:themeColor="background1"/>
    </w:rPr>
  </w:style>
  <w:style w:type="paragraph" w:styleId="Caption">
    <w:name w:val="caption"/>
    <w:basedOn w:val="Normal"/>
    <w:next w:val="Normal"/>
    <w:uiPriority w:val="35"/>
    <w:unhideWhenUsed/>
    <w:qFormat/>
    <w:rsid w:val="004A32C3"/>
    <w:rPr>
      <w:bCs/>
      <w:color w:val="000000" w:themeColor="text1"/>
      <w:sz w:val="16"/>
      <w:szCs w:val="16"/>
    </w:rPr>
  </w:style>
  <w:style w:type="paragraph" w:customStyle="1" w:styleId="Boxbullets">
    <w:name w:val="Box bullets"/>
    <w:basedOn w:val="Bullet"/>
    <w:rsid w:val="00672899"/>
    <w:pPr>
      <w:numPr>
        <w:numId w:val="0"/>
      </w:numPr>
      <w:pBdr>
        <w:top w:val="single" w:sz="4" w:space="8" w:color="00B0F0"/>
        <w:left w:val="single" w:sz="4" w:space="5" w:color="00B0F0"/>
        <w:bottom w:val="single" w:sz="4" w:space="5" w:color="00B0F0"/>
        <w:right w:val="single" w:sz="4" w:space="5" w:color="00B0F0"/>
      </w:pBdr>
      <w:ind w:right="142"/>
    </w:pPr>
  </w:style>
  <w:style w:type="paragraph" w:customStyle="1" w:styleId="BoxText">
    <w:name w:val="Box Text"/>
    <w:basedOn w:val="Boxbullets"/>
    <w:rsid w:val="00672899"/>
    <w:pPr>
      <w:pBdr>
        <w:left w:val="single" w:sz="4" w:space="8" w:color="00B0F0"/>
        <w:bottom w:val="single" w:sz="4" w:space="8" w:color="00B0F0"/>
        <w:right w:val="single" w:sz="4" w:space="8" w:color="00B0F0"/>
      </w:pBdr>
      <w:ind w:left="198" w:right="198"/>
    </w:pPr>
  </w:style>
  <w:style w:type="paragraph" w:customStyle="1" w:styleId="ActionBullet">
    <w:name w:val="Action Bullet"/>
    <w:basedOn w:val="Boxbullets"/>
    <w:rsid w:val="00672899"/>
    <w:pPr>
      <w:pBdr>
        <w:top w:val="none" w:sz="0" w:space="0" w:color="auto"/>
        <w:left w:val="none" w:sz="0" w:space="0" w:color="auto"/>
        <w:bottom w:val="single" w:sz="4" w:space="8" w:color="00B0F0"/>
        <w:right w:val="none" w:sz="0" w:space="0" w:color="auto"/>
      </w:pBdr>
      <w:ind w:right="57"/>
    </w:pPr>
  </w:style>
  <w:style w:type="paragraph" w:customStyle="1" w:styleId="Normal1stParaafterHeading1">
    <w:name w:val="Normal 1st Para after Heading 1"/>
    <w:basedOn w:val="Normal"/>
    <w:next w:val="Normal"/>
    <w:rsid w:val="005F4768"/>
    <w:pPr>
      <w:spacing w:before="480"/>
    </w:pPr>
  </w:style>
  <w:style w:type="character" w:customStyle="1" w:styleId="Heading1Char">
    <w:name w:val="Heading 1 Char"/>
    <w:aliases w:val="Blue Char"/>
    <w:basedOn w:val="DefaultParagraphFont"/>
    <w:link w:val="Heading1"/>
    <w:uiPriority w:val="9"/>
    <w:rsid w:val="004A32C3"/>
    <w:rPr>
      <w:rFonts w:ascii="Arial" w:hAnsi="Arial" w:cs="Arial"/>
      <w:sz w:val="21"/>
      <w:szCs w:val="20"/>
    </w:rPr>
  </w:style>
  <w:style w:type="character" w:customStyle="1" w:styleId="Heading2Char">
    <w:name w:val="Heading 2 Char"/>
    <w:basedOn w:val="DefaultParagraphFont"/>
    <w:link w:val="Heading2"/>
    <w:uiPriority w:val="9"/>
    <w:rsid w:val="00CB4C13"/>
    <w:rPr>
      <w:rFonts w:ascii="Arial" w:hAnsi="Arial" w:cs="Arial"/>
      <w:b/>
      <w:color w:val="57259F"/>
      <w:sz w:val="25"/>
      <w:szCs w:val="28"/>
    </w:rPr>
  </w:style>
  <w:style w:type="character" w:customStyle="1" w:styleId="Heading3Char">
    <w:name w:val="Heading 3 Char"/>
    <w:basedOn w:val="DefaultParagraphFont"/>
    <w:link w:val="Heading3"/>
    <w:uiPriority w:val="9"/>
    <w:rsid w:val="00CB4C13"/>
    <w:rPr>
      <w:rFonts w:ascii="Arial" w:hAnsi="Arial" w:cs="Arial"/>
      <w:iCs/>
      <w:color w:val="57259F"/>
      <w:spacing w:val="5"/>
      <w:sz w:val="24"/>
      <w:szCs w:val="26"/>
    </w:rPr>
  </w:style>
  <w:style w:type="character" w:customStyle="1" w:styleId="Heading4Char">
    <w:name w:val="Heading 4 Char"/>
    <w:basedOn w:val="DefaultParagraphFont"/>
    <w:link w:val="Heading4"/>
    <w:uiPriority w:val="9"/>
    <w:rsid w:val="00CB4C13"/>
    <w:rPr>
      <w:rFonts w:ascii="Arial" w:hAnsi="Arial" w:cs="Arial"/>
      <w:bCs/>
      <w:caps/>
      <w:color w:val="57259F"/>
      <w:spacing w:val="5"/>
      <w:lang w:val="en"/>
    </w:rPr>
  </w:style>
  <w:style w:type="character" w:customStyle="1" w:styleId="Heading5Char">
    <w:name w:val="Heading 5 Char"/>
    <w:basedOn w:val="DefaultParagraphFont"/>
    <w:link w:val="Heading5"/>
    <w:uiPriority w:val="9"/>
    <w:semiHidden/>
    <w:rsid w:val="00672899"/>
    <w:rPr>
      <w:i/>
      <w:iCs/>
      <w:sz w:val="24"/>
      <w:szCs w:val="24"/>
    </w:rPr>
  </w:style>
  <w:style w:type="character" w:customStyle="1" w:styleId="Heading6Char">
    <w:name w:val="Heading 6 Char"/>
    <w:basedOn w:val="DefaultParagraphFont"/>
    <w:link w:val="Heading6"/>
    <w:uiPriority w:val="9"/>
    <w:semiHidden/>
    <w:rsid w:val="00672899"/>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72899"/>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72899"/>
    <w:rPr>
      <w:b/>
      <w:bCs/>
      <w:color w:val="7F7F7F" w:themeColor="text1" w:themeTint="80"/>
      <w:sz w:val="20"/>
      <w:szCs w:val="20"/>
    </w:rPr>
  </w:style>
  <w:style w:type="character" w:customStyle="1" w:styleId="Heading9Char">
    <w:name w:val="Heading 9 Char"/>
    <w:basedOn w:val="DefaultParagraphFont"/>
    <w:link w:val="Heading9"/>
    <w:uiPriority w:val="9"/>
    <w:semiHidden/>
    <w:rsid w:val="00672899"/>
    <w:rPr>
      <w:b/>
      <w:bCs/>
      <w:i/>
      <w:iCs/>
      <w:color w:val="7F7F7F" w:themeColor="text1" w:themeTint="80"/>
      <w:sz w:val="18"/>
      <w:szCs w:val="18"/>
    </w:rPr>
  </w:style>
  <w:style w:type="character" w:customStyle="1" w:styleId="NoSpacingChar">
    <w:name w:val="No Spacing Char"/>
    <w:basedOn w:val="DefaultParagraphFont"/>
    <w:link w:val="NoSpacing"/>
    <w:uiPriority w:val="1"/>
    <w:rsid w:val="00672899"/>
  </w:style>
  <w:style w:type="paragraph" w:styleId="TOCHeading">
    <w:name w:val="TOC Heading"/>
    <w:basedOn w:val="Heading1"/>
    <w:next w:val="Normal"/>
    <w:uiPriority w:val="39"/>
    <w:semiHidden/>
    <w:unhideWhenUsed/>
    <w:qFormat/>
    <w:rsid w:val="00672899"/>
    <w:pPr>
      <w:outlineLvl w:val="9"/>
    </w:pPr>
    <w:rPr>
      <w:lang w:bidi="en-US"/>
    </w:rPr>
  </w:style>
  <w:style w:type="paragraph" w:customStyle="1" w:styleId="NumberedList">
    <w:name w:val="Numbered List"/>
    <w:basedOn w:val="Normal"/>
    <w:qFormat/>
    <w:rsid w:val="004A32C3"/>
    <w:pPr>
      <w:numPr>
        <w:numId w:val="7"/>
      </w:numPr>
      <w:spacing w:after="100"/>
      <w:ind w:left="714" w:hanging="357"/>
    </w:pPr>
    <w:rPr>
      <w:lang w:val="en"/>
    </w:rPr>
  </w:style>
  <w:style w:type="paragraph" w:customStyle="1" w:styleId="BulletedList">
    <w:name w:val="Bulleted List"/>
    <w:basedOn w:val="Normal"/>
    <w:qFormat/>
    <w:rsid w:val="001F1297"/>
    <w:pPr>
      <w:numPr>
        <w:numId w:val="8"/>
      </w:numPr>
      <w:spacing w:after="0"/>
      <w:ind w:left="714" w:hanging="357"/>
      <w:contextualSpacing/>
    </w:pPr>
    <w:rPr>
      <w:lang w:val="en"/>
    </w:rPr>
  </w:style>
  <w:style w:type="paragraph" w:customStyle="1" w:styleId="Heading2Numbered">
    <w:name w:val="Heading 2 Numbered"/>
    <w:basedOn w:val="Heading2"/>
    <w:qFormat/>
    <w:rsid w:val="006164C2"/>
    <w:pPr>
      <w:numPr>
        <w:numId w:val="9"/>
      </w:numPr>
    </w:pPr>
    <w:rPr>
      <w:lang w:val="en"/>
    </w:rPr>
  </w:style>
  <w:style w:type="paragraph" w:customStyle="1" w:styleId="Heading3Numbered">
    <w:name w:val="Heading 3 Numbered"/>
    <w:basedOn w:val="Heading3"/>
    <w:qFormat/>
    <w:rsid w:val="006164C2"/>
    <w:pPr>
      <w:numPr>
        <w:numId w:val="10"/>
      </w:numPr>
    </w:pPr>
  </w:style>
  <w:style w:type="paragraph" w:customStyle="1" w:styleId="Heading4Numbered">
    <w:name w:val="Heading 4 Numbered"/>
    <w:basedOn w:val="Heading4"/>
    <w:qFormat/>
    <w:rsid w:val="006164C2"/>
    <w:pPr>
      <w:numPr>
        <w:numId w:val="11"/>
      </w:numPr>
    </w:pPr>
  </w:style>
  <w:style w:type="paragraph" w:customStyle="1" w:styleId="Boxshadedcolourbackground">
    <w:name w:val="Box shaded colour background"/>
    <w:basedOn w:val="Normal"/>
    <w:qFormat/>
    <w:rsid w:val="00F9158F"/>
    <w:pPr>
      <w:pBdr>
        <w:top w:val="single" w:sz="4" w:space="8" w:color="F2F2F2"/>
        <w:left w:val="single" w:sz="4" w:space="8" w:color="F2F2F2"/>
        <w:bottom w:val="single" w:sz="4" w:space="8" w:color="F2F2F2"/>
        <w:right w:val="single" w:sz="4" w:space="8" w:color="F2F2F2"/>
      </w:pBdr>
      <w:shd w:val="clear" w:color="auto" w:fill="ECE5F5"/>
      <w:spacing w:before="300" w:line="276" w:lineRule="auto"/>
      <w:ind w:left="170" w:right="170"/>
    </w:pPr>
    <w:rPr>
      <w:rFonts w:eastAsia="Calibri" w:cs="Times New Roman"/>
      <w:bCs/>
      <w:szCs w:val="21"/>
      <w:lang w:val="en-GB" w:eastAsia="en-US"/>
    </w:rPr>
  </w:style>
  <w:style w:type="paragraph" w:customStyle="1" w:styleId="Boxshadedgreybackgroundwithcolouredstrokeaboveandbelow">
    <w:name w:val="Box shaded grey background with coloured stroke above and below"/>
    <w:basedOn w:val="Normal"/>
    <w:qFormat/>
    <w:rsid w:val="00F15390"/>
    <w:pPr>
      <w:pBdr>
        <w:top w:val="single" w:sz="4" w:space="8" w:color="573393"/>
        <w:bottom w:val="single" w:sz="4" w:space="8" w:color="573393"/>
      </w:pBdr>
      <w:shd w:val="pct5" w:color="auto" w:fill="auto"/>
      <w:spacing w:before="200" w:line="276" w:lineRule="auto"/>
    </w:pPr>
    <w:rPr>
      <w:rFonts w:eastAsia="Calibri" w:cs="Times New Roman"/>
      <w:szCs w:val="21"/>
      <w:lang w:val="en-GB" w:eastAsia="en-US"/>
    </w:rPr>
  </w:style>
  <w:style w:type="paragraph" w:customStyle="1" w:styleId="Boxwithcolouredkeyline">
    <w:name w:val="Box with coloured keyline"/>
    <w:basedOn w:val="Normal"/>
    <w:qFormat/>
    <w:rsid w:val="00F15390"/>
    <w:pPr>
      <w:pBdr>
        <w:top w:val="single" w:sz="4" w:space="8" w:color="573393"/>
        <w:left w:val="single" w:sz="4" w:space="8" w:color="573393"/>
        <w:bottom w:val="single" w:sz="4" w:space="8" w:color="573393"/>
        <w:right w:val="single" w:sz="4" w:space="8" w:color="573393"/>
      </w:pBdr>
      <w:spacing w:after="120" w:line="276" w:lineRule="auto"/>
      <w:ind w:left="198" w:right="198"/>
    </w:pPr>
    <w:rPr>
      <w:rFonts w:eastAsia="Calibri" w:cs="Times New Roman"/>
      <w:szCs w:val="21"/>
      <w:lang w:val="en-GB" w:eastAsia="en-US"/>
    </w:rPr>
  </w:style>
  <w:style w:type="paragraph" w:customStyle="1" w:styleId="Footerborderabove">
    <w:name w:val="Footer border above"/>
    <w:basedOn w:val="Footer"/>
    <w:qFormat/>
    <w:rsid w:val="00CD0C70"/>
    <w:pPr>
      <w:pBdr>
        <w:top w:val="single" w:sz="8" w:space="6" w:color="57259F"/>
      </w:pBdr>
    </w:pPr>
  </w:style>
  <w:style w:type="paragraph" w:styleId="TOC1">
    <w:name w:val="toc 1"/>
    <w:basedOn w:val="Normal"/>
    <w:next w:val="Normal"/>
    <w:autoRedefine/>
    <w:uiPriority w:val="39"/>
    <w:rsid w:val="00561352"/>
    <w:pPr>
      <w:spacing w:after="100"/>
    </w:pPr>
    <w:rPr>
      <w:sz w:val="24"/>
    </w:rPr>
  </w:style>
  <w:style w:type="paragraph" w:styleId="TOC2">
    <w:name w:val="toc 2"/>
    <w:basedOn w:val="Normal"/>
    <w:next w:val="Normal"/>
    <w:autoRedefine/>
    <w:uiPriority w:val="39"/>
    <w:rsid w:val="00561352"/>
    <w:pPr>
      <w:spacing w:after="100"/>
      <w:ind w:left="210"/>
    </w:pPr>
  </w:style>
  <w:style w:type="paragraph" w:customStyle="1" w:styleId="Heading1option2">
    <w:name w:val="Heading 1 option 2"/>
    <w:basedOn w:val="Heading1Black"/>
    <w:qFormat/>
    <w:rsid w:val="00561352"/>
    <w:pPr>
      <w:pBdr>
        <w:left w:val="none" w:sz="0" w:space="0" w:color="auto"/>
      </w:pBdr>
      <w:ind w:left="0"/>
    </w:pPr>
    <w:rPr>
      <w:caps w:val="0"/>
      <w:color w:val="57259F"/>
      <w:sz w:val="36"/>
    </w:rPr>
  </w:style>
  <w:style w:type="paragraph" w:styleId="TOC3">
    <w:name w:val="toc 3"/>
    <w:basedOn w:val="Normal"/>
    <w:next w:val="Normal"/>
    <w:autoRedefine/>
    <w:uiPriority w:val="39"/>
    <w:rsid w:val="00561352"/>
    <w:pPr>
      <w:spacing w:after="100"/>
      <w:ind w:left="420"/>
    </w:pPr>
  </w:style>
  <w:style w:type="character" w:styleId="Hyperlink">
    <w:name w:val="Hyperlink"/>
    <w:basedOn w:val="DefaultParagraphFont"/>
    <w:uiPriority w:val="99"/>
    <w:unhideWhenUsed/>
    <w:rsid w:val="00561352"/>
    <w:rPr>
      <w:color w:val="0000FF" w:themeColor="hyperlink"/>
      <w:u w:val="single"/>
    </w:rPr>
  </w:style>
  <w:style w:type="paragraph" w:styleId="BodyText2">
    <w:name w:val="Body Text 2"/>
    <w:basedOn w:val="Normal"/>
    <w:link w:val="BodyText2Char"/>
    <w:rsid w:val="005E0FAB"/>
    <w:pPr>
      <w:spacing w:after="120" w:line="480" w:lineRule="auto"/>
    </w:pPr>
  </w:style>
  <w:style w:type="character" w:customStyle="1" w:styleId="BodyText2Char">
    <w:name w:val="Body Text 2 Char"/>
    <w:basedOn w:val="DefaultParagraphFont"/>
    <w:link w:val="BodyText2"/>
    <w:rsid w:val="005E0FAB"/>
    <w:rPr>
      <w:rFonts w:ascii="Arial" w:hAnsi="Arial" w:cs="Arial"/>
      <w:sz w:val="21"/>
      <w:szCs w:val="20"/>
    </w:rPr>
  </w:style>
  <w:style w:type="paragraph" w:styleId="FootnoteText">
    <w:name w:val="footnote text"/>
    <w:basedOn w:val="Normal"/>
    <w:link w:val="FootnoteTextChar"/>
    <w:uiPriority w:val="99"/>
    <w:unhideWhenUsed/>
    <w:rsid w:val="005E0FAB"/>
    <w:pPr>
      <w:spacing w:after="0" w:line="240" w:lineRule="auto"/>
    </w:pPr>
    <w:rPr>
      <w:rFonts w:asciiTheme="minorHAnsi" w:eastAsiaTheme="minorEastAsia" w:hAnsiTheme="minorHAnsi" w:cstheme="minorBidi"/>
      <w:sz w:val="20"/>
      <w:lang w:eastAsia="zh-CN"/>
    </w:rPr>
  </w:style>
  <w:style w:type="character" w:customStyle="1" w:styleId="FootnoteTextChar">
    <w:name w:val="Footnote Text Char"/>
    <w:basedOn w:val="DefaultParagraphFont"/>
    <w:link w:val="FootnoteText"/>
    <w:uiPriority w:val="99"/>
    <w:rsid w:val="005E0FAB"/>
    <w:rPr>
      <w:rFonts w:asciiTheme="minorHAnsi" w:eastAsiaTheme="minorEastAsia" w:hAnsiTheme="minorHAnsi" w:cstheme="minorBidi"/>
      <w:sz w:val="20"/>
      <w:szCs w:val="20"/>
      <w:lang w:eastAsia="zh-CN"/>
    </w:rPr>
  </w:style>
  <w:style w:type="character" w:styleId="FootnoteReference">
    <w:name w:val="footnote reference"/>
    <w:basedOn w:val="DefaultParagraphFont"/>
    <w:uiPriority w:val="99"/>
    <w:unhideWhenUsed/>
    <w:rsid w:val="005E0FAB"/>
    <w:rPr>
      <w:vertAlign w:val="superscript"/>
    </w:rPr>
  </w:style>
  <w:style w:type="table" w:styleId="TableGrid">
    <w:name w:val="Table Grid"/>
    <w:basedOn w:val="TableNormal"/>
    <w:rsid w:val="002A7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dateinfo">
    <w:name w:val="Issue date info"/>
    <w:basedOn w:val="Normal"/>
    <w:qFormat/>
    <w:rsid w:val="00B44123"/>
    <w:pPr>
      <w:spacing w:before="120" w:after="240" w:line="360" w:lineRule="auto"/>
      <w:jc w:val="right"/>
    </w:pPr>
  </w:style>
  <w:style w:type="paragraph" w:customStyle="1" w:styleId="Sub-bulletedlist">
    <w:name w:val="Sub-bulleted list"/>
    <w:basedOn w:val="BulletedList"/>
    <w:rsid w:val="0018425E"/>
    <w:pPr>
      <w:numPr>
        <w:numId w:val="23"/>
      </w:numPr>
      <w:spacing w:line="240" w:lineRule="auto"/>
      <w:ind w:left="1797" w:hanging="357"/>
    </w:pPr>
    <w:rPr>
      <w:lang w:eastAsia="en-US"/>
    </w:rPr>
  </w:style>
  <w:style w:type="paragraph" w:customStyle="1" w:styleId="Sub-bullettedlist">
    <w:name w:val="Sub-bulletted list"/>
    <w:basedOn w:val="BulletedList"/>
    <w:qFormat/>
    <w:rsid w:val="009F4C87"/>
    <w:pPr>
      <w:numPr>
        <w:numId w:val="24"/>
      </w:numPr>
      <w:spacing w:after="120"/>
      <w:contextualSpacing w:val="0"/>
    </w:pPr>
    <w:rPr>
      <w:i/>
    </w:rPr>
  </w:style>
  <w:style w:type="character" w:styleId="CommentReference">
    <w:name w:val="annotation reference"/>
    <w:basedOn w:val="DefaultParagraphFont"/>
    <w:rsid w:val="00E228B6"/>
    <w:rPr>
      <w:sz w:val="16"/>
      <w:szCs w:val="16"/>
    </w:rPr>
  </w:style>
  <w:style w:type="paragraph" w:styleId="CommentText">
    <w:name w:val="annotation text"/>
    <w:basedOn w:val="Normal"/>
    <w:link w:val="CommentTextChar"/>
    <w:rsid w:val="00E228B6"/>
    <w:pPr>
      <w:spacing w:line="240" w:lineRule="auto"/>
    </w:pPr>
    <w:rPr>
      <w:sz w:val="20"/>
    </w:rPr>
  </w:style>
  <w:style w:type="character" w:customStyle="1" w:styleId="CommentTextChar">
    <w:name w:val="Comment Text Char"/>
    <w:basedOn w:val="DefaultParagraphFont"/>
    <w:link w:val="CommentText"/>
    <w:rsid w:val="00E228B6"/>
    <w:rPr>
      <w:rFonts w:ascii="Arial" w:hAnsi="Arial" w:cs="Arial"/>
      <w:sz w:val="20"/>
      <w:szCs w:val="20"/>
    </w:rPr>
  </w:style>
  <w:style w:type="paragraph" w:styleId="CommentSubject">
    <w:name w:val="annotation subject"/>
    <w:basedOn w:val="CommentText"/>
    <w:next w:val="CommentText"/>
    <w:link w:val="CommentSubjectChar"/>
    <w:rsid w:val="00E228B6"/>
    <w:rPr>
      <w:b/>
      <w:bCs/>
    </w:rPr>
  </w:style>
  <w:style w:type="character" w:customStyle="1" w:styleId="CommentSubjectChar">
    <w:name w:val="Comment Subject Char"/>
    <w:basedOn w:val="CommentTextChar"/>
    <w:link w:val="CommentSubject"/>
    <w:rsid w:val="00E228B6"/>
    <w:rPr>
      <w:rFonts w:ascii="Arial" w:hAnsi="Arial" w:cs="Arial"/>
      <w:b/>
      <w:bCs/>
      <w:sz w:val="20"/>
      <w:szCs w:val="20"/>
    </w:rPr>
  </w:style>
  <w:style w:type="paragraph" w:styleId="Revision">
    <w:name w:val="Revision"/>
    <w:hidden/>
    <w:uiPriority w:val="99"/>
    <w:semiHidden/>
    <w:rsid w:val="00E228B6"/>
    <w:pPr>
      <w:spacing w:after="0" w:line="240" w:lineRule="auto"/>
    </w:pPr>
    <w:rPr>
      <w:rFonts w:ascii="Arial" w:hAnsi="Arial" w:cs="Arial"/>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80777">
      <w:bodyDiv w:val="1"/>
      <w:marLeft w:val="0"/>
      <w:marRight w:val="0"/>
      <w:marTop w:val="0"/>
      <w:marBottom w:val="0"/>
      <w:divBdr>
        <w:top w:val="none" w:sz="0" w:space="0" w:color="auto"/>
        <w:left w:val="none" w:sz="0" w:space="0" w:color="auto"/>
        <w:bottom w:val="none" w:sz="0" w:space="0" w:color="auto"/>
        <w:right w:val="none" w:sz="0" w:space="0" w:color="auto"/>
      </w:divBdr>
      <w:divsChild>
        <w:div w:id="747917985">
          <w:marLeft w:val="0"/>
          <w:marRight w:val="0"/>
          <w:marTop w:val="135"/>
          <w:marBottom w:val="135"/>
          <w:divBdr>
            <w:top w:val="single" w:sz="6" w:space="6" w:color="DDDAD1"/>
            <w:left w:val="single" w:sz="6" w:space="17" w:color="DDDAD1"/>
            <w:bottom w:val="single" w:sz="6" w:space="6" w:color="DDDAD1"/>
            <w:right w:val="single" w:sz="6" w:space="6" w:color="DDDAD1"/>
          </w:divBdr>
        </w:div>
      </w:divsChild>
    </w:div>
    <w:div w:id="212275280">
      <w:bodyDiv w:val="1"/>
      <w:marLeft w:val="0"/>
      <w:marRight w:val="0"/>
      <w:marTop w:val="0"/>
      <w:marBottom w:val="0"/>
      <w:divBdr>
        <w:top w:val="none" w:sz="0" w:space="0" w:color="auto"/>
        <w:left w:val="none" w:sz="0" w:space="0" w:color="auto"/>
        <w:bottom w:val="none" w:sz="0" w:space="0" w:color="auto"/>
        <w:right w:val="none" w:sz="0" w:space="0" w:color="auto"/>
      </w:divBdr>
      <w:divsChild>
        <w:div w:id="2017343589">
          <w:marLeft w:val="0"/>
          <w:marRight w:val="0"/>
          <w:marTop w:val="135"/>
          <w:marBottom w:val="135"/>
          <w:divBdr>
            <w:top w:val="single" w:sz="6" w:space="6" w:color="DDDAD1"/>
            <w:left w:val="single" w:sz="6" w:space="17" w:color="DDDAD1"/>
            <w:bottom w:val="single" w:sz="6" w:space="6" w:color="DDDAD1"/>
            <w:right w:val="single" w:sz="6" w:space="6" w:color="DDDAD1"/>
          </w:divBdr>
          <w:divsChild>
            <w:div w:id="1484547412">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 w:id="1508516380">
      <w:bodyDiv w:val="1"/>
      <w:marLeft w:val="0"/>
      <w:marRight w:val="0"/>
      <w:marTop w:val="0"/>
      <w:marBottom w:val="0"/>
      <w:divBdr>
        <w:top w:val="none" w:sz="0" w:space="0" w:color="auto"/>
        <w:left w:val="none" w:sz="0" w:space="0" w:color="auto"/>
        <w:bottom w:val="none" w:sz="0" w:space="0" w:color="auto"/>
        <w:right w:val="none" w:sz="0" w:space="0" w:color="auto"/>
      </w:divBdr>
      <w:divsChild>
        <w:div w:id="2072118681">
          <w:marLeft w:val="0"/>
          <w:marRight w:val="0"/>
          <w:marTop w:val="0"/>
          <w:marBottom w:val="0"/>
          <w:divBdr>
            <w:top w:val="none" w:sz="0" w:space="0" w:color="auto"/>
            <w:left w:val="none" w:sz="0" w:space="0" w:color="auto"/>
            <w:bottom w:val="none" w:sz="0" w:space="0" w:color="auto"/>
            <w:right w:val="none" w:sz="0" w:space="0" w:color="auto"/>
          </w:divBdr>
          <w:divsChild>
            <w:div w:id="1825469598">
              <w:marLeft w:val="-225"/>
              <w:marRight w:val="-225"/>
              <w:marTop w:val="0"/>
              <w:marBottom w:val="0"/>
              <w:divBdr>
                <w:top w:val="none" w:sz="0" w:space="0" w:color="auto"/>
                <w:left w:val="none" w:sz="0" w:space="0" w:color="auto"/>
                <w:bottom w:val="none" w:sz="0" w:space="0" w:color="auto"/>
                <w:right w:val="none" w:sz="0" w:space="0" w:color="auto"/>
              </w:divBdr>
              <w:divsChild>
                <w:div w:id="828860086">
                  <w:marLeft w:val="0"/>
                  <w:marRight w:val="0"/>
                  <w:marTop w:val="0"/>
                  <w:marBottom w:val="0"/>
                  <w:divBdr>
                    <w:top w:val="none" w:sz="0" w:space="0" w:color="auto"/>
                    <w:left w:val="none" w:sz="0" w:space="0" w:color="auto"/>
                    <w:bottom w:val="none" w:sz="0" w:space="0" w:color="auto"/>
                    <w:right w:val="none" w:sz="0" w:space="0" w:color="auto"/>
                  </w:divBdr>
                  <w:divsChild>
                    <w:div w:id="517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033156">
      <w:bodyDiv w:val="1"/>
      <w:marLeft w:val="0"/>
      <w:marRight w:val="0"/>
      <w:marTop w:val="0"/>
      <w:marBottom w:val="0"/>
      <w:divBdr>
        <w:top w:val="none" w:sz="0" w:space="0" w:color="auto"/>
        <w:left w:val="none" w:sz="0" w:space="0" w:color="auto"/>
        <w:bottom w:val="none" w:sz="0" w:space="0" w:color="auto"/>
        <w:right w:val="none" w:sz="0" w:space="0" w:color="auto"/>
      </w:divBdr>
      <w:divsChild>
        <w:div w:id="466629922">
          <w:marLeft w:val="0"/>
          <w:marRight w:val="0"/>
          <w:marTop w:val="135"/>
          <w:marBottom w:val="135"/>
          <w:divBdr>
            <w:top w:val="single" w:sz="6" w:space="6" w:color="DDDAD1"/>
            <w:left w:val="single" w:sz="6" w:space="17" w:color="DDDAD1"/>
            <w:bottom w:val="single" w:sz="6" w:space="6" w:color="DDDAD1"/>
            <w:right w:val="single" w:sz="6" w:space="6" w:color="DDDAD1"/>
          </w:divBdr>
          <w:divsChild>
            <w:div w:id="1551308265">
              <w:blockQuote w:val="1"/>
              <w:marLeft w:val="270"/>
              <w:marRight w:val="270"/>
              <w:marTop w:val="135"/>
              <w:marBottom w:val="135"/>
              <w:divBdr>
                <w:top w:val="none" w:sz="0" w:space="0" w:color="auto"/>
                <w:left w:val="single" w:sz="24" w:space="7" w:color="AAAAAA"/>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Aus162</b:Tag>
    <b:SourceType>InternetSite</b:SourceType>
    <b:Guid>{EBAC5F51-2B39-A24B-BEC6-C2CC1D021785}</b:Guid>
    <b:Title>4364.0.55.001 - National Health Survey: First Results, 2014-15</b:Title>
    <b:Year>2016</b:Year>
    <b:Month>March</b:Month>
    <b:Day>23</b:Day>
    <b:Author>
      <b:Author>
        <b:Corporate>Australian Bureau of Statistics</b:Corporate>
      </b:Author>
    </b:Author>
    <b:URL>http://www.abs.gov.au/ausstats/abs@.nsf/mf/4364.0.55.001</b:URL>
    <b:YearAccessed>2016</b:YearAccessed>
    <b:MonthAccessed>October</b:MonthAccessed>
    <b:DayAccessed>10</b:DayAccessed>
    <b:InternetSiteTitle>Australian Bureau of Statistics</b:InternetSiteTitle>
    <b:RefOrder>14</b:RefOrder>
  </b:Source>
</b:Sources>
</file>

<file path=customXml/itemProps1.xml><?xml version="1.0" encoding="utf-8"?>
<ds:datastoreItem xmlns:ds="http://schemas.openxmlformats.org/officeDocument/2006/customXml" ds:itemID="{F80CFA23-BA2C-460A-8927-4A976A75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1340</Words>
  <Characters>7069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ATAGI advice: Introduction of Gardasil 9 in a 2-dose schedule</vt:lpstr>
    </vt:vector>
  </TitlesOfParts>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ATAGI advice: Introduction of Gardasil 9 in a 2-dose schedule</dc:title>
  <dc:creator/>
  <cp:lastModifiedBy/>
  <cp:revision>1</cp:revision>
  <dcterms:created xsi:type="dcterms:W3CDTF">2018-01-29T05:17:00Z</dcterms:created>
  <dcterms:modified xsi:type="dcterms:W3CDTF">2018-01-29T05:18:00Z</dcterms:modified>
</cp:coreProperties>
</file>