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322" w:rsidRPr="00D522FC" w:rsidRDefault="00CF2322" w:rsidP="003D38F2">
      <w:pPr>
        <w:pStyle w:val="Titletext"/>
        <w:rPr>
          <w:bCs/>
        </w:rPr>
      </w:pPr>
      <w:r w:rsidRPr="00D522FC">
        <w:t xml:space="preserve">Australian </w:t>
      </w:r>
      <w:r w:rsidRPr="003D38F2">
        <w:t>Technical</w:t>
      </w:r>
      <w:r w:rsidRPr="00D522FC">
        <w:t xml:space="preserve"> Advisory Group on Immunisation </w:t>
      </w:r>
      <w:r w:rsidR="00366C8A" w:rsidRPr="00D522FC">
        <w:br/>
      </w:r>
      <w:r w:rsidRPr="00D522FC">
        <w:t xml:space="preserve">(ATAGI) </w:t>
      </w:r>
      <w:r w:rsidR="00366C8A" w:rsidRPr="00D522FC">
        <w:t>Statement</w:t>
      </w:r>
    </w:p>
    <w:p w:rsidR="002B2846" w:rsidRPr="00D522FC" w:rsidRDefault="007E357D" w:rsidP="00366C8A">
      <w:pPr>
        <w:pStyle w:val="Titletext"/>
        <w:rPr>
          <w:szCs w:val="30"/>
        </w:rPr>
      </w:pPr>
      <w:bookmarkStart w:id="0" w:name="_GoBack"/>
      <w:r w:rsidRPr="00D522FC">
        <w:rPr>
          <w:szCs w:val="30"/>
        </w:rPr>
        <w:t>A</w:t>
      </w:r>
      <w:r w:rsidR="00CF2322" w:rsidRPr="00D522FC">
        <w:rPr>
          <w:szCs w:val="30"/>
        </w:rPr>
        <w:t xml:space="preserve">dvice for immunisation providers regarding the use </w:t>
      </w:r>
      <w:r w:rsidR="002B2846" w:rsidRPr="00D522FC">
        <w:rPr>
          <w:szCs w:val="30"/>
        </w:rPr>
        <w:t>of Bexsero</w:t>
      </w:r>
      <w:r w:rsidR="002B2846" w:rsidRPr="00D522FC">
        <w:rPr>
          <w:szCs w:val="30"/>
          <w:vertAlign w:val="superscript"/>
        </w:rPr>
        <w:t>®</w:t>
      </w:r>
      <w:r w:rsidR="002B2846" w:rsidRPr="00D522FC">
        <w:rPr>
          <w:szCs w:val="30"/>
        </w:rPr>
        <w:t xml:space="preserve"> </w:t>
      </w:r>
      <w:r w:rsidR="00E5087E">
        <w:rPr>
          <w:szCs w:val="30"/>
        </w:rPr>
        <w:br/>
      </w:r>
      <w:r w:rsidR="002B2846" w:rsidRPr="00D522FC">
        <w:rPr>
          <w:szCs w:val="30"/>
        </w:rPr>
        <w:t>–</w:t>
      </w:r>
      <w:r w:rsidR="00366C8A" w:rsidRPr="00D522FC">
        <w:rPr>
          <w:szCs w:val="30"/>
        </w:rPr>
        <w:t xml:space="preserve"> </w:t>
      </w:r>
      <w:r w:rsidR="000524FE" w:rsidRPr="00D522FC">
        <w:rPr>
          <w:szCs w:val="30"/>
        </w:rPr>
        <w:t>a</w:t>
      </w:r>
      <w:r w:rsidR="002B2846" w:rsidRPr="00D522FC">
        <w:rPr>
          <w:szCs w:val="30"/>
        </w:rPr>
        <w:t xml:space="preserve"> recombinant multicomponent meningococcal B vaccine (4CMenB)</w:t>
      </w:r>
    </w:p>
    <w:bookmarkEnd w:id="0"/>
    <w:p w:rsidR="002B2846" w:rsidRPr="00D522FC" w:rsidRDefault="00542CD5" w:rsidP="002A79C4">
      <w:pPr>
        <w:pStyle w:val="Titletext"/>
        <w:spacing w:before="120"/>
        <w:rPr>
          <w:szCs w:val="30"/>
        </w:rPr>
      </w:pPr>
      <w:r w:rsidRPr="00D522FC">
        <w:rPr>
          <w:szCs w:val="30"/>
        </w:rPr>
        <w:t xml:space="preserve">March </w:t>
      </w:r>
      <w:r w:rsidR="002B2846" w:rsidRPr="00D522FC">
        <w:rPr>
          <w:szCs w:val="30"/>
        </w:rPr>
        <w:t>2014</w:t>
      </w:r>
    </w:p>
    <w:p w:rsidR="002B2846" w:rsidRPr="00F273F4" w:rsidRDefault="008E1F44" w:rsidP="00936BD8">
      <w:pPr>
        <w:pStyle w:val="Heading1"/>
      </w:pPr>
      <w:r>
        <w:rPr>
          <w:noProof/>
        </w:rPr>
        <mc:AlternateContent>
          <mc:Choice Requires="wps">
            <w:drawing>
              <wp:inline distT="0" distB="0" distL="0" distR="0" wp14:anchorId="56E39187" wp14:editId="7352D5CF">
                <wp:extent cx="5731510" cy="6448425"/>
                <wp:effectExtent l="38100" t="38100" r="116840" b="123825"/>
                <wp:docPr id="5" name="Text Box 5"/>
                <wp:cNvGraphicFramePr/>
                <a:graphic xmlns:a="http://schemas.openxmlformats.org/drawingml/2006/main">
                  <a:graphicData uri="http://schemas.microsoft.com/office/word/2010/wordprocessingShape">
                    <wps:wsp>
                      <wps:cNvSpPr txBox="1"/>
                      <wps:spPr>
                        <a:xfrm>
                          <a:off x="0" y="0"/>
                          <a:ext cx="5731510" cy="6448425"/>
                        </a:xfrm>
                        <a:prstGeom prst="rect">
                          <a:avLst/>
                        </a:prstGeom>
                        <a:solidFill>
                          <a:schemeClr val="lt1"/>
                        </a:solidFill>
                        <a:ln w="635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962279" w:rsidRDefault="003D38F2" w:rsidP="003D38F2">
                            <w:pPr>
                              <w:pStyle w:val="Summaryboxbullettext"/>
                            </w:pPr>
                            <w:r w:rsidRPr="00D522FC">
                              <w:t>In Australia, the Therapeutic Goods Administration (TGA) included 4CMenB on the Australian Register of Therapeutic Goods on 14 August 2013. The vaccine is registered for use in persons ≥2 months of age for the prevention of invasive disease caused by serogroup B meningococci. It is available through purchase on the private market. This vaccine is not funded under the National Immunisation Program (NIP).</w:t>
                            </w:r>
                          </w:p>
                          <w:p w:rsidR="00962279" w:rsidRDefault="003D38F2" w:rsidP="003D38F2">
                            <w:pPr>
                              <w:pStyle w:val="Summaryboxbullettext"/>
                            </w:pPr>
                            <w:r w:rsidRPr="00D522FC">
                              <w:t xml:space="preserve">Children </w:t>
                            </w:r>
                            <w:r w:rsidRPr="003D38F2">
                              <w:t>aged</w:t>
                            </w:r>
                            <w:r w:rsidRPr="00D522FC">
                              <w:t xml:space="preserve"> &lt;5 years, particularly infants aged &lt;1 year, have the highest incidence of invasive meningococcal disease (IMD) caused by serogroup B meningococci (MenB). A lower, secondary peak in incidence is evident in late adolescence and early adulthood. </w:t>
                            </w:r>
                          </w:p>
                          <w:p w:rsidR="003D38F2" w:rsidRPr="00D522FC" w:rsidRDefault="003D38F2" w:rsidP="003D38F2">
                            <w:pPr>
                              <w:pStyle w:val="Summaryboxbullettext"/>
                            </w:pPr>
                            <w:r w:rsidRPr="00D522FC">
                              <w:t>Bexsero</w:t>
                            </w:r>
                            <w:r w:rsidRPr="00962279">
                              <w:rPr>
                                <w:vertAlign w:val="superscript"/>
                              </w:rPr>
                              <w:t>®</w:t>
                            </w:r>
                            <w:r w:rsidRPr="00D522FC">
                              <w:t xml:space="preserve"> (4CMenB) is a </w:t>
                            </w:r>
                            <w:r w:rsidRPr="003D38F2">
                              <w:t>recombinant</w:t>
                            </w:r>
                            <w:r w:rsidRPr="00D522FC">
                              <w:t xml:space="preserve"> multicomponent meningococcal B vaccine that induces specific bactericidal antibodies against a range of MenB strains. In Australia, based on laboratory tests, about 76% of MenB strains are predicted to be covered by this vaccine, but clinical effectiveness has not yet been shown.</w:t>
                            </w:r>
                          </w:p>
                          <w:p w:rsidR="003D38F2" w:rsidRPr="00D522FC" w:rsidRDefault="003D38F2" w:rsidP="003D38F2">
                            <w:pPr>
                              <w:pStyle w:val="Summaryboxbullettext"/>
                            </w:pPr>
                            <w:r w:rsidRPr="00D522FC">
                              <w:t>MenB IMD cannot be prevented by the other meningococcal vaccines currently available in Australia, such as the meningococcal C conjugate and quadrivalent (A, C, W</w:t>
                            </w:r>
                            <w:r w:rsidRPr="00D522FC">
                              <w:rPr>
                                <w:vertAlign w:val="subscript"/>
                              </w:rPr>
                              <w:t>135</w:t>
                            </w:r>
                            <w:r w:rsidRPr="00D522FC">
                              <w:t>, Y) vaccines, because they target other meningococcal serogroups.</w:t>
                            </w:r>
                          </w:p>
                          <w:p w:rsidR="003D38F2" w:rsidRPr="00D522FC" w:rsidRDefault="003D38F2" w:rsidP="003D38F2">
                            <w:pPr>
                              <w:pStyle w:val="Summaryboxbullettext"/>
                            </w:pPr>
                            <w:r w:rsidRPr="00D522FC">
                              <w:t xml:space="preserve">Based on their higher </w:t>
                            </w:r>
                            <w:r w:rsidRPr="003D38F2">
                              <w:t>disease</w:t>
                            </w:r>
                            <w:r w:rsidRPr="00D522FC">
                              <w:t xml:space="preserve"> risk, 4CMenB is recommended for these groups:</w:t>
                            </w:r>
                          </w:p>
                          <w:p w:rsidR="003D38F2" w:rsidRPr="003D38F2" w:rsidRDefault="003D38F2" w:rsidP="003D38F2">
                            <w:pPr>
                              <w:pStyle w:val="Summaryboxbullettext"/>
                              <w:ind w:left="714"/>
                            </w:pPr>
                            <w:r w:rsidRPr="003D38F2">
                              <w:t xml:space="preserve">Infants and young children, particularly those aged &lt;24 months </w:t>
                            </w:r>
                          </w:p>
                          <w:p w:rsidR="003D38F2" w:rsidRPr="003D38F2" w:rsidRDefault="003D38F2" w:rsidP="003D38F2">
                            <w:pPr>
                              <w:pStyle w:val="Summaryboxbullettext"/>
                              <w:ind w:left="714"/>
                            </w:pPr>
                            <w:r w:rsidRPr="003D38F2">
                              <w:t xml:space="preserve">Adolescents aged 15 to 19 years </w:t>
                            </w:r>
                          </w:p>
                          <w:p w:rsidR="003D38F2" w:rsidRPr="003D38F2" w:rsidRDefault="003D38F2" w:rsidP="003D38F2">
                            <w:pPr>
                              <w:pStyle w:val="Summaryboxbullettext"/>
                              <w:ind w:left="714"/>
                            </w:pPr>
                            <w:r w:rsidRPr="003D38F2">
                              <w:t xml:space="preserve">Children and adults with medical conditions that place them at a high risk of IMD, such as functional or anatomical asplenia or complement component disorders </w:t>
                            </w:r>
                          </w:p>
                          <w:p w:rsidR="003D38F2" w:rsidRPr="003D38F2" w:rsidRDefault="003D38F2" w:rsidP="003D38F2">
                            <w:pPr>
                              <w:pStyle w:val="Summaryboxbullettext"/>
                              <w:ind w:left="714"/>
                            </w:pPr>
                            <w:r w:rsidRPr="003D38F2">
                              <w:t xml:space="preserve">Laboratory personnel who frequently handle </w:t>
                            </w:r>
                            <w:r w:rsidRPr="003D38F2">
                              <w:rPr>
                                <w:i/>
                              </w:rPr>
                              <w:t>Neisseria meningitidis</w:t>
                            </w:r>
                            <w:r w:rsidRPr="003D38F2">
                              <w:t xml:space="preserve">. </w:t>
                            </w:r>
                          </w:p>
                          <w:p w:rsidR="003D38F2" w:rsidRPr="00D522FC" w:rsidRDefault="003D38F2" w:rsidP="003D38F2">
                            <w:pPr>
                              <w:pStyle w:val="Summaryboxbullettext"/>
                            </w:pPr>
                            <w:r w:rsidRPr="00D522FC">
                              <w:t xml:space="preserve">For infants aged &lt;6 months, 3 </w:t>
                            </w:r>
                            <w:r w:rsidRPr="003D38F2">
                              <w:t>primary</w:t>
                            </w:r>
                            <w:r w:rsidRPr="00D522FC">
                              <w:t xml:space="preserve"> doses of 4CMenB plus a booster at age 12 months are recommended. Fewer doses are required for older age groups.</w:t>
                            </w:r>
                          </w:p>
                          <w:p w:rsidR="003D38F2" w:rsidRPr="00D522FC" w:rsidRDefault="003D38F2" w:rsidP="003D38F2">
                            <w:pPr>
                              <w:pStyle w:val="Summaryboxbullettext"/>
                            </w:pPr>
                            <w:r w:rsidRPr="00D522FC">
                              <w:t>4CMenB may be given to infants at the same time as other infant vaccines that are given under the NIP, but must be given at a separate injection site. The 1st dose of 4CMenB may be administered as early as 6 weeks of age to align with the NIP infant schedule.</w:t>
                            </w:r>
                          </w:p>
                          <w:p w:rsidR="003D38F2" w:rsidRPr="00D522FC" w:rsidRDefault="003D38F2" w:rsidP="003D38F2">
                            <w:pPr>
                              <w:pStyle w:val="Summaryboxbullettext"/>
                            </w:pPr>
                            <w:r w:rsidRPr="00D522FC">
                              <w:t xml:space="preserve">In clinical trials, injection site and systemic reactions </w:t>
                            </w:r>
                            <w:r w:rsidR="00B66961">
                              <w:t>were</w:t>
                            </w:r>
                            <w:r w:rsidR="00B66961" w:rsidRPr="00D522FC">
                              <w:t xml:space="preserve"> </w:t>
                            </w:r>
                            <w:r w:rsidRPr="00D522FC">
                              <w:t>very common in children after receiving 4CMenB. Fever was the most notable systemic reaction in children aged 2 to 12 months. Among infants, systemic reactions, including fever and high fever, were more common following 4CMenB when it was given concurrently with other vaccines commonly given to infants, compared to when 4CMenB and other routine vaccines were given separately.</w:t>
                            </w:r>
                          </w:p>
                          <w:p w:rsidR="003D38F2" w:rsidRPr="00D522FC" w:rsidRDefault="003D38F2" w:rsidP="003D38F2">
                            <w:pPr>
                              <w:pStyle w:val="Summaryboxbullettext"/>
                            </w:pPr>
                            <w:r w:rsidRPr="00D522FC">
                              <w:t xml:space="preserve">ATAGI recommends the </w:t>
                            </w:r>
                            <w:r w:rsidRPr="003D38F2">
                              <w:t>prophylactic</w:t>
                            </w:r>
                            <w:r w:rsidRPr="00D522FC">
                              <w:t xml:space="preserve"> use of paracetamol with every dose of 4CMenB administered to children &lt;2 years of age, to reduce the probability and severity of fever that may develop following immunisation with 4CMenB. The 1st dose of paracetamol (15 mg/kg per dose) is recommended within the 30 minute period prior to vaccination or as soon as practicable afterwards, regardless of the presence of fever. This can be followed by 2 more doses of paracetamol given 6 hours apart.</w:t>
                            </w: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51.3pt;height:50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9v5wIAAFoGAAAOAAAAZHJzL2Uyb0RvYy54bWysVVFP2zAQfp+0/2D5fSQtLXQVKepATJMQ&#10;IMrEs+s4TYRje7bbpPv1++w0bWG8MK0Pru27++7uu/Pl4rKtJdkI6yqtMjo4SSkRiuu8UquM/ny6&#10;+TKhxHmmcia1EhndCkcvZ58/XTRmKoa61DIXlgBEuWljMlp6b6ZJ4ngpauZOtBEKwkLbmnkc7SrJ&#10;LWuAXstkmKZnSaNtbqzmwjncXndCOov4RSG4vy8KJzyRGUVsPq42rsuwJrMLNl1ZZsqK78Jg/xBF&#10;zSoFp3uoa+YZWdvqL6i64lY7XfgTrutEF0XFRcwB2QzSN9ksSmZEzAXkOLOnyf0/WH63ebCkyjM6&#10;pkSxGiV6Eq0n33RLxoGdxrgplBYGar7FNarc3ztchqTbwtbhH+kQyMHzds9tAOO4HJ+fDsYDiDhk&#10;Z6PRZDSM+MnB3Fjnvwtdk7DJqEXxIqdsc+s8QoFqrxK8OS2r/KaSMh5Cw4gracmGodTSxyBh8UpL&#10;KtLA++k4jcCvZLHlDgi+fQcBeFIFdyK2FsKKaa+9sIsyb8hSru0jC2SmkxS55lVI5HQy6A7ou+F5&#10;Gn6UMLnCg/GSEqv9c+XLWOxAW4AMee6TWUrGXzompClZl+EowhxYgXZkSPfBxNNRnEmoZFexuPNb&#10;KYIrqR5FgQ6IhQsXb4hgnAu1pzNqB60CxH/EcKcfTLugPmK8t4ietfJ747pS2nbFfN0B+Utfv6LT&#10;Bx9HeYetb5ftrsOXOt+iwVGK2L7O8JsKJbhlzj8wi4mAimHK+XsshdRoIr3bUVJq+/u9+6CPhwop&#10;JQ0mTEbdrzWzghL5Q+EJfx2MRoD18XCOYYaDPZYsjyVqXV9pdPYA89TwuA36Xvbbwur6GcNwHrxC&#10;xBSHb7RYv73y3dzDMOViPo9KGEKG+Vu1MDxAB3pD6z21z8ya3Tv0eMJ3up9FbPrmOXa6wVLp+drr&#10;oopvNRDcsbojHgMstuRu2IYJeXyOWodPwuwPAAAA//8DAFBLAwQUAAYACAAAACEAtI7GRdsAAAAG&#10;AQAADwAAAGRycy9kb3ducmV2LnhtbEyPwU7DMBBE70j8g7VIXBC1G6mFhjhVhYTEgUtLP2CTLEkg&#10;XgfbbcLfs3CBy0irGc28LbazG9SZQuw9W1guDCji2jc9txaOr0+396BiQm5w8EwWvijCtry8KDBv&#10;/MR7Oh9Sq6SEY44WupTGXOtYd+QwLvxILN6bDw6TnKHVTcBJyt2gM2PW2mHPstDhSI8d1R+Hk7NQ&#10;Z8f3De0/X57NdFNlu3g3egzWXl/NuwdQieb0F4YffEGHUpgqf+ImqsGCPJJ+VbyNydagKgmZ5WoF&#10;uiz0f/zyGwAA//8DAFBLAQItABQABgAIAAAAIQC2gziS/gAAAOEBAAATAAAAAAAAAAAAAAAAAAAA&#10;AABbQ29udGVudF9UeXBlc10ueG1sUEsBAi0AFAAGAAgAAAAhADj9If/WAAAAlAEAAAsAAAAAAAAA&#10;AAAAAAAALwEAAF9yZWxzLy5yZWxzUEsBAi0AFAAGAAgAAAAhACLtn2/nAgAAWgYAAA4AAAAAAAAA&#10;AAAAAAAALgIAAGRycy9lMm9Eb2MueG1sUEsBAi0AFAAGAAgAAAAhALSOxkXbAAAABgEAAA8AAAAA&#10;AAAAAAAAAAAAQQUAAGRycy9kb3ducmV2LnhtbFBLBQYAAAAABAAEAPMAAABJBgAAAAA=&#10;" fillcolor="white [3201]" strokecolor="black [3213]" strokeweight=".5pt">
                <v:shadow on="t" color="black" opacity="26214f" origin="-.5,-.5" offset=".74836mm,.74836mm"/>
                <v:textbox inset=",2mm,,2mm">
                  <w:txbxContent>
                    <w:p w:rsidR="00962279" w:rsidRDefault="003D38F2" w:rsidP="003D38F2">
                      <w:pPr>
                        <w:pStyle w:val="Summaryboxbullettext"/>
                      </w:pPr>
                      <w:r w:rsidRPr="00D522FC">
                        <w:t xml:space="preserve">In Australia, the Therapeutic Goods Administration (TGA) included 4CMenB on the Australian Register of Therapeutic Goods on 14 August 2013. The vaccine is registered for use in </w:t>
                      </w:r>
                      <w:proofErr w:type="gramStart"/>
                      <w:r w:rsidRPr="00D522FC">
                        <w:t>persons</w:t>
                      </w:r>
                      <w:proofErr w:type="gramEnd"/>
                      <w:r w:rsidRPr="00D522FC">
                        <w:t xml:space="preserve"> ≥2 months of age for the prevention of invasive disease caused by serogroup B meningococci. It is available through purchase on the private market. This vaccine is not funded under the National Immunisation Program (NIP).</w:t>
                      </w:r>
                    </w:p>
                    <w:p w:rsidR="00962279" w:rsidRDefault="003D38F2" w:rsidP="003D38F2">
                      <w:pPr>
                        <w:pStyle w:val="Summaryboxbullettext"/>
                      </w:pPr>
                      <w:r w:rsidRPr="00D522FC">
                        <w:t xml:space="preserve">Children </w:t>
                      </w:r>
                      <w:r w:rsidRPr="003D38F2">
                        <w:t>aged</w:t>
                      </w:r>
                      <w:r w:rsidRPr="00D522FC">
                        <w:t xml:space="preserve"> &lt;5 years, particularly infants aged &lt;1 year, have the highest incidence of invasive meningococcal disease (IMD) caused by </w:t>
                      </w:r>
                      <w:proofErr w:type="spellStart"/>
                      <w:r w:rsidRPr="00D522FC">
                        <w:t>serogroup</w:t>
                      </w:r>
                      <w:proofErr w:type="spellEnd"/>
                      <w:r w:rsidRPr="00D522FC">
                        <w:t xml:space="preserve"> B </w:t>
                      </w:r>
                      <w:proofErr w:type="spellStart"/>
                      <w:r w:rsidRPr="00D522FC">
                        <w:t>meningococci</w:t>
                      </w:r>
                      <w:proofErr w:type="spellEnd"/>
                      <w:r w:rsidRPr="00D522FC">
                        <w:t xml:space="preserve"> (</w:t>
                      </w:r>
                      <w:proofErr w:type="spellStart"/>
                      <w:r w:rsidRPr="00D522FC">
                        <w:t>MenB</w:t>
                      </w:r>
                      <w:proofErr w:type="spellEnd"/>
                      <w:r w:rsidRPr="00D522FC">
                        <w:t xml:space="preserve">). A lower, secondary peak in incidence is evident in late adolescence and early adulthood. </w:t>
                      </w:r>
                    </w:p>
                    <w:p w:rsidR="003D38F2" w:rsidRPr="00D522FC" w:rsidRDefault="003D38F2" w:rsidP="003D38F2">
                      <w:pPr>
                        <w:pStyle w:val="Summaryboxbullettext"/>
                      </w:pPr>
                      <w:proofErr w:type="spellStart"/>
                      <w:r w:rsidRPr="00D522FC">
                        <w:t>Bexsero</w:t>
                      </w:r>
                      <w:proofErr w:type="spellEnd"/>
                      <w:r w:rsidRPr="00962279">
                        <w:rPr>
                          <w:vertAlign w:val="superscript"/>
                        </w:rPr>
                        <w:t>®</w:t>
                      </w:r>
                      <w:r w:rsidRPr="00D522FC">
                        <w:t xml:space="preserve"> (4CMenB) is a </w:t>
                      </w:r>
                      <w:r w:rsidRPr="003D38F2">
                        <w:t>recombinant</w:t>
                      </w:r>
                      <w:r w:rsidRPr="00D522FC">
                        <w:t xml:space="preserve"> multicomponent meningococcal B vaccine that induces specific bactericidal antibodies against a range of </w:t>
                      </w:r>
                      <w:proofErr w:type="spellStart"/>
                      <w:r w:rsidRPr="00D522FC">
                        <w:t>MenB</w:t>
                      </w:r>
                      <w:proofErr w:type="spellEnd"/>
                      <w:r w:rsidRPr="00D522FC">
                        <w:t xml:space="preserve"> strains. In Australia, based on laboratory tests, about 76% of </w:t>
                      </w:r>
                      <w:proofErr w:type="spellStart"/>
                      <w:r w:rsidRPr="00D522FC">
                        <w:t>MenB</w:t>
                      </w:r>
                      <w:proofErr w:type="spellEnd"/>
                      <w:r w:rsidRPr="00D522FC">
                        <w:t xml:space="preserve"> strains are predicted to be covered by this vaccine, but clinical effectiveness has not yet been shown.</w:t>
                      </w:r>
                    </w:p>
                    <w:p w:rsidR="003D38F2" w:rsidRPr="00D522FC" w:rsidRDefault="003D38F2" w:rsidP="003D38F2">
                      <w:pPr>
                        <w:pStyle w:val="Summaryboxbullettext"/>
                      </w:pPr>
                      <w:proofErr w:type="spellStart"/>
                      <w:r w:rsidRPr="00D522FC">
                        <w:t>MenB</w:t>
                      </w:r>
                      <w:proofErr w:type="spellEnd"/>
                      <w:r w:rsidRPr="00D522FC">
                        <w:t xml:space="preserve"> IMD cannot be prevented by the other meningococcal vaccines currently available in Australia, such as the meningococcal C conjugate and quadrivalent (A, C, W</w:t>
                      </w:r>
                      <w:r w:rsidRPr="00D522FC">
                        <w:rPr>
                          <w:vertAlign w:val="subscript"/>
                        </w:rPr>
                        <w:t>135</w:t>
                      </w:r>
                      <w:r w:rsidRPr="00D522FC">
                        <w:t>, Y) vaccines, because they target other meningococcal serogroups.</w:t>
                      </w:r>
                    </w:p>
                    <w:p w:rsidR="003D38F2" w:rsidRPr="00D522FC" w:rsidRDefault="003D38F2" w:rsidP="003D38F2">
                      <w:pPr>
                        <w:pStyle w:val="Summaryboxbullettext"/>
                      </w:pPr>
                      <w:r w:rsidRPr="00D522FC">
                        <w:t xml:space="preserve">Based on their higher </w:t>
                      </w:r>
                      <w:r w:rsidRPr="003D38F2">
                        <w:t>disease</w:t>
                      </w:r>
                      <w:r w:rsidRPr="00D522FC">
                        <w:t xml:space="preserve"> risk, 4CMenB is recommended for these groups:</w:t>
                      </w:r>
                    </w:p>
                    <w:p w:rsidR="003D38F2" w:rsidRPr="003D38F2" w:rsidRDefault="003D38F2" w:rsidP="003D38F2">
                      <w:pPr>
                        <w:pStyle w:val="Summaryboxbullettext"/>
                        <w:ind w:left="714"/>
                      </w:pPr>
                      <w:r w:rsidRPr="003D38F2">
                        <w:t xml:space="preserve">Infants and young children, particularly those aged &lt;24 months </w:t>
                      </w:r>
                    </w:p>
                    <w:p w:rsidR="003D38F2" w:rsidRPr="003D38F2" w:rsidRDefault="003D38F2" w:rsidP="003D38F2">
                      <w:pPr>
                        <w:pStyle w:val="Summaryboxbullettext"/>
                        <w:ind w:left="714"/>
                      </w:pPr>
                      <w:r w:rsidRPr="003D38F2">
                        <w:t xml:space="preserve">Adolescents aged 15 to 19 years </w:t>
                      </w:r>
                    </w:p>
                    <w:p w:rsidR="003D38F2" w:rsidRPr="003D38F2" w:rsidRDefault="003D38F2" w:rsidP="003D38F2">
                      <w:pPr>
                        <w:pStyle w:val="Summaryboxbullettext"/>
                        <w:ind w:left="714"/>
                      </w:pPr>
                      <w:r w:rsidRPr="003D38F2">
                        <w:t xml:space="preserve">Children and adults with medical conditions that place them at a high risk of IMD, such as functional or anatomical asplenia or complement component disorders </w:t>
                      </w:r>
                    </w:p>
                    <w:p w:rsidR="003D38F2" w:rsidRPr="003D38F2" w:rsidRDefault="003D38F2" w:rsidP="003D38F2">
                      <w:pPr>
                        <w:pStyle w:val="Summaryboxbullettext"/>
                        <w:ind w:left="714"/>
                      </w:pPr>
                      <w:r w:rsidRPr="003D38F2">
                        <w:t xml:space="preserve">Laboratory personnel who frequently handle </w:t>
                      </w:r>
                      <w:r w:rsidRPr="003D38F2">
                        <w:rPr>
                          <w:i/>
                        </w:rPr>
                        <w:t xml:space="preserve">Neisseria </w:t>
                      </w:r>
                      <w:proofErr w:type="spellStart"/>
                      <w:r w:rsidRPr="003D38F2">
                        <w:rPr>
                          <w:i/>
                        </w:rPr>
                        <w:t>meningitidis</w:t>
                      </w:r>
                      <w:proofErr w:type="spellEnd"/>
                      <w:r w:rsidRPr="003D38F2">
                        <w:t xml:space="preserve">. </w:t>
                      </w:r>
                    </w:p>
                    <w:p w:rsidR="003D38F2" w:rsidRPr="00D522FC" w:rsidRDefault="003D38F2" w:rsidP="003D38F2">
                      <w:pPr>
                        <w:pStyle w:val="Summaryboxbullettext"/>
                      </w:pPr>
                      <w:r w:rsidRPr="00D522FC">
                        <w:t xml:space="preserve">For infants aged &lt;6 months, 3 </w:t>
                      </w:r>
                      <w:r w:rsidRPr="003D38F2">
                        <w:t>primary</w:t>
                      </w:r>
                      <w:r w:rsidRPr="00D522FC">
                        <w:t xml:space="preserve"> doses of 4CMenB plus a booster at age 12 months are recommended. Fewer doses are required for older age groups.</w:t>
                      </w:r>
                    </w:p>
                    <w:p w:rsidR="003D38F2" w:rsidRPr="00D522FC" w:rsidRDefault="003D38F2" w:rsidP="003D38F2">
                      <w:pPr>
                        <w:pStyle w:val="Summaryboxbullettext"/>
                      </w:pPr>
                      <w:r w:rsidRPr="00D522FC">
                        <w:t>4CMenB may be given to infants at the same time as other infant vaccines that are given under the NIP, but must be given at a separate injection site. The 1st dose of 4CMenB may be administered as early as 6 weeks of age to align with the NIP infant schedule.</w:t>
                      </w:r>
                    </w:p>
                    <w:p w:rsidR="003D38F2" w:rsidRPr="00D522FC" w:rsidRDefault="003D38F2" w:rsidP="003D38F2">
                      <w:pPr>
                        <w:pStyle w:val="Summaryboxbullettext"/>
                      </w:pPr>
                      <w:r w:rsidRPr="00D522FC">
                        <w:t xml:space="preserve">In clinical trials, injection site and systemic reactions </w:t>
                      </w:r>
                      <w:r w:rsidR="00B66961">
                        <w:t>were</w:t>
                      </w:r>
                      <w:r w:rsidR="00B66961" w:rsidRPr="00D522FC">
                        <w:t xml:space="preserve"> </w:t>
                      </w:r>
                      <w:r w:rsidRPr="00D522FC">
                        <w:t>very common in children after receiving 4CMenB. Fever was the most notable systemic reaction in children aged 2 to 12 months. Among infants, systemic reactions, including fever and high fever, were more common following 4CMenB when it was given concurrently with other vaccines commonly given to infants, compared to when 4CMenB and other routine vaccines were given separately.</w:t>
                      </w:r>
                    </w:p>
                    <w:p w:rsidR="003D38F2" w:rsidRPr="00D522FC" w:rsidRDefault="003D38F2" w:rsidP="003D38F2">
                      <w:pPr>
                        <w:pStyle w:val="Summaryboxbullettext"/>
                      </w:pPr>
                      <w:r w:rsidRPr="00D522FC">
                        <w:t xml:space="preserve">ATAGI recommends the </w:t>
                      </w:r>
                      <w:r w:rsidRPr="003D38F2">
                        <w:t>prophylactic</w:t>
                      </w:r>
                      <w:r w:rsidRPr="00D522FC">
                        <w:t xml:space="preserve"> use of paracetamol with every dose of 4CMenB administered to children &lt;2 years of age, to reduce the probability and severity of fever that may develop following immunisation with 4CMenB. The 1st dose of paracetamol (15 mg/kg per dose) is recommended within the 30 minute period prior to vaccination or as soon as practicable afterwards, regardless of the presence of fever. This can be followed by 2 more doses of paracetamol given 6 hours apart.</w:t>
                      </w:r>
                    </w:p>
                  </w:txbxContent>
                </v:textbox>
                <w10:anchorlock/>
              </v:shape>
            </w:pict>
          </mc:Fallback>
        </mc:AlternateContent>
      </w:r>
      <w:r w:rsidR="00091389">
        <w:br w:type="page"/>
      </w:r>
      <w:r w:rsidR="002B2846" w:rsidRPr="00F273F4">
        <w:lastRenderedPageBreak/>
        <w:t>Meningococci and meningococcal disease</w:t>
      </w:r>
    </w:p>
    <w:p w:rsidR="002B2846" w:rsidRPr="005D22F2" w:rsidRDefault="002B2846" w:rsidP="00CB1C69">
      <w:pPr>
        <w:pStyle w:val="BodyText"/>
      </w:pPr>
      <w:r w:rsidRPr="005D22F2">
        <w:t xml:space="preserve">Meningococcal disease is caused by the bacterium </w:t>
      </w:r>
      <w:r w:rsidRPr="005D22F2">
        <w:rPr>
          <w:i/>
        </w:rPr>
        <w:t>Neisseria meningitidis</w:t>
      </w:r>
      <w:r w:rsidRPr="005D22F2">
        <w:t>, also known as meningococcus. While uncommon, invasive meningococcal disease (IMD) is a serious infection which usually presents as meningitis or septicaemia (or both).</w:t>
      </w:r>
    </w:p>
    <w:p w:rsidR="002B2846" w:rsidRPr="005D22F2" w:rsidRDefault="002B2846" w:rsidP="00CB1C69">
      <w:pPr>
        <w:pStyle w:val="BodyText"/>
      </w:pPr>
      <w:r w:rsidRPr="005D22F2">
        <w:t xml:space="preserve">Individuals with </w:t>
      </w:r>
      <w:r>
        <w:t xml:space="preserve">certain </w:t>
      </w:r>
      <w:r w:rsidRPr="005D22F2">
        <w:t>medical conditions are at a higher risk for IMD. Th</w:t>
      </w:r>
      <w:r w:rsidR="00987CCD">
        <w:t>is</w:t>
      </w:r>
      <w:r w:rsidRPr="005D22F2">
        <w:t xml:space="preserve"> include</w:t>
      </w:r>
      <w:r w:rsidR="00987CCD">
        <w:t>s</w:t>
      </w:r>
      <w:r w:rsidRPr="005D22F2">
        <w:t xml:space="preserve"> </w:t>
      </w:r>
      <w:r>
        <w:t xml:space="preserve">persons with </w:t>
      </w:r>
      <w:r w:rsidRPr="005D22F2">
        <w:t>anatomical or functional asplenia or deficiencies in the terminal complement pathway</w:t>
      </w:r>
      <w:r>
        <w:t>.</w:t>
      </w:r>
      <w:r w:rsidRPr="005D22F2">
        <w:t xml:space="preserve"> </w:t>
      </w:r>
      <w:r>
        <w:t>Other r</w:t>
      </w:r>
      <w:r w:rsidRPr="005D22F2">
        <w:t>isk factors</w:t>
      </w:r>
      <w:r>
        <w:t xml:space="preserve"> for IMD</w:t>
      </w:r>
      <w:r w:rsidRPr="005D22F2">
        <w:t xml:space="preserve"> include exposure to smokers, living in crowded conditions, </w:t>
      </w:r>
      <w:r>
        <w:t xml:space="preserve">a </w:t>
      </w:r>
      <w:r w:rsidRPr="005D22F2">
        <w:t xml:space="preserve">history of </w:t>
      </w:r>
      <w:r>
        <w:t xml:space="preserve">a </w:t>
      </w:r>
      <w:r w:rsidRPr="005D22F2">
        <w:t>preceding illness, and intimate kissing with multiple partners.</w:t>
      </w:r>
    </w:p>
    <w:p w:rsidR="002B2846" w:rsidRPr="005D22F2" w:rsidRDefault="002B2846" w:rsidP="00CB1C69">
      <w:pPr>
        <w:pStyle w:val="BodyText"/>
      </w:pPr>
      <w:r w:rsidRPr="005D22F2">
        <w:t>There are several serogroups of meningococci. Globally</w:t>
      </w:r>
      <w:r>
        <w:t>,</w:t>
      </w:r>
      <w:r w:rsidRPr="005D22F2">
        <w:t xml:space="preserve"> serogroups A, B, C, W</w:t>
      </w:r>
      <w:r w:rsidRPr="00F273F4">
        <w:rPr>
          <w:vertAlign w:val="subscript"/>
        </w:rPr>
        <w:t>135</w:t>
      </w:r>
      <w:r w:rsidRPr="005D22F2">
        <w:t xml:space="preserve"> and Y are the most common c</w:t>
      </w:r>
      <w:smartTag w:uri="urn:schemas-microsoft-com:office:smarttags" w:element="PersonName">
        <w:r w:rsidRPr="005D22F2">
          <w:t>au</w:t>
        </w:r>
      </w:smartTag>
      <w:r w:rsidRPr="005D22F2">
        <w:t xml:space="preserve">ses of IMD. </w:t>
      </w:r>
      <w:r>
        <w:t>T</w:t>
      </w:r>
      <w:r w:rsidRPr="005D22F2">
        <w:t xml:space="preserve">he meningococcal C conjugate vaccine </w:t>
      </w:r>
      <w:r>
        <w:t xml:space="preserve">has been used </w:t>
      </w:r>
      <w:r w:rsidRPr="005D22F2">
        <w:t>in the National Immunisation Program</w:t>
      </w:r>
      <w:r w:rsidR="008B0E18">
        <w:t xml:space="preserve"> (NIP)</w:t>
      </w:r>
      <w:r w:rsidRPr="005D22F2">
        <w:t xml:space="preserve"> since 2003</w:t>
      </w:r>
      <w:r>
        <w:t xml:space="preserve"> and</w:t>
      </w:r>
      <w:r w:rsidRPr="005D22F2">
        <w:t xml:space="preserve"> has been highly effective in </w:t>
      </w:r>
      <w:r>
        <w:t>reducing</w:t>
      </w:r>
      <w:r w:rsidRPr="005D22F2">
        <w:t xml:space="preserve"> IMD caused by serogroup C meningococci.</w:t>
      </w:r>
    </w:p>
    <w:p w:rsidR="002B2846" w:rsidRPr="005D22F2" w:rsidRDefault="002B2846" w:rsidP="00CB1C69">
      <w:pPr>
        <w:pStyle w:val="BodyText"/>
      </w:pPr>
      <w:r w:rsidRPr="005D22F2">
        <w:t xml:space="preserve">More information regarding meningococcal disease is available in Chapter 4.10 of </w:t>
      </w:r>
      <w:hyperlink r:id="rId9" w:history="1">
        <w:r w:rsidRPr="00882E13">
          <w:rPr>
            <w:rStyle w:val="Hyperlink"/>
            <w:i/>
            <w:u w:val="none"/>
          </w:rPr>
          <w:t>The</w:t>
        </w:r>
        <w:r w:rsidRPr="00882E13">
          <w:rPr>
            <w:rStyle w:val="Hyperlink"/>
            <w:u w:val="none"/>
          </w:rPr>
          <w:t xml:space="preserve"> </w:t>
        </w:r>
        <w:r w:rsidRPr="00882E13">
          <w:rPr>
            <w:rStyle w:val="Hyperlink"/>
            <w:i/>
            <w:u w:val="none"/>
          </w:rPr>
          <w:t>Australian Immunisation Handbook</w:t>
        </w:r>
      </w:hyperlink>
      <w:r w:rsidR="008B0E18">
        <w:rPr>
          <w:i/>
        </w:rPr>
        <w:t xml:space="preserve">, </w:t>
      </w:r>
      <w:r w:rsidR="008B0E18" w:rsidRPr="008B0E18">
        <w:t>10</w:t>
      </w:r>
      <w:r w:rsidR="008B0E18" w:rsidRPr="000139DF">
        <w:t>th</w:t>
      </w:r>
      <w:r w:rsidR="001A442E">
        <w:t xml:space="preserve"> e</w:t>
      </w:r>
      <w:r w:rsidR="008B0E18" w:rsidRPr="008B0E18">
        <w:t>dition</w:t>
      </w:r>
      <w:r w:rsidR="008B0E18">
        <w:t xml:space="preserve"> </w:t>
      </w:r>
      <w:r w:rsidR="008B0E18" w:rsidRPr="008B0E18">
        <w:t>(</w:t>
      </w:r>
      <w:r w:rsidR="00882E13" w:rsidRPr="00882E13">
        <w:rPr>
          <w:sz w:val="23"/>
          <w:szCs w:val="23"/>
        </w:rPr>
        <w:t>www.immunise.health.gov.au</w:t>
      </w:r>
      <w:r w:rsidR="008B0E18" w:rsidRPr="008B0E18">
        <w:t>)</w:t>
      </w:r>
      <w:r w:rsidRPr="008B0E18">
        <w:rPr>
          <w:i/>
        </w:rPr>
        <w:t>.</w:t>
      </w:r>
      <w:hyperlink w:anchor="_ENREF_1" w:tooltip="ATAGI, 2013 #1074" w:history="1">
        <w:r w:rsidR="00AA6003" w:rsidRPr="005D22F2">
          <w:fldChar w:fldCharType="begin"/>
        </w:r>
        <w:r w:rsidR="00AA6003" w:rsidRPr="005D22F2">
          <w:instrText xml:space="preserve"> ADDIN EN.CITE &lt;EndNote&gt;&lt;Cite&gt;&lt;Author&gt;ATAGI&lt;/Author&gt;&lt;Year&gt;2013&lt;/Year&gt;&lt;RecNum&gt;1074&lt;/RecNum&gt;&lt;DisplayText&gt;&lt;style face="superscript"&gt;1&lt;/style&gt;&lt;/DisplayText&gt;&lt;record&gt;&lt;rec-number&gt;1074&lt;/rec-number&gt;&lt;foreign-keys&gt;&lt;key app="EN" db-id="e2vew95zwwtraretz58xwszo0esfp99929ra"&gt;1074&lt;/key&gt;&lt;/foreign-keys&gt;&lt;ref-type name="Book"&gt;6&lt;/ref-type&gt;&lt;contributors&gt;&lt;authors&gt;&lt;author&gt;ATAGI&lt;/author&gt;&lt;/authors&gt;&lt;/contributors&gt;&lt;titles&gt;&lt;title&gt;The Australian Immunisation Handbook - 10th edition &lt;/title&gt;&lt;/titles&gt;&lt;dates&gt;&lt;year&gt;2013&lt;/year&gt;&lt;/dates&gt;&lt;pub-location&gt;Canberra&lt;/pub-location&gt;&lt;publisher&gt;Department of Health and Ageing&lt;/publisher&gt;&lt;urls&gt;&lt;/urls&gt;&lt;/record&gt;&lt;/Cite&gt;&lt;/EndNote&gt;</w:instrText>
        </w:r>
        <w:r w:rsidR="00AA6003" w:rsidRPr="005D22F2">
          <w:fldChar w:fldCharType="separate"/>
        </w:r>
        <w:r w:rsidR="00AA6003" w:rsidRPr="005D22F2">
          <w:rPr>
            <w:noProof/>
            <w:vertAlign w:val="superscript"/>
          </w:rPr>
          <w:t>1</w:t>
        </w:r>
        <w:r w:rsidR="00AA6003" w:rsidRPr="005D22F2">
          <w:fldChar w:fldCharType="end"/>
        </w:r>
      </w:hyperlink>
    </w:p>
    <w:p w:rsidR="002B2846" w:rsidRPr="005D22F2" w:rsidRDefault="002B2846" w:rsidP="00CB1C69">
      <w:pPr>
        <w:pStyle w:val="Heading2"/>
      </w:pPr>
      <w:r w:rsidRPr="005D22F2">
        <w:t>Invasive meningococcal disease caused by serogroup B meningococci</w:t>
      </w:r>
    </w:p>
    <w:p w:rsidR="002B2846" w:rsidRPr="005D22F2" w:rsidRDefault="002B2846" w:rsidP="00620988">
      <w:pPr>
        <w:pStyle w:val="BodyText"/>
      </w:pPr>
      <w:r w:rsidRPr="005D22F2">
        <w:t>As shown in Figure 1, serogroup B meningococc</w:t>
      </w:r>
      <w:r>
        <w:t>us</w:t>
      </w:r>
      <w:r w:rsidRPr="005D22F2">
        <w:t xml:space="preserve"> (MenB) has been the predominant serogroup causing IMD in Australia for the past decade</w:t>
      </w:r>
      <w:r>
        <w:t xml:space="preserve">, </w:t>
      </w:r>
      <w:r w:rsidRPr="005D22F2">
        <w:t>even before</w:t>
      </w:r>
      <w:r>
        <w:t>, but particularly since,</w:t>
      </w:r>
      <w:r w:rsidRPr="005D22F2">
        <w:t xml:space="preserve"> the </w:t>
      </w:r>
      <w:r>
        <w:t>m</w:t>
      </w:r>
      <w:r w:rsidRPr="005D22F2">
        <w:t>eningococcal C conjugate vaccine program commenced</w:t>
      </w:r>
      <w:r w:rsidR="008B0E18">
        <w:t xml:space="preserve"> in </w:t>
      </w:r>
      <w:r w:rsidR="003B7CE9">
        <w:t>2003</w:t>
      </w:r>
      <w:r w:rsidRPr="005D22F2">
        <w:t>. In 2011</w:t>
      </w:r>
      <w:r w:rsidR="00EE0908">
        <w:t>–2012</w:t>
      </w:r>
      <w:r w:rsidRPr="005D22F2">
        <w:t>, MenB</w:t>
      </w:r>
      <w:r w:rsidRPr="005D22F2" w:rsidDel="003C27C6">
        <w:t xml:space="preserve"> </w:t>
      </w:r>
      <w:r w:rsidRPr="005D22F2">
        <w:t xml:space="preserve">IMD represented approximately </w:t>
      </w:r>
      <w:r w:rsidR="00EE0908" w:rsidRPr="005D22F2">
        <w:t>8</w:t>
      </w:r>
      <w:r w:rsidR="00EE0908">
        <w:t>4</w:t>
      </w:r>
      <w:r w:rsidRPr="005D22F2">
        <w:t xml:space="preserve">% of all IMD </w:t>
      </w:r>
      <w:r>
        <w:t xml:space="preserve">in </w:t>
      </w:r>
      <w:r w:rsidRPr="005D22F2">
        <w:t xml:space="preserve">patients </w:t>
      </w:r>
      <w:r>
        <w:t>in</w:t>
      </w:r>
      <w:r w:rsidRPr="005D22F2">
        <w:t xml:space="preserve"> whom </w:t>
      </w:r>
      <w:r>
        <w:t>the IMD</w:t>
      </w:r>
      <w:r w:rsidRPr="005D22F2">
        <w:t xml:space="preserve"> serogroup was </w:t>
      </w:r>
      <w:r>
        <w:t>determined</w:t>
      </w:r>
      <w:r w:rsidRPr="005D22F2">
        <w:t xml:space="preserve">. </w:t>
      </w:r>
    </w:p>
    <w:p w:rsidR="002B2846" w:rsidRPr="005D22F2" w:rsidRDefault="002B2846" w:rsidP="00620988">
      <w:pPr>
        <w:pStyle w:val="Figureheading"/>
      </w:pPr>
      <w:r w:rsidRPr="005D22F2">
        <w:t>Figure 1.</w:t>
      </w:r>
      <w:r w:rsidR="00620988">
        <w:tab/>
      </w:r>
      <w:r w:rsidRPr="005D22F2">
        <w:t>Notification rates of confirmed invasive meningococcal disease</w:t>
      </w:r>
      <w:r w:rsidR="0026308D">
        <w:t>,</w:t>
      </w:r>
      <w:r w:rsidRPr="005D22F2">
        <w:t xml:space="preserve"> by year</w:t>
      </w:r>
      <w:r w:rsidR="008B0E18">
        <w:t xml:space="preserve"> and</w:t>
      </w:r>
      <w:r w:rsidRPr="005D22F2">
        <w:t xml:space="preserve"> serogroup (excluding non-groupable isolates), Australia</w:t>
      </w:r>
      <w:r w:rsidR="0026308D">
        <w:t>,</w:t>
      </w:r>
      <w:r w:rsidRPr="005D22F2">
        <w:t xml:space="preserve"> 1999</w:t>
      </w:r>
      <w:r w:rsidR="00987CCD">
        <w:t>–</w:t>
      </w:r>
      <w:r w:rsidRPr="005D22F2">
        <w:t>201</w:t>
      </w:r>
      <w:r>
        <w:t>2</w:t>
      </w:r>
      <w:r w:rsidRPr="005D22F2">
        <w:t xml:space="preserve">* </w:t>
      </w:r>
    </w:p>
    <w:p w:rsidR="002B2846" w:rsidRPr="005D22F2" w:rsidRDefault="00962ACE" w:rsidP="00936BD8">
      <w:pPr>
        <w:pStyle w:val="BodyText"/>
      </w:pPr>
      <w:r>
        <w:rPr>
          <w:noProof/>
        </w:rPr>
        <w:drawing>
          <wp:inline distT="0" distB="0" distL="0" distR="0" wp14:anchorId="4BE16A5F" wp14:editId="21BAA83D">
            <wp:extent cx="4971600" cy="3067200"/>
            <wp:effectExtent l="0" t="0" r="635" b="0"/>
            <wp:docPr id="3" name="Picture 3" title="Figure 1. Notification rates of confirmed invasive meningococcal disease, by year and serogroup (excluding non-groupable isolates), Australia, 1999–20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1600" cy="3067200"/>
                    </a:xfrm>
                    <a:prstGeom prst="rect">
                      <a:avLst/>
                    </a:prstGeom>
                    <a:noFill/>
                  </pic:spPr>
                </pic:pic>
              </a:graphicData>
            </a:graphic>
          </wp:inline>
        </w:drawing>
      </w:r>
    </w:p>
    <w:p w:rsidR="002B2846" w:rsidRDefault="002B2846" w:rsidP="00620988">
      <w:pPr>
        <w:pStyle w:val="Tablefootnote"/>
      </w:pPr>
      <w:r w:rsidRPr="002A79C4">
        <w:t>*</w:t>
      </w:r>
      <w:r w:rsidRPr="002A79C4">
        <w:tab/>
      </w:r>
      <w:r w:rsidRPr="005D22F2">
        <w:t xml:space="preserve">Data </w:t>
      </w:r>
      <w:r w:rsidR="000706EE">
        <w:t>s</w:t>
      </w:r>
      <w:r w:rsidRPr="005D22F2">
        <w:t>ource: National Notifiable Disease</w:t>
      </w:r>
      <w:r w:rsidR="00987CCD">
        <w:t>s</w:t>
      </w:r>
      <w:r w:rsidRPr="005D22F2">
        <w:t xml:space="preserve"> Surveillance System</w:t>
      </w:r>
    </w:p>
    <w:p w:rsidR="003B7CE9" w:rsidRPr="003B7CE9" w:rsidRDefault="003B7CE9" w:rsidP="00620988">
      <w:pPr>
        <w:pStyle w:val="Tablefootnote"/>
      </w:pPr>
      <w:r w:rsidRPr="003B7CE9">
        <w:t>M</w:t>
      </w:r>
      <w:r w:rsidR="00620988">
        <w:t>en</w:t>
      </w:r>
      <w:r w:rsidRPr="003B7CE9">
        <w:t>CCV: Meningococcal C conjugate vaccine</w:t>
      </w:r>
    </w:p>
    <w:p w:rsidR="00620988" w:rsidRPr="00936BD8" w:rsidRDefault="00620988" w:rsidP="00936BD8">
      <w:pPr>
        <w:pStyle w:val="BodyText"/>
      </w:pPr>
      <w:r>
        <w:br w:type="page"/>
      </w:r>
    </w:p>
    <w:p w:rsidR="002B2846" w:rsidRPr="005D22F2" w:rsidRDefault="002B2846" w:rsidP="00620988">
      <w:pPr>
        <w:pStyle w:val="BodyText"/>
      </w:pPr>
      <w:r>
        <w:lastRenderedPageBreak/>
        <w:t>T</w:t>
      </w:r>
      <w:r w:rsidRPr="005D22F2">
        <w:t xml:space="preserve">he highest incidence </w:t>
      </w:r>
      <w:r w:rsidR="008B0E18">
        <w:t xml:space="preserve">and case fatality rate (CFR) </w:t>
      </w:r>
      <w:r w:rsidR="007D4011">
        <w:t xml:space="preserve">of MenB IMD are observed </w:t>
      </w:r>
      <w:r>
        <w:t>among c</w:t>
      </w:r>
      <w:r w:rsidRPr="005D22F2">
        <w:t>hildren aged &lt;5 years</w:t>
      </w:r>
      <w:r>
        <w:t xml:space="preserve"> (5.7 cases per 100,</w:t>
      </w:r>
      <w:r w:rsidR="005340DB">
        <w:t>000</w:t>
      </w:r>
      <w:r>
        <w:t xml:space="preserve"> population</w:t>
      </w:r>
      <w:r w:rsidR="005340DB">
        <w:t xml:space="preserve"> in 2006–2011;</w:t>
      </w:r>
      <w:r>
        <w:t xml:space="preserve"> CFR</w:t>
      </w:r>
      <w:r w:rsidR="008B0E18">
        <w:t xml:space="preserve"> </w:t>
      </w:r>
      <w:r>
        <w:t>4.5%)</w:t>
      </w:r>
      <w:r w:rsidR="005340DB">
        <w:t>,</w:t>
      </w:r>
      <w:r w:rsidRPr="005D22F2">
        <w:t xml:space="preserve"> particularly infants aged &lt;1 year</w:t>
      </w:r>
      <w:r>
        <w:t xml:space="preserve"> (14.0 cases per 100,</w:t>
      </w:r>
      <w:r w:rsidR="005340DB">
        <w:t>000</w:t>
      </w:r>
      <w:r>
        <w:t xml:space="preserve"> population</w:t>
      </w:r>
      <w:r w:rsidR="005340DB">
        <w:t>;</w:t>
      </w:r>
      <w:r>
        <w:t xml:space="preserve"> CFR 5.8%).</w:t>
      </w:r>
      <w:r w:rsidRPr="005D22F2">
        <w:t xml:space="preserve"> </w:t>
      </w:r>
      <w:r>
        <w:t>There is a</w:t>
      </w:r>
      <w:r w:rsidRPr="005D22F2">
        <w:t xml:space="preserve"> lower, secondary peak in late adolescence and early adulthood</w:t>
      </w:r>
      <w:r>
        <w:t xml:space="preserve"> (2.8 cases per 100,</w:t>
      </w:r>
      <w:r w:rsidR="005340DB">
        <w:t>000</w:t>
      </w:r>
      <w:r>
        <w:t xml:space="preserve"> population aged 15</w:t>
      </w:r>
      <w:r w:rsidR="005340DB">
        <w:t>–</w:t>
      </w:r>
      <w:r>
        <w:t>19 years</w:t>
      </w:r>
      <w:r w:rsidR="005340DB">
        <w:t>;</w:t>
      </w:r>
      <w:r>
        <w:t xml:space="preserve"> CFR 2.9%).</w:t>
      </w:r>
    </w:p>
    <w:p w:rsidR="002B2846" w:rsidRPr="005D22F2" w:rsidRDefault="007D4011" w:rsidP="00620988">
      <w:pPr>
        <w:pStyle w:val="BodyText"/>
      </w:pPr>
      <w:r w:rsidRPr="005D22F2">
        <w:t xml:space="preserve">It is important to note that </w:t>
      </w:r>
      <w:r>
        <w:t>IMD</w:t>
      </w:r>
      <w:r w:rsidRPr="005D22F2">
        <w:t xml:space="preserve"> disease </w:t>
      </w:r>
      <w:r>
        <w:t>incidence</w:t>
      </w:r>
      <w:r w:rsidRPr="005D22F2">
        <w:t xml:space="preserve"> fluctuate</w:t>
      </w:r>
      <w:r>
        <w:t>s</w:t>
      </w:r>
      <w:r w:rsidRPr="005D22F2">
        <w:t xml:space="preserve"> </w:t>
      </w:r>
      <w:r>
        <w:t>naturally</w:t>
      </w:r>
      <w:r w:rsidR="00432DE5">
        <w:t xml:space="preserve"> and</w:t>
      </w:r>
      <w:r w:rsidR="002B2846" w:rsidRPr="005D22F2">
        <w:t xml:space="preserve"> can be up to several times higher during an epidemic period of IMD</w:t>
      </w:r>
      <w:r w:rsidR="00432DE5">
        <w:t>.</w:t>
      </w:r>
      <w:r w:rsidR="002B2846" w:rsidRPr="005D22F2">
        <w:t xml:space="preserve"> </w:t>
      </w:r>
      <w:r w:rsidR="00432DE5">
        <w:t>H</w:t>
      </w:r>
      <w:r w:rsidR="002B2846" w:rsidRPr="005D22F2">
        <w:t>owever</w:t>
      </w:r>
      <w:r w:rsidR="002B2846">
        <w:t>,</w:t>
      </w:r>
      <w:r w:rsidR="002B2846" w:rsidRPr="005D22F2">
        <w:t xml:space="preserve"> a similar age distribution of IMD is </w:t>
      </w:r>
      <w:r w:rsidR="002B2846">
        <w:t>typically</w:t>
      </w:r>
      <w:r w:rsidR="002B2846" w:rsidRPr="005D22F2">
        <w:t xml:space="preserve"> observed</w:t>
      </w:r>
      <w:r w:rsidR="008B0E18">
        <w:t xml:space="preserve"> during epidemics</w:t>
      </w:r>
      <w:r w:rsidR="002B2846" w:rsidRPr="005D22F2">
        <w:t xml:space="preserve">. </w:t>
      </w:r>
    </w:p>
    <w:p w:rsidR="002B2846" w:rsidRPr="005D22F2" w:rsidRDefault="002B2846" w:rsidP="00620988">
      <w:pPr>
        <w:pStyle w:val="BodyText"/>
      </w:pPr>
      <w:r w:rsidRPr="005D22F2">
        <w:t xml:space="preserve">Notification rates of MenB IMD are higher </w:t>
      </w:r>
      <w:r>
        <w:t>in</w:t>
      </w:r>
      <w:r w:rsidRPr="005D22F2">
        <w:t xml:space="preserve"> young Aboriginal and Torres Strait Islander children age</w:t>
      </w:r>
      <w:r>
        <w:t>d</w:t>
      </w:r>
      <w:r w:rsidRPr="005D22F2">
        <w:t xml:space="preserve"> &lt;5 years, especially infants, compared with non-Indigenous children. </w:t>
      </w:r>
    </w:p>
    <w:p w:rsidR="002B2846" w:rsidRPr="005D22F2" w:rsidRDefault="002B2846" w:rsidP="00620988">
      <w:pPr>
        <w:pStyle w:val="BodyText"/>
      </w:pPr>
      <w:r w:rsidRPr="005D22F2">
        <w:t>Some studies suggest that severity, mortality and outcome may vary with the serogroup c</w:t>
      </w:r>
      <w:smartTag w:uri="urn:schemas-microsoft-com:office:smarttags" w:element="PersonName">
        <w:r w:rsidRPr="005D22F2">
          <w:t>au</w:t>
        </w:r>
      </w:smartTag>
      <w:r w:rsidRPr="005D22F2">
        <w:t xml:space="preserve">sing IMD and the patient’s age. In Australia, mortality among patients with IMD caused by </w:t>
      </w:r>
      <w:r w:rsidR="008B0E18">
        <w:t xml:space="preserve">MenB </w:t>
      </w:r>
      <w:r w:rsidRPr="005D22F2">
        <w:t>is approximately 5</w:t>
      </w:r>
      <w:r w:rsidR="008B0E18">
        <w:t xml:space="preserve"> to </w:t>
      </w:r>
      <w:r w:rsidRPr="005D22F2">
        <w:t xml:space="preserve">10% and is higher </w:t>
      </w:r>
      <w:r>
        <w:t>in</w:t>
      </w:r>
      <w:r w:rsidRPr="005D22F2">
        <w:t xml:space="preserve"> infants </w:t>
      </w:r>
      <w:r>
        <w:t>than in</w:t>
      </w:r>
      <w:r w:rsidRPr="005D22F2">
        <w:t xml:space="preserve"> older children or adolescents. Approximately 36% of survivors of MenB IMD aged ≤13 years develop long</w:t>
      </w:r>
      <w:r w:rsidR="000706EE">
        <w:t>-</w:t>
      </w:r>
      <w:r w:rsidRPr="005D22F2">
        <w:t>term sequelae, which can include hearing impairment, impairment in intellectual development, psychological disorders, amputation</w:t>
      </w:r>
      <w:r>
        <w:t xml:space="preserve"> of limbs or digits</w:t>
      </w:r>
      <w:r w:rsidR="000706EE">
        <w:t>,</w:t>
      </w:r>
      <w:r w:rsidRPr="005D22F2">
        <w:t xml:space="preserve"> and deficits in executive function and memory.</w:t>
      </w:r>
      <w:hyperlink w:anchor="_ENREF_2" w:tooltip="Viner, 2012 #316" w:history="1">
        <w:r w:rsidR="00AA6003" w:rsidRPr="005D22F2">
          <w:fldChar w:fldCharType="begin"/>
        </w:r>
        <w:r w:rsidR="00AA6003" w:rsidRPr="005D22F2">
          <w:instrText xml:space="preserve"> ADDIN EN.CITE &lt;EndNote&gt;&lt;Cite&gt;&lt;Author&gt;Viner&lt;/Author&gt;&lt;Year&gt;2012&lt;/Year&gt;&lt;RecNum&gt;316&lt;/RecNum&gt;&lt;DisplayText&gt;&lt;style face="superscript"&gt;2&lt;/style&gt;&lt;/DisplayText&gt;&lt;record&gt;&lt;rec-number&gt;316&lt;/rec-number&gt;&lt;foreign-keys&gt;&lt;key app="EN" db-id="e2vew95zwwtraretz58xwszo0esfp99929ra"&gt;316&lt;/key&gt;&lt;/foreign-keys&gt;&lt;ref-type name="Journal Article"&gt;17&lt;/ref-type&gt;&lt;contributors&gt;&lt;authors&gt;&lt;author&gt;Viner, Russell M.&lt;/author&gt;&lt;author&gt;Booy, Robert&lt;/author&gt;&lt;author&gt;Johnson, Helen&lt;/author&gt;&lt;author&gt;Edmunds, W. John&lt;/author&gt;&lt;author&gt;Hudson, Lee&lt;/author&gt;&lt;author&gt;Bedford, Helen&lt;/author&gt;&lt;author&gt;Kaczmarski, Ed&lt;/author&gt;&lt;author&gt;Rajput, Kaukab&lt;/author&gt;&lt;author&gt;Ramsay, Mary&lt;/author&gt;&lt;author&gt;Christie, Deborah&lt;/author&gt;&lt;/authors&gt;&lt;/contributors&gt;&lt;titles&gt;&lt;title&gt;Outcomes of invasive meningococcal serogroup B disease in children and adolescents (MOSAIC): a case-control study&lt;/title&gt;&lt;secondary-title&gt;The Lancet Neurology&lt;/secondary-title&gt;&lt;/titles&gt;&lt;periodical&gt;&lt;full-title&gt;The Lancet Neurology&lt;/full-title&gt;&lt;/periodical&gt;&lt;pages&gt;774-783&lt;/pages&gt;&lt;volume&gt;11&lt;/volume&gt;&lt;number&gt;9&lt;/number&gt;&lt;dates&gt;&lt;year&gt;2012&lt;/year&gt;&lt;/dates&gt;&lt;isbn&gt;14744422&lt;/isbn&gt;&lt;urls&gt;&lt;pdf-urls&gt;&lt;url&gt;file://K:\NCIRS\EB_HibMenC_WP\Literature\Men B\MENB_201208_Lancet_Viner.pdf&lt;/url&gt;&lt;/pdf-urls&gt;&lt;/urls&gt;&lt;electronic-resource-num&gt;10.1016/s1474-4422(12)70180-1&lt;/electronic-resource-num&gt;&lt;modified-date&gt;Men B&lt;/modified-date&gt;&lt;/record&gt;&lt;/Cite&gt;&lt;/EndNote&gt;</w:instrText>
        </w:r>
        <w:r w:rsidR="00AA6003" w:rsidRPr="005D22F2">
          <w:fldChar w:fldCharType="separate"/>
        </w:r>
        <w:r w:rsidR="00AA6003" w:rsidRPr="005D22F2">
          <w:rPr>
            <w:noProof/>
            <w:vertAlign w:val="superscript"/>
          </w:rPr>
          <w:t>2</w:t>
        </w:r>
        <w:r w:rsidR="00AA6003" w:rsidRPr="005D22F2">
          <w:fldChar w:fldCharType="end"/>
        </w:r>
      </w:hyperlink>
    </w:p>
    <w:p w:rsidR="002B2846" w:rsidRPr="00F273F4" w:rsidRDefault="002B2846" w:rsidP="00620988">
      <w:pPr>
        <w:pStyle w:val="Heading1"/>
      </w:pPr>
      <w:r w:rsidRPr="00F273F4">
        <w:t>Meningococcal B vaccines</w:t>
      </w:r>
    </w:p>
    <w:p w:rsidR="002B2846" w:rsidRPr="005D22F2" w:rsidRDefault="002B2846" w:rsidP="00620988">
      <w:pPr>
        <w:pStyle w:val="BodyText"/>
      </w:pPr>
      <w:r>
        <w:t>M</w:t>
      </w:r>
      <w:r w:rsidRPr="005D22F2">
        <w:t xml:space="preserve">eningococcal vaccines that </w:t>
      </w:r>
      <w:r w:rsidR="008B0E18">
        <w:t xml:space="preserve">specifically </w:t>
      </w:r>
      <w:r w:rsidRPr="005D22F2">
        <w:t>target a single epidemic MenB strain have been developed and used</w:t>
      </w:r>
      <w:r>
        <w:t xml:space="preserve"> successfully</w:t>
      </w:r>
      <w:r w:rsidRPr="005D22F2">
        <w:t xml:space="preserve"> in several countries</w:t>
      </w:r>
      <w:r>
        <w:t xml:space="preserve">, </w:t>
      </w:r>
      <w:r w:rsidRPr="005D22F2">
        <w:t>including New Zealand</w:t>
      </w:r>
      <w:r>
        <w:t>, in</w:t>
      </w:r>
      <w:r w:rsidRPr="005D22F2">
        <w:t xml:space="preserve"> response to </w:t>
      </w:r>
      <w:r>
        <w:t xml:space="preserve">MenB </w:t>
      </w:r>
      <w:r w:rsidRPr="005D22F2">
        <w:t xml:space="preserve">epidemics. However, they are not suitable for routine </w:t>
      </w:r>
      <w:r w:rsidR="00432DE5">
        <w:t>use</w:t>
      </w:r>
      <w:r w:rsidR="00432DE5" w:rsidRPr="005D22F2">
        <w:t xml:space="preserve"> </w:t>
      </w:r>
      <w:r w:rsidRPr="005D22F2">
        <w:t>in Australia where there are many different circulating strains of MenB.</w:t>
      </w:r>
    </w:p>
    <w:p w:rsidR="002B2846" w:rsidRPr="005D22F2" w:rsidRDefault="002B2846" w:rsidP="00620988">
      <w:pPr>
        <w:pStyle w:val="BodyText"/>
      </w:pPr>
      <w:r w:rsidRPr="005D22F2">
        <w:t xml:space="preserve">Recent MenB vaccine development has focused on antigens that are highly conserved across different </w:t>
      </w:r>
      <w:r>
        <w:t xml:space="preserve">MenB </w:t>
      </w:r>
      <w:r w:rsidRPr="005D22F2">
        <w:t>strains. Bexsero</w:t>
      </w:r>
      <w:r w:rsidRPr="005D22F2">
        <w:rPr>
          <w:vertAlign w:val="superscript"/>
        </w:rPr>
        <w:t>®</w:t>
      </w:r>
      <w:r w:rsidRPr="005D22F2">
        <w:t xml:space="preserve">, a recombinant multicomponent meningococcal B vaccine (4CMenB), </w:t>
      </w:r>
      <w:r w:rsidR="002B4F59">
        <w:t xml:space="preserve">was registered for use in </w:t>
      </w:r>
      <w:r w:rsidR="00F41544">
        <w:t>Australia</w:t>
      </w:r>
      <w:r w:rsidR="002B4F59">
        <w:t xml:space="preserve"> on 14 </w:t>
      </w:r>
      <w:r w:rsidR="00F41544">
        <w:t>August</w:t>
      </w:r>
      <w:r w:rsidR="002B4F59">
        <w:t xml:space="preserve"> 2013</w:t>
      </w:r>
      <w:r w:rsidRPr="005D22F2">
        <w:t xml:space="preserve">. The four major antigenic components of </w:t>
      </w:r>
      <w:r>
        <w:t xml:space="preserve">the </w:t>
      </w:r>
      <w:r w:rsidRPr="005D22F2">
        <w:t>4CMenB</w:t>
      </w:r>
      <w:r>
        <w:t xml:space="preserve"> vaccine</w:t>
      </w:r>
      <w:r w:rsidRPr="005D22F2">
        <w:t xml:space="preserve"> are: </w:t>
      </w:r>
    </w:p>
    <w:p w:rsidR="002B2846" w:rsidRPr="005D22F2" w:rsidRDefault="002B2846" w:rsidP="00620988">
      <w:pPr>
        <w:pStyle w:val="Bodytext-bullet"/>
      </w:pPr>
      <w:r w:rsidRPr="005D22F2">
        <w:t>Factor H binding protein (fHBP)</w:t>
      </w:r>
      <w:r>
        <w:t xml:space="preserve"> – </w:t>
      </w:r>
      <w:r w:rsidRPr="005D22F2">
        <w:t>50</w:t>
      </w:r>
      <w:r w:rsidR="000706EE">
        <w:t xml:space="preserve"> </w:t>
      </w:r>
      <w:r w:rsidRPr="005D22F2">
        <w:t>μg</w:t>
      </w:r>
      <w:r>
        <w:t xml:space="preserve"> in each 0.5 mL dose</w:t>
      </w:r>
    </w:p>
    <w:p w:rsidR="002B2846" w:rsidRPr="005D22F2" w:rsidRDefault="002B2846" w:rsidP="00620988">
      <w:pPr>
        <w:pStyle w:val="Bodytext-bullet"/>
      </w:pPr>
      <w:r w:rsidRPr="005D22F2">
        <w:t>Neisserial adhesion A (NadA)</w:t>
      </w:r>
      <w:r>
        <w:t xml:space="preserve"> – </w:t>
      </w:r>
      <w:r w:rsidRPr="005D22F2">
        <w:t>50</w:t>
      </w:r>
      <w:r w:rsidR="000706EE">
        <w:t xml:space="preserve"> </w:t>
      </w:r>
      <w:r w:rsidRPr="005D22F2">
        <w:t>μg</w:t>
      </w:r>
      <w:r>
        <w:t xml:space="preserve"> in each 0.5 mL dose </w:t>
      </w:r>
    </w:p>
    <w:p w:rsidR="002B2846" w:rsidRPr="005D22F2" w:rsidRDefault="002B2846" w:rsidP="00620988">
      <w:pPr>
        <w:pStyle w:val="Bodytext-bullet"/>
      </w:pPr>
      <w:r w:rsidRPr="005D22F2">
        <w:t>Neisserial heparin-binding antigen (NHBA)</w:t>
      </w:r>
      <w:r>
        <w:t xml:space="preserve"> – </w:t>
      </w:r>
      <w:r w:rsidRPr="005D22F2">
        <w:t>50</w:t>
      </w:r>
      <w:r w:rsidR="000706EE">
        <w:t xml:space="preserve"> </w:t>
      </w:r>
      <w:r w:rsidRPr="005D22F2">
        <w:t>μg</w:t>
      </w:r>
      <w:r>
        <w:t xml:space="preserve"> in each 0.5 mL dose</w:t>
      </w:r>
    </w:p>
    <w:p w:rsidR="002B2846" w:rsidRPr="005D22F2" w:rsidRDefault="002B2846" w:rsidP="00620988">
      <w:pPr>
        <w:pStyle w:val="Bodytext-bullet"/>
      </w:pPr>
      <w:r w:rsidRPr="005D22F2">
        <w:t xml:space="preserve">Outer membrane vesicle (OMV) with Por A P1.4, derived from strain NZ98/254 </w:t>
      </w:r>
      <w:r>
        <w:t>– 2</w:t>
      </w:r>
      <w:r w:rsidRPr="005D22F2">
        <w:t>5</w:t>
      </w:r>
      <w:r w:rsidR="00620988">
        <w:t> </w:t>
      </w:r>
      <w:r w:rsidRPr="005D22F2">
        <w:t>μg</w:t>
      </w:r>
      <w:r>
        <w:t xml:space="preserve"> in each 0.5 mL dose</w:t>
      </w:r>
      <w:r w:rsidR="000706EE">
        <w:t>.</w:t>
      </w:r>
    </w:p>
    <w:p w:rsidR="002B2846" w:rsidRDefault="002B2846" w:rsidP="00620988">
      <w:pPr>
        <w:pStyle w:val="BodyText"/>
      </w:pPr>
      <w:r w:rsidRPr="005D22F2">
        <w:t xml:space="preserve">Other ingredients contained in </w:t>
      </w:r>
      <w:r w:rsidR="0029155A" w:rsidRPr="005D22F2">
        <w:t>4CMenB</w:t>
      </w:r>
      <w:r w:rsidR="0029155A" w:rsidRPr="005D22F2" w:rsidDel="0029155A">
        <w:t xml:space="preserve"> </w:t>
      </w:r>
      <w:r>
        <w:t>include</w:t>
      </w:r>
      <w:r w:rsidRPr="005D22F2">
        <w:t xml:space="preserve"> aluminium hydroxide, sodium chloride, histidine </w:t>
      </w:r>
      <w:r>
        <w:t xml:space="preserve">and </w:t>
      </w:r>
      <w:r w:rsidRPr="005D22F2">
        <w:t>sucrose. There may be traces (less than 0.01</w:t>
      </w:r>
      <w:r w:rsidR="000706EE">
        <w:t xml:space="preserve"> </w:t>
      </w:r>
      <w:r w:rsidRPr="005D22F2">
        <w:t>µg per dose) of residual kanamycin</w:t>
      </w:r>
      <w:r>
        <w:t>.</w:t>
      </w:r>
      <w:r w:rsidRPr="00E74411">
        <w:t xml:space="preserve"> </w:t>
      </w:r>
      <w:r w:rsidRPr="005D22F2">
        <w:t>The tip cap of the syringe may contain traces of natural rubber latex.</w:t>
      </w:r>
    </w:p>
    <w:p w:rsidR="002B2846" w:rsidRPr="005D22F2" w:rsidRDefault="002B2846" w:rsidP="00620988">
      <w:pPr>
        <w:pStyle w:val="BodyText"/>
      </w:pPr>
      <w:r w:rsidRPr="005D22F2">
        <w:t xml:space="preserve">As MenB IMD is a rare disease, it is not feasible to directly assess the efficacy of 4CMenB in </w:t>
      </w:r>
      <w:r>
        <w:t xml:space="preserve">randomised </w:t>
      </w:r>
      <w:r w:rsidRPr="005D22F2">
        <w:t>clinical trials. Instead,</w:t>
      </w:r>
      <w:r>
        <w:t xml:space="preserve"> </w:t>
      </w:r>
      <w:r w:rsidR="00185CD7">
        <w:t xml:space="preserve">it </w:t>
      </w:r>
      <w:r w:rsidRPr="005D22F2">
        <w:t xml:space="preserve">has been demonstrated </w:t>
      </w:r>
      <w:r w:rsidR="00185CD7">
        <w:t>that 4CMenB</w:t>
      </w:r>
      <w:r w:rsidR="00185CD7" w:rsidRPr="005D22F2">
        <w:t xml:space="preserve"> </w:t>
      </w:r>
      <w:r w:rsidR="00185CD7">
        <w:t xml:space="preserve">can induce specific </w:t>
      </w:r>
      <w:r w:rsidRPr="005D22F2">
        <w:t>bactericidal antibodies</w:t>
      </w:r>
      <w:r w:rsidR="00185CD7">
        <w:t xml:space="preserve"> in vaccinated subjects</w:t>
      </w:r>
      <w:r w:rsidRPr="005D22F2">
        <w:t>.</w:t>
      </w:r>
    </w:p>
    <w:p w:rsidR="002B2846" w:rsidRDefault="002B2846" w:rsidP="00620988">
      <w:pPr>
        <w:pStyle w:val="BodyText"/>
      </w:pPr>
      <w:r w:rsidRPr="005D22F2">
        <w:t xml:space="preserve">It should be noted that 4CMenB cannot be expected to provide protection against all circulating MenB strains, since some strains will not express any of the protein antigens contained in the vaccine. </w:t>
      </w:r>
      <w:r>
        <w:t>Based on laboratory tests,</w:t>
      </w:r>
      <w:r w:rsidRPr="005D22F2">
        <w:t xml:space="preserve"> </w:t>
      </w:r>
      <w:r>
        <w:t>i</w:t>
      </w:r>
      <w:r w:rsidRPr="005D22F2">
        <w:t>t is predicted</w:t>
      </w:r>
      <w:r>
        <w:t xml:space="preserve"> </w:t>
      </w:r>
      <w:r w:rsidRPr="005D22F2">
        <w:t xml:space="preserve">that the majority (approximately </w:t>
      </w:r>
      <w:r>
        <w:t>76%</w:t>
      </w:r>
      <w:r w:rsidRPr="005D22F2">
        <w:t>) of disease-causing MenB strains in Australia express at least one of the vaccine antigens</w:t>
      </w:r>
      <w:r>
        <w:t xml:space="preserve">, which would </w:t>
      </w:r>
      <w:r w:rsidR="00681890">
        <w:t xml:space="preserve">make them susceptible to </w:t>
      </w:r>
      <w:r>
        <w:t>effective</w:t>
      </w:r>
      <w:r w:rsidRPr="005D22F2">
        <w:t xml:space="preserve"> killing by vaccine</w:t>
      </w:r>
      <w:r w:rsidR="000706EE">
        <w:t>-</w:t>
      </w:r>
      <w:r w:rsidRPr="005D22F2">
        <w:t xml:space="preserve">induced antibodies. </w:t>
      </w:r>
    </w:p>
    <w:p w:rsidR="002B2846" w:rsidRPr="005D22F2" w:rsidRDefault="002B2846" w:rsidP="00620988">
      <w:pPr>
        <w:pStyle w:val="BodyText"/>
      </w:pPr>
      <w:r>
        <w:t>M</w:t>
      </w:r>
      <w:r w:rsidRPr="005D22F2">
        <w:t xml:space="preserve">eningococcal vaccines that target other serogroups, including the </w:t>
      </w:r>
      <w:r w:rsidR="000706EE">
        <w:t>m</w:t>
      </w:r>
      <w:r>
        <w:t xml:space="preserve">eningococcal </w:t>
      </w:r>
      <w:r w:rsidRPr="005D22F2">
        <w:t>C conjugate vaccine and the quadrivalent (A,</w:t>
      </w:r>
      <w:r w:rsidR="00FB2562">
        <w:t xml:space="preserve"> </w:t>
      </w:r>
      <w:r w:rsidRPr="005D22F2">
        <w:t>C</w:t>
      </w:r>
      <w:r w:rsidR="00FB2562">
        <w:t>,</w:t>
      </w:r>
      <w:r w:rsidRPr="005D22F2">
        <w:t xml:space="preserve"> W</w:t>
      </w:r>
      <w:r w:rsidRPr="005D22F2">
        <w:rPr>
          <w:vertAlign w:val="subscript"/>
        </w:rPr>
        <w:t>135</w:t>
      </w:r>
      <w:r w:rsidRPr="005D22F2">
        <w:t>, Y) meningococcal vaccines</w:t>
      </w:r>
      <w:r w:rsidR="00C22F0A">
        <w:t>,</w:t>
      </w:r>
      <w:r>
        <w:t xml:space="preserve"> are available</w:t>
      </w:r>
      <w:r w:rsidR="005340DB">
        <w:t xml:space="preserve"> –</w:t>
      </w:r>
      <w:r>
        <w:t xml:space="preserve"> see</w:t>
      </w:r>
      <w:r w:rsidRPr="005D22F2">
        <w:t xml:space="preserve"> Chapter 4.10 of </w:t>
      </w:r>
      <w:r w:rsidRPr="005D22F2">
        <w:rPr>
          <w:i/>
        </w:rPr>
        <w:t>The</w:t>
      </w:r>
      <w:r w:rsidRPr="005D22F2">
        <w:t xml:space="preserve"> </w:t>
      </w:r>
      <w:r w:rsidRPr="005D22F2">
        <w:rPr>
          <w:i/>
        </w:rPr>
        <w:t>Australian Immunisation Handbook</w:t>
      </w:r>
      <w:r w:rsidR="0029155A">
        <w:rPr>
          <w:i/>
        </w:rPr>
        <w:t xml:space="preserve">, </w:t>
      </w:r>
      <w:r w:rsidR="0029155A" w:rsidRPr="0029155A">
        <w:t>10</w:t>
      </w:r>
      <w:r w:rsidR="0029155A" w:rsidRPr="005346C4">
        <w:t>th</w:t>
      </w:r>
      <w:r w:rsidR="0029155A" w:rsidRPr="004F5D36">
        <w:t xml:space="preserve"> </w:t>
      </w:r>
      <w:r w:rsidR="001A442E">
        <w:t>e</w:t>
      </w:r>
      <w:r w:rsidR="0029155A" w:rsidRPr="004F5D36">
        <w:t>dition</w:t>
      </w:r>
      <w:r w:rsidR="00246FBC">
        <w:t>.</w:t>
      </w:r>
      <w:hyperlink w:anchor="_ENREF_1" w:tooltip="ATAGI, 2013 #1074" w:history="1">
        <w:r w:rsidR="00AA6003" w:rsidRPr="004F5D36">
          <w:fldChar w:fldCharType="begin"/>
        </w:r>
        <w:r w:rsidR="00AA6003" w:rsidRPr="004F5D36">
          <w:instrText xml:space="preserve"> ADDIN EN.CITE &lt;EndNote&gt;&lt;Cite&gt;&lt;Author&gt;ATAGI&lt;/Author&gt;&lt;Year&gt;2013&lt;/Year&gt;&lt;RecNum&gt;1074&lt;/RecNum&gt;&lt;DisplayText&gt;&lt;style face="superscript"&gt;1&lt;/style&gt;&lt;/DisplayText&gt;&lt;record&gt;&lt;rec-number&gt;1074&lt;/rec-number&gt;&lt;foreign-keys&gt;&lt;key app="EN" db-id="e2vew95zwwtraretz58xwszo0esfp99929ra"&gt;1074&lt;/key&gt;&lt;/foreign-keys&gt;&lt;ref-type name="Book"&gt;6&lt;/ref-type&gt;&lt;contributors&gt;&lt;authors&gt;&lt;author&gt;ATAGI&lt;/author&gt;&lt;/authors&gt;&lt;/contributors&gt;&lt;titles&gt;&lt;title&gt;The Australian Immunisation Handbook - 10th edition &lt;/title&gt;&lt;/titles&gt;&lt;dates&gt;&lt;year&gt;2013&lt;/year&gt;&lt;/dates&gt;&lt;pub-location&gt;Canberra&lt;/pub-location&gt;&lt;publisher&gt;Department of Health and Ageing&lt;/publisher&gt;&lt;urls&gt;&lt;/urls&gt;&lt;/record&gt;&lt;/Cite&gt;&lt;/EndNote&gt;</w:instrText>
        </w:r>
        <w:r w:rsidR="00AA6003" w:rsidRPr="004F5D36">
          <w:fldChar w:fldCharType="separate"/>
        </w:r>
        <w:r w:rsidR="00AA6003" w:rsidRPr="004F5D36">
          <w:rPr>
            <w:noProof/>
            <w:vertAlign w:val="superscript"/>
          </w:rPr>
          <w:t>1</w:t>
        </w:r>
        <w:r w:rsidR="00AA6003" w:rsidRPr="004F5D36">
          <w:fldChar w:fldCharType="end"/>
        </w:r>
      </w:hyperlink>
    </w:p>
    <w:p w:rsidR="002B2846" w:rsidRPr="00F273F4" w:rsidRDefault="002B2846" w:rsidP="00620988">
      <w:pPr>
        <w:pStyle w:val="Heading2"/>
      </w:pPr>
      <w:r w:rsidRPr="00F273F4">
        <w:t>Transport, storage and handling</w:t>
      </w:r>
      <w:r w:rsidRPr="00F273F4">
        <w:tab/>
      </w:r>
    </w:p>
    <w:p w:rsidR="002B2846" w:rsidRDefault="002B2846" w:rsidP="00620988">
      <w:pPr>
        <w:pStyle w:val="BodyText"/>
      </w:pPr>
      <w:r w:rsidRPr="005D22F2">
        <w:t xml:space="preserve">Transport according to the </w:t>
      </w:r>
      <w:r w:rsidRPr="005D22F2">
        <w:rPr>
          <w:i/>
        </w:rPr>
        <w:t>National Vaccine Storage Guidelines: Strive for 5</w:t>
      </w:r>
      <w:r w:rsidR="0029155A">
        <w:rPr>
          <w:i/>
        </w:rPr>
        <w:t xml:space="preserve"> </w:t>
      </w:r>
      <w:r w:rsidR="0029155A" w:rsidRPr="004F5D36">
        <w:t>(2</w:t>
      </w:r>
      <w:r w:rsidR="0029155A" w:rsidRPr="005346C4">
        <w:t>nd</w:t>
      </w:r>
      <w:r w:rsidR="0029155A" w:rsidRPr="004F5D36">
        <w:t xml:space="preserve"> </w:t>
      </w:r>
      <w:r w:rsidR="00C22F0A">
        <w:t>e</w:t>
      </w:r>
      <w:r w:rsidR="0029155A" w:rsidRPr="004F5D36">
        <w:t>dition)</w:t>
      </w:r>
      <w:r w:rsidRPr="005D22F2">
        <w:rPr>
          <w:i/>
        </w:rPr>
        <w:t>.</w:t>
      </w:r>
      <w:hyperlink w:anchor="_ENREF_3" w:tooltip="Australian Govenment Department of Health and Ageing, 2013 #1083" w:history="1">
        <w:r w:rsidR="00AA6003">
          <w:fldChar w:fldCharType="begin"/>
        </w:r>
        <w:r w:rsidR="00AA6003">
          <w:instrText xml:space="preserve"> ADDIN EN.CITE &lt;EndNote&gt;&lt;Cite&gt;&lt;Author&gt;Ageing&lt;/Author&gt;&lt;Year&gt;2013&lt;/Year&gt;&lt;RecNum&gt;1083&lt;/RecNum&gt;&lt;DisplayText&gt;&lt;style face="superscript"&gt;3&lt;/style&gt;&lt;/DisplayText&gt;&lt;record&gt;&lt;rec-number&gt;1083&lt;/rec-number&gt;&lt;foreign-keys&gt;&lt;key app="EN" db-id="e2vew95zwwtraretz58xwszo0esfp99929ra"&gt;1083&lt;/key&gt;&lt;/foreign-keys&gt;&lt;ref-type name="Book"&gt;6&lt;/ref-type&gt;&lt;contributors&gt;&lt;authors&gt;&lt;author&gt;Australian Govenment Department of Health and Ageing,&lt;/author&gt;&lt;/authors&gt;&lt;/contributors&gt;&lt;titles&gt;&lt;title&gt;National Vaccine Storage Guidelines- Strive for 5&lt;/title&gt;&lt;/titles&gt;&lt;edition&gt;2nd edition&lt;/edition&gt;&lt;dates&gt;&lt;year&gt;2013&lt;/year&gt;&lt;/dates&gt;&lt;pub-location&gt;Canberra&lt;/pub-location&gt;&lt;publisher&gt;Commonwealth of Australia&lt;/publisher&gt;&lt;urls&gt;&lt;/urls&gt;&lt;/record&gt;&lt;/Cite&gt;&lt;/EndNote&gt;</w:instrText>
        </w:r>
        <w:r w:rsidR="00AA6003">
          <w:fldChar w:fldCharType="separate"/>
        </w:r>
        <w:r w:rsidR="00AA6003" w:rsidRPr="005D22F2">
          <w:rPr>
            <w:noProof/>
            <w:vertAlign w:val="superscript"/>
          </w:rPr>
          <w:t>3</w:t>
        </w:r>
        <w:r w:rsidR="00AA6003">
          <w:fldChar w:fldCharType="end"/>
        </w:r>
      </w:hyperlink>
      <w:r w:rsidRPr="005D22F2">
        <w:rPr>
          <w:i/>
        </w:rPr>
        <w:t xml:space="preserve"> </w:t>
      </w:r>
      <w:r w:rsidRPr="005D22F2">
        <w:t>Store in the refrigerator at +2</w:t>
      </w:r>
      <w:r w:rsidRPr="005D22F2">
        <w:rPr>
          <w:vertAlign w:val="superscript"/>
        </w:rPr>
        <w:t>o</w:t>
      </w:r>
      <w:r w:rsidRPr="005D22F2">
        <w:t>C to +8</w:t>
      </w:r>
      <w:r w:rsidRPr="005D22F2">
        <w:rPr>
          <w:szCs w:val="22"/>
        </w:rPr>
        <w:sym w:font="Symbol" w:char="F0B0"/>
      </w:r>
      <w:r w:rsidRPr="005D22F2">
        <w:t xml:space="preserve">C. Protect from light. Do not freeze. </w:t>
      </w:r>
    </w:p>
    <w:p w:rsidR="002B2846" w:rsidRPr="00F273F4" w:rsidRDefault="002B2846" w:rsidP="00620988">
      <w:pPr>
        <w:pStyle w:val="Heading2"/>
      </w:pPr>
      <w:r w:rsidRPr="00F273F4">
        <w:lastRenderedPageBreak/>
        <w:t xml:space="preserve">Dosage and administration </w:t>
      </w:r>
    </w:p>
    <w:p w:rsidR="002B2846" w:rsidRPr="005D22F2" w:rsidRDefault="002B2846" w:rsidP="00620988">
      <w:pPr>
        <w:pStyle w:val="BodyText"/>
      </w:pPr>
      <w:r w:rsidRPr="005D22F2">
        <w:t xml:space="preserve">The dose for </w:t>
      </w:r>
      <w:r w:rsidR="00FB1D4C">
        <w:t>4CMenB</w:t>
      </w:r>
      <w:r w:rsidRPr="005D22F2">
        <w:t xml:space="preserve"> is 0.5</w:t>
      </w:r>
      <w:r w:rsidR="00C22F0A">
        <w:t xml:space="preserve"> </w:t>
      </w:r>
      <w:r w:rsidRPr="005D22F2">
        <w:t xml:space="preserve">mL to be given by intramuscular injection. </w:t>
      </w:r>
      <w:r w:rsidR="00810DB6">
        <w:t>The number of doses required depend</w:t>
      </w:r>
      <w:r w:rsidR="00677568">
        <w:t>s</w:t>
      </w:r>
      <w:r w:rsidR="00810DB6">
        <w:t xml:space="preserve"> on the age at commencement of the 4CMenB vaccination course</w:t>
      </w:r>
      <w:r w:rsidR="00677568">
        <w:t xml:space="preserve"> (see Table 1)</w:t>
      </w:r>
      <w:r w:rsidR="00810DB6">
        <w:t>.</w:t>
      </w:r>
      <w:r w:rsidRPr="005D22F2">
        <w:t xml:space="preserve"> </w:t>
      </w:r>
    </w:p>
    <w:p w:rsidR="002B2846" w:rsidRPr="005D22F2" w:rsidRDefault="002B2846" w:rsidP="00620988">
      <w:pPr>
        <w:pStyle w:val="BodyText"/>
      </w:pPr>
      <w:r w:rsidRPr="005D22F2">
        <w:t>It is essential that immunisation service providers ensure there is appropriate documentation of all vaccinations in clinical files and personal health records.</w:t>
      </w:r>
      <w:r>
        <w:t xml:space="preserve"> </w:t>
      </w:r>
      <w:r w:rsidRPr="005D22F2">
        <w:t xml:space="preserve">Vaccination details of children aged &lt;7 years who have received 4CMenB should also be reported to the Australian Childhood Immunisation Register. </w:t>
      </w:r>
    </w:p>
    <w:p w:rsidR="004C6FE3" w:rsidRPr="00936BD8" w:rsidRDefault="00FB1D4C" w:rsidP="00936BD8">
      <w:pPr>
        <w:pStyle w:val="BodyText"/>
      </w:pPr>
      <w:r>
        <w:t>4CMenB</w:t>
      </w:r>
      <w:r w:rsidR="002B2846" w:rsidRPr="005D22F2">
        <w:t xml:space="preserve"> is registered for use in </w:t>
      </w:r>
      <w:r w:rsidR="005340DB">
        <w:t>persons</w:t>
      </w:r>
      <w:r w:rsidR="005340DB" w:rsidRPr="005D22F2">
        <w:t xml:space="preserve"> </w:t>
      </w:r>
      <w:r w:rsidR="002B2846" w:rsidRPr="005D22F2">
        <w:t>≥2 months of age. However</w:t>
      </w:r>
      <w:r w:rsidR="002B2846">
        <w:t>,</w:t>
      </w:r>
      <w:r w:rsidR="002B2846" w:rsidRPr="005D22F2">
        <w:t xml:space="preserve"> </w:t>
      </w:r>
      <w:r>
        <w:t>4CMenB</w:t>
      </w:r>
      <w:r w:rsidR="002B2846" w:rsidRPr="005D22F2">
        <w:t xml:space="preserve"> may be given to infants from 6 weeks of age to align with the schedule for other infant vaccines given under the NIP (see </w:t>
      </w:r>
      <w:r w:rsidR="002B2846" w:rsidRPr="005346C4">
        <w:rPr>
          <w:i/>
        </w:rPr>
        <w:t>Variation</w:t>
      </w:r>
      <w:r w:rsidR="00C22F0A" w:rsidRPr="005346C4">
        <w:rPr>
          <w:i/>
        </w:rPr>
        <w:t>s</w:t>
      </w:r>
      <w:r w:rsidR="002B2846" w:rsidRPr="005346C4">
        <w:rPr>
          <w:i/>
        </w:rPr>
        <w:t xml:space="preserve"> from product information</w:t>
      </w:r>
      <w:r w:rsidR="00CB7BE1">
        <w:t xml:space="preserve"> below</w:t>
      </w:r>
      <w:r w:rsidR="002B2846" w:rsidRPr="005D22F2">
        <w:t>).</w:t>
      </w:r>
      <w:r w:rsidR="004C6FE3">
        <w:t xml:space="preserve"> </w:t>
      </w:r>
    </w:p>
    <w:p w:rsidR="002B2846" w:rsidRPr="005D22F2" w:rsidRDefault="002B2846" w:rsidP="00620988">
      <w:pPr>
        <w:pStyle w:val="BodyText"/>
      </w:pPr>
      <w:r w:rsidRPr="00FC2640">
        <w:t xml:space="preserve">4CMenB </w:t>
      </w:r>
      <w:r w:rsidRPr="00F273F4">
        <w:t>may be administered concurrently, at separate injection sites,</w:t>
      </w:r>
      <w:r w:rsidRPr="00FC2640">
        <w:t xml:space="preserve"> with other </w:t>
      </w:r>
      <w:r w:rsidR="00C22F0A">
        <w:t xml:space="preserve">infant </w:t>
      </w:r>
      <w:r w:rsidRPr="00FC2640">
        <w:t xml:space="preserve">vaccines </w:t>
      </w:r>
      <w:r w:rsidRPr="005D22F2">
        <w:t xml:space="preserve">in the NIP schedule </w:t>
      </w:r>
      <w:r w:rsidR="00C22F0A">
        <w:t>at</w:t>
      </w:r>
      <w:r w:rsidRPr="005D22F2">
        <w:t xml:space="preserve"> 2, 4 and 6 months of age. These vaccines include the diphtheria-tetanus-</w:t>
      </w:r>
      <w:r>
        <w:t xml:space="preserve">acellular </w:t>
      </w:r>
      <w:r w:rsidRPr="005D22F2">
        <w:t>pertussis</w:t>
      </w:r>
      <w:r>
        <w:t>-h</w:t>
      </w:r>
      <w:r w:rsidRPr="005D22F2">
        <w:t>epatitis B-</w:t>
      </w:r>
      <w:r>
        <w:t>inactivated</w:t>
      </w:r>
      <w:r w:rsidRPr="001840E9">
        <w:t xml:space="preserve"> </w:t>
      </w:r>
      <w:r w:rsidRPr="005D22F2">
        <w:t>polio</w:t>
      </w:r>
      <w:r>
        <w:t>-</w:t>
      </w:r>
      <w:r w:rsidRPr="001F2BF2">
        <w:rPr>
          <w:i/>
        </w:rPr>
        <w:t>Haemophilus influenz</w:t>
      </w:r>
      <w:r>
        <w:rPr>
          <w:i/>
        </w:rPr>
        <w:t>ae</w:t>
      </w:r>
      <w:r>
        <w:t xml:space="preserve"> type </w:t>
      </w:r>
      <w:r w:rsidRPr="005D22F2">
        <w:t>b combination vaccine (</w:t>
      </w:r>
      <w:r>
        <w:t>D</w:t>
      </w:r>
      <w:r w:rsidRPr="005D22F2">
        <w:t>T</w:t>
      </w:r>
      <w:r>
        <w:t>P</w:t>
      </w:r>
      <w:r w:rsidRPr="005D22F2">
        <w:t>a-hepB-IPV-Hib, Infanrix</w:t>
      </w:r>
      <w:r w:rsidR="00C22F0A">
        <w:t xml:space="preserve"> </w:t>
      </w:r>
      <w:r w:rsidRPr="005D22F2">
        <w:t>hexa</w:t>
      </w:r>
      <w:r w:rsidRPr="005D22F2">
        <w:rPr>
          <w:vertAlign w:val="superscript"/>
        </w:rPr>
        <w:t>®</w:t>
      </w:r>
      <w:r w:rsidRPr="005D22F2">
        <w:t>), the 13-valent pneumococcal conjugate vaccine (13vPCV, Prevenar 13</w:t>
      </w:r>
      <w:r w:rsidRPr="005D22F2">
        <w:rPr>
          <w:vertAlign w:val="superscript"/>
        </w:rPr>
        <w:t>®</w:t>
      </w:r>
      <w:r w:rsidRPr="005D22F2">
        <w:t xml:space="preserve">) and either of the rotavirus vaccines. No significant interference in immunogenicity is expected when these vaccines are administered </w:t>
      </w:r>
      <w:r>
        <w:t xml:space="preserve">concurrently </w:t>
      </w:r>
      <w:r w:rsidRPr="005D22F2">
        <w:t xml:space="preserve">with 4CMenB. 4CMenB </w:t>
      </w:r>
      <w:r>
        <w:t>may</w:t>
      </w:r>
      <w:r w:rsidRPr="005D22F2">
        <w:t xml:space="preserve"> be administered</w:t>
      </w:r>
      <w:r>
        <w:t xml:space="preserve"> concurrently</w:t>
      </w:r>
      <w:r w:rsidRPr="005D22F2">
        <w:t xml:space="preserve"> with other vaccines in the NIP </w:t>
      </w:r>
      <w:r w:rsidR="00C22F0A">
        <w:t xml:space="preserve">schedule </w:t>
      </w:r>
      <w:r w:rsidRPr="005D22F2">
        <w:t xml:space="preserve">at 12 months </w:t>
      </w:r>
      <w:r w:rsidR="00C22F0A">
        <w:t>of age</w:t>
      </w:r>
      <w:r w:rsidR="00075BC9">
        <w:t>.</w:t>
      </w:r>
      <w:r w:rsidRPr="005D22F2">
        <w:t xml:space="preserve"> </w:t>
      </w:r>
      <w:r w:rsidR="00075BC9">
        <w:t>This</w:t>
      </w:r>
      <w:r w:rsidRPr="005D22F2">
        <w:t xml:space="preserve"> include</w:t>
      </w:r>
      <w:r w:rsidR="00075BC9">
        <w:t>s</w:t>
      </w:r>
      <w:r w:rsidRPr="005D22F2">
        <w:t xml:space="preserve"> the </w:t>
      </w:r>
      <w:r w:rsidR="007045F0">
        <w:t>measles-mumps-rubella (</w:t>
      </w:r>
      <w:r w:rsidRPr="005D22F2">
        <w:t>MMR</w:t>
      </w:r>
      <w:r w:rsidR="007045F0">
        <w:t>)</w:t>
      </w:r>
      <w:r w:rsidRPr="005D22F2">
        <w:t xml:space="preserve"> vaccine, </w:t>
      </w:r>
      <w:r w:rsidR="005207D1" w:rsidRPr="001F2BF2">
        <w:rPr>
          <w:i/>
        </w:rPr>
        <w:t>Haemophilus influenz</w:t>
      </w:r>
      <w:r w:rsidR="005207D1">
        <w:rPr>
          <w:i/>
        </w:rPr>
        <w:t>ae</w:t>
      </w:r>
      <w:r w:rsidR="005207D1">
        <w:t xml:space="preserve"> type </w:t>
      </w:r>
      <w:r w:rsidR="005207D1" w:rsidRPr="005D22F2">
        <w:t>b</w:t>
      </w:r>
      <w:r w:rsidRPr="005D22F2">
        <w:t>-</w:t>
      </w:r>
      <w:r w:rsidR="00075BC9">
        <w:t>m</w:t>
      </w:r>
      <w:r w:rsidR="007045F0">
        <w:t xml:space="preserve">eningococcal </w:t>
      </w:r>
      <w:r w:rsidRPr="005D22F2">
        <w:t xml:space="preserve">C </w:t>
      </w:r>
      <w:r w:rsidR="007045F0">
        <w:t xml:space="preserve">conjugate (Hib-MenC) </w:t>
      </w:r>
      <w:r w:rsidRPr="005D22F2">
        <w:t xml:space="preserve">vaccine, and </w:t>
      </w:r>
      <w:r w:rsidR="007045F0">
        <w:t>13vPCV</w:t>
      </w:r>
      <w:r w:rsidRPr="005D22F2">
        <w:t xml:space="preserve"> or hepatitis A vaccine for those who are recommended to receive these vaccines at this age.</w:t>
      </w:r>
    </w:p>
    <w:p w:rsidR="002B2846" w:rsidRPr="00F273F4" w:rsidRDefault="002B2846" w:rsidP="00620988">
      <w:pPr>
        <w:pStyle w:val="Heading2"/>
      </w:pPr>
      <w:r w:rsidRPr="00F273F4">
        <w:t xml:space="preserve">Recommendations </w:t>
      </w:r>
    </w:p>
    <w:p w:rsidR="002B2846" w:rsidRPr="005D22F2" w:rsidRDefault="002B2846" w:rsidP="00620988">
      <w:pPr>
        <w:pStyle w:val="BodyText"/>
      </w:pPr>
      <w:r w:rsidRPr="005D22F2">
        <w:t>Based on their higher disease risk, 4CMenB is recommended for:</w:t>
      </w:r>
    </w:p>
    <w:p w:rsidR="002B2846" w:rsidRPr="00FC2640" w:rsidRDefault="002B2846" w:rsidP="00620988">
      <w:pPr>
        <w:pStyle w:val="Bodytext-bullet"/>
      </w:pPr>
      <w:r w:rsidRPr="00FC2640">
        <w:t>Infants and young children</w:t>
      </w:r>
      <w:r w:rsidRPr="00F273F4">
        <w:t>, particularly those</w:t>
      </w:r>
      <w:r w:rsidR="00E44A15">
        <w:t xml:space="preserve"> aged</w:t>
      </w:r>
      <w:r w:rsidRPr="00F273F4">
        <w:t xml:space="preserve"> &lt;24 months</w:t>
      </w:r>
    </w:p>
    <w:p w:rsidR="002B2846" w:rsidRPr="007C3DE8" w:rsidRDefault="002B2846" w:rsidP="00620988">
      <w:pPr>
        <w:pStyle w:val="Bodytext-bullet"/>
      </w:pPr>
      <w:r w:rsidRPr="00F273F4">
        <w:t>Adolescents</w:t>
      </w:r>
      <w:r w:rsidRPr="00FC2640">
        <w:t xml:space="preserve"> aged 15 to </w:t>
      </w:r>
      <w:r w:rsidRPr="007C3DE8">
        <w:t xml:space="preserve">19 years </w:t>
      </w:r>
    </w:p>
    <w:p w:rsidR="002B2846" w:rsidRPr="00F61EB6" w:rsidRDefault="002B2846" w:rsidP="00620988">
      <w:pPr>
        <w:pStyle w:val="Bodytext-bullet"/>
      </w:pPr>
      <w:r w:rsidRPr="00F61EB6">
        <w:t xml:space="preserve">Children and adults with medical conditions that place them at a high risk of IMD, such as functional or anatomical asplenia or complement component disorders </w:t>
      </w:r>
      <w:r w:rsidR="00F61EB6" w:rsidRPr="00F61EB6">
        <w:t xml:space="preserve">(see Chapter 4.10 </w:t>
      </w:r>
      <w:r w:rsidR="00F61EB6">
        <w:t>of</w:t>
      </w:r>
      <w:r w:rsidR="00F61EB6" w:rsidRPr="00F61EB6">
        <w:t xml:space="preserve"> </w:t>
      </w:r>
      <w:r w:rsidR="00F61EB6" w:rsidRPr="00F61EB6">
        <w:rPr>
          <w:i/>
        </w:rPr>
        <w:t xml:space="preserve">The Australian Immunisation Handbook, </w:t>
      </w:r>
      <w:r w:rsidR="00F61EB6" w:rsidRPr="00F61EB6">
        <w:t>10</w:t>
      </w:r>
      <w:r w:rsidR="00F61EB6" w:rsidRPr="005346C4">
        <w:t>th</w:t>
      </w:r>
      <w:r w:rsidR="00F61EB6" w:rsidRPr="00F61EB6">
        <w:t xml:space="preserve"> edition</w:t>
      </w:r>
      <w:hyperlink w:anchor="_ENREF_1" w:tooltip="ATAGI, 2013 #1074" w:history="1">
        <w:r w:rsidR="00F61EB6" w:rsidRPr="00F61EB6">
          <w:fldChar w:fldCharType="begin"/>
        </w:r>
        <w:r w:rsidR="00F61EB6" w:rsidRPr="00F61EB6">
          <w:instrText xml:space="preserve"> ADDIN EN.CITE &lt;EndNote&gt;&lt;Cite&gt;&lt;Author&gt;ATAGI&lt;/Author&gt;&lt;Year&gt;2013&lt;/Year&gt;&lt;RecNum&gt;1074&lt;/RecNum&gt;&lt;DisplayText&gt;&lt;style face="superscript"&gt;1&lt;/style&gt;&lt;/DisplayText&gt;&lt;record&gt;&lt;rec-number&gt;1074&lt;/rec-number&gt;&lt;foreign-keys&gt;&lt;key app="EN" db-id="e2vew95zwwtraretz58xwszo0esfp99929ra"&gt;1074&lt;/key&gt;&lt;/foreign-keys&gt;&lt;ref-type name="Book"&gt;6&lt;/ref-type&gt;&lt;contributors&gt;&lt;authors&gt;&lt;author&gt;ATAGI&lt;/author&gt;&lt;/authors&gt;&lt;/contributors&gt;&lt;titles&gt;&lt;title&gt;The Australian Immunisation Handbook - 10th edition &lt;/title&gt;&lt;/titles&gt;&lt;dates&gt;&lt;year&gt;2013&lt;/year&gt;&lt;/dates&gt;&lt;pub-location&gt;Canberra&lt;/pub-location&gt;&lt;publisher&gt;Department of Health and Ageing&lt;/publisher&gt;&lt;urls&gt;&lt;/urls&gt;&lt;/record&gt;&lt;/Cite&gt;&lt;/EndNote&gt;</w:instrText>
        </w:r>
        <w:r w:rsidR="00F61EB6" w:rsidRPr="00F61EB6">
          <w:fldChar w:fldCharType="separate"/>
        </w:r>
        <w:r w:rsidR="00F61EB6" w:rsidRPr="00F61EB6">
          <w:rPr>
            <w:vertAlign w:val="superscript"/>
          </w:rPr>
          <w:t>1</w:t>
        </w:r>
        <w:r w:rsidR="00F61EB6" w:rsidRPr="00F61EB6">
          <w:fldChar w:fldCharType="end"/>
        </w:r>
      </w:hyperlink>
      <w:r w:rsidR="00F61EB6" w:rsidRPr="00F61EB6">
        <w:t>)</w:t>
      </w:r>
    </w:p>
    <w:p w:rsidR="000D757B" w:rsidRPr="005D22F2" w:rsidRDefault="002B2846" w:rsidP="00620988">
      <w:pPr>
        <w:pStyle w:val="Bodytext-bullet"/>
      </w:pPr>
      <w:r w:rsidRPr="005D22F2">
        <w:t xml:space="preserve">Laboratory personnel who frequently handle </w:t>
      </w:r>
      <w:r w:rsidR="00D73EB7" w:rsidRPr="005D22F2">
        <w:rPr>
          <w:i/>
        </w:rPr>
        <w:t>Neisseria</w:t>
      </w:r>
      <w:r w:rsidRPr="004D5284">
        <w:rPr>
          <w:i/>
        </w:rPr>
        <w:t xml:space="preserve"> meningitidis</w:t>
      </w:r>
      <w:r w:rsidR="00075BC9">
        <w:t>.</w:t>
      </w:r>
      <w:r w:rsidR="00AB41DB">
        <w:t xml:space="preserve"> </w:t>
      </w:r>
    </w:p>
    <w:p w:rsidR="005207D1" w:rsidRDefault="005207D1" w:rsidP="00620988">
      <w:pPr>
        <w:pStyle w:val="BodyText"/>
      </w:pPr>
      <w:r>
        <w:t>4CMenB is also recommended for a</w:t>
      </w:r>
      <w:r w:rsidRPr="004F5D36">
        <w:t>ll children and young adults who wish to reduce their risk of MenB IMD.</w:t>
      </w:r>
    </w:p>
    <w:p w:rsidR="00C755CA" w:rsidRDefault="00636E48" w:rsidP="00620988">
      <w:pPr>
        <w:pStyle w:val="BodyText"/>
      </w:pPr>
      <w:r w:rsidRPr="00D75EC5">
        <w:t xml:space="preserve">The specific </w:t>
      </w:r>
      <w:r w:rsidR="00C755CA" w:rsidRPr="00D75EC5">
        <w:t>OMV</w:t>
      </w:r>
      <w:r w:rsidRPr="00D75EC5">
        <w:t>-based meningococcal B vaccine previously used in New Zealand, which only targeted the epidemic strain in New Zealand</w:t>
      </w:r>
      <w:r w:rsidR="00F87ABF" w:rsidRPr="00D75EC5">
        <w:t>,</w:t>
      </w:r>
      <w:r w:rsidRPr="00D75EC5">
        <w:t xml:space="preserve"> would not </w:t>
      </w:r>
      <w:r w:rsidR="00F87ABF" w:rsidRPr="00D75EC5">
        <w:t xml:space="preserve">provide </w:t>
      </w:r>
      <w:r w:rsidRPr="00D75EC5">
        <w:t xml:space="preserve">protection against </w:t>
      </w:r>
      <w:r w:rsidR="00F87ABF" w:rsidRPr="00D75EC5">
        <w:t xml:space="preserve">a broad spectrum of </w:t>
      </w:r>
      <w:r w:rsidRPr="00D75EC5">
        <w:t>other MenB strains. Individuals who have previously received this vaccine in New Zealand can receive 4CMenB.</w:t>
      </w:r>
    </w:p>
    <w:p w:rsidR="00620988" w:rsidRDefault="00620988" w:rsidP="00936BD8">
      <w:pPr>
        <w:pStyle w:val="BodyText"/>
      </w:pPr>
      <w:r>
        <w:br w:type="page"/>
      </w:r>
    </w:p>
    <w:p w:rsidR="002B2846" w:rsidRPr="00646D98" w:rsidRDefault="002B2846" w:rsidP="00620988">
      <w:pPr>
        <w:pStyle w:val="Heading3"/>
      </w:pPr>
      <w:r w:rsidRPr="00646D98">
        <w:t>Recommended schedule of 4CMenB</w:t>
      </w:r>
    </w:p>
    <w:p w:rsidR="00646D98" w:rsidRPr="002A79C4" w:rsidRDefault="00646D98" w:rsidP="00620988">
      <w:pPr>
        <w:pStyle w:val="Tableheading"/>
      </w:pPr>
      <w:r w:rsidRPr="00B13F47">
        <w:t xml:space="preserve">Table </w:t>
      </w:r>
      <w:r>
        <w:t>1</w:t>
      </w:r>
      <w:r w:rsidR="00620988">
        <w:t>.</w:t>
      </w:r>
      <w:r w:rsidR="00620988">
        <w:tab/>
      </w:r>
      <w:r>
        <w:t>Recommended schedule of 4CMenB by age group</w:t>
      </w:r>
      <w:r w:rsidRPr="00B13F4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1. Recommended schedule of 4CMenB by age group "/>
        <w:tblDescription w:val="This table shows the recommended dosage of 4BMenC by age group from when the first dose of 4CMenB is received. These age groups are two months, three to five months, six to 11 months, 12 months to 10 years and 11 year and above. The table displays three columns of data against each age group: the number of primary immunisation doses, the interval between primary doses and the age for the booster dose.&#10;&#10;The table notes that 4CMenB is registered for use in persons from two months of age; however, the first dose of 4CMenB may be administered as early as six weeks of age to align with the NIP infant schedule. &#10;&#10;If the first dose of 4CMen B is administered at two months of age, three primary doses are delivered at approximately two months, four months and six months of age. Dosage must be given at intervals of approximately two month, but no earlier than one month. A booster dose is administered at 12 months of age. &#10;&#10;If the first dose of 4CMen B is administered at three to five months of age, three primary doses are delivered at one to two month intervals. A booster dose is administered at 12 months of age. &#10;&#10;If the first dose of 4CMen B is administered at six to 11 months of age, two primary doses are delivered at two month intervals. A booster dose is administered at 12 months of age, or two months after the previous dose, whichever is later. &#10;&#10;If the first dose of 4CMen B is administered at 12 months to 10 years of age, two primary doses are delivered at two month intervals and no booster dose is required.&#10;&#10;If the first dose of 4CMen B is administered at 11 years of age and above, two primary doses are delivered at one to two month intervals and no booster dose is required.&#10;&#10;The table notes that the need for a booster does is uncertain, where the first dose of 4CMen B is delivered to persons aged 12 months and above.&#10;&#10;The table also notes that for the age group of 11 years and above, there are currently no data on the use of 4CMenB in individuals aged over 50 years, however, based on first principles, ATAGI recommends that 4CMenB can be used in older persons who are at high risk of invasive meningococcal disease."/>
      </w:tblPr>
      <w:tblGrid>
        <w:gridCol w:w="1883"/>
        <w:gridCol w:w="1477"/>
        <w:gridCol w:w="2457"/>
        <w:gridCol w:w="2938"/>
      </w:tblGrid>
      <w:tr w:rsidR="002B2846" w:rsidRPr="00CB18BA" w:rsidTr="00620988">
        <w:tc>
          <w:tcPr>
            <w:tcW w:w="1883" w:type="dxa"/>
            <w:tcBorders>
              <w:right w:val="thinThickSmallGap" w:sz="24" w:space="0" w:color="auto"/>
            </w:tcBorders>
            <w:shd w:val="clear" w:color="auto" w:fill="D9D9D9" w:themeFill="background1" w:themeFillShade="D9"/>
            <w:vAlign w:val="center"/>
          </w:tcPr>
          <w:p w:rsidR="002B2846" w:rsidRPr="00CB18BA" w:rsidRDefault="002B2846" w:rsidP="00620988">
            <w:pPr>
              <w:pStyle w:val="Tablecolumnheading"/>
            </w:pPr>
            <w:r w:rsidRPr="00CB18BA">
              <w:t>Age at commencement of vaccine course</w:t>
            </w:r>
          </w:p>
        </w:tc>
        <w:tc>
          <w:tcPr>
            <w:tcW w:w="1477" w:type="dxa"/>
            <w:tcBorders>
              <w:left w:val="thinThickSmallGap" w:sz="24" w:space="0" w:color="auto"/>
            </w:tcBorders>
            <w:shd w:val="clear" w:color="auto" w:fill="D9D9D9" w:themeFill="background1" w:themeFillShade="D9"/>
            <w:vAlign w:val="center"/>
          </w:tcPr>
          <w:p w:rsidR="002B2846" w:rsidRPr="00CB18BA" w:rsidRDefault="002B2846" w:rsidP="00620988">
            <w:pPr>
              <w:pStyle w:val="Tablecolumnheading"/>
            </w:pPr>
            <w:r w:rsidRPr="00CB18BA">
              <w:t>Primary immunisation</w:t>
            </w:r>
          </w:p>
        </w:tc>
        <w:tc>
          <w:tcPr>
            <w:tcW w:w="2457" w:type="dxa"/>
            <w:shd w:val="clear" w:color="auto" w:fill="D9D9D9" w:themeFill="background1" w:themeFillShade="D9"/>
            <w:vAlign w:val="center"/>
          </w:tcPr>
          <w:p w:rsidR="002B2846" w:rsidRPr="00CB18BA" w:rsidRDefault="002B2846" w:rsidP="00620988">
            <w:pPr>
              <w:pStyle w:val="Tablecolumnheading"/>
            </w:pPr>
            <w:r w:rsidRPr="00CB18BA">
              <w:t>Interval between primary doses</w:t>
            </w:r>
          </w:p>
        </w:tc>
        <w:tc>
          <w:tcPr>
            <w:tcW w:w="2938" w:type="dxa"/>
            <w:shd w:val="clear" w:color="auto" w:fill="D9D9D9" w:themeFill="background1" w:themeFillShade="D9"/>
            <w:vAlign w:val="center"/>
          </w:tcPr>
          <w:p w:rsidR="002B2846" w:rsidRPr="00CB18BA" w:rsidRDefault="002B2846" w:rsidP="00620988">
            <w:pPr>
              <w:pStyle w:val="Tablecolumnheading"/>
            </w:pPr>
            <w:r w:rsidRPr="00CB18BA">
              <w:t>Age for booster dose</w:t>
            </w:r>
          </w:p>
        </w:tc>
      </w:tr>
      <w:tr w:rsidR="002B2846" w:rsidRPr="00CB18BA" w:rsidTr="00620988">
        <w:trPr>
          <w:trHeight w:val="580"/>
        </w:trPr>
        <w:tc>
          <w:tcPr>
            <w:tcW w:w="1883" w:type="dxa"/>
            <w:tcBorders>
              <w:right w:val="thinThickSmallGap" w:sz="24" w:space="0" w:color="auto"/>
            </w:tcBorders>
            <w:vAlign w:val="center"/>
          </w:tcPr>
          <w:p w:rsidR="002B2846" w:rsidRPr="00CB18BA" w:rsidRDefault="002B2846" w:rsidP="00620988">
            <w:pPr>
              <w:pStyle w:val="Tabletext"/>
            </w:pPr>
            <w:r w:rsidRPr="00CB18BA">
              <w:t>2 months</w:t>
            </w:r>
            <w:r w:rsidR="00F46DF7">
              <w:t>*</w:t>
            </w:r>
            <w:r w:rsidRPr="00CB18BA">
              <w:t xml:space="preserve"> </w:t>
            </w:r>
          </w:p>
        </w:tc>
        <w:tc>
          <w:tcPr>
            <w:tcW w:w="3934" w:type="dxa"/>
            <w:gridSpan w:val="2"/>
            <w:tcBorders>
              <w:left w:val="thinThickSmallGap" w:sz="24" w:space="0" w:color="auto"/>
            </w:tcBorders>
            <w:vAlign w:val="center"/>
          </w:tcPr>
          <w:p w:rsidR="002B2846" w:rsidRPr="00CB18BA" w:rsidRDefault="002B2846" w:rsidP="00620988">
            <w:pPr>
              <w:pStyle w:val="Tabletext"/>
            </w:pPr>
            <w:r w:rsidRPr="00CB18BA">
              <w:t>3 doses, delivered at ~2</w:t>
            </w:r>
            <w:r w:rsidR="00F46DF7">
              <w:t>*</w:t>
            </w:r>
            <w:r w:rsidRPr="00CB18BA">
              <w:t>, 4 and 6 months of age; (intervals ~2 months, at least 1 month)</w:t>
            </w:r>
          </w:p>
        </w:tc>
        <w:tc>
          <w:tcPr>
            <w:tcW w:w="2938" w:type="dxa"/>
            <w:vAlign w:val="center"/>
          </w:tcPr>
          <w:p w:rsidR="002B2846" w:rsidRPr="00CB18BA" w:rsidRDefault="002B2846" w:rsidP="00620988">
            <w:pPr>
              <w:pStyle w:val="Tabletext"/>
            </w:pPr>
            <w:r w:rsidRPr="00CB18BA">
              <w:t xml:space="preserve">12 months </w:t>
            </w:r>
          </w:p>
        </w:tc>
      </w:tr>
      <w:tr w:rsidR="002B2846" w:rsidRPr="00CB18BA" w:rsidTr="00620988">
        <w:trPr>
          <w:trHeight w:val="580"/>
        </w:trPr>
        <w:tc>
          <w:tcPr>
            <w:tcW w:w="1883" w:type="dxa"/>
            <w:tcBorders>
              <w:right w:val="thinThickSmallGap" w:sz="24" w:space="0" w:color="auto"/>
            </w:tcBorders>
            <w:vAlign w:val="center"/>
          </w:tcPr>
          <w:p w:rsidR="002B2846" w:rsidRPr="00CB18BA" w:rsidRDefault="002B2846" w:rsidP="00620988">
            <w:pPr>
              <w:pStyle w:val="Tabletext"/>
            </w:pPr>
            <w:r w:rsidRPr="00CB18BA">
              <w:t>3</w:t>
            </w:r>
            <w:r w:rsidR="00E44A15">
              <w:t xml:space="preserve"> to</w:t>
            </w:r>
            <w:r w:rsidR="00075BC9">
              <w:t xml:space="preserve"> </w:t>
            </w:r>
            <w:r w:rsidRPr="00CB18BA">
              <w:t>5 months</w:t>
            </w:r>
          </w:p>
        </w:tc>
        <w:tc>
          <w:tcPr>
            <w:tcW w:w="1477" w:type="dxa"/>
            <w:tcBorders>
              <w:left w:val="thinThickSmallGap" w:sz="24" w:space="0" w:color="auto"/>
            </w:tcBorders>
            <w:vAlign w:val="center"/>
          </w:tcPr>
          <w:p w:rsidR="002B2846" w:rsidRPr="00CB18BA" w:rsidRDefault="002B2846" w:rsidP="00620988">
            <w:pPr>
              <w:pStyle w:val="Tabletext"/>
            </w:pPr>
            <w:r w:rsidRPr="00CB18BA">
              <w:t>3 doses</w:t>
            </w:r>
          </w:p>
        </w:tc>
        <w:tc>
          <w:tcPr>
            <w:tcW w:w="2457" w:type="dxa"/>
            <w:vAlign w:val="center"/>
          </w:tcPr>
          <w:p w:rsidR="002B2846" w:rsidRPr="00CB18BA" w:rsidRDefault="002B2846" w:rsidP="00620988">
            <w:pPr>
              <w:pStyle w:val="Tabletext"/>
            </w:pPr>
            <w:r w:rsidRPr="00CB18BA">
              <w:t>1</w:t>
            </w:r>
            <w:r w:rsidR="003F6BBD">
              <w:t>–2</w:t>
            </w:r>
            <w:r w:rsidRPr="00CB18BA">
              <w:t xml:space="preserve"> month</w:t>
            </w:r>
            <w:r w:rsidR="003F6BBD">
              <w:t>s</w:t>
            </w:r>
          </w:p>
        </w:tc>
        <w:tc>
          <w:tcPr>
            <w:tcW w:w="2938" w:type="dxa"/>
            <w:vAlign w:val="center"/>
          </w:tcPr>
          <w:p w:rsidR="002B2846" w:rsidRPr="00CB18BA" w:rsidRDefault="002B2846" w:rsidP="00620988">
            <w:pPr>
              <w:pStyle w:val="Tabletext"/>
            </w:pPr>
            <w:r w:rsidRPr="00CB18BA">
              <w:t>12 months</w:t>
            </w:r>
          </w:p>
        </w:tc>
      </w:tr>
      <w:tr w:rsidR="002B2846" w:rsidRPr="00CB18BA" w:rsidTr="00620988">
        <w:trPr>
          <w:trHeight w:val="580"/>
        </w:trPr>
        <w:tc>
          <w:tcPr>
            <w:tcW w:w="1883" w:type="dxa"/>
            <w:tcBorders>
              <w:right w:val="thinThickSmallGap" w:sz="24" w:space="0" w:color="auto"/>
            </w:tcBorders>
            <w:vAlign w:val="center"/>
          </w:tcPr>
          <w:p w:rsidR="002B2846" w:rsidRPr="00CB18BA" w:rsidRDefault="002B2846" w:rsidP="00620988">
            <w:pPr>
              <w:pStyle w:val="Tabletext"/>
            </w:pPr>
            <w:r w:rsidRPr="00CB18BA">
              <w:t>6</w:t>
            </w:r>
            <w:r w:rsidR="00E44A15">
              <w:t xml:space="preserve"> to</w:t>
            </w:r>
            <w:r w:rsidR="00075BC9">
              <w:t xml:space="preserve"> </w:t>
            </w:r>
            <w:r w:rsidRPr="00CB18BA">
              <w:t>11 months</w:t>
            </w:r>
          </w:p>
        </w:tc>
        <w:tc>
          <w:tcPr>
            <w:tcW w:w="1477" w:type="dxa"/>
            <w:tcBorders>
              <w:left w:val="thinThickSmallGap" w:sz="24" w:space="0" w:color="auto"/>
            </w:tcBorders>
            <w:vAlign w:val="center"/>
          </w:tcPr>
          <w:p w:rsidR="002B2846" w:rsidRPr="00CB18BA" w:rsidRDefault="002B2846" w:rsidP="00620988">
            <w:pPr>
              <w:pStyle w:val="Tabletext"/>
            </w:pPr>
            <w:r w:rsidRPr="00CB18BA">
              <w:t>2 doses</w:t>
            </w:r>
          </w:p>
        </w:tc>
        <w:tc>
          <w:tcPr>
            <w:tcW w:w="2457" w:type="dxa"/>
            <w:vAlign w:val="center"/>
          </w:tcPr>
          <w:p w:rsidR="002B2846" w:rsidRPr="00CB18BA" w:rsidRDefault="002B2846" w:rsidP="00620988">
            <w:pPr>
              <w:pStyle w:val="Tabletext"/>
            </w:pPr>
            <w:r w:rsidRPr="00CB18BA">
              <w:t>2 months</w:t>
            </w:r>
          </w:p>
        </w:tc>
        <w:tc>
          <w:tcPr>
            <w:tcW w:w="2938" w:type="dxa"/>
            <w:vAlign w:val="center"/>
          </w:tcPr>
          <w:p w:rsidR="002B2846" w:rsidRPr="00CB18BA" w:rsidRDefault="002B2846" w:rsidP="00620988">
            <w:pPr>
              <w:pStyle w:val="Tabletext"/>
            </w:pPr>
            <w:r w:rsidRPr="00CB18BA">
              <w:t>12 months, or 2 months after previous dose, whichever is later</w:t>
            </w:r>
          </w:p>
        </w:tc>
      </w:tr>
      <w:tr w:rsidR="002B2846" w:rsidRPr="00CB18BA" w:rsidTr="00620988">
        <w:trPr>
          <w:trHeight w:val="580"/>
        </w:trPr>
        <w:tc>
          <w:tcPr>
            <w:tcW w:w="1883" w:type="dxa"/>
            <w:tcBorders>
              <w:right w:val="thinThickSmallGap" w:sz="24" w:space="0" w:color="auto"/>
            </w:tcBorders>
            <w:vAlign w:val="center"/>
          </w:tcPr>
          <w:p w:rsidR="002B2846" w:rsidRPr="00CB18BA" w:rsidRDefault="002B2846" w:rsidP="00620988">
            <w:pPr>
              <w:pStyle w:val="Tabletext"/>
            </w:pPr>
            <w:r w:rsidRPr="00CB18BA">
              <w:t xml:space="preserve">12 months to </w:t>
            </w:r>
            <w:r w:rsidRPr="00CB18BA">
              <w:br/>
              <w:t>10 years</w:t>
            </w:r>
          </w:p>
        </w:tc>
        <w:tc>
          <w:tcPr>
            <w:tcW w:w="1477" w:type="dxa"/>
            <w:tcBorders>
              <w:left w:val="thinThickSmallGap" w:sz="24" w:space="0" w:color="auto"/>
            </w:tcBorders>
            <w:vAlign w:val="center"/>
          </w:tcPr>
          <w:p w:rsidR="002B2846" w:rsidRPr="00CB18BA" w:rsidRDefault="002B2846" w:rsidP="00620988">
            <w:pPr>
              <w:pStyle w:val="Tabletext"/>
            </w:pPr>
            <w:r w:rsidRPr="00CB18BA">
              <w:t>2 doses</w:t>
            </w:r>
          </w:p>
        </w:tc>
        <w:tc>
          <w:tcPr>
            <w:tcW w:w="2457" w:type="dxa"/>
            <w:vAlign w:val="center"/>
          </w:tcPr>
          <w:p w:rsidR="002B2846" w:rsidRPr="00CB18BA" w:rsidRDefault="002B2846" w:rsidP="00620988">
            <w:pPr>
              <w:pStyle w:val="Tabletext"/>
            </w:pPr>
            <w:r w:rsidRPr="00CB18BA">
              <w:t>2 months</w:t>
            </w:r>
          </w:p>
        </w:tc>
        <w:tc>
          <w:tcPr>
            <w:tcW w:w="2938" w:type="dxa"/>
            <w:vAlign w:val="center"/>
          </w:tcPr>
          <w:p w:rsidR="002B2846" w:rsidRPr="00CB18BA" w:rsidRDefault="002B2846" w:rsidP="00620988">
            <w:pPr>
              <w:pStyle w:val="Tabletext"/>
            </w:pPr>
            <w:r w:rsidRPr="00CB18BA">
              <w:t>No booster required</w:t>
            </w:r>
            <w:r w:rsidRPr="00CB18BA">
              <w:rPr>
                <w:vertAlign w:val="superscript"/>
              </w:rPr>
              <w:t>†</w:t>
            </w:r>
          </w:p>
        </w:tc>
      </w:tr>
      <w:tr w:rsidR="002B2846" w:rsidRPr="00CB18BA" w:rsidTr="00620988">
        <w:trPr>
          <w:trHeight w:val="580"/>
        </w:trPr>
        <w:tc>
          <w:tcPr>
            <w:tcW w:w="1883" w:type="dxa"/>
            <w:tcBorders>
              <w:right w:val="thinThickSmallGap" w:sz="24" w:space="0" w:color="auto"/>
            </w:tcBorders>
            <w:vAlign w:val="center"/>
          </w:tcPr>
          <w:p w:rsidR="00C044A2" w:rsidRPr="00CB18BA" w:rsidRDefault="002B2846" w:rsidP="00962279">
            <w:pPr>
              <w:pStyle w:val="Tabletext"/>
            </w:pPr>
            <w:r w:rsidRPr="00CB18BA">
              <w:t>11 years and above</w:t>
            </w:r>
            <w:r w:rsidR="00C044A2" w:rsidRPr="002A79C4">
              <w:rPr>
                <w:vertAlign w:val="superscript"/>
              </w:rPr>
              <w:t>‡</w:t>
            </w:r>
          </w:p>
        </w:tc>
        <w:tc>
          <w:tcPr>
            <w:tcW w:w="1477" w:type="dxa"/>
            <w:tcBorders>
              <w:left w:val="thinThickSmallGap" w:sz="24" w:space="0" w:color="auto"/>
            </w:tcBorders>
            <w:vAlign w:val="center"/>
          </w:tcPr>
          <w:p w:rsidR="002B2846" w:rsidRPr="00CB18BA" w:rsidRDefault="002B2846" w:rsidP="00620988">
            <w:pPr>
              <w:pStyle w:val="Tabletext"/>
            </w:pPr>
            <w:r w:rsidRPr="00CB18BA">
              <w:t>2 doses</w:t>
            </w:r>
          </w:p>
        </w:tc>
        <w:tc>
          <w:tcPr>
            <w:tcW w:w="2457" w:type="dxa"/>
            <w:vAlign w:val="center"/>
          </w:tcPr>
          <w:p w:rsidR="002B2846" w:rsidRPr="00CB18BA" w:rsidRDefault="002B2846" w:rsidP="00620988">
            <w:pPr>
              <w:pStyle w:val="Tabletext"/>
            </w:pPr>
            <w:r w:rsidRPr="00CB18BA">
              <w:t>1–2 months</w:t>
            </w:r>
          </w:p>
        </w:tc>
        <w:tc>
          <w:tcPr>
            <w:tcW w:w="2938" w:type="dxa"/>
            <w:vAlign w:val="center"/>
          </w:tcPr>
          <w:p w:rsidR="002B2846" w:rsidRPr="00CB18BA" w:rsidRDefault="002B2846" w:rsidP="00620988">
            <w:pPr>
              <w:pStyle w:val="Tabletext"/>
            </w:pPr>
            <w:r w:rsidRPr="00CB18BA">
              <w:t>No booster required</w:t>
            </w:r>
            <w:r w:rsidRPr="00CB18BA">
              <w:rPr>
                <w:vertAlign w:val="superscript"/>
              </w:rPr>
              <w:t>†</w:t>
            </w:r>
          </w:p>
        </w:tc>
      </w:tr>
    </w:tbl>
    <w:p w:rsidR="00C044A2" w:rsidRPr="00C044A2" w:rsidRDefault="002B2846" w:rsidP="00620988">
      <w:pPr>
        <w:pStyle w:val="Tablefootnote"/>
      </w:pPr>
      <w:r w:rsidRPr="003F6BBD">
        <w:t xml:space="preserve">* </w:t>
      </w:r>
      <w:r w:rsidRPr="003F6BBD">
        <w:tab/>
      </w:r>
      <w:r w:rsidR="00FB0E13">
        <w:t>4CMenB is registered for use in persons ≥2 months of age; however, t</w:t>
      </w:r>
      <w:r w:rsidR="00C044A2" w:rsidRPr="004F5D36">
        <w:t xml:space="preserve">he </w:t>
      </w:r>
      <w:r w:rsidR="00075BC9">
        <w:t>1st</w:t>
      </w:r>
      <w:r w:rsidR="00075BC9" w:rsidRPr="004F5D36">
        <w:t xml:space="preserve"> </w:t>
      </w:r>
      <w:r w:rsidR="00C044A2" w:rsidRPr="004F5D36">
        <w:t>dose of 4CMenB may be administered as early as 6 weeks of age to align with the NIP infant schedule</w:t>
      </w:r>
      <w:r w:rsidR="00CB7BE1">
        <w:t>.</w:t>
      </w:r>
    </w:p>
    <w:p w:rsidR="002B2846" w:rsidRPr="00CB18BA" w:rsidRDefault="00C044A2" w:rsidP="00620988">
      <w:pPr>
        <w:pStyle w:val="Tablefootnote"/>
      </w:pPr>
      <w:r w:rsidRPr="00CB18BA">
        <w:t>†</w:t>
      </w:r>
      <w:r>
        <w:tab/>
      </w:r>
      <w:r w:rsidRPr="00CB18BA">
        <w:t>The need for a booster dose for this age group is as yet uncertain</w:t>
      </w:r>
      <w:r w:rsidR="00CB7BE1">
        <w:t>.</w:t>
      </w:r>
      <w:r w:rsidRPr="00CB18BA">
        <w:t xml:space="preserve"> </w:t>
      </w:r>
    </w:p>
    <w:p w:rsidR="002B2846" w:rsidRPr="00CB18BA" w:rsidRDefault="00C044A2" w:rsidP="00620988">
      <w:pPr>
        <w:pStyle w:val="Tablefootnote"/>
      </w:pPr>
      <w:r>
        <w:t>‡</w:t>
      </w:r>
      <w:r w:rsidR="002B2846" w:rsidRPr="00CB18BA">
        <w:tab/>
      </w:r>
      <w:r w:rsidRPr="00CB18BA">
        <w:t xml:space="preserve">There are currently no data on </w:t>
      </w:r>
      <w:r w:rsidR="001C6805">
        <w:t xml:space="preserve">the </w:t>
      </w:r>
      <w:r w:rsidRPr="00CB18BA">
        <w:t>use</w:t>
      </w:r>
      <w:r w:rsidR="001C6805">
        <w:t xml:space="preserve"> of 4CMen</w:t>
      </w:r>
      <w:r w:rsidR="00170BD6">
        <w:t>B</w:t>
      </w:r>
      <w:r w:rsidRPr="00CB18BA">
        <w:t xml:space="preserve"> in individuals aged over 50 years</w:t>
      </w:r>
      <w:r w:rsidR="001C6805">
        <w:t>,</w:t>
      </w:r>
      <w:r w:rsidRPr="00CB18BA">
        <w:t xml:space="preserve"> </w:t>
      </w:r>
      <w:r w:rsidR="001C6805">
        <w:t>h</w:t>
      </w:r>
      <w:r w:rsidRPr="00CB18BA">
        <w:t xml:space="preserve">owever, based on first principles, ATAGI recommends that </w:t>
      </w:r>
      <w:r w:rsidR="00CB7BE1">
        <w:t>4CMenB</w:t>
      </w:r>
      <w:r w:rsidR="001C6805">
        <w:t xml:space="preserve"> </w:t>
      </w:r>
      <w:r w:rsidRPr="00CB18BA">
        <w:t>can be used in older persons who are at high risk of IMD</w:t>
      </w:r>
      <w:r w:rsidR="00CB7BE1">
        <w:t>.</w:t>
      </w:r>
    </w:p>
    <w:p w:rsidR="002B2846" w:rsidRPr="004F5D36" w:rsidRDefault="002B2846" w:rsidP="00620988">
      <w:pPr>
        <w:pStyle w:val="Heading3"/>
        <w:spacing w:before="360"/>
      </w:pPr>
      <w:r w:rsidRPr="004F5D36">
        <w:t>Recommendations regarding use of paracetamol to reduce fever incidence</w:t>
      </w:r>
    </w:p>
    <w:p w:rsidR="002B2846" w:rsidRPr="005D22F2" w:rsidRDefault="002B2846" w:rsidP="00620988">
      <w:pPr>
        <w:pStyle w:val="BodyText"/>
      </w:pPr>
      <w:r w:rsidRPr="00A1158E">
        <w:t>ATAGI recommends prophylactic use of paracetamol with every dose of 4CMenB administered in children &lt;2 years of age</w:t>
      </w:r>
      <w:r w:rsidRPr="00125611">
        <w:t>.</w:t>
      </w:r>
      <w:r w:rsidRPr="005D22F2">
        <w:t xml:space="preserve"> </w:t>
      </w:r>
      <w:r>
        <w:t>This is because of the</w:t>
      </w:r>
      <w:r w:rsidRPr="005D22F2">
        <w:t xml:space="preserve"> relatively high incidence of fever, particularly an increased risk of fever (including high fever) in infants who receive 4CMenB concurrently with other NIP vaccines (see </w:t>
      </w:r>
      <w:r w:rsidRPr="005D22F2">
        <w:rPr>
          <w:i/>
        </w:rPr>
        <w:t>Adverse events</w:t>
      </w:r>
      <w:r w:rsidRPr="005D22F2">
        <w:t xml:space="preserve"> below)</w:t>
      </w:r>
      <w:r>
        <w:t>.</w:t>
      </w:r>
      <w:r w:rsidRPr="005D22F2">
        <w:t xml:space="preserve"> </w:t>
      </w:r>
      <w:r w:rsidRPr="0045217F">
        <w:t xml:space="preserve">The </w:t>
      </w:r>
      <w:r w:rsidR="00075BC9">
        <w:t>1st</w:t>
      </w:r>
      <w:r w:rsidR="00075BC9" w:rsidRPr="0045217F">
        <w:t xml:space="preserve"> </w:t>
      </w:r>
      <w:r w:rsidRPr="0045217F">
        <w:t>dose of paracetamol (15</w:t>
      </w:r>
      <w:r w:rsidR="00CB7BE1">
        <w:t xml:space="preserve"> </w:t>
      </w:r>
      <w:r w:rsidRPr="0045217F">
        <w:t xml:space="preserve">mg/kg per dose) is recommended within </w:t>
      </w:r>
      <w:r w:rsidR="00C50B63">
        <w:t xml:space="preserve">the </w:t>
      </w:r>
      <w:r w:rsidRPr="0045217F">
        <w:t>30 min</w:t>
      </w:r>
      <w:r w:rsidR="00C45BB6">
        <w:t>ute</w:t>
      </w:r>
      <w:r w:rsidRPr="0045217F">
        <w:t xml:space="preserve"> period </w:t>
      </w:r>
      <w:r>
        <w:t>prior to vaccination</w:t>
      </w:r>
      <w:r w:rsidRPr="0045217F">
        <w:t xml:space="preserve"> or as soon as practicable after</w:t>
      </w:r>
      <w:r>
        <w:t>wards</w:t>
      </w:r>
      <w:r w:rsidRPr="0045217F">
        <w:t xml:space="preserve">, regardless of </w:t>
      </w:r>
      <w:r>
        <w:t xml:space="preserve">the </w:t>
      </w:r>
      <w:r w:rsidRPr="0045217F">
        <w:t xml:space="preserve">presence of fever. </w:t>
      </w:r>
      <w:r w:rsidRPr="005D22F2">
        <w:t xml:space="preserve">This </w:t>
      </w:r>
      <w:r w:rsidR="00207DB6">
        <w:t>can</w:t>
      </w:r>
      <w:r w:rsidRPr="005D22F2">
        <w:t xml:space="preserve"> be followed by 2 more doses of paracetamol </w:t>
      </w:r>
      <w:r>
        <w:t>given</w:t>
      </w:r>
      <w:r w:rsidRPr="005D22F2">
        <w:t xml:space="preserve"> 6 hours</w:t>
      </w:r>
      <w:r>
        <w:t xml:space="preserve"> apart, regardless of the presence of fever</w:t>
      </w:r>
      <w:r w:rsidRPr="005D22F2">
        <w:t xml:space="preserve">. </w:t>
      </w:r>
    </w:p>
    <w:p w:rsidR="002B2846" w:rsidRPr="005D22F2" w:rsidRDefault="002B2846" w:rsidP="00620988">
      <w:pPr>
        <w:pStyle w:val="BodyText"/>
      </w:pPr>
      <w:r w:rsidRPr="005D22F2">
        <w:t>This recommendation is based on results from a clinical trial of 4CMenB, showing that prophylactic use of paracetamol in infancy reduced the incidence and severity of fever without significantly affecting the immunogenicity of either 4CMenB or other vaccines</w:t>
      </w:r>
      <w:r w:rsidR="00C45BB6">
        <w:t xml:space="preserve"> </w:t>
      </w:r>
      <w:r w:rsidR="00400418">
        <w:t xml:space="preserve">that were </w:t>
      </w:r>
      <w:r w:rsidR="00C45BB6">
        <w:t xml:space="preserve">given </w:t>
      </w:r>
      <w:r w:rsidR="006113B9">
        <w:t>concurrently</w:t>
      </w:r>
      <w:r w:rsidRPr="005D22F2">
        <w:t xml:space="preserve">. This recommendation </w:t>
      </w:r>
      <w:r w:rsidR="00400418">
        <w:t>of</w:t>
      </w:r>
      <w:r w:rsidR="00C45BB6">
        <w:t xml:space="preserve"> prophylactic use of paracetamol </w:t>
      </w:r>
      <w:r w:rsidRPr="005D22F2">
        <w:t xml:space="preserve">has been extended to include young children in the second year of life, to reduce the chance of developing high fever. </w:t>
      </w:r>
    </w:p>
    <w:p w:rsidR="002B2846" w:rsidRPr="005D22F2" w:rsidRDefault="002B2846" w:rsidP="00620988">
      <w:pPr>
        <w:pStyle w:val="BodyText"/>
      </w:pPr>
      <w:r w:rsidRPr="005D22F2">
        <w:t xml:space="preserve">If prophylactic administration of paracetamol in this circumstance is not feasible or not given, paracetamol as required for </w:t>
      </w:r>
      <w:r>
        <w:t xml:space="preserve">management of </w:t>
      </w:r>
      <w:r w:rsidRPr="005D22F2">
        <w:t xml:space="preserve">fever or </w:t>
      </w:r>
      <w:r>
        <w:t xml:space="preserve">other symptoms, such as injection site </w:t>
      </w:r>
      <w:r w:rsidRPr="005D22F2">
        <w:t>pain</w:t>
      </w:r>
      <w:r>
        <w:t>,</w:t>
      </w:r>
      <w:r w:rsidRPr="005D22F2">
        <w:t xml:space="preserve"> </w:t>
      </w:r>
      <w:r>
        <w:t>can</w:t>
      </w:r>
      <w:r w:rsidRPr="005D22F2">
        <w:t xml:space="preserve"> be provided at the discretion of parents/carers </w:t>
      </w:r>
      <w:r>
        <w:t xml:space="preserve">and </w:t>
      </w:r>
      <w:r w:rsidRPr="005D22F2">
        <w:t xml:space="preserve">according to the recommendations contained in Chapter 2.3 (page 91) of </w:t>
      </w:r>
      <w:r w:rsidRPr="005D22F2">
        <w:rPr>
          <w:i/>
        </w:rPr>
        <w:t>The Australian Immunisation Handbook</w:t>
      </w:r>
      <w:r w:rsidR="001A442E">
        <w:rPr>
          <w:i/>
        </w:rPr>
        <w:t xml:space="preserve">, </w:t>
      </w:r>
      <w:r w:rsidR="00C45BB6" w:rsidRPr="004F5D36">
        <w:t>10</w:t>
      </w:r>
      <w:r w:rsidR="00C45BB6" w:rsidRPr="00D75EC5">
        <w:t>th</w:t>
      </w:r>
      <w:r w:rsidR="00C45BB6" w:rsidRPr="004F5D36">
        <w:t xml:space="preserve"> </w:t>
      </w:r>
      <w:r w:rsidR="001A442E">
        <w:t>e</w:t>
      </w:r>
      <w:r w:rsidR="00C45BB6" w:rsidRPr="004F5D36">
        <w:t>dition</w:t>
      </w:r>
      <w:r w:rsidR="00353EE5">
        <w:rPr>
          <w:i/>
        </w:rPr>
        <w:t>.</w:t>
      </w:r>
      <w:hyperlink w:anchor="_ENREF_1" w:tooltip="ATAGI, 2013 #1074" w:history="1">
        <w:r w:rsidR="00AA6003" w:rsidRPr="004F5D36">
          <w:fldChar w:fldCharType="begin"/>
        </w:r>
        <w:r w:rsidR="00AA6003" w:rsidRPr="004F5D36">
          <w:instrText xml:space="preserve"> ADDIN EN.CITE &lt;EndNote&gt;&lt;Cite&gt;&lt;Author&gt;ATAGI&lt;/Author&gt;&lt;Year&gt;2013&lt;/Year&gt;&lt;RecNum&gt;1074&lt;/RecNum&gt;&lt;DisplayText&gt;&lt;style face="superscript"&gt;1&lt;/style&gt;&lt;/DisplayText&gt;&lt;record&gt;&lt;rec-number&gt;1074&lt;/rec-number&gt;&lt;foreign-keys&gt;&lt;key app="EN" db-id="e2vew95zwwtraretz58xwszo0esfp99929ra"&gt;1074&lt;/key&gt;&lt;/foreign-keys&gt;&lt;ref-type name="Book"&gt;6&lt;/ref-type&gt;&lt;contributors&gt;&lt;authors&gt;&lt;author&gt;ATAGI&lt;/author&gt;&lt;/authors&gt;&lt;/contributors&gt;&lt;titles&gt;&lt;title&gt;The Australian Immunisation Handbook - 10th edition &lt;/title&gt;&lt;/titles&gt;&lt;dates&gt;&lt;year&gt;2013&lt;/year&gt;&lt;/dates&gt;&lt;pub-location&gt;Canberra&lt;/pub-location&gt;&lt;publisher&gt;Department of Health and Ageing&lt;/publisher&gt;&lt;urls&gt;&lt;/urls&gt;&lt;/record&gt;&lt;/Cite&gt;&lt;/EndNote&gt;</w:instrText>
        </w:r>
        <w:r w:rsidR="00AA6003" w:rsidRPr="004F5D36">
          <w:fldChar w:fldCharType="separate"/>
        </w:r>
        <w:r w:rsidR="00AA6003" w:rsidRPr="004F5D36">
          <w:rPr>
            <w:noProof/>
            <w:vertAlign w:val="superscript"/>
          </w:rPr>
          <w:t>1</w:t>
        </w:r>
        <w:r w:rsidR="00AA6003" w:rsidRPr="004F5D36">
          <w:fldChar w:fldCharType="end"/>
        </w:r>
      </w:hyperlink>
      <w:r w:rsidRPr="005D22F2">
        <w:t xml:space="preserve"> The dose of paracetamol for an infant or child ≤12 years of age is 15</w:t>
      </w:r>
      <w:r w:rsidR="005A2891">
        <w:t xml:space="preserve"> </w:t>
      </w:r>
      <w:r w:rsidRPr="005D22F2">
        <w:t>mg/kg</w:t>
      </w:r>
      <w:r w:rsidR="005A2891">
        <w:t xml:space="preserve"> per </w:t>
      </w:r>
      <w:r w:rsidRPr="005D22F2">
        <w:t>dose, up to a maximum of 60</w:t>
      </w:r>
      <w:r w:rsidR="005A2891">
        <w:t xml:space="preserve"> </w:t>
      </w:r>
      <w:r w:rsidRPr="005D22F2">
        <w:t>mg/kg per day in four divided doses. However</w:t>
      </w:r>
      <w:r>
        <w:t>,</w:t>
      </w:r>
      <w:r w:rsidRPr="005D22F2">
        <w:t xml:space="preserve"> paracetamol should not be given for more than 48 hours without seeking medical advice.</w:t>
      </w:r>
    </w:p>
    <w:p w:rsidR="002B2846" w:rsidRPr="005D22F2" w:rsidRDefault="002B2846" w:rsidP="00620988">
      <w:pPr>
        <w:pStyle w:val="BodyText"/>
      </w:pPr>
      <w:r w:rsidRPr="005D22F2">
        <w:t xml:space="preserve">This recommendation </w:t>
      </w:r>
      <w:r>
        <w:t>for</w:t>
      </w:r>
      <w:r w:rsidRPr="005D22F2">
        <w:t xml:space="preserve"> prophylactic use of paracetamol with 4CMenB administration is an exception to a general recommendation in </w:t>
      </w:r>
      <w:r w:rsidRPr="005D22F2">
        <w:rPr>
          <w:i/>
        </w:rPr>
        <w:t>The Australian Immunisation Handbook,</w:t>
      </w:r>
      <w:r w:rsidR="001A442E">
        <w:rPr>
          <w:i/>
        </w:rPr>
        <w:t xml:space="preserve"> </w:t>
      </w:r>
      <w:r w:rsidR="001A442E" w:rsidRPr="004F5D36">
        <w:t>10</w:t>
      </w:r>
      <w:r w:rsidR="001A442E" w:rsidRPr="005346C4">
        <w:t>th</w:t>
      </w:r>
      <w:r w:rsidR="001A442E" w:rsidRPr="004F5D36">
        <w:t xml:space="preserve"> edition</w:t>
      </w:r>
      <w:hyperlink w:anchor="_ENREF_1" w:tooltip="ATAGI, 2013 #1074" w:history="1">
        <w:r w:rsidR="00AA6003" w:rsidRPr="004F5D36">
          <w:fldChar w:fldCharType="begin"/>
        </w:r>
        <w:r w:rsidR="00AA6003" w:rsidRPr="004F5D36">
          <w:instrText xml:space="preserve"> ADDIN EN.CITE &lt;EndNote&gt;&lt;Cite&gt;&lt;Author&gt;ATAGI&lt;/Author&gt;&lt;Year&gt;2013&lt;/Year&gt;&lt;RecNum&gt;1074&lt;/RecNum&gt;&lt;DisplayText&gt;&lt;style face="superscript"&gt;1&lt;/style&gt;&lt;/DisplayText&gt;&lt;record&gt;&lt;rec-number&gt;1074&lt;/rec-number&gt;&lt;foreign-keys&gt;&lt;key app="EN" db-id="e2vew95zwwtraretz58xwszo0esfp99929ra"&gt;1074&lt;/key&gt;&lt;/foreign-keys&gt;&lt;ref-type name="Book"&gt;6&lt;/ref-type&gt;&lt;contributors&gt;&lt;authors&gt;&lt;author&gt;ATAGI&lt;/author&gt;&lt;/authors&gt;&lt;/contributors&gt;&lt;titles&gt;&lt;title&gt;The Australian Immunisation Handbook - 10th edition &lt;/title&gt;&lt;/titles&gt;&lt;dates&gt;&lt;year&gt;2013&lt;/year&gt;&lt;/dates&gt;&lt;pub-location&gt;Canberra&lt;/pub-location&gt;&lt;publisher&gt;Department of Health and Ageing&lt;/publisher&gt;&lt;urls&gt;&lt;/urls&gt;&lt;/record&gt;&lt;/Cite&gt;&lt;/EndNote&gt;</w:instrText>
        </w:r>
        <w:r w:rsidR="00AA6003" w:rsidRPr="004F5D36">
          <w:fldChar w:fldCharType="separate"/>
        </w:r>
        <w:r w:rsidR="00AA6003" w:rsidRPr="004F5D36">
          <w:rPr>
            <w:noProof/>
            <w:vertAlign w:val="superscript"/>
          </w:rPr>
          <w:t>1</w:t>
        </w:r>
        <w:r w:rsidR="00AA6003" w:rsidRPr="004F5D36">
          <w:fldChar w:fldCharType="end"/>
        </w:r>
      </w:hyperlink>
      <w:r w:rsidRPr="005D22F2">
        <w:t xml:space="preserve"> where routine use of paracetamol at the time of or immediately after vaccination</w:t>
      </w:r>
      <w:r>
        <w:t xml:space="preserve"> (with any vaccines, other than </w:t>
      </w:r>
      <w:r w:rsidRPr="005D22F2">
        <w:t>4CMenB</w:t>
      </w:r>
      <w:r>
        <w:t>)</w:t>
      </w:r>
      <w:r w:rsidRPr="005D22F2">
        <w:t xml:space="preserve"> is</w:t>
      </w:r>
      <w:r w:rsidRPr="005D22F2">
        <w:rPr>
          <w:i/>
        </w:rPr>
        <w:t xml:space="preserve"> not</w:t>
      </w:r>
      <w:r w:rsidRPr="005D22F2">
        <w:t xml:space="preserve"> recommended unless fever &gt;38.5°C or pain at the injection site develops. </w:t>
      </w:r>
    </w:p>
    <w:p w:rsidR="00D61978" w:rsidRDefault="00D61978" w:rsidP="00936BD8">
      <w:pPr>
        <w:pStyle w:val="BodyText"/>
      </w:pPr>
      <w:r>
        <w:br w:type="page"/>
      </w:r>
    </w:p>
    <w:p w:rsidR="002B2846" w:rsidRPr="00F273F4" w:rsidRDefault="002B2846" w:rsidP="00620988">
      <w:pPr>
        <w:pStyle w:val="Heading2"/>
      </w:pPr>
      <w:r w:rsidRPr="00F273F4">
        <w:t xml:space="preserve">Contraindications </w:t>
      </w:r>
    </w:p>
    <w:p w:rsidR="002B2846" w:rsidRPr="005D22F2" w:rsidRDefault="002B2846" w:rsidP="00620988">
      <w:pPr>
        <w:pStyle w:val="BodyText"/>
      </w:pPr>
      <w:r w:rsidRPr="005D22F2">
        <w:t xml:space="preserve">The </w:t>
      </w:r>
      <w:r w:rsidR="005A2891">
        <w:t xml:space="preserve">only </w:t>
      </w:r>
      <w:r w:rsidRPr="005D22F2">
        <w:t xml:space="preserve">absolute contraindications to 4CMenB are: </w:t>
      </w:r>
    </w:p>
    <w:p w:rsidR="002B2846" w:rsidRPr="005D22F2" w:rsidRDefault="002B2846" w:rsidP="00620988">
      <w:pPr>
        <w:pStyle w:val="Bodytext-bullet"/>
      </w:pPr>
      <w:r w:rsidRPr="005D22F2">
        <w:t xml:space="preserve">Anaphylaxis following a previous dose of </w:t>
      </w:r>
      <w:r w:rsidR="005A2891">
        <w:t>4CMenB</w:t>
      </w:r>
      <w:r w:rsidR="005A2891" w:rsidRPr="005D22F2">
        <w:t xml:space="preserve"> </w:t>
      </w:r>
      <w:r w:rsidRPr="005D22F2">
        <w:t>or any other meningococcal vaccine</w:t>
      </w:r>
    </w:p>
    <w:p w:rsidR="002B2846" w:rsidRPr="005D22F2" w:rsidRDefault="002B2846" w:rsidP="00620988">
      <w:pPr>
        <w:pStyle w:val="Bodytext-bullet"/>
      </w:pPr>
      <w:r w:rsidRPr="005D22F2">
        <w:t>Anaphylaxis following any vaccine component</w:t>
      </w:r>
      <w:r w:rsidR="005A2891">
        <w:t>.</w:t>
      </w:r>
      <w:r w:rsidRPr="005D22F2">
        <w:t xml:space="preserve"> </w:t>
      </w:r>
    </w:p>
    <w:p w:rsidR="002B2846" w:rsidRPr="005D22F2" w:rsidRDefault="002B2846" w:rsidP="00620988">
      <w:pPr>
        <w:pStyle w:val="BodyText"/>
      </w:pPr>
      <w:r w:rsidRPr="005D22F2">
        <w:t xml:space="preserve">Previous meningococcal disease, regardless of the serogroup, is </w:t>
      </w:r>
      <w:r w:rsidRPr="005D22F2">
        <w:rPr>
          <w:i/>
        </w:rPr>
        <w:t xml:space="preserve">not </w:t>
      </w:r>
      <w:r w:rsidRPr="005D22F2">
        <w:t>a contraindication to administration of 4CMenB.</w:t>
      </w:r>
    </w:p>
    <w:p w:rsidR="002B2846" w:rsidRPr="00F273F4" w:rsidRDefault="002B2846" w:rsidP="00620988">
      <w:pPr>
        <w:pStyle w:val="Heading2"/>
      </w:pPr>
      <w:r w:rsidRPr="00F273F4">
        <w:t xml:space="preserve">Adverse events </w:t>
      </w:r>
    </w:p>
    <w:p w:rsidR="002B2846" w:rsidRPr="005D22F2" w:rsidRDefault="002B2846" w:rsidP="00620988">
      <w:pPr>
        <w:pStyle w:val="BodyText"/>
      </w:pPr>
      <w:r w:rsidRPr="005D22F2">
        <w:t>Any serious or unexpected adverse event following immunisation should be reported</w:t>
      </w:r>
      <w:r>
        <w:t xml:space="preserve"> promptly</w:t>
      </w:r>
      <w:r w:rsidRPr="005D22F2">
        <w:t xml:space="preserve"> by providers via the appropriate </w:t>
      </w:r>
      <w:r>
        <w:t>route, as per the reporting protocols of your state or territory</w:t>
      </w:r>
      <w:r w:rsidRPr="005D22F2">
        <w:t>. Parents/carers should also be encouraged to notify the</w:t>
      </w:r>
      <w:r>
        <w:t>ir</w:t>
      </w:r>
      <w:r w:rsidRPr="005D22F2">
        <w:t xml:space="preserve"> immunisation provider of any untoward medical occurrence that follows immunisation. For more information</w:t>
      </w:r>
      <w:r w:rsidR="00226D7C">
        <w:t>,</w:t>
      </w:r>
      <w:r w:rsidRPr="005D22F2">
        <w:t xml:space="preserve"> refer to Chapter 2.3 of </w:t>
      </w:r>
      <w:r w:rsidRPr="005D22F2">
        <w:rPr>
          <w:i/>
        </w:rPr>
        <w:t>The Australian Immunisation Handbook</w:t>
      </w:r>
      <w:r w:rsidR="001A442E">
        <w:rPr>
          <w:i/>
        </w:rPr>
        <w:t xml:space="preserve">, </w:t>
      </w:r>
      <w:r w:rsidR="00C45BB6" w:rsidRPr="004F5D36">
        <w:t>10</w:t>
      </w:r>
      <w:r w:rsidR="00C45BB6" w:rsidRPr="005346C4">
        <w:t>th</w:t>
      </w:r>
      <w:r w:rsidR="00C45BB6" w:rsidRPr="004F5D36">
        <w:t xml:space="preserve"> </w:t>
      </w:r>
      <w:r w:rsidR="001A442E" w:rsidRPr="004F5D36">
        <w:t>e</w:t>
      </w:r>
      <w:r w:rsidR="00C45BB6" w:rsidRPr="004F5D36">
        <w:t>dition</w:t>
      </w:r>
      <w:r w:rsidRPr="005D22F2">
        <w:rPr>
          <w:i/>
        </w:rPr>
        <w:t>.</w:t>
      </w:r>
      <w:hyperlink w:anchor="_ENREF_1" w:tooltip="ATAGI, 2013 #1074" w:history="1">
        <w:r w:rsidR="00AA6003" w:rsidRPr="005D22F2">
          <w:fldChar w:fldCharType="begin"/>
        </w:r>
        <w:r w:rsidR="00AA6003" w:rsidRPr="005D22F2">
          <w:instrText xml:space="preserve"> ADDIN EN.CITE &lt;EndNote&gt;&lt;Cite&gt;&lt;Author&gt;ATAGI&lt;/Author&gt;&lt;Year&gt;2013&lt;/Year&gt;&lt;RecNum&gt;1074&lt;/RecNum&gt;&lt;DisplayText&gt;&lt;style face="superscript"&gt;1&lt;/style&gt;&lt;/DisplayText&gt;&lt;record&gt;&lt;rec-number&gt;1074&lt;/rec-number&gt;&lt;foreign-keys&gt;&lt;key app="EN" db-id="e2vew95zwwtraretz58xwszo0esfp99929ra"&gt;1074&lt;/key&gt;&lt;/foreign-keys&gt;&lt;ref-type name="Book"&gt;6&lt;/ref-type&gt;&lt;contributors&gt;&lt;authors&gt;&lt;author&gt;ATAGI&lt;/author&gt;&lt;/authors&gt;&lt;/contributors&gt;&lt;titles&gt;&lt;title&gt;The Australian Immunisation Handbook - 10th edition &lt;/title&gt;&lt;/titles&gt;&lt;dates&gt;&lt;year&gt;2013&lt;/year&gt;&lt;/dates&gt;&lt;pub-location&gt;Canberra&lt;/pub-location&gt;&lt;publisher&gt;Department of Health and Ageing&lt;/publisher&gt;&lt;urls&gt;&lt;/urls&gt;&lt;/record&gt;&lt;/Cite&gt;&lt;/EndNote&gt;</w:instrText>
        </w:r>
        <w:r w:rsidR="00AA6003" w:rsidRPr="005D22F2">
          <w:fldChar w:fldCharType="separate"/>
        </w:r>
        <w:r w:rsidR="00AA6003" w:rsidRPr="005D22F2">
          <w:rPr>
            <w:noProof/>
            <w:vertAlign w:val="superscript"/>
          </w:rPr>
          <w:t>1</w:t>
        </w:r>
        <w:r w:rsidR="00AA6003" w:rsidRPr="005D22F2">
          <w:fldChar w:fldCharType="end"/>
        </w:r>
      </w:hyperlink>
    </w:p>
    <w:p w:rsidR="002B2846" w:rsidRPr="005D22F2" w:rsidRDefault="002B2846" w:rsidP="00563B87">
      <w:pPr>
        <w:pStyle w:val="Heading3"/>
        <w:spacing w:before="240"/>
      </w:pPr>
      <w:r w:rsidRPr="005D22F2">
        <w:t>Fever and prophylactic use of paracetamol</w:t>
      </w:r>
    </w:p>
    <w:p w:rsidR="002B2846" w:rsidRPr="002D3A02" w:rsidRDefault="002B2846" w:rsidP="00620988">
      <w:pPr>
        <w:pStyle w:val="Heading4"/>
      </w:pPr>
      <w:r>
        <w:t>Incidence of fever following 4CMenB</w:t>
      </w:r>
    </w:p>
    <w:p w:rsidR="002B2846" w:rsidRDefault="002B2846" w:rsidP="00563B87">
      <w:pPr>
        <w:pStyle w:val="BodyText"/>
      </w:pPr>
      <w:r>
        <w:t>Fever was the most notable systemic reaction in both infants and children aged 2</w:t>
      </w:r>
      <w:r w:rsidR="00C45BB6">
        <w:t xml:space="preserve"> to </w:t>
      </w:r>
      <w:r>
        <w:t>12 months</w:t>
      </w:r>
      <w:r w:rsidR="00DA3D0F">
        <w:t xml:space="preserve"> in clinical trials</w:t>
      </w:r>
      <w:r>
        <w:t>. Temperatures were highest 6 hours after vaccination, decreased on day</w:t>
      </w:r>
      <w:r w:rsidR="00C45BB6">
        <w:t xml:space="preserve"> </w:t>
      </w:r>
      <w:r>
        <w:t>2, and generally subsided by day 3.</w:t>
      </w:r>
      <w:hyperlink w:anchor="_ENREF_4" w:tooltip="Vesikari, 2013 #398" w:history="1">
        <w:r w:rsidR="00AA6003">
          <w:fldChar w:fldCharType="begin"/>
        </w:r>
        <w:r w:rsidR="00AA6003">
          <w:instrText xml:space="preserve"> ADDIN EN.CITE &lt;EndNote&gt;&lt;Cite&gt;&lt;Author&gt;Vesikari&lt;/Author&gt;&lt;Year&gt;2013&lt;/Year&gt;&lt;RecNum&gt;398&lt;/RecNum&gt;&lt;DisplayText&gt;&lt;style face="superscript"&gt;4&lt;/style&gt;&lt;/DisplayText&gt;&lt;record&gt;&lt;rec-number&gt;398&lt;/rec-number&gt;&lt;foreign-keys&gt;&lt;key app="EN" db-id="e2vew95zwwtraretz58xwszo0esfp99929ra"&gt;398&lt;/key&gt;&lt;/foreign-keys&gt;&lt;ref-type name="Journal Article"&gt;17&lt;/ref-type&gt;&lt;contributors&gt;&lt;authors&gt;&lt;author&gt;Vesikari, Timo&lt;/author&gt;&lt;author&gt;Esposito, Susanna&lt;/author&gt;&lt;author&gt;Prymula, Roman&lt;/author&gt;&lt;author&gt;Ypma, Ellen&lt;/author&gt;&lt;author&gt;Kohl, Igor&lt;/author&gt;&lt;author&gt;Toneatto, Daniela&lt;/author&gt;&lt;author&gt;Dull, Peter&lt;/author&gt;&lt;author&gt;Kimura, Alan&lt;/author&gt;&lt;/authors&gt;&lt;/contributors&gt;&lt;titles&gt;&lt;title&gt;Immunogenicity and safety of an investigational multicomponent, recombinant, meningococcal serogroup B vaccine (4CMenB) administered concomitantly with routine infant and child vaccinations: results of two randomised trials&lt;/title&gt;&lt;secondary-title&gt;The Lancet&lt;/secondary-title&gt;&lt;/titles&gt;&lt;periodical&gt;&lt;full-title&gt;The Lancet&lt;/full-title&gt;&lt;/periodical&gt;&lt;pages&gt;825-835&lt;/pages&gt;&lt;volume&gt;381&lt;/volume&gt;&lt;number&gt;9869&lt;/number&gt;&lt;dates&gt;&lt;year&gt;2013&lt;/year&gt;&lt;/dates&gt;&lt;isbn&gt;01406736&lt;/isbn&gt;&lt;urls&gt;&lt;pdf-urls&gt;&lt;url&gt;file://K:\NCIRS\EB_HibMenC_WP\Literature\Men B\MEN_201301_Lancet_Veskiari.pdf&lt;/url&gt;&lt;/pdf-urls&gt;&lt;/urls&gt;&lt;electronic-resource-num&gt;10.1016/s0140-6736(12)61961-8&lt;/electronic-resource-num&gt;&lt;modified-date&gt;Men B&lt;/modified-date&gt;&lt;/record&gt;&lt;/Cite&gt;&lt;/EndNote&gt;</w:instrText>
        </w:r>
        <w:r w:rsidR="00AA6003">
          <w:fldChar w:fldCharType="separate"/>
        </w:r>
        <w:r w:rsidR="00AA6003" w:rsidRPr="00E15DBE">
          <w:rPr>
            <w:noProof/>
            <w:vertAlign w:val="superscript"/>
          </w:rPr>
          <w:t>4</w:t>
        </w:r>
        <w:r w:rsidR="00AA6003">
          <w:fldChar w:fldCharType="end"/>
        </w:r>
      </w:hyperlink>
      <w:r>
        <w:t xml:space="preserve"> </w:t>
      </w:r>
      <w:r w:rsidRPr="005D22F2">
        <w:t xml:space="preserve">The frequency of fever with 4CMenB when given concurrently with other infant vaccines, specifically </w:t>
      </w:r>
      <w:r>
        <w:t>D</w:t>
      </w:r>
      <w:r w:rsidRPr="005D22F2">
        <w:t>T</w:t>
      </w:r>
      <w:r>
        <w:t>P</w:t>
      </w:r>
      <w:r w:rsidRPr="005D22F2">
        <w:t>a-hepB-IPV-Hib</w:t>
      </w:r>
      <w:r w:rsidRPr="005D22F2" w:rsidDel="006B5EEF">
        <w:t xml:space="preserve"> </w:t>
      </w:r>
      <w:r w:rsidRPr="005D22F2">
        <w:t>and 7</w:t>
      </w:r>
      <w:r w:rsidR="005A2891">
        <w:t>-</w:t>
      </w:r>
      <w:r w:rsidRPr="005D22F2">
        <w:t>v</w:t>
      </w:r>
      <w:r w:rsidR="005A2891">
        <w:t>alent pneumococcal conjugate vaccine</w:t>
      </w:r>
      <w:r w:rsidR="00636659">
        <w:t xml:space="preserve"> (7vPCV),</w:t>
      </w:r>
      <w:r w:rsidRPr="005D22F2">
        <w:t xml:space="preserve"> </w:t>
      </w:r>
      <w:r w:rsidR="00B66961">
        <w:t>was</w:t>
      </w:r>
      <w:r w:rsidR="00B66961" w:rsidRPr="005D22F2">
        <w:t xml:space="preserve"> </w:t>
      </w:r>
      <w:r w:rsidRPr="005D22F2">
        <w:t xml:space="preserve">higher than </w:t>
      </w:r>
      <w:r w:rsidR="005A2891">
        <w:t>that for</w:t>
      </w:r>
      <w:r w:rsidRPr="005D22F2">
        <w:t xml:space="preserve"> other vaccines or 4CMenB alone.</w:t>
      </w:r>
      <w:r w:rsidRPr="005D22F2">
        <w:fldChar w:fldCharType="begin">
          <w:fldData xml:space="preserve">PEVuZE5vdGU+PENpdGU+PEF1dGhvcj5Hb3NzZ2VyPC9BdXRob3I+PFllYXI+MjAxMjwvWWVhcj48
UmVjTnVtPjM3OTwvUmVjTnVtPjxEaXNwbGF5VGV4dD48c3R5bGUgZmFjZT0ic3VwZXJzY3JpcHQi
PjQsNTwvc3R5bGU+PC9EaXNwbGF5VGV4dD48cmVjb3JkPjxyZWMtbnVtYmVyPjM3OTwvcmVjLW51
bWJlcj48Zm9yZWlnbi1rZXlzPjxrZXkgYXBwPSJFTiIgZGItaWQ9ImUydmV3OTV6d3d0cmFyZXR6
NTh4d3N6bzBlc2ZwOTk5MjlyYSI+Mzc5PC9rZXk+PC9mb3JlaWduLWtleXM+PHJlZi10eXBlIG5h
bWU9IkpvdXJuYWwgQXJ0aWNsZSI+MTc8L3JlZi10eXBlPjxjb250cmlidXRvcnM+PGF1dGhvcnM+
PGF1dGhvcj5Hb3NzZ2VyLCBOPC9hdXRob3I+PGF1dGhvcj5TbmFwZSwgTS48L2F1dGhvcj48YXV0
aG9yPll1LCBMLiBNLjwvYXV0aG9yPjwvYXV0aG9ycz48L2NvbnRyaWJ1dG9ycz48dGl0bGVzPjx0
aXRsZT5JbW11bm9nZW5pY2l0eSBhbmQgdG9sZXJhYmlsaXR5IG9mIHJlY29taW5hbnQgTWVuaW5n
b2NvY2NhbCBzZXJvZ3JvdXAgQiB2YWNjaW5lIGFkbWluaXN0ZXJlZCB3aXRoIG9yIHdpdGhvdXQg
cm91dGluZSBpbmZhbnQgdmFjY2luYXRpb25zIGFjY29yZGluZyB0byBkaWZmZXJlbnQgaW1tdW5p
c2F0aW9uIHNjaGVkdWxlczogYSByYW5kb21pc2VkIGNvbnRyb2xsZWQgdHJpYWwgLSBzdXBwbGVt
ZW50YXJ5IGNvbnRlbnQ8L3RpdGxlPjxzZWNvbmRhcnktdGl0bGU+Sm91cm5hbCBvZiBBbWVyaWNh
biBNZWRpY2FsIEFzc29jaWF0aW9uPC9zZWNvbmRhcnktdGl0bGU+PC90aXRsZXM+PHBlcmlvZGlj
YWw+PGZ1bGwtdGl0bGU+Sm91cm5hbCBvZiBBbWVyaWNhbiBNZWRpY2FsIEFzc29jaWF0aW9uPC9m
dWxsLXRpdGxlPjwvcGVyaW9kaWNhbD48dm9sdW1lPjMwNzwvdm9sdW1lPjxudW1iZXI+NjwvbnVt
YmVyPjxkYXRlcz48eWVhcj4yMDEyPC95ZWFyPjwvZGF0ZXM+PHVybHM+PHBkZi11cmxzPjx1cmw+
ZmlsZTovL0s6XE5DSVJTXEVCX0hpYk1lbkNfV1BcTGl0ZXJhdHVyZVxNZW4gQlxNRU5fMjAxMjAy
X0pBTUFfR29zc2dlciBBRUZJIHN1cHAucGRmPC91cmw+PC9wZGYtdXJscz48L3VybHM+PG1vZGlm
aWVkLWRhdGU+TWVuIEI8L21vZGlmaWVkLWRhdGU+PC9yZWNvcmQ+PC9DaXRlPjxDaXRlPjxBdXRo
b3I+VmVzaWthcmk8L0F1dGhvcj48WWVhcj4yMDEzPC9ZZWFyPjxSZWNOdW0+Mzk4PC9SZWNOdW0+
PHJlY29yZD48cmVjLW51bWJlcj4zOTg8L3JlYy1udW1iZXI+PGZvcmVpZ24ta2V5cz48a2V5IGFw
cD0iRU4iIGRiLWlkPSJlMnZldzk1end3dHJhcmV0ejU4eHdzem8wZXNmcDk5OTI5cmEiPjM5ODwv
a2V5PjwvZm9yZWlnbi1rZXlzPjxyZWYtdHlwZSBuYW1lPSJKb3VybmFsIEFydGljbGUiPjE3PC9y
ZWYtdHlwZT48Y29udHJpYnV0b3JzPjxhdXRob3JzPjxhdXRob3I+VmVzaWthcmksIFRpbW88L2F1
dGhvcj48YXV0aG9yPkVzcG9zaXRvLCBTdXNhbm5hPC9hdXRob3I+PGF1dGhvcj5QcnltdWxhLCBS
b21hbjwvYXV0aG9yPjxhdXRob3I+WXBtYSwgRWxsZW48L2F1dGhvcj48YXV0aG9yPktvaGwsIEln
b3I8L2F1dGhvcj48YXV0aG9yPlRvbmVhdHRvLCBEYW5pZWxhPC9hdXRob3I+PGF1dGhvcj5EdWxs
LCBQZXRlcjwvYXV0aG9yPjxhdXRob3I+S2ltdXJhLCBBbGFuPC9hdXRob3I+PC9hdXRob3JzPjwv
Y29udHJpYnV0b3JzPjx0aXRsZXM+PHRpdGxlPkltbXVub2dlbmljaXR5IGFuZCBzYWZldHkgb2Yg
YW4gaW52ZXN0aWdhdGlvbmFsIG11bHRpY29tcG9uZW50LCByZWNvbWJpbmFudCwgbWVuaW5nb2Nv
Y2NhbCBzZXJvZ3JvdXAgQiB2YWNjaW5lICg0Q01lbkIpIGFkbWluaXN0ZXJlZCBjb25jb21pdGFu
dGx5IHdpdGggcm91dGluZSBpbmZhbnQgYW5kIGNoaWxkIHZhY2NpbmF0aW9uczogcmVzdWx0cyBv
ZiB0d28gcmFuZG9taXNlZCB0cmlhbHM8L3RpdGxlPjxzZWNvbmRhcnktdGl0bGU+VGhlIExhbmNl
dDwvc2Vjb25kYXJ5LXRpdGxlPjwvdGl0bGVzPjxwZXJpb2RpY2FsPjxmdWxsLXRpdGxlPlRoZSBM
YW5jZXQ8L2Z1bGwtdGl0bGU+PC9wZXJpb2RpY2FsPjxwYWdlcz44MjUtODM1PC9wYWdlcz48dm9s
dW1lPjM4MTwvdm9sdW1lPjxudW1iZXI+OTg2OTwvbnVtYmVyPjxkYXRlcz48eWVhcj4yMDEzPC95
ZWFyPjwvZGF0ZXM+PGlzYm4+MDE0MDY3MzY8L2lzYm4+PHVybHM+PHBkZi11cmxzPjx1cmw+Zmls
ZTovL0s6XE5DSVJTXEVCX0hpYk1lbkNfV1BcTGl0ZXJhdHVyZVxNZW4gQlxNRU5fMjAxMzAxX0xh
bmNldF9WZXNraWFyaS5wZGY8L3VybD48L3BkZi11cmxzPjwvdXJscz48ZWxlY3Ryb25pYy1yZXNv
dXJjZS1udW0+MTAuMTAxNi9zMDE0MC02NzM2KDEyKTYxOTYxLTg8L2VsZWN0cm9uaWMtcmVzb3Vy
Y2UtbnVtPjxtb2RpZmllZC1kYXRlPk1lbiBCPC9tb2RpZmllZC1kYXRlPjwvcmVjb3JkPjwvQ2l0
ZT48L0VuZE5vdGU+hwA=
</w:fldData>
        </w:fldChar>
      </w:r>
      <w:r w:rsidRPr="005D22F2">
        <w:instrText xml:space="preserve"> ADDIN EN.CITE </w:instrText>
      </w:r>
      <w:r w:rsidRPr="005D22F2">
        <w:fldChar w:fldCharType="begin">
          <w:fldData xml:space="preserve">PEVuZE5vdGU+PENpdGU+PEF1dGhvcj5Hb3NzZ2VyPC9BdXRob3I+PFllYXI+MjAxMjwvWWVhcj48
UmVjTnVtPjM3OTwvUmVjTnVtPjxEaXNwbGF5VGV4dD48c3R5bGUgZmFjZT0ic3VwZXJzY3JpcHQi
PjQsNTwvc3R5bGU+PC9EaXNwbGF5VGV4dD48cmVjb3JkPjxyZWMtbnVtYmVyPjM3OTwvcmVjLW51
bWJlcj48Zm9yZWlnbi1rZXlzPjxrZXkgYXBwPSJFTiIgZGItaWQ9ImUydmV3OTV6d3d0cmFyZXR6
NTh4d3N6bzBlc2ZwOTk5MjlyYSI+Mzc5PC9rZXk+PC9mb3JlaWduLWtleXM+PHJlZi10eXBlIG5h
bWU9IkpvdXJuYWwgQXJ0aWNsZSI+MTc8L3JlZi10eXBlPjxjb250cmlidXRvcnM+PGF1dGhvcnM+
PGF1dGhvcj5Hb3NzZ2VyLCBOPC9hdXRob3I+PGF1dGhvcj5TbmFwZSwgTS48L2F1dGhvcj48YXV0
aG9yPll1LCBMLiBNLjwvYXV0aG9yPjwvYXV0aG9ycz48L2NvbnRyaWJ1dG9ycz48dGl0bGVzPjx0
aXRsZT5JbW11bm9nZW5pY2l0eSBhbmQgdG9sZXJhYmlsaXR5IG9mIHJlY29taW5hbnQgTWVuaW5n
b2NvY2NhbCBzZXJvZ3JvdXAgQiB2YWNjaW5lIGFkbWluaXN0ZXJlZCB3aXRoIG9yIHdpdGhvdXQg
cm91dGluZSBpbmZhbnQgdmFjY2luYXRpb25zIGFjY29yZGluZyB0byBkaWZmZXJlbnQgaW1tdW5p
c2F0aW9uIHNjaGVkdWxlczogYSByYW5kb21pc2VkIGNvbnRyb2xsZWQgdHJpYWwgLSBzdXBwbGVt
ZW50YXJ5IGNvbnRlbnQ8L3RpdGxlPjxzZWNvbmRhcnktdGl0bGU+Sm91cm5hbCBvZiBBbWVyaWNh
biBNZWRpY2FsIEFzc29jaWF0aW9uPC9zZWNvbmRhcnktdGl0bGU+PC90aXRsZXM+PHBlcmlvZGlj
YWw+PGZ1bGwtdGl0bGU+Sm91cm5hbCBvZiBBbWVyaWNhbiBNZWRpY2FsIEFzc29jaWF0aW9uPC9m
dWxsLXRpdGxlPjwvcGVyaW9kaWNhbD48dm9sdW1lPjMwNzwvdm9sdW1lPjxudW1iZXI+NjwvbnVt
YmVyPjxkYXRlcz48eWVhcj4yMDEyPC95ZWFyPjwvZGF0ZXM+PHVybHM+PHBkZi11cmxzPjx1cmw+
ZmlsZTovL0s6XE5DSVJTXEVCX0hpYk1lbkNfV1BcTGl0ZXJhdHVyZVxNZW4gQlxNRU5fMjAxMjAy
X0pBTUFfR29zc2dlciBBRUZJIHN1cHAucGRmPC91cmw+PC9wZGYtdXJscz48L3VybHM+PG1vZGlm
aWVkLWRhdGU+TWVuIEI8L21vZGlmaWVkLWRhdGU+PC9yZWNvcmQ+PC9DaXRlPjxDaXRlPjxBdXRo
b3I+VmVzaWthcmk8L0F1dGhvcj48WWVhcj4yMDEzPC9ZZWFyPjxSZWNOdW0+Mzk4PC9SZWNOdW0+
PHJlY29yZD48cmVjLW51bWJlcj4zOTg8L3JlYy1udW1iZXI+PGZvcmVpZ24ta2V5cz48a2V5IGFw
cD0iRU4iIGRiLWlkPSJlMnZldzk1end3dHJhcmV0ejU4eHdzem8wZXNmcDk5OTI5cmEiPjM5ODwv
a2V5PjwvZm9yZWlnbi1rZXlzPjxyZWYtdHlwZSBuYW1lPSJKb3VybmFsIEFydGljbGUiPjE3PC9y
ZWYtdHlwZT48Y29udHJpYnV0b3JzPjxhdXRob3JzPjxhdXRob3I+VmVzaWthcmksIFRpbW88L2F1
dGhvcj48YXV0aG9yPkVzcG9zaXRvLCBTdXNhbm5hPC9hdXRob3I+PGF1dGhvcj5QcnltdWxhLCBS
b21hbjwvYXV0aG9yPjxhdXRob3I+WXBtYSwgRWxsZW48L2F1dGhvcj48YXV0aG9yPktvaGwsIEln
b3I8L2F1dGhvcj48YXV0aG9yPlRvbmVhdHRvLCBEYW5pZWxhPC9hdXRob3I+PGF1dGhvcj5EdWxs
LCBQZXRlcjwvYXV0aG9yPjxhdXRob3I+S2ltdXJhLCBBbGFuPC9hdXRob3I+PC9hdXRob3JzPjwv
Y29udHJpYnV0b3JzPjx0aXRsZXM+PHRpdGxlPkltbXVub2dlbmljaXR5IGFuZCBzYWZldHkgb2Yg
YW4gaW52ZXN0aWdhdGlvbmFsIG11bHRpY29tcG9uZW50LCByZWNvbWJpbmFudCwgbWVuaW5nb2Nv
Y2NhbCBzZXJvZ3JvdXAgQiB2YWNjaW5lICg0Q01lbkIpIGFkbWluaXN0ZXJlZCBjb25jb21pdGFu
dGx5IHdpdGggcm91dGluZSBpbmZhbnQgYW5kIGNoaWxkIHZhY2NpbmF0aW9uczogcmVzdWx0cyBv
ZiB0d28gcmFuZG9taXNlZCB0cmlhbHM8L3RpdGxlPjxzZWNvbmRhcnktdGl0bGU+VGhlIExhbmNl
dDwvc2Vjb25kYXJ5LXRpdGxlPjwvdGl0bGVzPjxwZXJpb2RpY2FsPjxmdWxsLXRpdGxlPlRoZSBM
YW5jZXQ8L2Z1bGwtdGl0bGU+PC9wZXJpb2RpY2FsPjxwYWdlcz44MjUtODM1PC9wYWdlcz48dm9s
dW1lPjM4MTwvdm9sdW1lPjxudW1iZXI+OTg2OTwvbnVtYmVyPjxkYXRlcz48eWVhcj4yMDEzPC95
ZWFyPjwvZGF0ZXM+PGlzYm4+MDE0MDY3MzY8L2lzYm4+PHVybHM+PHBkZi11cmxzPjx1cmw+Zmls
ZTovL0s6XE5DSVJTXEVCX0hpYk1lbkNfV1BcTGl0ZXJhdHVyZVxNZW4gQlxNRU5fMjAxMzAxX0xh
bmNldF9WZXNraWFyaS5wZGY8L3VybD48L3BkZi11cmxzPjwvdXJscz48ZWxlY3Ryb25pYy1yZXNv
dXJjZS1udW0+MTAuMTAxNi9zMDE0MC02NzM2KDEyKTYxOTYxLTg8L2VsZWN0cm9uaWMtcmVzb3Vy
Y2UtbnVtPjxtb2RpZmllZC1kYXRlPk1lbiBCPC9tb2RpZmllZC1kYXRlPjwvcmVjb3JkPjwvQ2l0
ZT48L0VuZE5vdGU+EjM=
</w:fldData>
        </w:fldChar>
      </w:r>
      <w:r w:rsidRPr="005D22F2">
        <w:instrText xml:space="preserve"> ADDIN EN.CITE.DATA </w:instrText>
      </w:r>
      <w:r w:rsidRPr="005D22F2">
        <w:fldChar w:fldCharType="end"/>
      </w:r>
      <w:r w:rsidRPr="005D22F2">
        <w:fldChar w:fldCharType="separate"/>
      </w:r>
      <w:hyperlink w:anchor="_ENREF_4" w:tooltip="Vesikari, 2013 #398" w:history="1">
        <w:r w:rsidR="00AA6003" w:rsidRPr="005D22F2">
          <w:rPr>
            <w:noProof/>
            <w:vertAlign w:val="superscript"/>
          </w:rPr>
          <w:t>4</w:t>
        </w:r>
      </w:hyperlink>
      <w:r w:rsidRPr="005D22F2">
        <w:rPr>
          <w:noProof/>
          <w:vertAlign w:val="superscript"/>
        </w:rPr>
        <w:t>,</w:t>
      </w:r>
      <w:hyperlink w:anchor="_ENREF_5" w:tooltip="Gossger, 2012 #379" w:history="1">
        <w:r w:rsidR="00AA6003" w:rsidRPr="005D22F2">
          <w:rPr>
            <w:noProof/>
            <w:vertAlign w:val="superscript"/>
          </w:rPr>
          <w:t>5</w:t>
        </w:r>
      </w:hyperlink>
      <w:r w:rsidRPr="005D22F2">
        <w:fldChar w:fldCharType="end"/>
      </w:r>
      <w:r w:rsidRPr="005D22F2">
        <w:t xml:space="preserve"> </w:t>
      </w:r>
      <w:r>
        <w:t>This was demonstrated in o</w:t>
      </w:r>
      <w:r w:rsidRPr="005D22F2">
        <w:t>ne clinical trial</w:t>
      </w:r>
      <w:hyperlink w:anchor="_ENREF_5" w:tooltip="Gossger, 2012 #379" w:history="1">
        <w:r w:rsidR="00C45BB6">
          <w:fldChar w:fldCharType="begin"/>
        </w:r>
        <w:r w:rsidR="00C45BB6">
          <w:instrText xml:space="preserve"> ADDIN EN.CITE &lt;EndNote&gt;&lt;Cite&gt;&lt;Author&gt;Gossger&lt;/Author&gt;&lt;Year&gt;2012&lt;/Year&gt;&lt;RecNum&gt;379&lt;/RecNum&gt;&lt;DisplayText&gt;&lt;style face="superscript"&gt;5&lt;/style&gt;&lt;/DisplayText&gt;&lt;record&gt;&lt;rec-number&gt;379&lt;/rec-number&gt;&lt;foreign-keys&gt;&lt;key app="EN" db-id="e2vew95zwwtraretz58xwszo0esfp99929ra"&gt;379&lt;/key&gt;&lt;/foreign-keys&gt;&lt;ref-type name="Journal Article"&gt;17&lt;/ref-type&gt;&lt;contributors&gt;&lt;authors&gt;&lt;author&gt;Gossger, N&lt;/author&gt;&lt;author&gt;Snape, M.&lt;/author&gt;&lt;author&gt;Yu, L. M.&lt;/author&gt;&lt;/authors&gt;&lt;/contributors&gt;&lt;titles&gt;&lt;title&gt;Immunogenicity and tolerability of recominant Meningococcal serogroup B vaccine administered with or without routine infant vaccinations according to different immunisation schedules: a randomised controlled trial - supplementary content&lt;/title&gt;&lt;secondary-title&gt;Journal of American Medical Association&lt;/secondary-title&gt;&lt;/titles&gt;&lt;periodical&gt;&lt;full-title&gt;Journal of American Medical Association&lt;/full-title&gt;&lt;/periodical&gt;&lt;volume&gt;307&lt;/volume&gt;&lt;number&gt;6&lt;/number&gt;&lt;dates&gt;&lt;year&gt;2012&lt;/year&gt;&lt;/dates&gt;&lt;urls&gt;&lt;pdf-urls&gt;&lt;url&gt;file://K:\NCIRS\EB_HibMenC_WP\Literature\Men B\MEN_201202_JAMA_Gossger AEFI supp.pdf&lt;/url&gt;&lt;/pdf-urls&gt;&lt;/urls&gt;&lt;modified-date&gt;Men B&lt;/modified-date&gt;&lt;/record&gt;&lt;/Cite&gt;&lt;/EndNote&gt;</w:instrText>
        </w:r>
        <w:r w:rsidR="00C45BB6">
          <w:fldChar w:fldCharType="separate"/>
        </w:r>
        <w:r w:rsidR="00C45BB6" w:rsidRPr="00E15DBE">
          <w:rPr>
            <w:noProof/>
            <w:vertAlign w:val="superscript"/>
          </w:rPr>
          <w:t>5</w:t>
        </w:r>
        <w:r w:rsidR="00C45BB6">
          <w:fldChar w:fldCharType="end"/>
        </w:r>
      </w:hyperlink>
      <w:r>
        <w:t xml:space="preserve"> as shown </w:t>
      </w:r>
      <w:r w:rsidR="00DA3D0F">
        <w:t xml:space="preserve">in </w:t>
      </w:r>
      <w:r w:rsidR="00CF1C59">
        <w:t>T</w:t>
      </w:r>
      <w:r>
        <w:t xml:space="preserve">able </w:t>
      </w:r>
      <w:r w:rsidR="00CF1C59">
        <w:t>2</w:t>
      </w:r>
      <w:r w:rsidR="005A2891">
        <w:t>.</w:t>
      </w:r>
      <w:r w:rsidRPr="005D22F2" w:rsidDel="004631A7">
        <w:t xml:space="preserve"> </w:t>
      </w:r>
    </w:p>
    <w:p w:rsidR="00CF1C59" w:rsidRPr="004F5D36" w:rsidRDefault="00563B87" w:rsidP="00563B87">
      <w:pPr>
        <w:pStyle w:val="Tableheading"/>
      </w:pPr>
      <w:r>
        <w:t>Table 2.</w:t>
      </w:r>
      <w:r>
        <w:tab/>
      </w:r>
      <w:r w:rsidR="00CF1C59" w:rsidRPr="004F5D36">
        <w:t xml:space="preserve">Proportion </w:t>
      </w:r>
      <w:r w:rsidR="00CF1C59">
        <w:t>(</w:t>
      </w:r>
      <w:r w:rsidR="00CF1C59" w:rsidRPr="004F5D36">
        <w:t>%</w:t>
      </w:r>
      <w:r w:rsidR="00CF1C59">
        <w:t>)</w:t>
      </w:r>
      <w:r w:rsidR="00CF1C59" w:rsidRPr="004F5D36">
        <w:t xml:space="preserve"> of infants reporting fever within 7 days after at least </w:t>
      </w:r>
      <w:r w:rsidR="005A2891">
        <w:t>1</w:t>
      </w:r>
      <w:r w:rsidR="005A2891" w:rsidRPr="004F5D36">
        <w:t xml:space="preserve"> </w:t>
      </w:r>
      <w:r w:rsidR="00CF1C59" w:rsidRPr="004F5D36">
        <w:t>of the 3 infant doses of 4CMenB</w:t>
      </w:r>
      <w:r w:rsidR="00CF1C59">
        <w:t>, by vaccine recipient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2. Proportion (%) of infants reporting fever within 7 days after at least 1 of the 3 infant doses of 4CMenB, by vaccine recipient group"/>
        <w:tblDescription w:val="This table provides a breakdown, by percentage, of infants who experienced fever within seven days after at least one of the three infant doses of 4CMenB. &#10;In infants who experienced a fever of greater than or equal to 38 degrees celsius, 23 to 36 percent had received routine vaccines only, 26 to 41 percent had received the 4CMenB vaccine only and 51 to 62 percent experienced fever after receiving concurrent vaccines (routine and 4CMenB).&#10;In infants who experienced a fever of greater than or equal to 39 degrees Celsius, three to four percent had received routine vaccines only, 4 to 8 percent had received the 4CMenB vaccine only and 10 to 15 percent experienced fever after receiving concurrent vaccines."/>
      </w:tblPr>
      <w:tblGrid>
        <w:gridCol w:w="1384"/>
        <w:gridCol w:w="2268"/>
        <w:gridCol w:w="2126"/>
        <w:gridCol w:w="2744"/>
      </w:tblGrid>
      <w:tr w:rsidR="002B2846" w:rsidRPr="002D3A02" w:rsidTr="00563B87">
        <w:tc>
          <w:tcPr>
            <w:tcW w:w="1384" w:type="dxa"/>
            <w:shd w:val="clear" w:color="auto" w:fill="D9D9D9" w:themeFill="background1" w:themeFillShade="D9"/>
          </w:tcPr>
          <w:p w:rsidR="002B2846" w:rsidRPr="00F273F4" w:rsidRDefault="002B2846" w:rsidP="00563B87">
            <w:pPr>
              <w:pStyle w:val="Tablecolumnheading"/>
            </w:pPr>
            <w:r w:rsidRPr="00F273F4">
              <w:t>Axillary temperature</w:t>
            </w:r>
          </w:p>
        </w:tc>
        <w:tc>
          <w:tcPr>
            <w:tcW w:w="2268" w:type="dxa"/>
            <w:shd w:val="clear" w:color="auto" w:fill="D9D9D9" w:themeFill="background1" w:themeFillShade="D9"/>
            <w:vAlign w:val="center"/>
          </w:tcPr>
          <w:p w:rsidR="002B2846" w:rsidRPr="00F273F4" w:rsidRDefault="002B2846" w:rsidP="00563B87">
            <w:pPr>
              <w:pStyle w:val="Tablecolumnheading"/>
            </w:pPr>
            <w:r w:rsidRPr="00F273F4">
              <w:t>Routine vaccines only</w:t>
            </w:r>
          </w:p>
        </w:tc>
        <w:tc>
          <w:tcPr>
            <w:tcW w:w="2126" w:type="dxa"/>
            <w:shd w:val="clear" w:color="auto" w:fill="D9D9D9" w:themeFill="background1" w:themeFillShade="D9"/>
            <w:vAlign w:val="center"/>
          </w:tcPr>
          <w:p w:rsidR="002B2846" w:rsidRPr="00F273F4" w:rsidRDefault="002B2846" w:rsidP="00563B87">
            <w:pPr>
              <w:pStyle w:val="Tablecolumnheading"/>
            </w:pPr>
            <w:r w:rsidRPr="00F273F4">
              <w:t>4CMenB only</w:t>
            </w:r>
          </w:p>
        </w:tc>
        <w:tc>
          <w:tcPr>
            <w:tcW w:w="2744" w:type="dxa"/>
            <w:shd w:val="clear" w:color="auto" w:fill="D9D9D9" w:themeFill="background1" w:themeFillShade="D9"/>
            <w:vAlign w:val="center"/>
          </w:tcPr>
          <w:p w:rsidR="002B2846" w:rsidRPr="00F273F4" w:rsidRDefault="002B2846" w:rsidP="00563B87">
            <w:pPr>
              <w:pStyle w:val="Tablecolumnheading"/>
            </w:pPr>
            <w:r w:rsidRPr="00F273F4">
              <w:t>Concurrent vaccines</w:t>
            </w:r>
          </w:p>
          <w:p w:rsidR="002B2846" w:rsidRPr="00F273F4" w:rsidRDefault="002B2846" w:rsidP="00563B87">
            <w:pPr>
              <w:pStyle w:val="Tablecolumnheading"/>
            </w:pPr>
            <w:r w:rsidRPr="00F273F4">
              <w:t>(routine + 4CMenB)</w:t>
            </w:r>
          </w:p>
        </w:tc>
      </w:tr>
      <w:tr w:rsidR="002B2846" w:rsidRPr="002D3A02" w:rsidTr="00E87999">
        <w:tc>
          <w:tcPr>
            <w:tcW w:w="1384" w:type="dxa"/>
          </w:tcPr>
          <w:p w:rsidR="002B2846" w:rsidRPr="00E87999" w:rsidRDefault="002B2846" w:rsidP="00563B87">
            <w:pPr>
              <w:pStyle w:val="Tabletext"/>
            </w:pPr>
            <w:r w:rsidRPr="00E87999">
              <w:t>≥38°C</w:t>
            </w:r>
          </w:p>
        </w:tc>
        <w:tc>
          <w:tcPr>
            <w:tcW w:w="2268" w:type="dxa"/>
            <w:vAlign w:val="center"/>
          </w:tcPr>
          <w:p w:rsidR="002B2846" w:rsidRPr="00E87999" w:rsidRDefault="002B2846" w:rsidP="00563B87">
            <w:pPr>
              <w:pStyle w:val="Tabletext"/>
            </w:pPr>
            <w:r w:rsidRPr="00E87999">
              <w:t>23–36%</w:t>
            </w:r>
          </w:p>
        </w:tc>
        <w:tc>
          <w:tcPr>
            <w:tcW w:w="2126" w:type="dxa"/>
            <w:vAlign w:val="center"/>
          </w:tcPr>
          <w:p w:rsidR="002B2846" w:rsidRPr="00E87999" w:rsidRDefault="002B2846" w:rsidP="00563B87">
            <w:pPr>
              <w:pStyle w:val="Tabletext"/>
            </w:pPr>
            <w:r w:rsidRPr="00E87999">
              <w:t>26–41%</w:t>
            </w:r>
          </w:p>
        </w:tc>
        <w:tc>
          <w:tcPr>
            <w:tcW w:w="2744" w:type="dxa"/>
            <w:vAlign w:val="center"/>
          </w:tcPr>
          <w:p w:rsidR="002B2846" w:rsidRPr="00E87999" w:rsidRDefault="002B2846" w:rsidP="00563B87">
            <w:pPr>
              <w:pStyle w:val="Tabletext"/>
            </w:pPr>
            <w:r w:rsidRPr="00E87999">
              <w:t>51–62%</w:t>
            </w:r>
          </w:p>
        </w:tc>
      </w:tr>
      <w:tr w:rsidR="002B2846" w:rsidRPr="002D3A02" w:rsidTr="00E87999">
        <w:tc>
          <w:tcPr>
            <w:tcW w:w="1384" w:type="dxa"/>
          </w:tcPr>
          <w:p w:rsidR="002B2846" w:rsidRPr="00E87999" w:rsidRDefault="002B2846" w:rsidP="00563B87">
            <w:pPr>
              <w:pStyle w:val="Tabletext"/>
            </w:pPr>
            <w:r w:rsidRPr="00E87999">
              <w:t>≥39°C</w:t>
            </w:r>
          </w:p>
        </w:tc>
        <w:tc>
          <w:tcPr>
            <w:tcW w:w="2268" w:type="dxa"/>
            <w:vAlign w:val="center"/>
          </w:tcPr>
          <w:p w:rsidR="002B2846" w:rsidRPr="00E87999" w:rsidRDefault="002B2846" w:rsidP="00563B87">
            <w:pPr>
              <w:pStyle w:val="Tabletext"/>
            </w:pPr>
            <w:r w:rsidRPr="00E87999">
              <w:t>3–4%</w:t>
            </w:r>
          </w:p>
        </w:tc>
        <w:tc>
          <w:tcPr>
            <w:tcW w:w="2126" w:type="dxa"/>
            <w:vAlign w:val="center"/>
          </w:tcPr>
          <w:p w:rsidR="002B2846" w:rsidRPr="00E87999" w:rsidRDefault="002B2846" w:rsidP="00563B87">
            <w:pPr>
              <w:pStyle w:val="Tabletext"/>
            </w:pPr>
            <w:r w:rsidRPr="00E87999">
              <w:t>4–8%</w:t>
            </w:r>
          </w:p>
        </w:tc>
        <w:tc>
          <w:tcPr>
            <w:tcW w:w="2744" w:type="dxa"/>
            <w:vAlign w:val="center"/>
          </w:tcPr>
          <w:p w:rsidR="002B2846" w:rsidRPr="00E87999" w:rsidRDefault="002B2846" w:rsidP="00563B87">
            <w:pPr>
              <w:pStyle w:val="Tabletext"/>
            </w:pPr>
            <w:r w:rsidRPr="00E87999">
              <w:t>10–15%</w:t>
            </w:r>
          </w:p>
        </w:tc>
      </w:tr>
    </w:tbl>
    <w:p w:rsidR="002B2846" w:rsidRPr="002D3A02" w:rsidRDefault="002B2846" w:rsidP="00936BD8">
      <w:pPr>
        <w:pStyle w:val="Heading4"/>
        <w:spacing w:before="240"/>
      </w:pPr>
      <w:r>
        <w:t xml:space="preserve">Effect of paracetamol </w:t>
      </w:r>
    </w:p>
    <w:p w:rsidR="002B2846" w:rsidRPr="00936BD8" w:rsidRDefault="002B2846" w:rsidP="00936BD8">
      <w:pPr>
        <w:pStyle w:val="BodyText"/>
      </w:pPr>
      <w:r w:rsidRPr="00936BD8">
        <w:t>Another clinical trial</w:t>
      </w:r>
      <w:hyperlink w:anchor="_ENREF_6" w:tooltip="Prymula, 7-11 June 2011 #987" w:history="1">
        <w:r w:rsidR="00F32320" w:rsidRPr="00936BD8">
          <w:rPr>
            <w:vertAlign w:val="superscript"/>
          </w:rPr>
          <w:fldChar w:fldCharType="begin"/>
        </w:r>
        <w:r w:rsidR="00F32320" w:rsidRPr="00936BD8">
          <w:rPr>
            <w:vertAlign w:val="superscript"/>
          </w:rPr>
          <w:instrText xml:space="preserve"> ADDIN EN.CITE &lt;EndNote&gt;&lt;Cite&gt;&lt;Author&gt;Prymula&lt;/Author&gt;&lt;Year&gt;7-11 June 2011&lt;/Year&gt;&lt;RecNum&gt;987&lt;/RecNum&gt;&lt;DisplayText&gt;&lt;style face="superscript"&gt;6&lt;/style&gt;&lt;/DisplayText&gt;&lt;record&gt;&lt;rec-number&gt;987&lt;/rec-number&gt;&lt;foreign-keys&gt;&lt;key app="EN" db-id="e2vew95zwwtraretz58xwszo0esfp99929ra"&gt;987&lt;/key&gt;&lt;/foreign-keys&gt;&lt;ref-type name="Conference Paper"&gt;47&lt;/ref-type&gt;&lt;contributors&gt;&lt;authors&gt;&lt;author&gt;Prymula, R.&lt;/author&gt;&lt;author&gt;Esposito, S.&lt;/author&gt;&lt;author&gt;Kittel, C.&lt;/author&gt;&lt;author&gt;Kohl, I.&lt;/author&gt;&lt;author&gt;Toneatto, D.&lt;/author&gt;&lt;author&gt;Dull, P.&lt;/author&gt;&lt;/authors&gt;&lt;/contributors&gt;&lt;titles&gt;&lt;title&gt;Prophylactic paracetamol in infants decreases fever following concomitant administration of an investigational meningococcal serogroup b vaccine with routine immunizations&lt;/title&gt;&lt;secondary-title&gt;The 29th Paediatric Infectious Diseases (ESPID) Annual Meeting&lt;/secondary-title&gt;&lt;/titles&gt;&lt;dates&gt;&lt;year&gt;7-11 June 2011&lt;/year&gt;&lt;pub-dates&gt;&lt;date&gt;6-17 May 2013&lt;/date&gt;&lt;/pub-dates&gt;&lt;/dates&gt;&lt;pub-location&gt;The Hague, Netherlands&lt;/pub-location&gt;&lt;urls&gt;&lt;related-urls&gt;&lt;url&gt;http://www.abstractserver.com/espid2011/planner/index.php?go=abstract&amp;amp;action=abstract_iplanner&amp;amp;absno=1410&amp;amp;ESPID2011=28f4t2k9177vnaphro41durd02&amp;amp;ESPID2011=28f4t2k9177vnaphro41durd02&lt;/url&gt;&lt;/related-urls&gt;&lt;/urls&gt;&lt;/record&gt;&lt;/Cite&gt;&lt;/EndNote&gt;</w:instrText>
        </w:r>
        <w:r w:rsidR="00F32320" w:rsidRPr="00936BD8">
          <w:rPr>
            <w:vertAlign w:val="superscript"/>
          </w:rPr>
          <w:fldChar w:fldCharType="separate"/>
        </w:r>
        <w:r w:rsidR="00F32320" w:rsidRPr="00936BD8">
          <w:rPr>
            <w:vertAlign w:val="superscript"/>
          </w:rPr>
          <w:t>6</w:t>
        </w:r>
        <w:r w:rsidR="00F32320" w:rsidRPr="00936BD8">
          <w:rPr>
            <w:vertAlign w:val="superscript"/>
          </w:rPr>
          <w:fldChar w:fldCharType="end"/>
        </w:r>
      </w:hyperlink>
      <w:r w:rsidR="00F32320" w:rsidRPr="00936BD8">
        <w:rPr>
          <w:vertAlign w:val="superscript"/>
        </w:rPr>
        <w:t>,</w:t>
      </w:r>
      <w:hyperlink w:anchor="_ENREF_7" w:tooltip="McIntosh, April 2013 #1084" w:history="1">
        <w:r w:rsidR="00F32320" w:rsidRPr="00936BD8">
          <w:rPr>
            <w:vertAlign w:val="superscript"/>
          </w:rPr>
          <w:fldChar w:fldCharType="begin"/>
        </w:r>
        <w:r w:rsidR="00F32320" w:rsidRPr="00936BD8">
          <w:rPr>
            <w:vertAlign w:val="superscript"/>
          </w:rPr>
          <w:instrText xml:space="preserve"> ADDIN EN.CITE &lt;EndNote&gt;&lt;Cite&gt;&lt;Author&gt;McIntosh&lt;/Author&gt;&lt;Year&gt;April 2013&lt;/Year&gt;&lt;RecNum&gt;1084&lt;/RecNum&gt;&lt;DisplayText&gt;&lt;style face="superscript"&gt;7&lt;/style&gt;&lt;/DisplayText&gt;&lt;record&gt;&lt;rec-number&gt;1084&lt;/rec-number&gt;&lt;foreign-keys&gt;&lt;key app="EN" db-id="e2vew95zwwtraretz58xwszo0esfp99929ra"&gt;1084&lt;/key&gt;&lt;/foreign-keys&gt;&lt;ref-type name="Conference Proceedings"&gt;10&lt;/ref-type&gt;&lt;contributors&gt;&lt;authors&gt;&lt;author&gt;McIntosh, D.&lt;/author&gt;&lt;/authors&gt;&lt;/contributors&gt;&lt;titles&gt;&lt;title&gt;Meningococcal Serogroup B Vaccine&lt;/title&gt;&lt;secondary-title&gt;Vaccine Preventable Diseases Conference &lt;/secondary-title&gt;&lt;/titles&gt;&lt;dates&gt;&lt;year&gt;April 2013&lt;/year&gt;&lt;/dates&gt;&lt;pub-location&gt;Dublin, Ireland&lt;/pub-location&gt;&lt;urls&gt;&lt;related-urls&gt;&lt;url&gt;http://www.immunisation.ie/en/Conferences/2013VPDConference/PDFFile_17228_en.pdf&lt;/url&gt;&lt;/related-urls&gt;&lt;/urls&gt;&lt;/record&gt;&lt;/Cite&gt;&lt;/EndNote&gt;</w:instrText>
        </w:r>
        <w:r w:rsidR="00F32320" w:rsidRPr="00936BD8">
          <w:rPr>
            <w:vertAlign w:val="superscript"/>
          </w:rPr>
          <w:fldChar w:fldCharType="separate"/>
        </w:r>
        <w:r w:rsidR="00F32320" w:rsidRPr="00936BD8">
          <w:rPr>
            <w:vertAlign w:val="superscript"/>
          </w:rPr>
          <w:t>7</w:t>
        </w:r>
        <w:r w:rsidR="00F32320" w:rsidRPr="00936BD8">
          <w:rPr>
            <w:vertAlign w:val="superscript"/>
          </w:rPr>
          <w:fldChar w:fldCharType="end"/>
        </w:r>
      </w:hyperlink>
      <w:r w:rsidRPr="00936BD8">
        <w:t xml:space="preserve"> in infants has shown that prophylactic use of paracetamol reduced the incidence and severity of fever without significantly affecting the immunogenicity of either 4CMenB or other routine vaccines when these vaccines were given concurrently</w:t>
      </w:r>
      <w:r w:rsidR="00646D98" w:rsidRPr="00936BD8">
        <w:t xml:space="preserve"> (Table 3)</w:t>
      </w:r>
      <w:r w:rsidR="005A2891" w:rsidRPr="00936BD8">
        <w:t>.</w:t>
      </w:r>
      <w:r w:rsidRPr="00936BD8">
        <w:t xml:space="preserve"> </w:t>
      </w:r>
    </w:p>
    <w:p w:rsidR="00CF1C59" w:rsidRPr="002A79C4" w:rsidRDefault="00646D98" w:rsidP="00563B87">
      <w:pPr>
        <w:pStyle w:val="Tableheading"/>
      </w:pPr>
      <w:r w:rsidRPr="00B13F47">
        <w:t xml:space="preserve">Table </w:t>
      </w:r>
      <w:r>
        <w:t>3</w:t>
      </w:r>
      <w:r w:rsidR="00563B87">
        <w:t>.</w:t>
      </w:r>
      <w:r w:rsidR="00563B87">
        <w:tab/>
      </w:r>
      <w:r w:rsidRPr="00B13F47">
        <w:t xml:space="preserve">Proportion </w:t>
      </w:r>
      <w:r>
        <w:t>(</w:t>
      </w:r>
      <w:r w:rsidRPr="00B13F47">
        <w:t>%</w:t>
      </w:r>
      <w:r>
        <w:t>)</w:t>
      </w:r>
      <w:r w:rsidRPr="00B13F47">
        <w:t xml:space="preserve"> of infants reporting fever</w:t>
      </w:r>
      <w:r>
        <w:t xml:space="preserve"> with vs without prophylactic paracetamol</w:t>
      </w:r>
      <w:r w:rsidRPr="00B13F4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3. Proportion (%) of infants reporting fever with vs without prophylactic paracetamol "/>
        <w:tblDescription w:val="This table provides a breakdown, by percentage, of infants who experienced fever both with and without prophylactic paracetamol. The table records temperatures of either greater than or equal to 38.5 degrees celsius and 39.5 degrees celsius. The table is broken down further by the time frame in which fever was experienced.&#10;Of the infants that were given paracetamol, 39 percent experienced a fever of greater than or equal to 38.5 celsius and three percent experienced a fever of greater than or equal to 39.5 percent, within seven days after a dose of 4CMenB.&#10;Less than 15 percent of infants experienced a fever of greater or equal to 38.5 degrees celsius within 6 hours of first dose of 4CMenB at 2 months of age.&#10;Of the infants that were not given paracetamol, 69 percent experienced a fever of greater than or equal to 38.5 degrees celsius and 8 percent experienced a fever of greater than or equal to 39.5 percent, within seven days after a dose of 4CMenB.&#10;More than 40 percent of infants experienced a fever of greater than or equal to 38.5 degrees celsuis, within six hours of first dose of 4CMenB at two months of age.&#10;The table notes that the percentage of infants who experienced a fever of greater than or equal to 39.5 degrees celsius within six hours of first dose of 4CMenB at two months of age is substantially lower with the use of prophylactic paracetamol."/>
      </w:tblPr>
      <w:tblGrid>
        <w:gridCol w:w="1526"/>
        <w:gridCol w:w="3498"/>
        <w:gridCol w:w="3498"/>
      </w:tblGrid>
      <w:tr w:rsidR="002B2846" w:rsidTr="00563B87">
        <w:tc>
          <w:tcPr>
            <w:tcW w:w="1526" w:type="dxa"/>
            <w:shd w:val="clear" w:color="auto" w:fill="D9D9D9" w:themeFill="background1" w:themeFillShade="D9"/>
          </w:tcPr>
          <w:p w:rsidR="002B2846" w:rsidRDefault="002B2846" w:rsidP="00563B87">
            <w:pPr>
              <w:pStyle w:val="Tablecolumnheading"/>
            </w:pPr>
          </w:p>
        </w:tc>
        <w:tc>
          <w:tcPr>
            <w:tcW w:w="6996" w:type="dxa"/>
            <w:gridSpan w:val="2"/>
            <w:shd w:val="clear" w:color="auto" w:fill="D9D9D9" w:themeFill="background1" w:themeFillShade="D9"/>
            <w:vAlign w:val="center"/>
          </w:tcPr>
          <w:p w:rsidR="002B2846" w:rsidRPr="00E87999" w:rsidRDefault="00636659" w:rsidP="00563B87">
            <w:pPr>
              <w:pStyle w:val="Tablecolumnheading"/>
            </w:pPr>
            <w:r>
              <w:t>Proportion of</w:t>
            </w:r>
            <w:r w:rsidR="002B2846" w:rsidRPr="00E87999">
              <w:t xml:space="preserve"> infants reporting fever</w:t>
            </w:r>
          </w:p>
        </w:tc>
      </w:tr>
      <w:tr w:rsidR="002B2846" w:rsidTr="00563B87">
        <w:tc>
          <w:tcPr>
            <w:tcW w:w="1526" w:type="dxa"/>
            <w:shd w:val="clear" w:color="auto" w:fill="D9D9D9" w:themeFill="background1" w:themeFillShade="D9"/>
          </w:tcPr>
          <w:p w:rsidR="002B2846" w:rsidRPr="00E87999" w:rsidRDefault="002B2846" w:rsidP="00563B87">
            <w:pPr>
              <w:pStyle w:val="Tablecolumnheading"/>
            </w:pPr>
            <w:r w:rsidRPr="00E87999">
              <w:t>Temperature</w:t>
            </w:r>
          </w:p>
        </w:tc>
        <w:tc>
          <w:tcPr>
            <w:tcW w:w="3498" w:type="dxa"/>
            <w:shd w:val="clear" w:color="auto" w:fill="D9D9D9" w:themeFill="background1" w:themeFillShade="D9"/>
            <w:vAlign w:val="center"/>
          </w:tcPr>
          <w:p w:rsidR="002B2846" w:rsidRPr="00E87999" w:rsidRDefault="002B2846" w:rsidP="00563B87">
            <w:pPr>
              <w:pStyle w:val="Tablecolumnheading"/>
            </w:pPr>
            <w:r w:rsidRPr="00E87999">
              <w:t>With prophylactic paracetamol</w:t>
            </w:r>
          </w:p>
        </w:tc>
        <w:tc>
          <w:tcPr>
            <w:tcW w:w="3498" w:type="dxa"/>
            <w:shd w:val="clear" w:color="auto" w:fill="D9D9D9" w:themeFill="background1" w:themeFillShade="D9"/>
            <w:vAlign w:val="center"/>
          </w:tcPr>
          <w:p w:rsidR="002B2846" w:rsidRPr="00E87999" w:rsidRDefault="002B2846" w:rsidP="00563B87">
            <w:pPr>
              <w:pStyle w:val="Tablecolumnheading"/>
            </w:pPr>
            <w:r w:rsidRPr="00E87999">
              <w:t>Without prophylactic paracetamol</w:t>
            </w:r>
          </w:p>
        </w:tc>
      </w:tr>
      <w:tr w:rsidR="002B2846" w:rsidTr="00E87999">
        <w:tc>
          <w:tcPr>
            <w:tcW w:w="8522" w:type="dxa"/>
            <w:gridSpan w:val="3"/>
          </w:tcPr>
          <w:p w:rsidR="002B2846" w:rsidRDefault="002B2846" w:rsidP="00563B87">
            <w:pPr>
              <w:pStyle w:val="Tabletext"/>
              <w:jc w:val="left"/>
            </w:pPr>
            <w:r>
              <w:t>Within 7 days after a dose of 4CMenB</w:t>
            </w:r>
          </w:p>
        </w:tc>
      </w:tr>
      <w:tr w:rsidR="002B2846" w:rsidTr="00E87999">
        <w:tc>
          <w:tcPr>
            <w:tcW w:w="1526" w:type="dxa"/>
          </w:tcPr>
          <w:p w:rsidR="002B2846" w:rsidRDefault="002B2846" w:rsidP="00563B87">
            <w:pPr>
              <w:pStyle w:val="Tabletext"/>
              <w:spacing w:before="0" w:after="0"/>
            </w:pPr>
            <w:r w:rsidRPr="005D22F2">
              <w:t>≥38</w:t>
            </w:r>
            <w:r>
              <w:t>.5</w:t>
            </w:r>
            <w:r w:rsidRPr="005D22F2">
              <w:t>°C</w:t>
            </w:r>
          </w:p>
        </w:tc>
        <w:tc>
          <w:tcPr>
            <w:tcW w:w="3498" w:type="dxa"/>
            <w:vAlign w:val="center"/>
          </w:tcPr>
          <w:p w:rsidR="002B2846" w:rsidRDefault="002B2846" w:rsidP="00563B87">
            <w:pPr>
              <w:pStyle w:val="Tabletext"/>
              <w:spacing w:before="0" w:after="0"/>
            </w:pPr>
            <w:r>
              <w:t>39%</w:t>
            </w:r>
          </w:p>
        </w:tc>
        <w:tc>
          <w:tcPr>
            <w:tcW w:w="3498" w:type="dxa"/>
            <w:vAlign w:val="center"/>
          </w:tcPr>
          <w:p w:rsidR="002B2846" w:rsidRDefault="002B2846" w:rsidP="00563B87">
            <w:pPr>
              <w:pStyle w:val="Tabletext"/>
              <w:spacing w:before="0" w:after="0"/>
            </w:pPr>
            <w:r>
              <w:t>69%</w:t>
            </w:r>
          </w:p>
        </w:tc>
      </w:tr>
      <w:tr w:rsidR="002B2846" w:rsidTr="00E87999">
        <w:trPr>
          <w:trHeight w:val="74"/>
        </w:trPr>
        <w:tc>
          <w:tcPr>
            <w:tcW w:w="1526" w:type="dxa"/>
          </w:tcPr>
          <w:p w:rsidR="002B2846" w:rsidRDefault="002B2846" w:rsidP="00563B87">
            <w:pPr>
              <w:pStyle w:val="Tabletext"/>
              <w:spacing w:before="0" w:after="0"/>
            </w:pPr>
            <w:r w:rsidRPr="005D22F2">
              <w:t>≥39</w:t>
            </w:r>
            <w:r>
              <w:t>.5</w:t>
            </w:r>
            <w:r w:rsidRPr="005D22F2">
              <w:t>°C</w:t>
            </w:r>
          </w:p>
        </w:tc>
        <w:tc>
          <w:tcPr>
            <w:tcW w:w="3498" w:type="dxa"/>
            <w:vAlign w:val="center"/>
          </w:tcPr>
          <w:p w:rsidR="002B2846" w:rsidRDefault="002B2846" w:rsidP="00563B87">
            <w:pPr>
              <w:pStyle w:val="Tabletext"/>
              <w:spacing w:before="0" w:after="0"/>
            </w:pPr>
            <w:r>
              <w:t>3%</w:t>
            </w:r>
          </w:p>
        </w:tc>
        <w:tc>
          <w:tcPr>
            <w:tcW w:w="3498" w:type="dxa"/>
            <w:vAlign w:val="center"/>
          </w:tcPr>
          <w:p w:rsidR="002B2846" w:rsidRDefault="002B2846" w:rsidP="00563B87">
            <w:pPr>
              <w:pStyle w:val="Tabletext"/>
              <w:spacing w:before="0" w:after="0"/>
            </w:pPr>
            <w:r>
              <w:t>8%</w:t>
            </w:r>
          </w:p>
        </w:tc>
      </w:tr>
      <w:tr w:rsidR="002B2846" w:rsidTr="00E87999">
        <w:trPr>
          <w:trHeight w:val="74"/>
        </w:trPr>
        <w:tc>
          <w:tcPr>
            <w:tcW w:w="8522" w:type="dxa"/>
            <w:gridSpan w:val="3"/>
          </w:tcPr>
          <w:p w:rsidR="002B2846" w:rsidRDefault="002B2846" w:rsidP="00563B87">
            <w:pPr>
              <w:pStyle w:val="Tabletext"/>
              <w:jc w:val="left"/>
            </w:pPr>
            <w:r>
              <w:t>Within 6 hours of 1</w:t>
            </w:r>
            <w:r w:rsidRPr="005346C4">
              <w:t>st</w:t>
            </w:r>
            <w:r>
              <w:t xml:space="preserve"> dose of 4CMenB at 2 months of age*</w:t>
            </w:r>
          </w:p>
        </w:tc>
      </w:tr>
      <w:tr w:rsidR="002B2846" w:rsidTr="00E87999">
        <w:trPr>
          <w:trHeight w:val="74"/>
        </w:trPr>
        <w:tc>
          <w:tcPr>
            <w:tcW w:w="1526" w:type="dxa"/>
          </w:tcPr>
          <w:p w:rsidR="002B2846" w:rsidRDefault="002B2846" w:rsidP="00563B87">
            <w:pPr>
              <w:pStyle w:val="Tabletext"/>
              <w:spacing w:before="0" w:after="0"/>
            </w:pPr>
            <w:r w:rsidRPr="005D22F2">
              <w:t>≥38</w:t>
            </w:r>
            <w:r>
              <w:t>.5</w:t>
            </w:r>
            <w:r w:rsidRPr="005D22F2">
              <w:t>°C</w:t>
            </w:r>
          </w:p>
        </w:tc>
        <w:tc>
          <w:tcPr>
            <w:tcW w:w="3498" w:type="dxa"/>
            <w:vAlign w:val="center"/>
          </w:tcPr>
          <w:p w:rsidR="002B2846" w:rsidRDefault="002B2846" w:rsidP="00563B87">
            <w:pPr>
              <w:pStyle w:val="Tabletext"/>
              <w:spacing w:before="0" w:after="0"/>
            </w:pPr>
            <w:r>
              <w:t>&lt;15%</w:t>
            </w:r>
          </w:p>
        </w:tc>
        <w:tc>
          <w:tcPr>
            <w:tcW w:w="3498" w:type="dxa"/>
            <w:vAlign w:val="center"/>
          </w:tcPr>
          <w:p w:rsidR="002B2846" w:rsidRDefault="002B2846" w:rsidP="00563B87">
            <w:pPr>
              <w:pStyle w:val="Tabletext"/>
              <w:spacing w:before="0" w:after="0"/>
            </w:pPr>
            <w:r>
              <w:t>&gt;40%</w:t>
            </w:r>
          </w:p>
        </w:tc>
      </w:tr>
      <w:tr w:rsidR="002B2846" w:rsidTr="00E87999">
        <w:trPr>
          <w:trHeight w:val="74"/>
        </w:trPr>
        <w:tc>
          <w:tcPr>
            <w:tcW w:w="1526" w:type="dxa"/>
          </w:tcPr>
          <w:p w:rsidR="002B2846" w:rsidRDefault="002B2846" w:rsidP="00563B87">
            <w:pPr>
              <w:pStyle w:val="Tabletext"/>
              <w:spacing w:before="0" w:after="0"/>
            </w:pPr>
            <w:r w:rsidRPr="005D22F2">
              <w:t>≥39</w:t>
            </w:r>
            <w:r>
              <w:t>.5</w:t>
            </w:r>
            <w:r w:rsidRPr="005D22F2">
              <w:t>°C</w:t>
            </w:r>
          </w:p>
        </w:tc>
        <w:tc>
          <w:tcPr>
            <w:tcW w:w="6996" w:type="dxa"/>
            <w:gridSpan w:val="2"/>
            <w:vAlign w:val="center"/>
          </w:tcPr>
          <w:p w:rsidR="002B2846" w:rsidRDefault="002B2846" w:rsidP="00563B87">
            <w:pPr>
              <w:pStyle w:val="Tabletext"/>
              <w:spacing w:before="0" w:after="0"/>
            </w:pPr>
            <w:r>
              <w:t>Substantially lower with the use of prophylactic paracetamol</w:t>
            </w:r>
            <w:r w:rsidR="005207D1">
              <w:t>*</w:t>
            </w:r>
          </w:p>
        </w:tc>
      </w:tr>
    </w:tbl>
    <w:p w:rsidR="002B2846" w:rsidRPr="00646D98" w:rsidRDefault="002B2846" w:rsidP="00563B87">
      <w:pPr>
        <w:pStyle w:val="Tablefootnote"/>
      </w:pPr>
      <w:r w:rsidRPr="00646D98">
        <w:t>*</w:t>
      </w:r>
      <w:r w:rsidR="00563B87">
        <w:tab/>
        <w:t>V</w:t>
      </w:r>
      <w:r w:rsidRPr="00646D98">
        <w:t>alues estimated from graphs provided as summary of the clinical study results</w:t>
      </w:r>
      <w:hyperlink w:anchor="_ENREF_7" w:tooltip="McIntosh, April 2013 #1084" w:history="1">
        <w:r w:rsidR="00AA6003" w:rsidRPr="004F5D36">
          <w:fldChar w:fldCharType="begin"/>
        </w:r>
        <w:r w:rsidR="00AA6003" w:rsidRPr="004F5D36">
          <w:instrText xml:space="preserve"> ADDIN EN.CITE &lt;EndNote&gt;&lt;Cite&gt;&lt;Author&gt;McIntosh&lt;/Author&gt;&lt;Year&gt;April 2013&lt;/Year&gt;&lt;RecNum&gt;1084&lt;/RecNum&gt;&lt;DisplayText&gt;&lt;style face="superscript"&gt;7&lt;/style&gt;&lt;/DisplayText&gt;&lt;record&gt;&lt;rec-number&gt;1084&lt;/rec-number&gt;&lt;foreign-keys&gt;&lt;key app="EN" db-id="e2vew95zwwtraretz58xwszo0esfp99929ra"&gt;1084&lt;/key&gt;&lt;/foreign-keys&gt;&lt;ref-type name="Conference Proceedings"&gt;10&lt;/ref-type&gt;&lt;contributors&gt;&lt;authors&gt;&lt;author&gt;McIntosh, D.&lt;/author&gt;&lt;/authors&gt;&lt;/contributors&gt;&lt;titles&gt;&lt;title&gt;Meningococcal Serogroup B Vaccine&lt;/title&gt;&lt;secondary-title&gt;Vaccine Preventable Diseases Conference &lt;/secondary-title&gt;&lt;/titles&gt;&lt;dates&gt;&lt;year&gt;April 2013&lt;/year&gt;&lt;/dates&gt;&lt;pub-location&gt;Dublin, Ireland&lt;/pub-location&gt;&lt;urls&gt;&lt;related-urls&gt;&lt;url&gt;http://www.immunisation.ie/en/Conferences/2013VPDConference/PDFFile_17228_en.pdf&lt;/url&gt;&lt;/related-urls&gt;&lt;/urls&gt;&lt;/record&gt;&lt;/Cite&gt;&lt;/EndNote&gt;</w:instrText>
        </w:r>
        <w:r w:rsidR="00AA6003" w:rsidRPr="004F5D36">
          <w:fldChar w:fldCharType="separate"/>
        </w:r>
        <w:r w:rsidR="00AA6003" w:rsidRPr="004F5D36">
          <w:rPr>
            <w:noProof/>
            <w:vertAlign w:val="superscript"/>
          </w:rPr>
          <w:t>7</w:t>
        </w:r>
        <w:r w:rsidR="00AA6003" w:rsidRPr="004F5D36">
          <w:fldChar w:fldCharType="end"/>
        </w:r>
      </w:hyperlink>
    </w:p>
    <w:p w:rsidR="002B2846" w:rsidRPr="002D3A02" w:rsidRDefault="002B2846" w:rsidP="00563B87">
      <w:pPr>
        <w:pStyle w:val="Heading4"/>
      </w:pPr>
      <w:r>
        <w:t>Booster dose at 12 months</w:t>
      </w:r>
      <w:r w:rsidR="00636659">
        <w:t xml:space="preserve"> of age</w:t>
      </w:r>
    </w:p>
    <w:p w:rsidR="002B2846" w:rsidRPr="005D22F2" w:rsidRDefault="002B2846" w:rsidP="00563B87">
      <w:pPr>
        <w:pStyle w:val="BodyText"/>
      </w:pPr>
      <w:r>
        <w:t>F</w:t>
      </w:r>
      <w:r w:rsidRPr="005D22F2">
        <w:t>ever</w:t>
      </w:r>
      <w:r>
        <w:t xml:space="preserve"> and</w:t>
      </w:r>
      <w:r w:rsidRPr="005D22F2">
        <w:t xml:space="preserve"> other systemic reactions</w:t>
      </w:r>
      <w:r>
        <w:t xml:space="preserve"> are less common</w:t>
      </w:r>
      <w:r w:rsidRPr="005D22F2">
        <w:t xml:space="preserve"> following the booster dose at 12 months of </w:t>
      </w:r>
      <w:r w:rsidRPr="00FC2640">
        <w:t xml:space="preserve">age, compared with doses given in infancy. In the large phase 3 clinical trial, </w:t>
      </w:r>
      <w:r w:rsidRPr="00F273F4">
        <w:t xml:space="preserve">temperatures of ≥38°C within 6 hours were reported in 32% (248/783) of children when 4CMenB was administered alone; this was similar to when 4CMenB was co-administered with the </w:t>
      </w:r>
      <w:r w:rsidR="00CF1C59">
        <w:t>mea</w:t>
      </w:r>
      <w:r w:rsidR="004E0F02">
        <w:t>s</w:t>
      </w:r>
      <w:r w:rsidR="00CF1C59">
        <w:t>les-mumps-rubella-varicella (</w:t>
      </w:r>
      <w:r w:rsidRPr="00F273F4">
        <w:t>MMRV</w:t>
      </w:r>
      <w:r w:rsidR="00CF1C59">
        <w:t>) vaccine</w:t>
      </w:r>
      <w:r w:rsidRPr="00F273F4">
        <w:t xml:space="preserve"> (31%</w:t>
      </w:r>
      <w:r w:rsidR="00636659">
        <w:t>;</w:t>
      </w:r>
      <w:r w:rsidRPr="00F273F4">
        <w:t xml:space="preserve"> 233/761).</w:t>
      </w:r>
      <w:hyperlink w:anchor="_ENREF_4" w:tooltip="Vesikari, 2013 #398" w:history="1">
        <w:r w:rsidR="00AA6003" w:rsidRPr="00F273F4">
          <w:fldChar w:fldCharType="begin"/>
        </w:r>
        <w:r w:rsidR="00AA6003" w:rsidRPr="00F273F4">
          <w:instrText xml:space="preserve"> ADDIN EN.CITE &lt;EndNote&gt;&lt;Cite&gt;&lt;Author&gt;Vesikari&lt;/Author&gt;&lt;Year&gt;2013&lt;/Year&gt;&lt;RecNum&gt;398&lt;/RecNum&gt;&lt;DisplayText&gt;&lt;style face="superscript"&gt;4&lt;/style&gt;&lt;/DisplayText&gt;&lt;record&gt;&lt;rec-number&gt;398&lt;/rec-number&gt;&lt;foreign-keys&gt;&lt;key app="EN" db-id="e2vew95zwwtraretz58xwszo0esfp99929ra"&gt;398&lt;/key&gt;&lt;/foreign-keys&gt;&lt;ref-type name="Journal Article"&gt;17&lt;/ref-type&gt;&lt;contributors&gt;&lt;authors&gt;&lt;author&gt;Vesikari, Timo&lt;/author&gt;&lt;author&gt;Esposito, Susanna&lt;/author&gt;&lt;author&gt;Prymula, Roman&lt;/author&gt;&lt;author&gt;Ypma, Ellen&lt;/author&gt;&lt;author&gt;Kohl, Igor&lt;/author&gt;&lt;author&gt;Toneatto, Daniela&lt;/author&gt;&lt;author&gt;Dull, Peter&lt;/author&gt;&lt;author&gt;Kimura, Alan&lt;/author&gt;&lt;/authors&gt;&lt;/contributors&gt;&lt;titles&gt;&lt;title&gt;Immunogenicity and safety of an investigational multicomponent, recombinant, meningococcal serogroup B vaccine (4CMenB) administered concomitantly with routine infant and child vaccinations: results of two randomised trials&lt;/title&gt;&lt;secondary-title&gt;The Lancet&lt;/secondary-title&gt;&lt;/titles&gt;&lt;periodical&gt;&lt;full-title&gt;The Lancet&lt;/full-title&gt;&lt;/periodical&gt;&lt;pages&gt;825-835&lt;/pages&gt;&lt;volume&gt;381&lt;/volume&gt;&lt;number&gt;9869&lt;/number&gt;&lt;dates&gt;&lt;year&gt;2013&lt;/year&gt;&lt;/dates&gt;&lt;isbn&gt;01406736&lt;/isbn&gt;&lt;urls&gt;&lt;pdf-urls&gt;&lt;url&gt;file://K:\NCIRS\EB_HibMenC_WP\Literature\Men B\MEN_201301_Lancet_Veskiari.pdf&lt;/url&gt;&lt;/pdf-urls&gt;&lt;/urls&gt;&lt;electronic-resource-num&gt;10.1016/s0140-6736(12)61961-8&lt;/electronic-resource-num&gt;&lt;modified-date&gt;Men B&lt;/modified-date&gt;&lt;/record&gt;&lt;/Cite&gt;&lt;/EndNote&gt;</w:instrText>
        </w:r>
        <w:r w:rsidR="00AA6003" w:rsidRPr="00F273F4">
          <w:fldChar w:fldCharType="separate"/>
        </w:r>
        <w:r w:rsidR="00AA6003" w:rsidRPr="00F273F4">
          <w:rPr>
            <w:noProof/>
            <w:vertAlign w:val="superscript"/>
          </w:rPr>
          <w:t>4</w:t>
        </w:r>
        <w:r w:rsidR="00AA6003" w:rsidRPr="00F273F4">
          <w:fldChar w:fldCharType="end"/>
        </w:r>
      </w:hyperlink>
      <w:r w:rsidRPr="00F273F4">
        <w:t xml:space="preserve"> In the latter group, about 25% also had fever peakin</w:t>
      </w:r>
      <w:r w:rsidR="00C8792A" w:rsidRPr="00F273F4">
        <w:t>g</w:t>
      </w:r>
      <w:r w:rsidRPr="00F273F4">
        <w:t xml:space="preserve"> around day 9 </w:t>
      </w:r>
      <w:r w:rsidR="00636659">
        <w:t>after</w:t>
      </w:r>
      <w:r w:rsidR="00636659" w:rsidRPr="00F273F4">
        <w:t xml:space="preserve"> </w:t>
      </w:r>
      <w:r w:rsidRPr="00F273F4">
        <w:t xml:space="preserve">vaccination, characteristic of fever associated with the MMRV vaccine. There is no trial data </w:t>
      </w:r>
      <w:r w:rsidR="00636659">
        <w:t>for</w:t>
      </w:r>
      <w:r w:rsidRPr="00F273F4">
        <w:t xml:space="preserve"> co-administration of 4CMenB with</w:t>
      </w:r>
      <w:r w:rsidR="00636659">
        <w:t xml:space="preserve"> either</w:t>
      </w:r>
      <w:r w:rsidRPr="00F273F4">
        <w:t xml:space="preserve"> the </w:t>
      </w:r>
      <w:r w:rsidR="00CF1C59">
        <w:t xml:space="preserve">MMR or </w:t>
      </w:r>
      <w:r w:rsidRPr="00F273F4">
        <w:t>Hib-MenC vaccine. It is expected that when</w:t>
      </w:r>
      <w:r w:rsidRPr="00FC2640">
        <w:t xml:space="preserve"> 4CMenB is</w:t>
      </w:r>
      <w:r w:rsidRPr="005D22F2">
        <w:t xml:space="preserve"> administered concurrently with the MMR and Hib-MenC vaccine</w:t>
      </w:r>
      <w:r w:rsidR="00CF1C59">
        <w:t>s</w:t>
      </w:r>
      <w:r w:rsidRPr="005D22F2">
        <w:t xml:space="preserve"> at 12 months of age, there could be two periods after immunisation when fever is </w:t>
      </w:r>
      <w:r w:rsidR="00C755CA">
        <w:t xml:space="preserve">most </w:t>
      </w:r>
      <w:r w:rsidRPr="005D22F2">
        <w:t xml:space="preserve">likely to occur: firstly within the first 3 days, </w:t>
      </w:r>
      <w:r>
        <w:t>associated with</w:t>
      </w:r>
      <w:r w:rsidRPr="005D22F2">
        <w:t xml:space="preserve"> receiving 4CMenB, and secondly about 5–12 days after immunisation, </w:t>
      </w:r>
      <w:r>
        <w:t xml:space="preserve">related </w:t>
      </w:r>
      <w:r w:rsidRPr="005D22F2">
        <w:t xml:space="preserve">to the MMR vaccine. </w:t>
      </w:r>
    </w:p>
    <w:p w:rsidR="002B2846" w:rsidRPr="005D22F2" w:rsidRDefault="002B2846" w:rsidP="00563B87">
      <w:pPr>
        <w:pStyle w:val="Heading4"/>
      </w:pPr>
      <w:r w:rsidRPr="005D22F2">
        <w:t xml:space="preserve">Other adverse events </w:t>
      </w:r>
    </w:p>
    <w:p w:rsidR="002B2846" w:rsidRPr="00962279" w:rsidRDefault="002B2846" w:rsidP="0014226A">
      <w:pPr>
        <w:spacing w:after="120"/>
        <w:rPr>
          <w:rFonts w:ascii="Times New Roman" w:hAnsi="Times New Roman"/>
          <w:sz w:val="22"/>
        </w:rPr>
      </w:pPr>
      <w:r w:rsidRPr="00962279">
        <w:rPr>
          <w:rFonts w:ascii="Times New Roman" w:hAnsi="Times New Roman"/>
          <w:sz w:val="22"/>
        </w:rPr>
        <w:t>In one phase 3 clinical trial in infants, where 4CMenB was given concurrently with DTPa-hepB-IPV-Hib and 7vPCV at age 2, 4 and 6 months, local reactions due to 4CMenB were common and included injection site tenderness (87% of participants, with 29% being severe)</w:t>
      </w:r>
      <w:r w:rsidR="00C50B63" w:rsidRPr="00962279">
        <w:rPr>
          <w:rFonts w:ascii="Times New Roman" w:hAnsi="Times New Roman"/>
          <w:sz w:val="22"/>
        </w:rPr>
        <w:t>,</w:t>
      </w:r>
      <w:r w:rsidRPr="00962279">
        <w:rPr>
          <w:rFonts w:ascii="Times New Roman" w:hAnsi="Times New Roman"/>
          <w:sz w:val="22"/>
        </w:rPr>
        <w:t xml:space="preserve"> erythema (83%), induration (77%) and swelling (47%). The </w:t>
      </w:r>
      <w:r w:rsidR="006113B9" w:rsidRPr="00962279">
        <w:rPr>
          <w:rFonts w:ascii="Times New Roman" w:hAnsi="Times New Roman"/>
          <w:sz w:val="22"/>
        </w:rPr>
        <w:t xml:space="preserve">likelihood </w:t>
      </w:r>
      <w:r w:rsidRPr="00962279">
        <w:rPr>
          <w:rFonts w:ascii="Times New Roman" w:hAnsi="Times New Roman"/>
          <w:sz w:val="22"/>
        </w:rPr>
        <w:t xml:space="preserve">of an injection site reaction peaked on the first day </w:t>
      </w:r>
      <w:r w:rsidR="00636659" w:rsidRPr="00962279">
        <w:rPr>
          <w:rFonts w:ascii="Times New Roman" w:hAnsi="Times New Roman"/>
          <w:sz w:val="22"/>
        </w:rPr>
        <w:t xml:space="preserve">after </w:t>
      </w:r>
      <w:r w:rsidRPr="00962279">
        <w:rPr>
          <w:rFonts w:ascii="Times New Roman" w:hAnsi="Times New Roman"/>
          <w:sz w:val="22"/>
        </w:rPr>
        <w:t>vaccination, and declined substantially by day 2.</w:t>
      </w:r>
      <w:hyperlink w:anchor="_ENREF_4" w:tooltip="Vesikari, 2013 #398" w:history="1">
        <w:r w:rsidR="00AA6003" w:rsidRPr="00962279">
          <w:rPr>
            <w:noProof/>
            <w:vertAlign w:val="superscript"/>
          </w:rPr>
          <w:fldChar w:fldCharType="begin"/>
        </w:r>
        <w:r w:rsidR="00AA6003" w:rsidRPr="00962279">
          <w:rPr>
            <w:noProof/>
            <w:vertAlign w:val="superscript"/>
          </w:rPr>
          <w:instrText xml:space="preserve"> ADDIN EN.CITE &lt;EndNote&gt;&lt;Cite&gt;&lt;Author&gt;Vesikari&lt;/Author&gt;&lt;Year&gt;2013&lt;/Year&gt;&lt;RecNum&gt;398&lt;/RecNum&gt;&lt;DisplayText&gt;&lt;style face="superscript"&gt;4&lt;/style&gt;&lt;/DisplayText&gt;&lt;record&gt;&lt;rec-number&gt;398&lt;/rec-number&gt;&lt;foreign-keys&gt;&lt;key app="EN" db-id="e2vew95zwwtraretz58xwszo0esfp99929ra"&gt;398&lt;/key&gt;&lt;/foreign-keys&gt;&lt;ref-type name="Journal Article"&gt;17&lt;/ref-type&gt;&lt;contributors&gt;&lt;authors&gt;&lt;author&gt;Vesikari, Timo&lt;/author&gt;&lt;author&gt;Esposito, Susanna&lt;/author&gt;&lt;author&gt;Prymula, Roman&lt;/author&gt;&lt;author&gt;Ypma, Ellen&lt;/author&gt;&lt;author&gt;Kohl, Igor&lt;/author&gt;&lt;author&gt;Toneatto, Daniela&lt;/author&gt;&lt;author&gt;Dull, Peter&lt;/author&gt;&lt;author&gt;Kimura, Alan&lt;/author&gt;&lt;/authors&gt;&lt;/contributors&gt;&lt;titles&gt;&lt;title&gt;Immunogenicity and safety of an investigational multicomponent, recombinant, meningococcal serogroup B vaccine (4CMenB) administered concomitantly with routine infant and child vaccinations: results of two randomised trials&lt;/title&gt;&lt;secondary-title&gt;The Lancet&lt;/secondary-title&gt;&lt;/titles&gt;&lt;periodical&gt;&lt;full-title&gt;The Lancet&lt;/full-title&gt;&lt;/periodical&gt;&lt;pages&gt;825-835&lt;/pages&gt;&lt;volume&gt;381&lt;/volume&gt;&lt;number&gt;9869&lt;/number&gt;&lt;dates&gt;&lt;year&gt;2013&lt;/year&gt;&lt;/dates&gt;&lt;isbn&gt;01406736&lt;/isbn&gt;&lt;urls&gt;&lt;pdf-urls&gt;&lt;url&gt;file://K:\NCIRS\EB_HibMenC_WP\Literature\Men B\MEN_201301_Lancet_Veskiari.pdf&lt;/url&gt;&lt;/pdf-urls&gt;&lt;/urls&gt;&lt;electronic-resource-num&gt;10.1016/s0140-6736(12)61961-8&lt;/electronic-resource-num&gt;&lt;modified-date&gt;Men B&lt;/modified-date&gt;&lt;/record&gt;&lt;/Cite&gt;&lt;/EndNote&gt;</w:instrText>
        </w:r>
        <w:r w:rsidR="00AA6003" w:rsidRPr="00962279">
          <w:rPr>
            <w:noProof/>
            <w:vertAlign w:val="superscript"/>
          </w:rPr>
          <w:fldChar w:fldCharType="separate"/>
        </w:r>
        <w:r w:rsidR="00AA6003" w:rsidRPr="00962279">
          <w:rPr>
            <w:noProof/>
            <w:vertAlign w:val="superscript"/>
          </w:rPr>
          <w:t>4</w:t>
        </w:r>
        <w:r w:rsidR="00AA6003" w:rsidRPr="00962279">
          <w:rPr>
            <w:noProof/>
            <w:vertAlign w:val="superscript"/>
          </w:rPr>
          <w:fldChar w:fldCharType="end"/>
        </w:r>
      </w:hyperlink>
      <w:r w:rsidRPr="00962279">
        <w:rPr>
          <w:rFonts w:ascii="Times New Roman" w:hAnsi="Times New Roman"/>
          <w:sz w:val="22"/>
        </w:rPr>
        <w:t xml:space="preserve"> </w:t>
      </w:r>
      <w:r w:rsidR="00006C54" w:rsidRPr="00962279">
        <w:rPr>
          <w:rFonts w:ascii="Times New Roman" w:hAnsi="Times New Roman"/>
          <w:sz w:val="22"/>
        </w:rPr>
        <w:t>The commonest systemic reactions were i</w:t>
      </w:r>
      <w:r w:rsidRPr="00962279">
        <w:rPr>
          <w:rFonts w:ascii="Times New Roman" w:hAnsi="Times New Roman"/>
          <w:sz w:val="22"/>
        </w:rPr>
        <w:t>rritability (93%), sleepiness (87%), unusual crying (85%) and change in eating habits (72%). These local and systemic reactions were reported less often following the booster dose of 4CMenB at 12 months of age.</w:t>
      </w:r>
      <w:hyperlink w:anchor="_ENREF_4" w:tooltip="Vesikari, 2013 #398" w:history="1">
        <w:r w:rsidR="00AA6003" w:rsidRPr="00962279">
          <w:rPr>
            <w:noProof/>
            <w:vertAlign w:val="superscript"/>
          </w:rPr>
          <w:fldChar w:fldCharType="begin"/>
        </w:r>
        <w:r w:rsidR="00AA6003" w:rsidRPr="00962279">
          <w:rPr>
            <w:noProof/>
            <w:vertAlign w:val="superscript"/>
          </w:rPr>
          <w:instrText xml:space="preserve"> ADDIN EN.CITE &lt;EndNote&gt;&lt;Cite&gt;&lt;Author&gt;Vesikari&lt;/Author&gt;&lt;Year&gt;2013&lt;/Year&gt;&lt;RecNum&gt;398&lt;/RecNum&gt;&lt;DisplayText&gt;&lt;style face="superscript"&gt;4&lt;/style&gt;&lt;/DisplayText&gt;&lt;record&gt;&lt;rec-number&gt;398&lt;/rec-number&gt;&lt;foreign-keys&gt;&lt;key app="EN" db-id="e2vew95zwwtraretz58xwszo0esfp99929ra"&gt;398&lt;/key&gt;&lt;/foreign-keys&gt;&lt;ref-type name="Journal Article"&gt;17&lt;/ref-type&gt;&lt;contributors&gt;&lt;authors&gt;&lt;author&gt;Vesikari, Timo&lt;/author&gt;&lt;author&gt;Esposito, Susanna&lt;/author&gt;&lt;author&gt;Prymula, Roman&lt;/author&gt;&lt;author&gt;Ypma, Ellen&lt;/author&gt;&lt;author&gt;Kohl, Igor&lt;/author&gt;&lt;author&gt;Toneatto, Daniela&lt;/author&gt;&lt;author&gt;Dull, Peter&lt;/author&gt;&lt;author&gt;Kimura, Alan&lt;/author&gt;&lt;/authors&gt;&lt;/contributors&gt;&lt;titles&gt;&lt;title&gt;Immunogenicity and safety of an investigational multicomponent, recombinant, meningococcal serogroup B vaccine (4CMenB) administered concomitantly with routine infant and child vaccinations: results of two randomised trials&lt;/title&gt;&lt;secondary-title&gt;The Lancet&lt;/secondary-title&gt;&lt;/titles&gt;&lt;periodical&gt;&lt;full-title&gt;The Lancet&lt;/full-title&gt;&lt;/periodical&gt;&lt;pages&gt;825-835&lt;/pages&gt;&lt;volume&gt;381&lt;/volume&gt;&lt;number&gt;9869&lt;/number&gt;&lt;dates&gt;&lt;year&gt;2013&lt;/year&gt;&lt;/dates&gt;&lt;isbn&gt;01406736&lt;/isbn&gt;&lt;urls&gt;&lt;pdf-urls&gt;&lt;url&gt;file://K:\NCIRS\EB_HibMenC_WP\Literature\Men B\MEN_201301_Lancet_Veskiari.pdf&lt;/url&gt;&lt;/pdf-urls&gt;&lt;/urls&gt;&lt;electronic-resource-num&gt;10.1016/s0140-6736(12)61961-8&lt;/electronic-resource-num&gt;&lt;modified-date&gt;Men B&lt;/modified-date&gt;&lt;/record&gt;&lt;/Cite&gt;&lt;/EndNote&gt;</w:instrText>
        </w:r>
        <w:r w:rsidR="00AA6003" w:rsidRPr="00962279">
          <w:rPr>
            <w:noProof/>
            <w:vertAlign w:val="superscript"/>
          </w:rPr>
          <w:fldChar w:fldCharType="separate"/>
        </w:r>
        <w:r w:rsidR="00AA6003" w:rsidRPr="00962279">
          <w:rPr>
            <w:noProof/>
            <w:vertAlign w:val="superscript"/>
          </w:rPr>
          <w:t>4</w:t>
        </w:r>
        <w:r w:rsidR="00AA6003" w:rsidRPr="00962279">
          <w:rPr>
            <w:noProof/>
            <w:vertAlign w:val="superscript"/>
          </w:rPr>
          <w:fldChar w:fldCharType="end"/>
        </w:r>
      </w:hyperlink>
    </w:p>
    <w:p w:rsidR="002B2846" w:rsidRPr="005D22F2" w:rsidRDefault="002B2846" w:rsidP="00563B87">
      <w:pPr>
        <w:pStyle w:val="BodyText"/>
      </w:pPr>
      <w:r>
        <w:t xml:space="preserve">In </w:t>
      </w:r>
      <w:r w:rsidRPr="005D22F2">
        <w:t xml:space="preserve">infants, systemic reactions </w:t>
      </w:r>
      <w:r w:rsidR="00C8792A">
        <w:t xml:space="preserve">occurred more often </w:t>
      </w:r>
      <w:r w:rsidRPr="005D22F2">
        <w:t xml:space="preserve">following 4CMenB when it was given concurrently with other vaccines commonly given to infants, specifically </w:t>
      </w:r>
      <w:r>
        <w:t>D</w:t>
      </w:r>
      <w:r w:rsidRPr="005D22F2">
        <w:t>T</w:t>
      </w:r>
      <w:r>
        <w:t>P</w:t>
      </w:r>
      <w:r w:rsidRPr="005D22F2">
        <w:t>a-hepB-IPV-Hib</w:t>
      </w:r>
      <w:r w:rsidRPr="005D22F2" w:rsidDel="006B5EEF">
        <w:t xml:space="preserve"> </w:t>
      </w:r>
      <w:r w:rsidRPr="005D22F2">
        <w:t xml:space="preserve">and 7vPCV, compared with </w:t>
      </w:r>
      <w:r w:rsidR="00006C54">
        <w:t>when</w:t>
      </w:r>
      <w:r w:rsidR="00006C54" w:rsidRPr="005D22F2">
        <w:t xml:space="preserve"> </w:t>
      </w:r>
      <w:r w:rsidRPr="005D22F2">
        <w:t xml:space="preserve">4CMenB </w:t>
      </w:r>
      <w:r w:rsidR="00006C54">
        <w:t>and</w:t>
      </w:r>
      <w:r w:rsidRPr="005D22F2">
        <w:t xml:space="preserve"> other vaccines </w:t>
      </w:r>
      <w:r w:rsidR="00006C54">
        <w:t xml:space="preserve">were </w:t>
      </w:r>
      <w:r w:rsidR="00006C54" w:rsidRPr="005D22F2">
        <w:t>given</w:t>
      </w:r>
      <w:r w:rsidR="00006C54">
        <w:t xml:space="preserve"> </w:t>
      </w:r>
      <w:r>
        <w:t>separately</w:t>
      </w:r>
      <w:r w:rsidRPr="005D22F2">
        <w:t>.</w:t>
      </w:r>
      <w:hyperlink w:anchor="_ENREF_5" w:tooltip="Gossger, 2012 #379" w:history="1">
        <w:r w:rsidR="00AA6003">
          <w:fldChar w:fldCharType="begin"/>
        </w:r>
        <w:r w:rsidR="00AA6003">
          <w:instrText xml:space="preserve"> ADDIN EN.CITE &lt;EndNote&gt;&lt;Cite&gt;&lt;Author&gt;Gossger&lt;/Author&gt;&lt;Year&gt;2012&lt;/Year&gt;&lt;RecNum&gt;379&lt;/RecNum&gt;&lt;DisplayText&gt;&lt;style face="superscript"&gt;5&lt;/style&gt;&lt;/DisplayText&gt;&lt;record&gt;&lt;rec-number&gt;379&lt;/rec-number&gt;&lt;foreign-keys&gt;&lt;key app="EN" db-id="e2vew95zwwtraretz58xwszo0esfp99929ra"&gt;379&lt;/key&gt;&lt;/foreign-keys&gt;&lt;ref-type name="Journal Article"&gt;17&lt;/ref-type&gt;&lt;contributors&gt;&lt;authors&gt;&lt;author&gt;Gossger, N&lt;/author&gt;&lt;author&gt;Snape, M.&lt;/author&gt;&lt;author&gt;Yu, L. M.&lt;/author&gt;&lt;/authors&gt;&lt;/contributors&gt;&lt;titles&gt;&lt;title&gt;Immunogenicity and tolerability of recominant Meningococcal serogroup B vaccine administered with or without routine infant vaccinations according to different immunisation schedules: a randomised controlled trial - supplementary content&lt;/title&gt;&lt;secondary-title&gt;Journal of American Medical Association&lt;/secondary-title&gt;&lt;/titles&gt;&lt;periodical&gt;&lt;full-title&gt;Journal of American Medical Association&lt;/full-title&gt;&lt;/periodical&gt;&lt;volume&gt;307&lt;/volume&gt;&lt;number&gt;6&lt;/number&gt;&lt;dates&gt;&lt;year&gt;2012&lt;/year&gt;&lt;/dates&gt;&lt;urls&gt;&lt;pdf-urls&gt;&lt;url&gt;file://K:\NCIRS\EB_HibMenC_WP\Literature\Men B\MEN_201202_JAMA_Gossger AEFI supp.pdf&lt;/url&gt;&lt;/pdf-urls&gt;&lt;/urls&gt;&lt;modified-date&gt;Men B&lt;/modified-date&gt;&lt;/record&gt;&lt;/Cite&gt;&lt;/EndNote&gt;</w:instrText>
        </w:r>
        <w:r w:rsidR="00AA6003">
          <w:fldChar w:fldCharType="separate"/>
        </w:r>
        <w:r w:rsidR="00AA6003" w:rsidRPr="00E15DBE">
          <w:rPr>
            <w:noProof/>
            <w:vertAlign w:val="superscript"/>
          </w:rPr>
          <w:t>5</w:t>
        </w:r>
        <w:r w:rsidR="00AA6003">
          <w:fldChar w:fldCharType="end"/>
        </w:r>
      </w:hyperlink>
      <w:r w:rsidRPr="005D22F2">
        <w:t xml:space="preserve"> </w:t>
      </w:r>
      <w:r>
        <w:t>C</w:t>
      </w:r>
      <w:r w:rsidRPr="005D22F2">
        <w:t xml:space="preserve">ommon local reactions at the 4CMenB injection site </w:t>
      </w:r>
      <w:r w:rsidR="00F32320">
        <w:t>occurred</w:t>
      </w:r>
      <w:r w:rsidRPr="005D22F2">
        <w:t xml:space="preserve"> </w:t>
      </w:r>
      <w:r>
        <w:t xml:space="preserve">with </w:t>
      </w:r>
      <w:r w:rsidRPr="005D22F2">
        <w:t xml:space="preserve">similar </w:t>
      </w:r>
      <w:r>
        <w:t xml:space="preserve">frequencies regardless of whether the infants received </w:t>
      </w:r>
      <w:r w:rsidRPr="005D22F2">
        <w:t>other routine infant vaccines concurrently</w:t>
      </w:r>
      <w:r>
        <w:t>, but were more</w:t>
      </w:r>
      <w:r w:rsidRPr="005D22F2">
        <w:t xml:space="preserve"> </w:t>
      </w:r>
      <w:r>
        <w:t>likely than reactions</w:t>
      </w:r>
      <w:r w:rsidRPr="005D22F2">
        <w:t xml:space="preserve"> at the </w:t>
      </w:r>
      <w:r>
        <w:t>D</w:t>
      </w:r>
      <w:r w:rsidRPr="005D22F2">
        <w:t>T</w:t>
      </w:r>
      <w:r>
        <w:t>P</w:t>
      </w:r>
      <w:r w:rsidRPr="005D22F2">
        <w:t>a-hepB-IPV-Hib</w:t>
      </w:r>
      <w:r w:rsidRPr="005D22F2" w:rsidDel="006B5EEF">
        <w:t xml:space="preserve"> </w:t>
      </w:r>
      <w:r w:rsidRPr="005D22F2">
        <w:t xml:space="preserve">injection site </w:t>
      </w:r>
      <w:r w:rsidR="00006C54">
        <w:t>in</w:t>
      </w:r>
      <w:r w:rsidR="00006C54" w:rsidRPr="005D22F2">
        <w:t xml:space="preserve"> </w:t>
      </w:r>
      <w:r w:rsidRPr="005D22F2">
        <w:t>those who did not receive 4CMenB.</w:t>
      </w:r>
      <w:hyperlink w:anchor="_ENREF_5" w:tooltip="Gossger, 2012 #379" w:history="1">
        <w:r w:rsidR="00AA6003">
          <w:fldChar w:fldCharType="begin"/>
        </w:r>
        <w:r w:rsidR="00AA6003">
          <w:instrText xml:space="preserve"> ADDIN EN.CITE &lt;EndNote&gt;&lt;Cite&gt;&lt;Author&gt;Gossger&lt;/Author&gt;&lt;Year&gt;2012&lt;/Year&gt;&lt;RecNum&gt;379&lt;/RecNum&gt;&lt;DisplayText&gt;&lt;style face="superscript"&gt;5&lt;/style&gt;&lt;/DisplayText&gt;&lt;record&gt;&lt;rec-number&gt;379&lt;/rec-number&gt;&lt;foreign-keys&gt;&lt;key app="EN" db-id="e2vew95zwwtraretz58xwszo0esfp99929ra"&gt;379&lt;/key&gt;&lt;/foreign-keys&gt;&lt;ref-type name="Journal Article"&gt;17&lt;/ref-type&gt;&lt;contributors&gt;&lt;authors&gt;&lt;author&gt;Gossger, N&lt;/author&gt;&lt;author&gt;Snape, M.&lt;/author&gt;&lt;author&gt;Yu, L. M.&lt;/author&gt;&lt;/authors&gt;&lt;/contributors&gt;&lt;titles&gt;&lt;title&gt;Immunogenicity and tolerability of recominant Meningococcal serogroup B vaccine administered with or without routine infant vaccinations according to different immunisation schedules: a randomised controlled trial - supplementary content&lt;/title&gt;&lt;secondary-title&gt;Journal of American Medical Association&lt;/secondary-title&gt;&lt;/titles&gt;&lt;periodical&gt;&lt;full-title&gt;Journal of American Medical Association&lt;/full-title&gt;&lt;/periodical&gt;&lt;volume&gt;307&lt;/volume&gt;&lt;number&gt;6&lt;/number&gt;&lt;dates&gt;&lt;year&gt;2012&lt;/year&gt;&lt;/dates&gt;&lt;urls&gt;&lt;pdf-urls&gt;&lt;url&gt;file://K:\NCIRS\EB_HibMenC_WP\Literature\Men B\MEN_201202_JAMA_Gossger AEFI supp.pdf&lt;/url&gt;&lt;/pdf-urls&gt;&lt;/urls&gt;&lt;modified-date&gt;Men B&lt;/modified-date&gt;&lt;/record&gt;&lt;/Cite&gt;&lt;/EndNote&gt;</w:instrText>
        </w:r>
        <w:r w:rsidR="00AA6003">
          <w:fldChar w:fldCharType="separate"/>
        </w:r>
        <w:r w:rsidR="00AA6003" w:rsidRPr="00E15DBE">
          <w:rPr>
            <w:noProof/>
            <w:vertAlign w:val="superscript"/>
          </w:rPr>
          <w:t>5</w:t>
        </w:r>
        <w:r w:rsidR="00AA6003">
          <w:fldChar w:fldCharType="end"/>
        </w:r>
      </w:hyperlink>
      <w:r w:rsidRPr="005D22F2">
        <w:t xml:space="preserve"> </w:t>
      </w:r>
    </w:p>
    <w:p w:rsidR="002B2846" w:rsidRPr="005D22F2" w:rsidRDefault="002B2846" w:rsidP="00563B87">
      <w:pPr>
        <w:pStyle w:val="BodyText"/>
      </w:pPr>
      <w:r>
        <w:t xml:space="preserve">In the clinical trials of </w:t>
      </w:r>
      <w:r w:rsidRPr="005D22F2">
        <w:t>4CMenB</w:t>
      </w:r>
      <w:r>
        <w:t>,</w:t>
      </w:r>
      <w:r w:rsidRPr="005D22F2">
        <w:t xml:space="preserve"> </w:t>
      </w:r>
      <w:r>
        <w:t>o</w:t>
      </w:r>
      <w:r w:rsidRPr="005D22F2">
        <w:t>ther rare adverse event</w:t>
      </w:r>
      <w:r>
        <w:t>s</w:t>
      </w:r>
      <w:r w:rsidRPr="005D22F2">
        <w:t>, such as Kawasaki syndrome</w:t>
      </w:r>
      <w:r>
        <w:t>,</w:t>
      </w:r>
      <w:r w:rsidRPr="005D22F2">
        <w:t xml:space="preserve"> were observed</w:t>
      </w:r>
      <w:r>
        <w:t xml:space="preserve"> following immunisation</w:t>
      </w:r>
      <w:r w:rsidRPr="005D22F2">
        <w:t xml:space="preserve"> in </w:t>
      </w:r>
      <w:r>
        <w:t>a small number of</w:t>
      </w:r>
      <w:r w:rsidRPr="005D22F2">
        <w:t xml:space="preserve"> clinical trial participants; however</w:t>
      </w:r>
      <w:r>
        <w:t>,</w:t>
      </w:r>
      <w:r w:rsidRPr="005D22F2">
        <w:t xml:space="preserve"> a causal relationship with 4CMenB has not been established.</w:t>
      </w:r>
    </w:p>
    <w:p w:rsidR="002B2846" w:rsidRPr="00936BD8" w:rsidRDefault="002B2846" w:rsidP="00563B87">
      <w:pPr>
        <w:pStyle w:val="BodyText"/>
      </w:pPr>
      <w:r w:rsidRPr="00FC2640">
        <w:t>A</w:t>
      </w:r>
      <w:r w:rsidRPr="007C3DE8">
        <w:t>dverse re</w:t>
      </w:r>
      <w:r w:rsidRPr="00F273F4">
        <w:t xml:space="preserve">actions to 4CMenB were less commonly reported among adolescents and adults compared with infants. The most commonly reported reactions for adolescents were injection site reactions (&gt;90%) including pain (86% of 4CMenB vs 60% of placebo recipients), malaise (51% vs 30%) and headache (42% vs 27%). </w:t>
      </w:r>
      <w:r w:rsidR="00C50B63">
        <w:t>High fever was less common in adolescents (</w:t>
      </w:r>
      <w:r w:rsidR="00477AEA">
        <w:t xml:space="preserve">4% reported temperature </w:t>
      </w:r>
      <w:r w:rsidR="00C50B63">
        <w:t>≥38°C</w:t>
      </w:r>
      <w:r w:rsidR="00477AEA">
        <w:t>,</w:t>
      </w:r>
      <w:r w:rsidR="00C50B63">
        <w:t xml:space="preserve"> </w:t>
      </w:r>
      <w:r w:rsidR="00477AEA">
        <w:t xml:space="preserve">1% reported temperature </w:t>
      </w:r>
      <w:r w:rsidR="00C50B63">
        <w:t>≥39°C) than in</w:t>
      </w:r>
      <w:r w:rsidRPr="00F273F4">
        <w:t xml:space="preserve"> infants</w:t>
      </w:r>
      <w:r w:rsidRPr="00FC2640">
        <w:t>.</w:t>
      </w:r>
      <w:hyperlink w:anchor="_ENREF_8" w:tooltip="Santolaya, 2012 #381" w:history="1">
        <w:r w:rsidR="00AA6003" w:rsidRPr="00F273F4">
          <w:fldChar w:fldCharType="begin">
            <w:fldData xml:space="preserve">PEVuZE5vdGU+PENpdGU+PEF1dGhvcj5TYW50b2xheWE8L0F1dGhvcj48WWVhcj4yMDEyPC9ZZWFy
PjxSZWNOdW0+MzgxPC9SZWNOdW0+PERpc3BsYXlUZXh0PjxzdHlsZSBmYWNlPSJzdXBlcnNjcmlw
dCI+ODwvc3R5bGU+PC9EaXNwbGF5VGV4dD48cmVjb3JkPjxyZWMtbnVtYmVyPjM4MTwvcmVjLW51
bWJlcj48Zm9yZWlnbi1rZXlzPjxrZXkgYXBwPSJFTiIgZGItaWQ9ImUydmV3OTV6d3d0cmFyZXR6
NTh4d3N6bzBlc2ZwOTk5MjlyYSI+MzgxPC9rZXk+PC9mb3JlaWduLWtleXM+PHJlZi10eXBlIG5h
bWU9IkpvdXJuYWwgQXJ0aWNsZSI+MTc8L3JlZi10eXBlPjxjb250cmlidXRvcnM+PGF1dGhvcnM+
PGF1dGhvcj5TYW50b2xheWEsIE1FPC9hdXRob3I+PGF1dGhvcj5PJmFwb3M7UnlhbiwgTTwvYXV0
aG9yPjxhdXRob3I+VmFsZW56dWVsYSwgTWFyaWEgVGVyZXNhPC9hdXRob3I+PGF1dGhvcj5QcmFk
bywgVjwvYXV0aG9yPjxhdXRob3I+VmVyZ2FyYSwgUjwvYXV0aG9yPjxhdXRob3I+TXVub3osIEE8
L2F1dGhvcj48YXV0aG9yPlRvbmVhdHRvLCBEPC9hdXRob3I+PGF1dGhvcj5HcmFuYSwgRzwvYXV0
aG9yPjxhdXRob3I+V2FuZywgSDwvYXV0aG9yPjxhdXRob3I+Q2xlbWVucywgUjwvYXV0aG9yPjxh
dXRob3I+RHVsbCwgUC48L2F1dGhvcj48L2F1dGhvcnM+PC9jb250cmlidXRvcnM+PHRpdGxlcz48
dGl0bGU+SW1tdW5vZ2VuaWNpdHkgYW5kIHRvbGVyYWJpbGl0eSBvZiBhIG11bHRpY29tcG9uZW50
IG1lbmluZ29jb2NjYWwgc2Vyb2dyb3VwIEIgKDRDTWVuQikgdmFjY2luZSBpbiBoZWFsdGh5IGFk
b2xlc2NlbnRzIGluIENoaWxlOiBhIHBoYXNlIDJiLzMgcmFuZG9taXNlZCwgb2JlcnZlciBibGlu
LCBwbGFjZWJvIGNvbnRyb2xsZWQgc3R1ZHk8L3RpdGxlPjxzZWNvbmRhcnktdGl0bGU+TGFuY2V0
PC9zZWNvbmRhcnktdGl0bGU+PC90aXRsZXM+PHBlcmlvZGljYWw+PGZ1bGwtdGl0bGU+TGFuY2V0
PC9mdWxsLXRpdGxlPjwvcGVyaW9kaWNhbD48ZGF0ZXM+PHllYXI+MjAxMjwveWVhcj48L2RhdGVz
Pjx1cmxzPjxwZGYtdXJscz48dXJsPmZpbGU6Ly9LOlxOQ0lSU1xFQl9IaWJNZW5DX1dQXExpdGVy
YXR1cmVcTWVuIEJcTUVOXzIwMTIwMl9MYW5jZXRfU2FudG9sYXlhLnBkZjwvdXJsPjwvcGRmLXVy
bHM+PC91cmxzPjxlbGVjdHJvbmljLXJlc291cmNlLW51bT4xMC4xMDE2L1MwMTQwLTY3MzYoMTEp
NjE3MTMtMyYjeEQ7MTAuMTAxNi9TMDE0MDY3MzYoMTEpNjE5MzQtWDwvZWxlY3Ryb25pYy1yZXNv
dXJjZS1udW0+PG1vZGlmaWVkLWRhdGU+TWVuIEI8L21vZGlmaWVkLWRhdGU+PC9yZWNvcmQ+PC9D
aXRlPjxDaXRlPjxBdXRob3I+U2FudG9sYXlhPC9BdXRob3I+PFllYXI+MjAxMjwvWWVhcj48UmVj
TnVtPjM4MTwvUmVjTnVtPjxyZWNvcmQ+PHJlYy1udW1iZXI+MzgxPC9yZWMtbnVtYmVyPjxmb3Jl
aWduLWtleXM+PGtleSBhcHA9IkVOIiBkYi1pZD0iZTJ2ZXc5NXp3d3RyYXJldHo1OHh3c3pvMGVz
ZnA5OTkyOXJhIj4zODE8L2tleT48L2ZvcmVpZ24ta2V5cz48cmVmLXR5cGUgbmFtZT0iSm91cm5h
bCBBcnRpY2xlIj4xNzwvcmVmLXR5cGU+PGNvbnRyaWJ1dG9ycz48YXV0aG9ycz48YXV0aG9yPlNh
bnRvbGF5YSwgTUU8L2F1dGhvcj48YXV0aG9yPk8mYXBvcztSeWFuLCBNPC9hdXRob3I+PGF1dGhv
cj5WYWxlbnp1ZWxhLCBNYXJpYSBUZXJlc2E8L2F1dGhvcj48YXV0aG9yPlByYWRvLCBWPC9hdXRo
b3I+PGF1dGhvcj5WZXJnYXJhLCBSPC9hdXRob3I+PGF1dGhvcj5NdW5veiwgQTwvYXV0aG9yPjxh
dXRob3I+VG9uZWF0dG8sIEQ8L2F1dGhvcj48YXV0aG9yPkdyYW5hLCBHPC9hdXRob3I+PGF1dGhv
cj5XYW5nLCBIPC9hdXRob3I+PGF1dGhvcj5DbGVtZW5zLCBSPC9hdXRob3I+PGF1dGhvcj5EdWxs
LCBQLjwvYXV0aG9yPjwvYXV0aG9ycz48L2NvbnRyaWJ1dG9ycz48dGl0bGVzPjx0aXRsZT5JbW11
bm9nZW5pY2l0eSBhbmQgdG9sZXJhYmlsaXR5IG9mIGEgbXVsdGljb21wb25lbnQgbWVuaW5nb2Nv
Y2NhbCBzZXJvZ3JvdXAgQiAoNENNZW5CKSB2YWNjaW5lIGluIGhlYWx0aHkgYWRvbGVzY2VudHMg
aW4gQ2hpbGU6IGEgcGhhc2UgMmIvMyByYW5kb21pc2VkLCBvYmVydmVyIGJsaW4sIHBsYWNlYm8g
Y29udHJvbGxlZCBzdHVkeTwvdGl0bGU+PHNlY29uZGFyeS10aXRsZT5MYW5jZXQ8L3NlY29uZGFy
eS10aXRsZT48L3RpdGxlcz48cGVyaW9kaWNhbD48ZnVsbC10aXRsZT5MYW5jZXQ8L2Z1bGwtdGl0
bGU+PC9wZXJpb2RpY2FsPjxkYXRlcz48eWVhcj4yMDEyPC95ZWFyPjwvZGF0ZXM+PHVybHM+PHBk
Zi11cmxzPjx1cmw+ZmlsZTovL0s6XE5DSVJTXEVCX0hpYk1lbkNfV1BcTGl0ZXJhdHVyZVxNZW4g
QlxNRU5fMjAxMjAyX0xhbmNldF9TYW50b2xheWEucGRmPC91cmw+PC9wZGYtdXJscz48L3VybHM+
PGVsZWN0cm9uaWMtcmVzb3VyY2UtbnVtPjEwLjEwMTYvUzAxNDAtNjczNigxMSk2MTcxMy0zJiN4
RDsxMC4xMDE2L1MwMTQwNjczNigxMSk2MTkzNC1YPC9lbGVjdHJvbmljLXJlc291cmNlLW51bT48
bW9kaWZpZWQtZGF0ZT5NZW4gQjwvbW9kaWZpZWQtZGF0ZT48L3JlY29yZD48L0NpdGU+PC9FbmRO
b3RlPgAAAA==
</w:fldData>
          </w:fldChar>
        </w:r>
        <w:r w:rsidR="00AA6003" w:rsidRPr="00F273F4">
          <w:instrText xml:space="preserve"> ADDIN EN.CITE </w:instrText>
        </w:r>
        <w:r w:rsidR="00AA6003" w:rsidRPr="00F273F4">
          <w:fldChar w:fldCharType="begin">
            <w:fldData xml:space="preserve">PEVuZE5vdGU+PENpdGU+PEF1dGhvcj5TYW50b2xheWE8L0F1dGhvcj48WWVhcj4yMDEyPC9ZZWFy
PjxSZWNOdW0+MzgxPC9SZWNOdW0+PERpc3BsYXlUZXh0PjxzdHlsZSBmYWNlPSJzdXBlcnNjcmlw
dCI+ODwvc3R5bGU+PC9EaXNwbGF5VGV4dD48cmVjb3JkPjxyZWMtbnVtYmVyPjM4MTwvcmVjLW51
bWJlcj48Zm9yZWlnbi1rZXlzPjxrZXkgYXBwPSJFTiIgZGItaWQ9ImUydmV3OTV6d3d0cmFyZXR6
NTh4d3N6bzBlc2ZwOTk5MjlyYSI+MzgxPC9rZXk+PC9mb3JlaWduLWtleXM+PHJlZi10eXBlIG5h
bWU9IkpvdXJuYWwgQXJ0aWNsZSI+MTc8L3JlZi10eXBlPjxjb250cmlidXRvcnM+PGF1dGhvcnM+
PGF1dGhvcj5TYW50b2xheWEsIE1FPC9hdXRob3I+PGF1dGhvcj5PJmFwb3M7UnlhbiwgTTwvYXV0
aG9yPjxhdXRob3I+VmFsZW56dWVsYSwgTWFyaWEgVGVyZXNhPC9hdXRob3I+PGF1dGhvcj5QcmFk
bywgVjwvYXV0aG9yPjxhdXRob3I+VmVyZ2FyYSwgUjwvYXV0aG9yPjxhdXRob3I+TXVub3osIEE8
L2F1dGhvcj48YXV0aG9yPlRvbmVhdHRvLCBEPC9hdXRob3I+PGF1dGhvcj5HcmFuYSwgRzwvYXV0
aG9yPjxhdXRob3I+V2FuZywgSDwvYXV0aG9yPjxhdXRob3I+Q2xlbWVucywgUjwvYXV0aG9yPjxh
dXRob3I+RHVsbCwgUC48L2F1dGhvcj48L2F1dGhvcnM+PC9jb250cmlidXRvcnM+PHRpdGxlcz48
dGl0bGU+SW1tdW5vZ2VuaWNpdHkgYW5kIHRvbGVyYWJpbGl0eSBvZiBhIG11bHRpY29tcG9uZW50
IG1lbmluZ29jb2NjYWwgc2Vyb2dyb3VwIEIgKDRDTWVuQikgdmFjY2luZSBpbiBoZWFsdGh5IGFk
b2xlc2NlbnRzIGluIENoaWxlOiBhIHBoYXNlIDJiLzMgcmFuZG9taXNlZCwgb2JlcnZlciBibGlu
LCBwbGFjZWJvIGNvbnRyb2xsZWQgc3R1ZHk8L3RpdGxlPjxzZWNvbmRhcnktdGl0bGU+TGFuY2V0
PC9zZWNvbmRhcnktdGl0bGU+PC90aXRsZXM+PHBlcmlvZGljYWw+PGZ1bGwtdGl0bGU+TGFuY2V0
PC9mdWxsLXRpdGxlPjwvcGVyaW9kaWNhbD48ZGF0ZXM+PHllYXI+MjAxMjwveWVhcj48L2RhdGVz
Pjx1cmxzPjxwZGYtdXJscz48dXJsPmZpbGU6Ly9LOlxOQ0lSU1xFQl9IaWJNZW5DX1dQXExpdGVy
YXR1cmVcTWVuIEJcTUVOXzIwMTIwMl9MYW5jZXRfU2FudG9sYXlhLnBkZjwvdXJsPjwvcGRmLXVy
bHM+PC91cmxzPjxlbGVjdHJvbmljLXJlc291cmNlLW51bT4xMC4xMDE2L1MwMTQwLTY3MzYoMTEp
NjE3MTMtMyYjeEQ7MTAuMTAxNi9TMDE0MDY3MzYoMTEpNjE5MzQtWDwvZWxlY3Ryb25pYy1yZXNv
dXJjZS1udW0+PG1vZGlmaWVkLWRhdGU+TWVuIEI8L21vZGlmaWVkLWRhdGU+PC9yZWNvcmQ+PC9D
aXRlPjxDaXRlPjxBdXRob3I+U2FudG9sYXlhPC9BdXRob3I+PFllYXI+MjAxMjwvWWVhcj48UmVj
TnVtPjM4MTwvUmVjTnVtPjxyZWNvcmQ+PHJlYy1udW1iZXI+MzgxPC9yZWMtbnVtYmVyPjxmb3Jl
aWduLWtleXM+PGtleSBhcHA9IkVOIiBkYi1pZD0iZTJ2ZXc5NXp3d3RyYXJldHo1OHh3c3pvMGVz
ZnA5OTkyOXJhIj4zODE8L2tleT48L2ZvcmVpZ24ta2V5cz48cmVmLXR5cGUgbmFtZT0iSm91cm5h
bCBBcnRpY2xlIj4xNzwvcmVmLXR5cGU+PGNvbnRyaWJ1dG9ycz48YXV0aG9ycz48YXV0aG9yPlNh
bnRvbGF5YSwgTUU8L2F1dGhvcj48YXV0aG9yPk8mYXBvcztSeWFuLCBNPC9hdXRob3I+PGF1dGhv
cj5WYWxlbnp1ZWxhLCBNYXJpYSBUZXJlc2E8L2F1dGhvcj48YXV0aG9yPlByYWRvLCBWPC9hdXRo
b3I+PGF1dGhvcj5WZXJnYXJhLCBSPC9hdXRob3I+PGF1dGhvcj5NdW5veiwgQTwvYXV0aG9yPjxh
dXRob3I+VG9uZWF0dG8sIEQ8L2F1dGhvcj48YXV0aG9yPkdyYW5hLCBHPC9hdXRob3I+PGF1dGhv
cj5XYW5nLCBIPC9hdXRob3I+PGF1dGhvcj5DbGVtZW5zLCBSPC9hdXRob3I+PGF1dGhvcj5EdWxs
LCBQLjwvYXV0aG9yPjwvYXV0aG9ycz48L2NvbnRyaWJ1dG9ycz48dGl0bGVzPjx0aXRsZT5JbW11
bm9nZW5pY2l0eSBhbmQgdG9sZXJhYmlsaXR5IG9mIGEgbXVsdGljb21wb25lbnQgbWVuaW5nb2Nv
Y2NhbCBzZXJvZ3JvdXAgQiAoNENNZW5CKSB2YWNjaW5lIGluIGhlYWx0aHkgYWRvbGVzY2VudHMg
aW4gQ2hpbGU6IGEgcGhhc2UgMmIvMyByYW5kb21pc2VkLCBvYmVydmVyIGJsaW4sIHBsYWNlYm8g
Y29udHJvbGxlZCBzdHVkeTwvdGl0bGU+PHNlY29uZGFyeS10aXRsZT5MYW5jZXQ8L3NlY29uZGFy
eS10aXRsZT48L3RpdGxlcz48cGVyaW9kaWNhbD48ZnVsbC10aXRsZT5MYW5jZXQ8L2Z1bGwtdGl0
bGU+PC9wZXJpb2RpY2FsPjxkYXRlcz48eWVhcj4yMDEyPC95ZWFyPjwvZGF0ZXM+PHVybHM+PHBk
Zi11cmxzPjx1cmw+ZmlsZTovL0s6XE5DSVJTXEVCX0hpYk1lbkNfV1BcTGl0ZXJhdHVyZVxNZW4g
QlxNRU5fMjAxMjAyX0xhbmNldF9TYW50b2xheWEucGRmPC91cmw+PC9wZGYtdXJscz48L3VybHM+
PGVsZWN0cm9uaWMtcmVzb3VyY2UtbnVtPjEwLjEwMTYvUzAxNDAtNjczNigxMSk2MTcxMy0zJiN4
RDsxMC4xMDE2L1MwMTQwNjczNigxMSk2MTkzNC1YPC9lbGVjdHJvbmljLXJlc291cmNlLW51bT48
bW9kaWZpZWQtZGF0ZT5NZW4gQjwvbW9kaWZpZWQtZGF0ZT48L3JlY29yZD48L0NpdGU+PC9FbmRO
b3RlPgAAAA==
</w:fldData>
          </w:fldChar>
        </w:r>
        <w:r w:rsidR="00AA6003" w:rsidRPr="00F273F4">
          <w:instrText xml:space="preserve"> ADDIN EN.CITE.DATA </w:instrText>
        </w:r>
        <w:r w:rsidR="00AA6003" w:rsidRPr="00F273F4">
          <w:fldChar w:fldCharType="end"/>
        </w:r>
        <w:r w:rsidR="00AA6003" w:rsidRPr="00F273F4">
          <w:fldChar w:fldCharType="separate"/>
        </w:r>
        <w:r w:rsidR="00AA6003" w:rsidRPr="00F273F4">
          <w:rPr>
            <w:noProof/>
            <w:vertAlign w:val="superscript"/>
          </w:rPr>
          <w:t>8</w:t>
        </w:r>
        <w:r w:rsidR="00AA6003" w:rsidRPr="00F273F4">
          <w:fldChar w:fldCharType="end"/>
        </w:r>
      </w:hyperlink>
    </w:p>
    <w:p w:rsidR="002B2846" w:rsidRPr="00F273F4" w:rsidRDefault="002B2846" w:rsidP="00563B87">
      <w:pPr>
        <w:pStyle w:val="Heading2"/>
      </w:pPr>
      <w:r w:rsidRPr="00F273F4">
        <w:t xml:space="preserve">Use in pregnancy and </w:t>
      </w:r>
      <w:r w:rsidR="002532BF">
        <w:t>breastfeeding</w:t>
      </w:r>
    </w:p>
    <w:p w:rsidR="002B2846" w:rsidRPr="005D22F2" w:rsidRDefault="002B2846" w:rsidP="00563B87">
      <w:pPr>
        <w:pStyle w:val="BodyText"/>
      </w:pPr>
      <w:r w:rsidRPr="00FC2640">
        <w:t>C</w:t>
      </w:r>
      <w:r w:rsidRPr="007C3DE8">
        <w:t>urrently</w:t>
      </w:r>
      <w:r w:rsidRPr="00F273F4">
        <w:t>, there is no clinical data available</w:t>
      </w:r>
      <w:r w:rsidRPr="00F273F4" w:rsidDel="00E028F4">
        <w:t xml:space="preserve"> </w:t>
      </w:r>
      <w:r w:rsidRPr="00F273F4">
        <w:t>on the effects of exposure to 4CMenB during pregnancy</w:t>
      </w:r>
      <w:r w:rsidRPr="00FC2640">
        <w:t>.</w:t>
      </w:r>
      <w:r w:rsidRPr="007C3DE8">
        <w:t xml:space="preserve"> </w:t>
      </w:r>
      <w:r w:rsidRPr="00F273F4">
        <w:t xml:space="preserve">Information on the safety of the vaccine during lactation is also not available. A benefit-risk assessment should be undertaken before making the decision to immunise a pregnant or </w:t>
      </w:r>
      <w:r w:rsidR="002532BF">
        <w:t>breastfeeding</w:t>
      </w:r>
      <w:r w:rsidR="002532BF" w:rsidRPr="00F273F4">
        <w:t xml:space="preserve"> </w:t>
      </w:r>
      <w:r w:rsidRPr="00F273F4">
        <w:t>woman.</w:t>
      </w:r>
    </w:p>
    <w:p w:rsidR="002B2846" w:rsidRPr="00F273F4" w:rsidRDefault="002B2846" w:rsidP="00563B87">
      <w:pPr>
        <w:pStyle w:val="Heading2"/>
      </w:pPr>
      <w:r w:rsidRPr="00F273F4">
        <w:t xml:space="preserve">Variations from product information </w:t>
      </w:r>
    </w:p>
    <w:p w:rsidR="002B2846" w:rsidRPr="005D22F2" w:rsidRDefault="002B2846" w:rsidP="00563B87">
      <w:pPr>
        <w:pStyle w:val="BodyText"/>
      </w:pPr>
      <w:r w:rsidRPr="005D22F2">
        <w:t xml:space="preserve">The 4CMenB vaccine is registered for use in individuals 2 months of age and older. </w:t>
      </w:r>
      <w:r>
        <w:t>However</w:t>
      </w:r>
      <w:r w:rsidRPr="005D22F2">
        <w:t xml:space="preserve">, the </w:t>
      </w:r>
      <w:r w:rsidR="00075BC9">
        <w:t>1st</w:t>
      </w:r>
      <w:r w:rsidR="00075BC9" w:rsidRPr="005D22F2">
        <w:t xml:space="preserve"> </w:t>
      </w:r>
      <w:r w:rsidRPr="005D22F2">
        <w:t xml:space="preserve">dose of </w:t>
      </w:r>
      <w:r>
        <w:t xml:space="preserve">infant </w:t>
      </w:r>
      <w:r w:rsidRPr="005D22F2">
        <w:t>vaccine</w:t>
      </w:r>
      <w:r>
        <w:t>s</w:t>
      </w:r>
      <w:r w:rsidRPr="005D22F2">
        <w:t xml:space="preserve"> </w:t>
      </w:r>
      <w:r>
        <w:t>in the NIP schedule</w:t>
      </w:r>
      <w:r w:rsidRPr="005D22F2">
        <w:t xml:space="preserve"> can be given to infants </w:t>
      </w:r>
      <w:r>
        <w:t>as early as</w:t>
      </w:r>
      <w:r w:rsidRPr="005D22F2">
        <w:t xml:space="preserve"> 6 weeks of age. ATAGI advises that the </w:t>
      </w:r>
      <w:r w:rsidR="00075BC9">
        <w:t>1st</w:t>
      </w:r>
      <w:r w:rsidR="00075BC9" w:rsidRPr="005D22F2">
        <w:t xml:space="preserve"> </w:t>
      </w:r>
      <w:r w:rsidRPr="005D22F2">
        <w:t xml:space="preserve">dose of 4CMenB may also be administered concurrently </w:t>
      </w:r>
      <w:r>
        <w:t xml:space="preserve">with other infant </w:t>
      </w:r>
      <w:r w:rsidRPr="005D22F2">
        <w:t>vaccine</w:t>
      </w:r>
      <w:r>
        <w:t>s</w:t>
      </w:r>
      <w:r w:rsidRPr="005D22F2">
        <w:t xml:space="preserve"> </w:t>
      </w:r>
      <w:r>
        <w:t>from</w:t>
      </w:r>
      <w:r w:rsidRPr="005D22F2">
        <w:t xml:space="preserve"> 6 weeks of age to align with the routine infant schedule. However, there have been no data collected in clinical trials specifically regarding the safety and immunogenicity of 4CMenB when a </w:t>
      </w:r>
      <w:r w:rsidR="00075BC9">
        <w:t>1st</w:t>
      </w:r>
      <w:r w:rsidR="00075BC9" w:rsidRPr="005D22F2">
        <w:t xml:space="preserve"> </w:t>
      </w:r>
      <w:r w:rsidRPr="005D22F2">
        <w:t xml:space="preserve">dose is given at 6 weeks of age. </w:t>
      </w:r>
      <w:r>
        <w:t xml:space="preserve">If the </w:t>
      </w:r>
      <w:r w:rsidR="00075BC9">
        <w:t xml:space="preserve">1st </w:t>
      </w:r>
      <w:r>
        <w:t>dose</w:t>
      </w:r>
      <w:r w:rsidR="00F15B86">
        <w:t>s</w:t>
      </w:r>
      <w:r>
        <w:t xml:space="preserve"> of </w:t>
      </w:r>
      <w:r w:rsidR="00CF1C59">
        <w:t xml:space="preserve">these NIP </w:t>
      </w:r>
      <w:r>
        <w:t xml:space="preserve">vaccines </w:t>
      </w:r>
      <w:r w:rsidR="00993586">
        <w:t xml:space="preserve">and </w:t>
      </w:r>
      <w:r w:rsidR="002C70F5">
        <w:t xml:space="preserve">4CMenB </w:t>
      </w:r>
      <w:r>
        <w:t>are given at 6 weeks of age, t</w:t>
      </w:r>
      <w:r w:rsidRPr="005D22F2">
        <w:t>he next scheduled doses should still be given at 4 and 6 months of age.</w:t>
      </w:r>
    </w:p>
    <w:p w:rsidR="002B2846" w:rsidRPr="00F273F4" w:rsidRDefault="002B2846" w:rsidP="00563B87">
      <w:pPr>
        <w:pStyle w:val="Heading2"/>
      </w:pPr>
      <w:r w:rsidRPr="00F273F4">
        <w:t xml:space="preserve">References </w:t>
      </w:r>
    </w:p>
    <w:p w:rsidR="00AA6003" w:rsidRPr="00F273F4" w:rsidRDefault="002B2846" w:rsidP="00563B87">
      <w:pPr>
        <w:pStyle w:val="References"/>
        <w:rPr>
          <w:noProof/>
        </w:rPr>
      </w:pPr>
      <w:r w:rsidRPr="005D22F2">
        <w:fldChar w:fldCharType="begin"/>
      </w:r>
      <w:r w:rsidRPr="005D22F2">
        <w:instrText xml:space="preserve"> ADDIN EN.REFLIST </w:instrText>
      </w:r>
      <w:r w:rsidRPr="005D22F2">
        <w:fldChar w:fldCharType="separate"/>
      </w:r>
      <w:bookmarkStart w:id="1" w:name="_ENREF_1"/>
      <w:r w:rsidR="00AA6003" w:rsidRPr="00F273F4">
        <w:rPr>
          <w:noProof/>
        </w:rPr>
        <w:t>1.</w:t>
      </w:r>
      <w:r w:rsidR="00AA6003" w:rsidRPr="00F273F4">
        <w:rPr>
          <w:noProof/>
        </w:rPr>
        <w:tab/>
      </w:r>
      <w:r w:rsidR="00C02CFA">
        <w:rPr>
          <w:noProof/>
        </w:rPr>
        <w:t>Australian Technical Advisory Group on Immunisation</w:t>
      </w:r>
      <w:r w:rsidR="00AA6003" w:rsidRPr="00F273F4">
        <w:rPr>
          <w:noProof/>
        </w:rPr>
        <w:t xml:space="preserve">. </w:t>
      </w:r>
      <w:r w:rsidR="00AA6003" w:rsidRPr="00D61978">
        <w:rPr>
          <w:noProof/>
        </w:rPr>
        <w:t xml:space="preserve">The Australian </w:t>
      </w:r>
      <w:r w:rsidR="00C02CFA">
        <w:rPr>
          <w:noProof/>
        </w:rPr>
        <w:t>i</w:t>
      </w:r>
      <w:r w:rsidR="00AA6003" w:rsidRPr="00D61978">
        <w:rPr>
          <w:noProof/>
        </w:rPr>
        <w:t xml:space="preserve">mmunisation </w:t>
      </w:r>
      <w:r w:rsidR="00C02CFA">
        <w:rPr>
          <w:noProof/>
        </w:rPr>
        <w:t>h</w:t>
      </w:r>
      <w:r w:rsidR="00AA6003" w:rsidRPr="00D61978">
        <w:rPr>
          <w:noProof/>
        </w:rPr>
        <w:t>andbook</w:t>
      </w:r>
      <w:r w:rsidR="00C02CFA">
        <w:rPr>
          <w:noProof/>
        </w:rPr>
        <w:t>.</w:t>
      </w:r>
      <w:r w:rsidR="00AA6003" w:rsidRPr="00D61978">
        <w:rPr>
          <w:noProof/>
        </w:rPr>
        <w:t xml:space="preserve"> 10th ed</w:t>
      </w:r>
      <w:r w:rsidR="00C02CFA">
        <w:rPr>
          <w:noProof/>
        </w:rPr>
        <w:t>.</w:t>
      </w:r>
      <w:r w:rsidR="00AA6003" w:rsidRPr="00F273F4">
        <w:rPr>
          <w:i/>
          <w:noProof/>
        </w:rPr>
        <w:t xml:space="preserve"> </w:t>
      </w:r>
      <w:r w:rsidR="00AA6003" w:rsidRPr="00F273F4">
        <w:rPr>
          <w:noProof/>
        </w:rPr>
        <w:t xml:space="preserve">Canberra: </w:t>
      </w:r>
      <w:r w:rsidR="00C02CFA">
        <w:rPr>
          <w:noProof/>
        </w:rPr>
        <w:t xml:space="preserve">Australian Government </w:t>
      </w:r>
      <w:r w:rsidR="00AA6003" w:rsidRPr="00F273F4">
        <w:rPr>
          <w:noProof/>
        </w:rPr>
        <w:t>Department of Health; 2013.</w:t>
      </w:r>
      <w:bookmarkEnd w:id="1"/>
    </w:p>
    <w:p w:rsidR="00AA6003" w:rsidRPr="00F273F4" w:rsidRDefault="00AA6003" w:rsidP="00563B87">
      <w:pPr>
        <w:pStyle w:val="References"/>
        <w:rPr>
          <w:noProof/>
        </w:rPr>
      </w:pPr>
      <w:bookmarkStart w:id="2" w:name="_ENREF_2"/>
      <w:r w:rsidRPr="00F273F4">
        <w:rPr>
          <w:noProof/>
        </w:rPr>
        <w:t>2.</w:t>
      </w:r>
      <w:r w:rsidRPr="00F273F4">
        <w:rPr>
          <w:noProof/>
        </w:rPr>
        <w:tab/>
        <w:t xml:space="preserve">Viner RM, Booy R, Johnson H, et al. Outcomes of invasive meningococcal serogroup B disease in children and adolescents (MOSAIC): a case-control study. </w:t>
      </w:r>
      <w:r w:rsidRPr="00F273F4">
        <w:rPr>
          <w:i/>
          <w:noProof/>
        </w:rPr>
        <w:t>The Lancet Neurology</w:t>
      </w:r>
      <w:r w:rsidRPr="00F273F4">
        <w:rPr>
          <w:noProof/>
        </w:rPr>
        <w:t xml:space="preserve"> 2012;11:774-83.</w:t>
      </w:r>
      <w:bookmarkEnd w:id="2"/>
    </w:p>
    <w:p w:rsidR="00AA6003" w:rsidRPr="00F273F4" w:rsidRDefault="00AA6003" w:rsidP="00563B87">
      <w:pPr>
        <w:pStyle w:val="References"/>
        <w:rPr>
          <w:noProof/>
        </w:rPr>
      </w:pPr>
      <w:bookmarkStart w:id="3" w:name="_ENREF_3"/>
      <w:r w:rsidRPr="00F273F4">
        <w:rPr>
          <w:noProof/>
        </w:rPr>
        <w:t>3.</w:t>
      </w:r>
      <w:r w:rsidRPr="00F273F4">
        <w:rPr>
          <w:noProof/>
        </w:rPr>
        <w:tab/>
      </w:r>
      <w:r w:rsidRPr="00D61978">
        <w:rPr>
          <w:noProof/>
        </w:rPr>
        <w:t xml:space="preserve">National </w:t>
      </w:r>
      <w:r w:rsidR="0056550D">
        <w:rPr>
          <w:noProof/>
        </w:rPr>
        <w:t>v</w:t>
      </w:r>
      <w:r w:rsidRPr="00D61978">
        <w:rPr>
          <w:noProof/>
        </w:rPr>
        <w:t xml:space="preserve">accine </w:t>
      </w:r>
      <w:r w:rsidR="0056550D">
        <w:rPr>
          <w:noProof/>
        </w:rPr>
        <w:t>s</w:t>
      </w:r>
      <w:r w:rsidRPr="00D61978">
        <w:rPr>
          <w:noProof/>
        </w:rPr>
        <w:t xml:space="preserve">torage </w:t>
      </w:r>
      <w:r w:rsidR="0056550D">
        <w:rPr>
          <w:noProof/>
        </w:rPr>
        <w:t>g</w:t>
      </w:r>
      <w:r w:rsidRPr="00D61978">
        <w:rPr>
          <w:noProof/>
        </w:rPr>
        <w:t>uidelines</w:t>
      </w:r>
      <w:r w:rsidR="0056550D">
        <w:rPr>
          <w:noProof/>
        </w:rPr>
        <w:t>:</w:t>
      </w:r>
      <w:r w:rsidRPr="00D61978">
        <w:rPr>
          <w:noProof/>
        </w:rPr>
        <w:t xml:space="preserve"> Strive for 5</w:t>
      </w:r>
      <w:r w:rsidRPr="0056550D">
        <w:rPr>
          <w:noProof/>
        </w:rPr>
        <w:t>.</w:t>
      </w:r>
      <w:r w:rsidRPr="00F273F4">
        <w:rPr>
          <w:noProof/>
        </w:rPr>
        <w:t xml:space="preserve"> 2nd ed. Canberra: </w:t>
      </w:r>
      <w:r w:rsidR="0056550D" w:rsidRPr="0056550D">
        <w:rPr>
          <w:noProof/>
        </w:rPr>
        <w:t>Australian Government Department of Health and Ageing</w:t>
      </w:r>
      <w:r w:rsidRPr="00F273F4">
        <w:rPr>
          <w:noProof/>
        </w:rPr>
        <w:t>; 2013.</w:t>
      </w:r>
      <w:bookmarkEnd w:id="3"/>
    </w:p>
    <w:p w:rsidR="00AA6003" w:rsidRPr="00F273F4" w:rsidRDefault="00AA6003" w:rsidP="00563B87">
      <w:pPr>
        <w:pStyle w:val="References"/>
        <w:rPr>
          <w:noProof/>
        </w:rPr>
      </w:pPr>
      <w:bookmarkStart w:id="4" w:name="_ENREF_4"/>
      <w:r w:rsidRPr="00F273F4">
        <w:rPr>
          <w:noProof/>
        </w:rPr>
        <w:t>4.</w:t>
      </w:r>
      <w:r w:rsidRPr="00F273F4">
        <w:rPr>
          <w:noProof/>
        </w:rPr>
        <w:tab/>
        <w:t xml:space="preserve">Vesikari T, Esposito S, Prymula R, et al. Immunogenicity and safety of an investigational multicomponent, recombinant, meningococcal serogroup B vaccine (4CMenB) administered concomitantly with routine infant and child vaccinations: results of two randomised trials. </w:t>
      </w:r>
      <w:r w:rsidRPr="00F273F4">
        <w:rPr>
          <w:i/>
          <w:noProof/>
        </w:rPr>
        <w:t>The Lancet</w:t>
      </w:r>
      <w:r w:rsidRPr="00F273F4">
        <w:rPr>
          <w:noProof/>
        </w:rPr>
        <w:t xml:space="preserve"> 2013;381:825-35.</w:t>
      </w:r>
      <w:bookmarkEnd w:id="4"/>
    </w:p>
    <w:p w:rsidR="00AA6003" w:rsidRPr="00F273F4" w:rsidRDefault="00AA6003" w:rsidP="00563B87">
      <w:pPr>
        <w:pStyle w:val="References"/>
        <w:rPr>
          <w:noProof/>
        </w:rPr>
      </w:pPr>
      <w:bookmarkStart w:id="5" w:name="_ENREF_5"/>
      <w:r w:rsidRPr="00F273F4">
        <w:rPr>
          <w:noProof/>
        </w:rPr>
        <w:t>5.</w:t>
      </w:r>
      <w:r w:rsidRPr="00F273F4">
        <w:rPr>
          <w:noProof/>
        </w:rPr>
        <w:tab/>
        <w:t>Gossger N, Snape M</w:t>
      </w:r>
      <w:r w:rsidR="0056550D">
        <w:rPr>
          <w:noProof/>
        </w:rPr>
        <w:t>D</w:t>
      </w:r>
      <w:r w:rsidRPr="00F273F4">
        <w:rPr>
          <w:noProof/>
        </w:rPr>
        <w:t>, Yu LM. Immunogenicity and tolerability of recom</w:t>
      </w:r>
      <w:r w:rsidR="0056550D">
        <w:rPr>
          <w:noProof/>
        </w:rPr>
        <w:t>b</w:t>
      </w:r>
      <w:r w:rsidRPr="00F273F4">
        <w:rPr>
          <w:noProof/>
        </w:rPr>
        <w:t xml:space="preserve">inant </w:t>
      </w:r>
      <w:r w:rsidR="0056550D" w:rsidRPr="00F273F4">
        <w:rPr>
          <w:noProof/>
        </w:rPr>
        <w:t xml:space="preserve">serogroup B </w:t>
      </w:r>
      <w:r w:rsidR="0056550D">
        <w:rPr>
          <w:noProof/>
        </w:rPr>
        <w:t>m</w:t>
      </w:r>
      <w:r w:rsidRPr="00F273F4">
        <w:rPr>
          <w:noProof/>
        </w:rPr>
        <w:t>eningococcal vaccine administered with or without routine infant vaccinations according to different immuni</w:t>
      </w:r>
      <w:r w:rsidR="0056550D">
        <w:rPr>
          <w:noProof/>
        </w:rPr>
        <w:t>z</w:t>
      </w:r>
      <w:r w:rsidRPr="00F273F4">
        <w:rPr>
          <w:noProof/>
        </w:rPr>
        <w:t>ation schedules: a randomi</w:t>
      </w:r>
      <w:r w:rsidR="0056550D">
        <w:rPr>
          <w:noProof/>
        </w:rPr>
        <w:t>z</w:t>
      </w:r>
      <w:r w:rsidRPr="00F273F4">
        <w:rPr>
          <w:noProof/>
        </w:rPr>
        <w:t xml:space="preserve">ed controlled trial </w:t>
      </w:r>
      <w:r w:rsidR="0056550D">
        <w:rPr>
          <w:noProof/>
        </w:rPr>
        <w:t>[</w:t>
      </w:r>
      <w:r w:rsidRPr="00F273F4">
        <w:rPr>
          <w:noProof/>
        </w:rPr>
        <w:t xml:space="preserve">supplementary </w:t>
      </w:r>
      <w:r w:rsidR="0056550D">
        <w:rPr>
          <w:noProof/>
        </w:rPr>
        <w:t xml:space="preserve">online </w:t>
      </w:r>
      <w:r w:rsidRPr="00F273F4">
        <w:rPr>
          <w:noProof/>
        </w:rPr>
        <w:t>content</w:t>
      </w:r>
      <w:r w:rsidR="0056550D">
        <w:rPr>
          <w:noProof/>
        </w:rPr>
        <w:t>]</w:t>
      </w:r>
      <w:r w:rsidRPr="00F273F4">
        <w:rPr>
          <w:noProof/>
        </w:rPr>
        <w:t xml:space="preserve">. </w:t>
      </w:r>
      <w:r w:rsidRPr="00F273F4">
        <w:rPr>
          <w:i/>
          <w:noProof/>
        </w:rPr>
        <w:t>J</w:t>
      </w:r>
      <w:r w:rsidR="009B1C33">
        <w:rPr>
          <w:i/>
          <w:noProof/>
        </w:rPr>
        <w:t>AMA</w:t>
      </w:r>
      <w:r w:rsidRPr="00F273F4">
        <w:rPr>
          <w:noProof/>
        </w:rPr>
        <w:t xml:space="preserve"> 2012;307</w:t>
      </w:r>
      <w:bookmarkEnd w:id="5"/>
      <w:r w:rsidR="009B1C33" w:rsidRPr="009B1C33">
        <w:rPr>
          <w:noProof/>
        </w:rPr>
        <w:t>:573-82</w:t>
      </w:r>
      <w:r w:rsidR="0056550D">
        <w:rPr>
          <w:noProof/>
        </w:rPr>
        <w:t>.</w:t>
      </w:r>
    </w:p>
    <w:p w:rsidR="00AA6003" w:rsidRPr="00F273F4" w:rsidRDefault="00AA6003" w:rsidP="00563B87">
      <w:pPr>
        <w:pStyle w:val="References"/>
        <w:rPr>
          <w:noProof/>
        </w:rPr>
      </w:pPr>
      <w:bookmarkStart w:id="6" w:name="_ENREF_6"/>
      <w:r w:rsidRPr="00F273F4">
        <w:rPr>
          <w:noProof/>
        </w:rPr>
        <w:t>6.</w:t>
      </w:r>
      <w:r w:rsidRPr="00F273F4">
        <w:rPr>
          <w:noProof/>
        </w:rPr>
        <w:tab/>
        <w:t xml:space="preserve">Prymula R, Esposito S, Kittel C, et al. Prophylactic paracetamol in infants decreases fever following concomitant administration of an investigational meningococcal serogroup </w:t>
      </w:r>
      <w:r w:rsidR="00EC2071">
        <w:rPr>
          <w:noProof/>
        </w:rPr>
        <w:t>B</w:t>
      </w:r>
      <w:r w:rsidRPr="00F273F4">
        <w:rPr>
          <w:noProof/>
        </w:rPr>
        <w:t xml:space="preserve"> vaccine with routine immunizations. Presented at: The 29th </w:t>
      </w:r>
      <w:r w:rsidR="00EC2071" w:rsidRPr="00F273F4">
        <w:rPr>
          <w:noProof/>
        </w:rPr>
        <w:t xml:space="preserve">Annual Meeting </w:t>
      </w:r>
      <w:r w:rsidR="00EC2071">
        <w:rPr>
          <w:noProof/>
        </w:rPr>
        <w:t xml:space="preserve">of the European Society for </w:t>
      </w:r>
      <w:r w:rsidRPr="00F273F4">
        <w:rPr>
          <w:noProof/>
        </w:rPr>
        <w:t>Paediatric Infectious Diseases (ESPID)</w:t>
      </w:r>
      <w:r w:rsidR="00EC2071">
        <w:rPr>
          <w:noProof/>
        </w:rPr>
        <w:t>;</w:t>
      </w:r>
      <w:r w:rsidRPr="00F273F4">
        <w:rPr>
          <w:noProof/>
        </w:rPr>
        <w:t xml:space="preserve"> May 2013; The Hague, Netherlands.</w:t>
      </w:r>
      <w:bookmarkEnd w:id="6"/>
    </w:p>
    <w:p w:rsidR="00AA6003" w:rsidRPr="00E81899" w:rsidRDefault="00AA6003" w:rsidP="00E81899">
      <w:pPr>
        <w:pStyle w:val="References"/>
        <w:rPr>
          <w:i/>
        </w:rPr>
      </w:pPr>
      <w:bookmarkStart w:id="7" w:name="_ENREF_7"/>
      <w:r w:rsidRPr="00F273F4">
        <w:rPr>
          <w:noProof/>
        </w:rPr>
        <w:t>7.</w:t>
      </w:r>
      <w:r w:rsidRPr="00F273F4">
        <w:rPr>
          <w:noProof/>
        </w:rPr>
        <w:tab/>
        <w:t xml:space="preserve">McIntosh D. </w:t>
      </w:r>
      <w:hyperlink r:id="rId11" w:history="1">
        <w:r w:rsidR="00E81899" w:rsidRPr="00442A6A">
          <w:rPr>
            <w:rStyle w:val="Hyperlink"/>
            <w:u w:val="none"/>
          </w:rPr>
          <w:t>Meningococcal serogroup B vaccine (Bexsero</w:t>
        </w:r>
        <w:r w:rsidR="00E81899" w:rsidRPr="00442A6A">
          <w:rPr>
            <w:rStyle w:val="Hyperlink"/>
            <w:noProof/>
            <w:u w:val="none"/>
            <w:vertAlign w:val="superscript"/>
          </w:rPr>
          <w:t>®</w:t>
        </w:r>
        <w:r w:rsidR="00E81899" w:rsidRPr="00442A6A">
          <w:rPr>
            <w:rStyle w:val="Hyperlink"/>
            <w:u w:val="none"/>
          </w:rPr>
          <w:t>)</w:t>
        </w:r>
      </w:hyperlink>
      <w:r w:rsidRPr="00F273F4">
        <w:rPr>
          <w:noProof/>
        </w:rPr>
        <w:t xml:space="preserve">. </w:t>
      </w:r>
      <w:r w:rsidR="00401507">
        <w:rPr>
          <w:noProof/>
        </w:rPr>
        <w:t xml:space="preserve">Presented at: </w:t>
      </w:r>
      <w:r w:rsidR="00EC2071">
        <w:rPr>
          <w:noProof/>
        </w:rPr>
        <w:t xml:space="preserve">2013 </w:t>
      </w:r>
      <w:r w:rsidRPr="00F273F4">
        <w:rPr>
          <w:noProof/>
        </w:rPr>
        <w:t>Vaccine Preventable Diseases Conference</w:t>
      </w:r>
      <w:r w:rsidR="00EC2071">
        <w:rPr>
          <w:noProof/>
        </w:rPr>
        <w:t>;</w:t>
      </w:r>
      <w:r w:rsidRPr="00F273F4">
        <w:rPr>
          <w:noProof/>
        </w:rPr>
        <w:t xml:space="preserve"> </w:t>
      </w:r>
      <w:r w:rsidR="00401507" w:rsidRPr="00F273F4">
        <w:rPr>
          <w:noProof/>
        </w:rPr>
        <w:t>April 2013</w:t>
      </w:r>
      <w:r w:rsidR="00401507">
        <w:rPr>
          <w:noProof/>
        </w:rPr>
        <w:t xml:space="preserve">; </w:t>
      </w:r>
      <w:r w:rsidRPr="00F273F4">
        <w:rPr>
          <w:noProof/>
        </w:rPr>
        <w:t>Dublin, Ireland.</w:t>
      </w:r>
      <w:bookmarkEnd w:id="7"/>
      <w:r w:rsidR="00401507">
        <w:rPr>
          <w:noProof/>
        </w:rPr>
        <w:t xml:space="preserve"> </w:t>
      </w:r>
      <w:r w:rsidR="00EC2071">
        <w:rPr>
          <w:noProof/>
        </w:rPr>
        <w:t xml:space="preserve">Available at: </w:t>
      </w:r>
      <w:r w:rsidR="00882E13" w:rsidRPr="00882E13">
        <w:t>www.immunisation.ie/en/Conferences/2013VPDConference/PDFFile_17228_en.pdf</w:t>
      </w:r>
      <w:r w:rsidR="00401507">
        <w:rPr>
          <w:noProof/>
        </w:rPr>
        <w:t xml:space="preserve"> </w:t>
      </w:r>
      <w:r w:rsidR="00EC2071">
        <w:rPr>
          <w:noProof/>
        </w:rPr>
        <w:t>(a</w:t>
      </w:r>
      <w:r w:rsidR="00401507">
        <w:rPr>
          <w:noProof/>
        </w:rPr>
        <w:t>ccessed Nov 2013</w:t>
      </w:r>
      <w:r w:rsidR="00EC2071">
        <w:rPr>
          <w:noProof/>
        </w:rPr>
        <w:t>)</w:t>
      </w:r>
      <w:r w:rsidR="00401507">
        <w:rPr>
          <w:noProof/>
        </w:rPr>
        <w:t xml:space="preserve">. </w:t>
      </w:r>
    </w:p>
    <w:p w:rsidR="0056550D" w:rsidRDefault="00AA6003" w:rsidP="00563B87">
      <w:pPr>
        <w:pStyle w:val="References"/>
      </w:pPr>
      <w:bookmarkStart w:id="8" w:name="_ENREF_8"/>
      <w:r w:rsidRPr="00F273F4">
        <w:rPr>
          <w:noProof/>
        </w:rPr>
        <w:t>8.</w:t>
      </w:r>
      <w:r w:rsidRPr="00F273F4">
        <w:rPr>
          <w:noProof/>
        </w:rPr>
        <w:tab/>
        <w:t>Santolaya M</w:t>
      </w:r>
      <w:r w:rsidR="00EC2071">
        <w:rPr>
          <w:noProof/>
        </w:rPr>
        <w:t>E</w:t>
      </w:r>
      <w:r w:rsidRPr="00F273F4">
        <w:rPr>
          <w:noProof/>
        </w:rPr>
        <w:t>, O'Ryan M</w:t>
      </w:r>
      <w:r w:rsidR="00EC2071">
        <w:rPr>
          <w:noProof/>
        </w:rPr>
        <w:t>L</w:t>
      </w:r>
      <w:r w:rsidRPr="00F273F4">
        <w:rPr>
          <w:noProof/>
        </w:rPr>
        <w:t>, Valenzuela MT, et al. Immunogenicity and tolerability of a multicomponent meningococcal serogroup B (4CMenB) vaccine in healthy adolescents in Chile: a phase 2b/3 randomised, oberver</w:t>
      </w:r>
      <w:r w:rsidR="00EC2071">
        <w:rPr>
          <w:noProof/>
        </w:rPr>
        <w:t>-</w:t>
      </w:r>
      <w:r w:rsidRPr="00F273F4">
        <w:rPr>
          <w:noProof/>
        </w:rPr>
        <w:t>blin</w:t>
      </w:r>
      <w:r w:rsidR="000F02E1">
        <w:rPr>
          <w:noProof/>
        </w:rPr>
        <w:t>d</w:t>
      </w:r>
      <w:r w:rsidRPr="00F273F4">
        <w:rPr>
          <w:noProof/>
        </w:rPr>
        <w:t>, placebo</w:t>
      </w:r>
      <w:r w:rsidR="00EC2071">
        <w:rPr>
          <w:noProof/>
        </w:rPr>
        <w:t>-</w:t>
      </w:r>
      <w:r w:rsidRPr="00F273F4">
        <w:rPr>
          <w:noProof/>
        </w:rPr>
        <w:t xml:space="preserve">controlled study. </w:t>
      </w:r>
      <w:r w:rsidR="00EC2071" w:rsidRPr="00D61978">
        <w:rPr>
          <w:i/>
          <w:noProof/>
        </w:rPr>
        <w:t xml:space="preserve">The </w:t>
      </w:r>
      <w:r w:rsidRPr="00F273F4">
        <w:rPr>
          <w:i/>
          <w:noProof/>
        </w:rPr>
        <w:t>Lancet</w:t>
      </w:r>
      <w:r w:rsidRPr="00F273F4">
        <w:rPr>
          <w:noProof/>
        </w:rPr>
        <w:t xml:space="preserve"> 2012</w:t>
      </w:r>
      <w:r w:rsidR="009B1C33">
        <w:rPr>
          <w:noProof/>
        </w:rPr>
        <w:t>;</w:t>
      </w:r>
      <w:r w:rsidR="009B1C33" w:rsidRPr="009B1C33">
        <w:rPr>
          <w:noProof/>
        </w:rPr>
        <w:t>379:617-24</w:t>
      </w:r>
      <w:r w:rsidRPr="00F273F4">
        <w:rPr>
          <w:noProof/>
        </w:rPr>
        <w:t>.</w:t>
      </w:r>
      <w:bookmarkEnd w:id="8"/>
      <w:r w:rsidR="002B2846" w:rsidRPr="005D22F2">
        <w:fldChar w:fldCharType="end"/>
      </w:r>
    </w:p>
    <w:sectPr w:rsidR="0056550D" w:rsidSect="002D2F4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134" w:left="1440" w:header="708"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0E4" w:rsidRDefault="009760E4" w:rsidP="00742516">
      <w:r>
        <w:separator/>
      </w:r>
    </w:p>
    <w:p w:rsidR="009760E4" w:rsidRDefault="009760E4"/>
    <w:p w:rsidR="009760E4" w:rsidRDefault="009760E4" w:rsidP="00814B39"/>
    <w:p w:rsidR="009760E4" w:rsidRDefault="009760E4"/>
    <w:p w:rsidR="009760E4" w:rsidRDefault="009760E4" w:rsidP="00CF1C59"/>
    <w:p w:rsidR="009760E4" w:rsidRDefault="009760E4" w:rsidP="00646D98"/>
    <w:p w:rsidR="009760E4" w:rsidRDefault="009760E4"/>
    <w:p w:rsidR="009760E4" w:rsidRDefault="009760E4" w:rsidP="000D757B"/>
    <w:p w:rsidR="009760E4" w:rsidRDefault="009760E4"/>
    <w:p w:rsidR="009760E4" w:rsidRDefault="009760E4" w:rsidP="003B7CE9"/>
    <w:p w:rsidR="009760E4" w:rsidRDefault="009760E4"/>
    <w:p w:rsidR="009760E4" w:rsidRDefault="009760E4" w:rsidP="003C53EE"/>
    <w:p w:rsidR="009760E4" w:rsidRDefault="009760E4" w:rsidP="00C755CA"/>
  </w:endnote>
  <w:endnote w:type="continuationSeparator" w:id="0">
    <w:p w:rsidR="009760E4" w:rsidRDefault="009760E4" w:rsidP="00742516">
      <w:r>
        <w:continuationSeparator/>
      </w:r>
    </w:p>
    <w:p w:rsidR="009760E4" w:rsidRDefault="009760E4"/>
    <w:p w:rsidR="009760E4" w:rsidRDefault="009760E4" w:rsidP="00814B39"/>
    <w:p w:rsidR="009760E4" w:rsidRDefault="009760E4"/>
    <w:p w:rsidR="009760E4" w:rsidRDefault="009760E4" w:rsidP="00CF1C59"/>
    <w:p w:rsidR="009760E4" w:rsidRDefault="009760E4" w:rsidP="00646D98"/>
    <w:p w:rsidR="009760E4" w:rsidRDefault="009760E4"/>
    <w:p w:rsidR="009760E4" w:rsidRDefault="009760E4" w:rsidP="000D757B"/>
    <w:p w:rsidR="009760E4" w:rsidRDefault="009760E4"/>
    <w:p w:rsidR="009760E4" w:rsidRDefault="009760E4" w:rsidP="003B7CE9"/>
    <w:p w:rsidR="009760E4" w:rsidRDefault="009760E4"/>
    <w:p w:rsidR="009760E4" w:rsidRDefault="009760E4" w:rsidP="003C53EE"/>
    <w:p w:rsidR="009760E4" w:rsidRDefault="009760E4" w:rsidP="00C75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F2" w:rsidRDefault="003D38F2" w:rsidP="00882E13">
    <w:pPr>
      <w:pStyle w:val="Footer"/>
      <w:ind w:left="2880"/>
    </w:pPr>
  </w:p>
  <w:p w:rsidR="003D38F2" w:rsidRDefault="003D38F2" w:rsidP="00882E13">
    <w:pPr>
      <w:ind w:left="2880"/>
    </w:pPr>
  </w:p>
  <w:p w:rsidR="003D38F2" w:rsidRDefault="003D38F2" w:rsidP="00882E13">
    <w:pPr>
      <w:ind w:left="2880"/>
    </w:pPr>
  </w:p>
  <w:p w:rsidR="003D38F2" w:rsidRDefault="003D38F2" w:rsidP="00882E13">
    <w:pPr>
      <w:ind w:left="2880"/>
    </w:pPr>
  </w:p>
  <w:p w:rsidR="003D38F2" w:rsidRDefault="003D38F2" w:rsidP="00882E13">
    <w:pPr>
      <w:ind w:left="2880"/>
    </w:pPr>
  </w:p>
  <w:p w:rsidR="003D38F2" w:rsidRDefault="003D38F2" w:rsidP="00882E13">
    <w:pPr>
      <w:ind w:left="2880"/>
    </w:pPr>
  </w:p>
  <w:p w:rsidR="003D38F2" w:rsidRDefault="003D38F2" w:rsidP="00882E13">
    <w:pPr>
      <w:ind w:left="2880"/>
    </w:pPr>
  </w:p>
  <w:p w:rsidR="003D38F2" w:rsidRDefault="003D38F2" w:rsidP="00882E13">
    <w:pPr>
      <w:ind w:left="2880"/>
    </w:pPr>
  </w:p>
  <w:p w:rsidR="003D38F2" w:rsidRDefault="003D38F2" w:rsidP="00882E13">
    <w:pPr>
      <w:ind w:left="2880"/>
    </w:pPr>
  </w:p>
  <w:p w:rsidR="003D38F2" w:rsidRDefault="003D38F2" w:rsidP="00882E13">
    <w:pPr>
      <w:ind w:left="2880"/>
    </w:pPr>
  </w:p>
  <w:p w:rsidR="003D38F2" w:rsidRDefault="003D38F2" w:rsidP="00882E13">
    <w:pPr>
      <w:ind w:left="2880"/>
    </w:pPr>
  </w:p>
  <w:p w:rsidR="003D38F2" w:rsidRDefault="003D38F2" w:rsidP="00882E13">
    <w:pPr>
      <w:ind w:left="2160"/>
    </w:pPr>
  </w:p>
  <w:p w:rsidR="003D38F2" w:rsidRDefault="003D38F2" w:rsidP="00882E13">
    <w:pPr>
      <w:ind w:left="1440"/>
    </w:pPr>
  </w:p>
  <w:p w:rsidR="003D38F2" w:rsidRDefault="003D38F2" w:rsidP="00882E13">
    <w:pPr>
      <w:ind w:left="720"/>
    </w:pPr>
  </w:p>
  <w:p w:rsidR="003D38F2" w:rsidRDefault="003D38F2" w:rsidP="003C53EE"/>
  <w:p w:rsidR="003D38F2" w:rsidRDefault="003D38F2" w:rsidP="00C755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F2" w:rsidRPr="002D67B7" w:rsidRDefault="0018672A" w:rsidP="00EA68F3">
    <w:pPr>
      <w:pStyle w:val="Footer"/>
      <w:jc w:val="center"/>
    </w:pPr>
    <w:sdt>
      <w:sdtPr>
        <w:id w:val="-833599755"/>
        <w:docPartObj>
          <w:docPartGallery w:val="Page Numbers (Bottom of Page)"/>
          <w:docPartUnique/>
        </w:docPartObj>
      </w:sdtPr>
      <w:sdtEndPr/>
      <w:sdtContent>
        <w:sdt>
          <w:sdtPr>
            <w:id w:val="1859766819"/>
            <w:docPartObj>
              <w:docPartGallery w:val="Page Numbers (Top of Page)"/>
              <w:docPartUnique/>
            </w:docPartObj>
          </w:sdtPr>
          <w:sdtEndPr/>
          <w:sdtContent>
            <w:r w:rsidR="003D38F2" w:rsidRPr="002D67B7">
              <w:t xml:space="preserve">Page </w:t>
            </w:r>
            <w:r w:rsidR="003D38F2" w:rsidRPr="002D67B7">
              <w:rPr>
                <w:b/>
                <w:bCs/>
              </w:rPr>
              <w:fldChar w:fldCharType="begin"/>
            </w:r>
            <w:r w:rsidR="003D38F2" w:rsidRPr="002D67B7">
              <w:rPr>
                <w:b/>
                <w:bCs/>
              </w:rPr>
              <w:instrText xml:space="preserve"> PAGE </w:instrText>
            </w:r>
            <w:r w:rsidR="003D38F2" w:rsidRPr="002D67B7">
              <w:rPr>
                <w:b/>
                <w:bCs/>
              </w:rPr>
              <w:fldChar w:fldCharType="separate"/>
            </w:r>
            <w:r>
              <w:rPr>
                <w:b/>
                <w:bCs/>
                <w:noProof/>
              </w:rPr>
              <w:t>2</w:t>
            </w:r>
            <w:r w:rsidR="003D38F2" w:rsidRPr="002D67B7">
              <w:fldChar w:fldCharType="end"/>
            </w:r>
            <w:r w:rsidR="003D38F2" w:rsidRPr="002D67B7">
              <w:t xml:space="preserve"> of </w:t>
            </w:r>
            <w:r w:rsidR="003D38F2" w:rsidRPr="002D67B7">
              <w:rPr>
                <w:b/>
                <w:bCs/>
              </w:rPr>
              <w:fldChar w:fldCharType="begin"/>
            </w:r>
            <w:r w:rsidR="003D38F2" w:rsidRPr="002D67B7">
              <w:rPr>
                <w:b/>
                <w:bCs/>
              </w:rPr>
              <w:instrText xml:space="preserve"> NUMPAGES  </w:instrText>
            </w:r>
            <w:r w:rsidR="003D38F2" w:rsidRPr="002D67B7">
              <w:rPr>
                <w:b/>
                <w:bCs/>
              </w:rPr>
              <w:fldChar w:fldCharType="separate"/>
            </w:r>
            <w:r>
              <w:rPr>
                <w:b/>
                <w:bCs/>
                <w:noProof/>
              </w:rPr>
              <w:t>8</w:t>
            </w:r>
            <w:r w:rsidR="003D38F2" w:rsidRPr="002D67B7">
              <w:fldChar w:fldCharType="end"/>
            </w:r>
          </w:sdtContent>
        </w:sdt>
      </w:sdtContent>
    </w:sdt>
  </w:p>
  <w:p w:rsidR="003D38F2" w:rsidRDefault="002D6C64" w:rsidP="002D6C64">
    <w:pPr>
      <w:pStyle w:val="Footer"/>
      <w:jc w:val="right"/>
    </w:pPr>
    <w:r w:rsidRPr="00D75EC5">
      <w:t xml:space="preserve">Endorsed </w:t>
    </w:r>
    <w:r>
      <w:t>February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F2" w:rsidRDefault="0018672A" w:rsidP="008E1F44">
    <w:pPr>
      <w:pStyle w:val="Footer"/>
      <w:jc w:val="center"/>
    </w:pPr>
    <w:sdt>
      <w:sdtPr>
        <w:id w:val="378288138"/>
        <w:docPartObj>
          <w:docPartGallery w:val="Page Numbers (Bottom of Page)"/>
          <w:docPartUnique/>
        </w:docPartObj>
      </w:sdtPr>
      <w:sdtEndPr/>
      <w:sdtContent>
        <w:sdt>
          <w:sdtPr>
            <w:id w:val="522441677"/>
            <w:docPartObj>
              <w:docPartGallery w:val="Page Numbers (Top of Page)"/>
              <w:docPartUnique/>
            </w:docPartObj>
          </w:sdtPr>
          <w:sdtEndPr/>
          <w:sdtContent>
            <w:r w:rsidR="003D38F2" w:rsidRPr="00FE2A35">
              <w:t xml:space="preserve">Page </w:t>
            </w:r>
            <w:r w:rsidR="003D38F2" w:rsidRPr="00FE2A35">
              <w:rPr>
                <w:b/>
                <w:bCs/>
              </w:rPr>
              <w:fldChar w:fldCharType="begin"/>
            </w:r>
            <w:r w:rsidR="003D38F2" w:rsidRPr="00FE2A35">
              <w:rPr>
                <w:b/>
                <w:bCs/>
              </w:rPr>
              <w:instrText xml:space="preserve"> PAGE </w:instrText>
            </w:r>
            <w:r w:rsidR="003D38F2" w:rsidRPr="00FE2A35">
              <w:rPr>
                <w:b/>
                <w:bCs/>
              </w:rPr>
              <w:fldChar w:fldCharType="separate"/>
            </w:r>
            <w:r>
              <w:rPr>
                <w:b/>
                <w:bCs/>
                <w:noProof/>
              </w:rPr>
              <w:t>1</w:t>
            </w:r>
            <w:r w:rsidR="003D38F2" w:rsidRPr="00FE2A35">
              <w:fldChar w:fldCharType="end"/>
            </w:r>
            <w:r w:rsidR="003D38F2" w:rsidRPr="00FE2A35">
              <w:t xml:space="preserve"> of </w:t>
            </w:r>
            <w:r w:rsidR="003D38F2" w:rsidRPr="00FE2A35">
              <w:rPr>
                <w:b/>
                <w:bCs/>
              </w:rPr>
              <w:fldChar w:fldCharType="begin"/>
            </w:r>
            <w:r w:rsidR="003D38F2" w:rsidRPr="00FE2A35">
              <w:rPr>
                <w:b/>
                <w:bCs/>
              </w:rPr>
              <w:instrText xml:space="preserve"> NUMPAGES  </w:instrText>
            </w:r>
            <w:r w:rsidR="003D38F2" w:rsidRPr="00FE2A35">
              <w:rPr>
                <w:b/>
                <w:bCs/>
              </w:rPr>
              <w:fldChar w:fldCharType="separate"/>
            </w:r>
            <w:r>
              <w:rPr>
                <w:b/>
                <w:bCs/>
                <w:noProof/>
              </w:rPr>
              <w:t>8</w:t>
            </w:r>
            <w:r w:rsidR="003D38F2" w:rsidRPr="00FE2A35">
              <w:fldChar w:fldCharType="end"/>
            </w:r>
          </w:sdtContent>
        </w:sdt>
      </w:sdtContent>
    </w:sdt>
  </w:p>
  <w:p w:rsidR="003D38F2" w:rsidRDefault="003D38F2" w:rsidP="008E1F44">
    <w:pPr>
      <w:pStyle w:val="Footer"/>
      <w:jc w:val="right"/>
    </w:pPr>
    <w:r w:rsidRPr="00D75EC5">
      <w:t xml:space="preserve">Endorsed </w:t>
    </w:r>
    <w:r w:rsidR="006A6524">
      <w:t>February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0E4" w:rsidRDefault="009760E4" w:rsidP="00742516">
      <w:r>
        <w:separator/>
      </w:r>
    </w:p>
    <w:p w:rsidR="009760E4" w:rsidRDefault="009760E4"/>
    <w:p w:rsidR="009760E4" w:rsidRDefault="009760E4" w:rsidP="00814B39"/>
    <w:p w:rsidR="009760E4" w:rsidRDefault="009760E4"/>
    <w:p w:rsidR="009760E4" w:rsidRDefault="009760E4" w:rsidP="00CF1C59"/>
    <w:p w:rsidR="009760E4" w:rsidRDefault="009760E4" w:rsidP="00646D98"/>
    <w:p w:rsidR="009760E4" w:rsidRDefault="009760E4"/>
    <w:p w:rsidR="009760E4" w:rsidRDefault="009760E4" w:rsidP="000D757B"/>
    <w:p w:rsidR="009760E4" w:rsidRDefault="009760E4"/>
    <w:p w:rsidR="009760E4" w:rsidRDefault="009760E4" w:rsidP="003B7CE9"/>
    <w:p w:rsidR="009760E4" w:rsidRDefault="009760E4"/>
    <w:p w:rsidR="009760E4" w:rsidRDefault="009760E4" w:rsidP="003C53EE"/>
    <w:p w:rsidR="009760E4" w:rsidRDefault="009760E4" w:rsidP="00C755CA"/>
  </w:footnote>
  <w:footnote w:type="continuationSeparator" w:id="0">
    <w:p w:rsidR="009760E4" w:rsidRDefault="009760E4" w:rsidP="003C53EE">
      <w:r>
        <w:continuationSeparator/>
      </w:r>
    </w:p>
    <w:p w:rsidR="009760E4" w:rsidRDefault="009760E4" w:rsidP="00C755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F2" w:rsidRDefault="003D38F2">
    <w:pPr>
      <w:pStyle w:val="Header"/>
    </w:pPr>
  </w:p>
  <w:p w:rsidR="003D38F2" w:rsidRDefault="003D38F2"/>
  <w:p w:rsidR="003D38F2" w:rsidRDefault="003D38F2"/>
  <w:p w:rsidR="003D38F2" w:rsidRDefault="003D38F2" w:rsidP="000D757B"/>
  <w:p w:rsidR="003D38F2" w:rsidRDefault="003D38F2"/>
  <w:p w:rsidR="003D38F2" w:rsidRDefault="003D38F2" w:rsidP="003B7CE9"/>
  <w:p w:rsidR="003D38F2" w:rsidRDefault="003D38F2"/>
  <w:p w:rsidR="003D38F2" w:rsidRDefault="003D38F2" w:rsidP="003C53EE"/>
  <w:p w:rsidR="003D38F2" w:rsidRDefault="003D38F2" w:rsidP="00C755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2A" w:rsidRDefault="001867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F2" w:rsidRDefault="003D38F2" w:rsidP="00E81899">
    <w:pPr>
      <w:pStyle w:val="Header"/>
      <w:jc w:val="center"/>
    </w:pPr>
    <w:r>
      <w:rPr>
        <w:noProof/>
      </w:rPr>
      <w:drawing>
        <wp:inline distT="0" distB="0" distL="0" distR="0" wp14:anchorId="13B182CC" wp14:editId="1BF395B1">
          <wp:extent cx="1630800" cy="1080000"/>
          <wp:effectExtent l="0" t="0" r="7620" b="6350"/>
          <wp:docPr id="1" name="Picture 1" descr="DH_stacke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0800" cy="1080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614"/>
    <w:multiLevelType w:val="hybridMultilevel"/>
    <w:tmpl w:val="601215F0"/>
    <w:lvl w:ilvl="0" w:tplc="3460D556">
      <w:start w:val="1"/>
      <w:numFmt w:val="bullet"/>
      <w:pStyle w:val="Summaryboxbullet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E05AFB"/>
    <w:multiLevelType w:val="hybridMultilevel"/>
    <w:tmpl w:val="34669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007DD3"/>
    <w:multiLevelType w:val="multilevel"/>
    <w:tmpl w:val="41ACBA0E"/>
    <w:styleLink w:val="WPReportTemplate"/>
    <w:lvl w:ilvl="0">
      <w:start w:val="1"/>
      <w:numFmt w:val="decimal"/>
      <w:lvlText w:val="%1."/>
      <w:lvlJc w:val="left"/>
      <w:pPr>
        <w:ind w:left="1516" w:hanging="360"/>
      </w:pPr>
      <w:rPr>
        <w:rFonts w:ascii="Arial" w:hAnsi="Arial" w:hint="default"/>
        <w:b/>
        <w:color w:val="0099CC"/>
        <w:sz w:val="28"/>
      </w:rPr>
    </w:lvl>
    <w:lvl w:ilvl="1">
      <w:start w:val="1"/>
      <w:numFmt w:val="decimal"/>
      <w:lvlRestart w:val="0"/>
      <w:lvlText w:val="%1.%2."/>
      <w:lvlJc w:val="left"/>
      <w:pPr>
        <w:ind w:left="1440" w:hanging="360"/>
      </w:pPr>
      <w:rPr>
        <w:rFonts w:ascii="Arial" w:hAnsi="Arial" w:hint="default"/>
        <w:b/>
        <w:color w:val="0099CC"/>
        <w:sz w:val="24"/>
      </w:rPr>
    </w:lvl>
    <w:lvl w:ilvl="2">
      <w:start w:val="1"/>
      <w:numFmt w:val="decimal"/>
      <w:lvlRestart w:val="0"/>
      <w:lvlText w:val="%3.1.1"/>
      <w:lvlJc w:val="right"/>
      <w:pPr>
        <w:ind w:left="1772" w:hanging="180"/>
      </w:pPr>
      <w:rPr>
        <w:rFonts w:ascii="Arial" w:hAnsi="Arial" w:hint="default"/>
        <w:b/>
        <w:i w:val="0"/>
        <w:color w:val="0099CC"/>
        <w:sz w:val="22"/>
      </w:rPr>
    </w:lvl>
    <w:lvl w:ilvl="3">
      <w:start w:val="1"/>
      <w:numFmt w:val="decimal"/>
      <w:lvlText w:val="%4."/>
      <w:lvlJc w:val="left"/>
      <w:pPr>
        <w:ind w:left="3676" w:hanging="360"/>
      </w:pPr>
      <w:rPr>
        <w:rFonts w:hint="default"/>
      </w:rPr>
    </w:lvl>
    <w:lvl w:ilvl="4">
      <w:start w:val="1"/>
      <w:numFmt w:val="lowerLetter"/>
      <w:lvlText w:val="%5."/>
      <w:lvlJc w:val="left"/>
      <w:pPr>
        <w:ind w:left="4396" w:hanging="360"/>
      </w:pPr>
      <w:rPr>
        <w:rFonts w:hint="default"/>
      </w:rPr>
    </w:lvl>
    <w:lvl w:ilvl="5">
      <w:start w:val="1"/>
      <w:numFmt w:val="lowerRoman"/>
      <w:lvlText w:val="%6."/>
      <w:lvlJc w:val="right"/>
      <w:pPr>
        <w:ind w:left="5116" w:hanging="180"/>
      </w:pPr>
      <w:rPr>
        <w:rFonts w:hint="default"/>
      </w:rPr>
    </w:lvl>
    <w:lvl w:ilvl="6">
      <w:start w:val="1"/>
      <w:numFmt w:val="decimal"/>
      <w:lvlText w:val="%7."/>
      <w:lvlJc w:val="left"/>
      <w:pPr>
        <w:ind w:left="5836" w:hanging="360"/>
      </w:pPr>
      <w:rPr>
        <w:rFonts w:hint="default"/>
      </w:rPr>
    </w:lvl>
    <w:lvl w:ilvl="7">
      <w:start w:val="1"/>
      <w:numFmt w:val="lowerLetter"/>
      <w:lvlText w:val="%8."/>
      <w:lvlJc w:val="left"/>
      <w:pPr>
        <w:ind w:left="6556" w:hanging="360"/>
      </w:pPr>
      <w:rPr>
        <w:rFonts w:hint="default"/>
      </w:rPr>
    </w:lvl>
    <w:lvl w:ilvl="8">
      <w:start w:val="1"/>
      <w:numFmt w:val="lowerRoman"/>
      <w:lvlText w:val="%9."/>
      <w:lvlJc w:val="right"/>
      <w:pPr>
        <w:ind w:left="7276" w:hanging="180"/>
      </w:pPr>
      <w:rPr>
        <w:rFonts w:hint="default"/>
      </w:rPr>
    </w:lvl>
  </w:abstractNum>
  <w:abstractNum w:abstractNumId="3">
    <w:nsid w:val="20E41427"/>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59B56D3"/>
    <w:multiLevelType w:val="hybridMultilevel"/>
    <w:tmpl w:val="5F384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FD1D91"/>
    <w:multiLevelType w:val="multilevel"/>
    <w:tmpl w:val="57CCA226"/>
    <w:styleLink w:val="Style12"/>
    <w:lvl w:ilvl="0">
      <w:start w:val="1"/>
      <w:numFmt w:val="decimal"/>
      <w:lvlText w:val="%1"/>
      <w:lvlJc w:val="left"/>
      <w:pPr>
        <w:tabs>
          <w:tab w:val="num" w:pos="3698"/>
        </w:tabs>
        <w:ind w:left="3718" w:hanging="360"/>
      </w:pPr>
      <w:rPr>
        <w:rFonts w:ascii="Arial" w:hAnsi="Arial" w:hint="default"/>
        <w:b/>
        <w:i w:val="0"/>
        <w:sz w:val="24"/>
        <w:szCs w:val="24"/>
      </w:rPr>
    </w:lvl>
    <w:lvl w:ilvl="1">
      <w:start w:val="1"/>
      <w:numFmt w:val="decimal"/>
      <w:lvlText w:val="%1.%2"/>
      <w:lvlJc w:val="left"/>
      <w:pPr>
        <w:tabs>
          <w:tab w:val="num" w:pos="1142"/>
        </w:tabs>
        <w:ind w:left="1142" w:hanging="432"/>
      </w:pPr>
      <w:rPr>
        <w:rFonts w:ascii="Arial" w:hAnsi="Arial" w:hint="default"/>
        <w:b/>
        <w:i w:val="0"/>
        <w:sz w:val="24"/>
        <w:szCs w:val="24"/>
      </w:rPr>
    </w:lvl>
    <w:lvl w:ilvl="2">
      <w:start w:val="1"/>
      <w:numFmt w:val="decimal"/>
      <w:lvlText w:val="%1.%2.%3"/>
      <w:lvlJc w:val="left"/>
      <w:pPr>
        <w:tabs>
          <w:tab w:val="num" w:pos="1430"/>
        </w:tabs>
        <w:ind w:left="1214" w:hanging="504"/>
      </w:pPr>
      <w:rPr>
        <w:rFonts w:hint="default"/>
        <w:b/>
      </w:rPr>
    </w:lvl>
    <w:lvl w:ilvl="3">
      <w:start w:val="1"/>
      <w:numFmt w:val="decimal"/>
      <w:lvlText w:val="%1.%2.%3.%4"/>
      <w:lvlJc w:val="left"/>
      <w:pPr>
        <w:tabs>
          <w:tab w:val="num" w:pos="5475"/>
        </w:tabs>
        <w:ind w:left="5043" w:hanging="648"/>
      </w:pPr>
      <w:rPr>
        <w:rFonts w:hint="default"/>
      </w:rPr>
    </w:lvl>
    <w:lvl w:ilvl="4">
      <w:start w:val="1"/>
      <w:numFmt w:val="decimal"/>
      <w:suff w:val="space"/>
      <w:lvlText w:val="%1.%2.%3.%4.%5"/>
      <w:lvlJc w:val="left"/>
      <w:pPr>
        <w:ind w:left="4798" w:firstLine="0"/>
      </w:pPr>
      <w:rPr>
        <w:rFonts w:hint="default"/>
      </w:rPr>
    </w:lvl>
    <w:lvl w:ilvl="5">
      <w:start w:val="1"/>
      <w:numFmt w:val="decimal"/>
      <w:lvlText w:val="%1.%2.%3.%4.%5.%6."/>
      <w:lvlJc w:val="left"/>
      <w:pPr>
        <w:tabs>
          <w:tab w:val="num" w:pos="6598"/>
        </w:tabs>
        <w:ind w:left="6094" w:hanging="936"/>
      </w:pPr>
      <w:rPr>
        <w:rFonts w:hint="default"/>
      </w:rPr>
    </w:lvl>
    <w:lvl w:ilvl="6">
      <w:start w:val="1"/>
      <w:numFmt w:val="decimal"/>
      <w:lvlText w:val="%1.%2.%3.%4.%5.%6.%7."/>
      <w:lvlJc w:val="left"/>
      <w:pPr>
        <w:tabs>
          <w:tab w:val="num" w:pos="6958"/>
        </w:tabs>
        <w:ind w:left="6598" w:hanging="1080"/>
      </w:pPr>
      <w:rPr>
        <w:rFonts w:hint="default"/>
      </w:rPr>
    </w:lvl>
    <w:lvl w:ilvl="7">
      <w:start w:val="1"/>
      <w:numFmt w:val="decimal"/>
      <w:lvlText w:val="%1.%2.%3.%4.%5.%6.%7.%8."/>
      <w:lvlJc w:val="left"/>
      <w:pPr>
        <w:tabs>
          <w:tab w:val="num" w:pos="7678"/>
        </w:tabs>
        <w:ind w:left="7102" w:hanging="1224"/>
      </w:pPr>
      <w:rPr>
        <w:rFonts w:hint="default"/>
      </w:rPr>
    </w:lvl>
    <w:lvl w:ilvl="8">
      <w:start w:val="1"/>
      <w:numFmt w:val="decimal"/>
      <w:lvlText w:val="%1.%2.%3.%4.%5.%6.%7.%8.%9."/>
      <w:lvlJc w:val="left"/>
      <w:pPr>
        <w:tabs>
          <w:tab w:val="num" w:pos="8038"/>
        </w:tabs>
        <w:ind w:left="7678" w:hanging="1440"/>
      </w:pPr>
      <w:rPr>
        <w:rFonts w:hint="default"/>
      </w:rPr>
    </w:lvl>
  </w:abstractNum>
  <w:abstractNum w:abstractNumId="6">
    <w:nsid w:val="31413DCB"/>
    <w:multiLevelType w:val="multilevel"/>
    <w:tmpl w:val="3CDC5276"/>
    <w:styleLink w:val="111ATAGIWPreportheading3"/>
    <w:lvl w:ilvl="0">
      <w:start w:val="1"/>
      <w:numFmt w:val="decimal"/>
      <w:lvlText w:val="%1"/>
      <w:lvlJc w:val="left"/>
      <w:pPr>
        <w:tabs>
          <w:tab w:val="num" w:pos="3698"/>
        </w:tabs>
        <w:ind w:left="3718" w:hanging="360"/>
      </w:pPr>
      <w:rPr>
        <w:rFonts w:ascii="Arial" w:hAnsi="Arial" w:hint="default"/>
        <w:b/>
        <w:i w:val="0"/>
        <w:sz w:val="24"/>
        <w:szCs w:val="24"/>
      </w:rPr>
    </w:lvl>
    <w:lvl w:ilvl="1">
      <w:start w:val="1"/>
      <w:numFmt w:val="decimal"/>
      <w:lvlText w:val="%1.%2"/>
      <w:lvlJc w:val="left"/>
      <w:pPr>
        <w:tabs>
          <w:tab w:val="num" w:pos="1142"/>
        </w:tabs>
        <w:ind w:left="1142" w:hanging="432"/>
      </w:pPr>
      <w:rPr>
        <w:rFonts w:ascii="Arial" w:hAnsi="Arial" w:hint="default"/>
        <w:b/>
        <w:i w:val="0"/>
        <w:sz w:val="24"/>
        <w:szCs w:val="24"/>
      </w:rPr>
    </w:lvl>
    <w:lvl w:ilvl="2">
      <w:start w:val="1"/>
      <w:numFmt w:val="decimal"/>
      <w:lvlText w:val="%1.%2.%3"/>
      <w:lvlJc w:val="left"/>
      <w:pPr>
        <w:tabs>
          <w:tab w:val="num" w:pos="1430"/>
        </w:tabs>
        <w:ind w:left="1214" w:hanging="504"/>
      </w:pPr>
      <w:rPr>
        <w:rFonts w:hint="default"/>
        <w:b/>
      </w:rPr>
    </w:lvl>
    <w:lvl w:ilvl="3">
      <w:start w:val="1"/>
      <w:numFmt w:val="decimal"/>
      <w:lvlText w:val="%1.%2.%3.%4"/>
      <w:lvlJc w:val="left"/>
      <w:pPr>
        <w:tabs>
          <w:tab w:val="num" w:pos="5475"/>
        </w:tabs>
        <w:ind w:left="5043" w:hanging="648"/>
      </w:pPr>
      <w:rPr>
        <w:rFonts w:hint="default"/>
      </w:rPr>
    </w:lvl>
    <w:lvl w:ilvl="4">
      <w:start w:val="1"/>
      <w:numFmt w:val="decimal"/>
      <w:suff w:val="space"/>
      <w:lvlText w:val="%1.%2.%3.%4.%5"/>
      <w:lvlJc w:val="left"/>
      <w:pPr>
        <w:ind w:left="4798" w:firstLine="0"/>
      </w:pPr>
      <w:rPr>
        <w:rFonts w:hint="default"/>
      </w:rPr>
    </w:lvl>
    <w:lvl w:ilvl="5">
      <w:start w:val="1"/>
      <w:numFmt w:val="decimal"/>
      <w:lvlText w:val="%1.%2.%3.%4.%5.%6."/>
      <w:lvlJc w:val="left"/>
      <w:pPr>
        <w:tabs>
          <w:tab w:val="num" w:pos="6598"/>
        </w:tabs>
        <w:ind w:left="6094" w:hanging="936"/>
      </w:pPr>
      <w:rPr>
        <w:rFonts w:hint="default"/>
      </w:rPr>
    </w:lvl>
    <w:lvl w:ilvl="6">
      <w:start w:val="1"/>
      <w:numFmt w:val="decimal"/>
      <w:lvlText w:val="%1.%2.%3.%4.%5.%6.%7."/>
      <w:lvlJc w:val="left"/>
      <w:pPr>
        <w:tabs>
          <w:tab w:val="num" w:pos="6958"/>
        </w:tabs>
        <w:ind w:left="6598" w:hanging="1080"/>
      </w:pPr>
      <w:rPr>
        <w:rFonts w:hint="default"/>
      </w:rPr>
    </w:lvl>
    <w:lvl w:ilvl="7">
      <w:start w:val="1"/>
      <w:numFmt w:val="decimal"/>
      <w:lvlText w:val="%1.%2.%3.%4.%5.%6.%7.%8."/>
      <w:lvlJc w:val="left"/>
      <w:pPr>
        <w:tabs>
          <w:tab w:val="num" w:pos="7678"/>
        </w:tabs>
        <w:ind w:left="7102" w:hanging="1224"/>
      </w:pPr>
      <w:rPr>
        <w:rFonts w:hint="default"/>
      </w:rPr>
    </w:lvl>
    <w:lvl w:ilvl="8">
      <w:start w:val="1"/>
      <w:numFmt w:val="decimal"/>
      <w:lvlText w:val="%1.%2.%3.%4.%5.%6.%7.%8.%9."/>
      <w:lvlJc w:val="left"/>
      <w:pPr>
        <w:tabs>
          <w:tab w:val="num" w:pos="8038"/>
        </w:tabs>
        <w:ind w:left="7678" w:hanging="1440"/>
      </w:pPr>
      <w:rPr>
        <w:rFonts w:hint="default"/>
      </w:rPr>
    </w:lvl>
  </w:abstractNum>
  <w:abstractNum w:abstractNumId="7">
    <w:nsid w:val="34C10137"/>
    <w:multiLevelType w:val="hybridMultilevel"/>
    <w:tmpl w:val="97B46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3990FFE"/>
    <w:multiLevelType w:val="hybridMultilevel"/>
    <w:tmpl w:val="5D088380"/>
    <w:lvl w:ilvl="0" w:tplc="4C98C08E">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486D3E1C"/>
    <w:multiLevelType w:val="hybridMultilevel"/>
    <w:tmpl w:val="F5BCEC42"/>
    <w:lvl w:ilvl="0" w:tplc="8C24B6DC">
      <w:start w:val="1"/>
      <w:numFmt w:val="bullet"/>
      <w:pStyle w:val="Body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17C7627"/>
    <w:multiLevelType w:val="hybridMultilevel"/>
    <w:tmpl w:val="EF3463B4"/>
    <w:lvl w:ilvl="0" w:tplc="401A7A14">
      <w:start w:val="1"/>
      <w:numFmt w:val="decimal"/>
      <w:pStyle w:val="Bodytext-numbered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7F3C0190"/>
    <w:multiLevelType w:val="multilevel"/>
    <w:tmpl w:val="E3221524"/>
    <w:styleLink w:val="1111ATAGIWPreportheading4"/>
    <w:lvl w:ilvl="0">
      <w:start w:val="1"/>
      <w:numFmt w:val="decimal"/>
      <w:lvlText w:val="%1"/>
      <w:lvlJc w:val="left"/>
      <w:pPr>
        <w:tabs>
          <w:tab w:val="num" w:pos="3698"/>
        </w:tabs>
        <w:ind w:left="3718" w:hanging="360"/>
      </w:pPr>
      <w:rPr>
        <w:rFonts w:ascii="Arial" w:hAnsi="Arial" w:hint="default"/>
        <w:b/>
        <w:i w:val="0"/>
        <w:sz w:val="24"/>
        <w:szCs w:val="24"/>
      </w:rPr>
    </w:lvl>
    <w:lvl w:ilvl="1">
      <w:start w:val="1"/>
      <w:numFmt w:val="decimal"/>
      <w:lvlText w:val="%1.%2"/>
      <w:lvlJc w:val="left"/>
      <w:pPr>
        <w:tabs>
          <w:tab w:val="num" w:pos="1142"/>
        </w:tabs>
        <w:ind w:left="1142" w:hanging="432"/>
      </w:pPr>
      <w:rPr>
        <w:rFonts w:ascii="Arial" w:hAnsi="Arial" w:hint="default"/>
        <w:b/>
        <w:i w:val="0"/>
        <w:sz w:val="24"/>
        <w:szCs w:val="24"/>
      </w:rPr>
    </w:lvl>
    <w:lvl w:ilvl="2">
      <w:start w:val="1"/>
      <w:numFmt w:val="decimal"/>
      <w:lvlText w:val="%1.%2.%3"/>
      <w:lvlJc w:val="left"/>
      <w:pPr>
        <w:tabs>
          <w:tab w:val="num" w:pos="1430"/>
        </w:tabs>
        <w:ind w:left="1214" w:hanging="504"/>
      </w:pPr>
      <w:rPr>
        <w:rFonts w:hint="default"/>
        <w:b/>
      </w:rPr>
    </w:lvl>
    <w:lvl w:ilvl="3">
      <w:start w:val="1"/>
      <w:numFmt w:val="decimal"/>
      <w:lvlText w:val="%1.%2.%3.%4"/>
      <w:lvlJc w:val="left"/>
      <w:pPr>
        <w:tabs>
          <w:tab w:val="num" w:pos="5475"/>
        </w:tabs>
        <w:ind w:left="5043" w:hanging="648"/>
      </w:pPr>
      <w:rPr>
        <w:rFonts w:ascii="Arial" w:hAnsi="Arial" w:hint="default"/>
        <w:b/>
      </w:rPr>
    </w:lvl>
    <w:lvl w:ilvl="4">
      <w:start w:val="1"/>
      <w:numFmt w:val="decimal"/>
      <w:suff w:val="space"/>
      <w:lvlText w:val="%1.%2.%3.%4.%5"/>
      <w:lvlJc w:val="left"/>
      <w:pPr>
        <w:ind w:left="4798" w:firstLine="0"/>
      </w:pPr>
      <w:rPr>
        <w:rFonts w:hint="default"/>
      </w:rPr>
    </w:lvl>
    <w:lvl w:ilvl="5">
      <w:start w:val="1"/>
      <w:numFmt w:val="decimal"/>
      <w:lvlText w:val="%1.%2.%3.%4.%5.%6."/>
      <w:lvlJc w:val="left"/>
      <w:pPr>
        <w:tabs>
          <w:tab w:val="num" w:pos="6598"/>
        </w:tabs>
        <w:ind w:left="6094" w:hanging="936"/>
      </w:pPr>
      <w:rPr>
        <w:rFonts w:hint="default"/>
      </w:rPr>
    </w:lvl>
    <w:lvl w:ilvl="6">
      <w:start w:val="1"/>
      <w:numFmt w:val="decimal"/>
      <w:lvlText w:val="%1.%2.%3.%4.%5.%6.%7."/>
      <w:lvlJc w:val="left"/>
      <w:pPr>
        <w:tabs>
          <w:tab w:val="num" w:pos="6958"/>
        </w:tabs>
        <w:ind w:left="6598" w:hanging="1080"/>
      </w:pPr>
      <w:rPr>
        <w:rFonts w:hint="default"/>
      </w:rPr>
    </w:lvl>
    <w:lvl w:ilvl="7">
      <w:start w:val="1"/>
      <w:numFmt w:val="decimal"/>
      <w:lvlText w:val="%1.%2.%3.%4.%5.%6.%7.%8."/>
      <w:lvlJc w:val="left"/>
      <w:pPr>
        <w:tabs>
          <w:tab w:val="num" w:pos="7678"/>
        </w:tabs>
        <w:ind w:left="7102" w:hanging="1224"/>
      </w:pPr>
      <w:rPr>
        <w:rFonts w:hint="default"/>
      </w:rPr>
    </w:lvl>
    <w:lvl w:ilvl="8">
      <w:start w:val="1"/>
      <w:numFmt w:val="decimal"/>
      <w:lvlText w:val="%1.%2.%3.%4.%5.%6.%7.%8.%9."/>
      <w:lvlJc w:val="left"/>
      <w:pPr>
        <w:tabs>
          <w:tab w:val="num" w:pos="8038"/>
        </w:tabs>
        <w:ind w:left="7678" w:hanging="1440"/>
      </w:pPr>
      <w:rPr>
        <w:rFonts w:hint="default"/>
      </w:rPr>
    </w:lvl>
  </w:abstractNum>
  <w:num w:numId="1">
    <w:abstractNumId w:val="7"/>
  </w:num>
  <w:num w:numId="2">
    <w:abstractNumId w:val="4"/>
  </w:num>
  <w:num w:numId="3">
    <w:abstractNumId w:val="1"/>
  </w:num>
  <w:num w:numId="4">
    <w:abstractNumId w:val="5"/>
  </w:num>
  <w:num w:numId="5">
    <w:abstractNumId w:val="6"/>
  </w:num>
  <w:num w:numId="6">
    <w:abstractNumId w:val="11"/>
  </w:num>
  <w:num w:numId="7">
    <w:abstractNumId w:val="2"/>
  </w:num>
  <w:num w:numId="8">
    <w:abstractNumId w:val="3"/>
  </w:num>
  <w:num w:numId="9">
    <w:abstractNumId w:val="9"/>
  </w:num>
  <w:num w:numId="10">
    <w:abstractNumId w:val="10"/>
  </w:num>
  <w:num w:numId="11">
    <w:abstractNumId w:val="8"/>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CIRS output styl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2vew95zwwtraretz58xwszo0esfp99929ra&quot;&gt;Meningoccal Database&lt;record-ids&gt;&lt;item&gt;316&lt;/item&gt;&lt;item&gt;379&lt;/item&gt;&lt;item&gt;381&lt;/item&gt;&lt;item&gt;398&lt;/item&gt;&lt;item&gt;987&lt;/item&gt;&lt;item&gt;1074&lt;/item&gt;&lt;item&gt;1083&lt;/item&gt;&lt;item&gt;1084&lt;/item&gt;&lt;/record-ids&gt;&lt;/item&gt;&lt;/Libraries&gt;"/>
  </w:docVars>
  <w:rsids>
    <w:rsidRoot w:val="00F8157E"/>
    <w:rsid w:val="00001505"/>
    <w:rsid w:val="00006C54"/>
    <w:rsid w:val="000139DF"/>
    <w:rsid w:val="0001417E"/>
    <w:rsid w:val="00020318"/>
    <w:rsid w:val="000350E0"/>
    <w:rsid w:val="00040060"/>
    <w:rsid w:val="000409EE"/>
    <w:rsid w:val="0004754A"/>
    <w:rsid w:val="000524FE"/>
    <w:rsid w:val="00052D22"/>
    <w:rsid w:val="00060828"/>
    <w:rsid w:val="000706EE"/>
    <w:rsid w:val="00075BC9"/>
    <w:rsid w:val="00075D03"/>
    <w:rsid w:val="00086D53"/>
    <w:rsid w:val="00091389"/>
    <w:rsid w:val="000969D5"/>
    <w:rsid w:val="000A0707"/>
    <w:rsid w:val="000A2840"/>
    <w:rsid w:val="000A6669"/>
    <w:rsid w:val="000C0170"/>
    <w:rsid w:val="000D081A"/>
    <w:rsid w:val="000D757B"/>
    <w:rsid w:val="000E2166"/>
    <w:rsid w:val="000E534E"/>
    <w:rsid w:val="000F02E1"/>
    <w:rsid w:val="000F5638"/>
    <w:rsid w:val="001050C0"/>
    <w:rsid w:val="00107299"/>
    <w:rsid w:val="00124E6C"/>
    <w:rsid w:val="00125611"/>
    <w:rsid w:val="0014226A"/>
    <w:rsid w:val="001535AB"/>
    <w:rsid w:val="00161A26"/>
    <w:rsid w:val="00163A62"/>
    <w:rsid w:val="0017030F"/>
    <w:rsid w:val="00170BD6"/>
    <w:rsid w:val="00183C6A"/>
    <w:rsid w:val="001840E9"/>
    <w:rsid w:val="00185CD7"/>
    <w:rsid w:val="0018672A"/>
    <w:rsid w:val="001A442E"/>
    <w:rsid w:val="001B2386"/>
    <w:rsid w:val="001C6805"/>
    <w:rsid w:val="001D79F2"/>
    <w:rsid w:val="001E2A4A"/>
    <w:rsid w:val="001F23CD"/>
    <w:rsid w:val="001F2BF2"/>
    <w:rsid w:val="00207DB6"/>
    <w:rsid w:val="00212C0C"/>
    <w:rsid w:val="002138AF"/>
    <w:rsid w:val="00226D7C"/>
    <w:rsid w:val="00230DCC"/>
    <w:rsid w:val="002322EA"/>
    <w:rsid w:val="00232786"/>
    <w:rsid w:val="0023477F"/>
    <w:rsid w:val="00244E17"/>
    <w:rsid w:val="00246FBC"/>
    <w:rsid w:val="0025127C"/>
    <w:rsid w:val="00252128"/>
    <w:rsid w:val="002532BF"/>
    <w:rsid w:val="0026308D"/>
    <w:rsid w:val="0026790B"/>
    <w:rsid w:val="00276E7F"/>
    <w:rsid w:val="00285822"/>
    <w:rsid w:val="0029155A"/>
    <w:rsid w:val="002A5F99"/>
    <w:rsid w:val="002A79C4"/>
    <w:rsid w:val="002B1D0F"/>
    <w:rsid w:val="002B2846"/>
    <w:rsid w:val="002B2A58"/>
    <w:rsid w:val="002B4F59"/>
    <w:rsid w:val="002B5B1A"/>
    <w:rsid w:val="002C70F5"/>
    <w:rsid w:val="002D17E3"/>
    <w:rsid w:val="002D2F48"/>
    <w:rsid w:val="002D3A02"/>
    <w:rsid w:val="002D6C64"/>
    <w:rsid w:val="002E14AA"/>
    <w:rsid w:val="002F7ED0"/>
    <w:rsid w:val="0030174D"/>
    <w:rsid w:val="0030200E"/>
    <w:rsid w:val="00352245"/>
    <w:rsid w:val="00353EE5"/>
    <w:rsid w:val="00360647"/>
    <w:rsid w:val="00360F1F"/>
    <w:rsid w:val="00366C8A"/>
    <w:rsid w:val="00381896"/>
    <w:rsid w:val="00392DEA"/>
    <w:rsid w:val="003A42EB"/>
    <w:rsid w:val="003B7CE9"/>
    <w:rsid w:val="003C27C6"/>
    <w:rsid w:val="003C4876"/>
    <w:rsid w:val="003C4B83"/>
    <w:rsid w:val="003C53EE"/>
    <w:rsid w:val="003D38F2"/>
    <w:rsid w:val="003D6F47"/>
    <w:rsid w:val="003D7968"/>
    <w:rsid w:val="003E58D7"/>
    <w:rsid w:val="003F50A6"/>
    <w:rsid w:val="003F60F8"/>
    <w:rsid w:val="003F6BBD"/>
    <w:rsid w:val="00400418"/>
    <w:rsid w:val="00401507"/>
    <w:rsid w:val="0040710D"/>
    <w:rsid w:val="004101BB"/>
    <w:rsid w:val="0041502F"/>
    <w:rsid w:val="004243E7"/>
    <w:rsid w:val="00432DE5"/>
    <w:rsid w:val="0043697D"/>
    <w:rsid w:val="00442A6A"/>
    <w:rsid w:val="00451833"/>
    <w:rsid w:val="0045217F"/>
    <w:rsid w:val="004631A7"/>
    <w:rsid w:val="0046371C"/>
    <w:rsid w:val="00465A11"/>
    <w:rsid w:val="004668F4"/>
    <w:rsid w:val="00477AEA"/>
    <w:rsid w:val="0049146B"/>
    <w:rsid w:val="004B1516"/>
    <w:rsid w:val="004C6FE3"/>
    <w:rsid w:val="004D4F21"/>
    <w:rsid w:val="004D5284"/>
    <w:rsid w:val="004D7FF0"/>
    <w:rsid w:val="004E0F02"/>
    <w:rsid w:val="004E36A1"/>
    <w:rsid w:val="004F2714"/>
    <w:rsid w:val="004F5D36"/>
    <w:rsid w:val="004F6695"/>
    <w:rsid w:val="00503978"/>
    <w:rsid w:val="0050521D"/>
    <w:rsid w:val="00507A73"/>
    <w:rsid w:val="00514C4A"/>
    <w:rsid w:val="00516E64"/>
    <w:rsid w:val="005207D1"/>
    <w:rsid w:val="00527935"/>
    <w:rsid w:val="005311AA"/>
    <w:rsid w:val="005340DB"/>
    <w:rsid w:val="005346C4"/>
    <w:rsid w:val="00542CD5"/>
    <w:rsid w:val="00553637"/>
    <w:rsid w:val="005552EB"/>
    <w:rsid w:val="00563B87"/>
    <w:rsid w:val="0056550D"/>
    <w:rsid w:val="00575F91"/>
    <w:rsid w:val="00580B67"/>
    <w:rsid w:val="00583703"/>
    <w:rsid w:val="00592824"/>
    <w:rsid w:val="005A0FFD"/>
    <w:rsid w:val="005A2891"/>
    <w:rsid w:val="005A4D54"/>
    <w:rsid w:val="005B5FD8"/>
    <w:rsid w:val="005C3428"/>
    <w:rsid w:val="005C386F"/>
    <w:rsid w:val="005D22F2"/>
    <w:rsid w:val="006010B2"/>
    <w:rsid w:val="006113B9"/>
    <w:rsid w:val="006136D7"/>
    <w:rsid w:val="00620988"/>
    <w:rsid w:val="00620A4B"/>
    <w:rsid w:val="006240FE"/>
    <w:rsid w:val="00634E5F"/>
    <w:rsid w:val="00636149"/>
    <w:rsid w:val="00636659"/>
    <w:rsid w:val="00636E48"/>
    <w:rsid w:val="00645357"/>
    <w:rsid w:val="00646D98"/>
    <w:rsid w:val="0065068C"/>
    <w:rsid w:val="00660426"/>
    <w:rsid w:val="00660BDA"/>
    <w:rsid w:val="006732A3"/>
    <w:rsid w:val="00677568"/>
    <w:rsid w:val="00677CAF"/>
    <w:rsid w:val="00681890"/>
    <w:rsid w:val="006910B5"/>
    <w:rsid w:val="006A6524"/>
    <w:rsid w:val="006B41B1"/>
    <w:rsid w:val="006B5EEF"/>
    <w:rsid w:val="006C3FF0"/>
    <w:rsid w:val="006C71C6"/>
    <w:rsid w:val="007045F0"/>
    <w:rsid w:val="00717EA2"/>
    <w:rsid w:val="007227CA"/>
    <w:rsid w:val="00730073"/>
    <w:rsid w:val="00734532"/>
    <w:rsid w:val="00737422"/>
    <w:rsid w:val="00741250"/>
    <w:rsid w:val="007415CE"/>
    <w:rsid w:val="00742516"/>
    <w:rsid w:val="00742739"/>
    <w:rsid w:val="00755DE2"/>
    <w:rsid w:val="00761505"/>
    <w:rsid w:val="00764A70"/>
    <w:rsid w:val="007836D4"/>
    <w:rsid w:val="0078386A"/>
    <w:rsid w:val="007971B5"/>
    <w:rsid w:val="007A0614"/>
    <w:rsid w:val="007A7A62"/>
    <w:rsid w:val="007B7B31"/>
    <w:rsid w:val="007C3DE8"/>
    <w:rsid w:val="007C540E"/>
    <w:rsid w:val="007D1446"/>
    <w:rsid w:val="007D1985"/>
    <w:rsid w:val="007D4011"/>
    <w:rsid w:val="007D610C"/>
    <w:rsid w:val="007E357D"/>
    <w:rsid w:val="007E489D"/>
    <w:rsid w:val="007F26AB"/>
    <w:rsid w:val="007F76DE"/>
    <w:rsid w:val="00810DB6"/>
    <w:rsid w:val="00814B39"/>
    <w:rsid w:val="00814F45"/>
    <w:rsid w:val="00833818"/>
    <w:rsid w:val="0084278D"/>
    <w:rsid w:val="00846844"/>
    <w:rsid w:val="00853D57"/>
    <w:rsid w:val="008567B6"/>
    <w:rsid w:val="00872A87"/>
    <w:rsid w:val="00873746"/>
    <w:rsid w:val="00874E3E"/>
    <w:rsid w:val="00882E13"/>
    <w:rsid w:val="008850ED"/>
    <w:rsid w:val="00896CB8"/>
    <w:rsid w:val="008A6023"/>
    <w:rsid w:val="008B0E18"/>
    <w:rsid w:val="008B71ED"/>
    <w:rsid w:val="008E04E4"/>
    <w:rsid w:val="008E1F44"/>
    <w:rsid w:val="008F1FED"/>
    <w:rsid w:val="009008A1"/>
    <w:rsid w:val="00904719"/>
    <w:rsid w:val="00907B32"/>
    <w:rsid w:val="0091125F"/>
    <w:rsid w:val="00934A24"/>
    <w:rsid w:val="00936BD8"/>
    <w:rsid w:val="00962279"/>
    <w:rsid w:val="00962ACE"/>
    <w:rsid w:val="009760E4"/>
    <w:rsid w:val="009778C2"/>
    <w:rsid w:val="00987CCD"/>
    <w:rsid w:val="00992863"/>
    <w:rsid w:val="00993586"/>
    <w:rsid w:val="00994736"/>
    <w:rsid w:val="009A03F8"/>
    <w:rsid w:val="009B1C33"/>
    <w:rsid w:val="009D6C58"/>
    <w:rsid w:val="009E53C1"/>
    <w:rsid w:val="009F0ABF"/>
    <w:rsid w:val="009F45AC"/>
    <w:rsid w:val="00A06D3A"/>
    <w:rsid w:val="00A07653"/>
    <w:rsid w:val="00A105DA"/>
    <w:rsid w:val="00A1158E"/>
    <w:rsid w:val="00A14945"/>
    <w:rsid w:val="00A1603F"/>
    <w:rsid w:val="00A164D0"/>
    <w:rsid w:val="00A36777"/>
    <w:rsid w:val="00A55869"/>
    <w:rsid w:val="00A71D06"/>
    <w:rsid w:val="00AA6003"/>
    <w:rsid w:val="00AB028B"/>
    <w:rsid w:val="00AB41DB"/>
    <w:rsid w:val="00AD27F2"/>
    <w:rsid w:val="00AF7095"/>
    <w:rsid w:val="00AF7531"/>
    <w:rsid w:val="00B157D7"/>
    <w:rsid w:val="00B21AA2"/>
    <w:rsid w:val="00B263C1"/>
    <w:rsid w:val="00B2655C"/>
    <w:rsid w:val="00B5070B"/>
    <w:rsid w:val="00B521B2"/>
    <w:rsid w:val="00B54B2C"/>
    <w:rsid w:val="00B63C47"/>
    <w:rsid w:val="00B66961"/>
    <w:rsid w:val="00B76851"/>
    <w:rsid w:val="00B909BD"/>
    <w:rsid w:val="00B9136A"/>
    <w:rsid w:val="00BC6418"/>
    <w:rsid w:val="00BD3C28"/>
    <w:rsid w:val="00BF01AC"/>
    <w:rsid w:val="00BF3C3C"/>
    <w:rsid w:val="00BF688B"/>
    <w:rsid w:val="00C02184"/>
    <w:rsid w:val="00C02CFA"/>
    <w:rsid w:val="00C044A2"/>
    <w:rsid w:val="00C1071C"/>
    <w:rsid w:val="00C15A2F"/>
    <w:rsid w:val="00C1634B"/>
    <w:rsid w:val="00C20ED9"/>
    <w:rsid w:val="00C22F0A"/>
    <w:rsid w:val="00C41294"/>
    <w:rsid w:val="00C41E09"/>
    <w:rsid w:val="00C45BB6"/>
    <w:rsid w:val="00C50B63"/>
    <w:rsid w:val="00C72221"/>
    <w:rsid w:val="00C755CA"/>
    <w:rsid w:val="00C8162C"/>
    <w:rsid w:val="00C82F7D"/>
    <w:rsid w:val="00C8792A"/>
    <w:rsid w:val="00C9343E"/>
    <w:rsid w:val="00CA036F"/>
    <w:rsid w:val="00CA12AA"/>
    <w:rsid w:val="00CA452A"/>
    <w:rsid w:val="00CB18BA"/>
    <w:rsid w:val="00CB1C69"/>
    <w:rsid w:val="00CB5C59"/>
    <w:rsid w:val="00CB7788"/>
    <w:rsid w:val="00CB7BE1"/>
    <w:rsid w:val="00CC245B"/>
    <w:rsid w:val="00CC518E"/>
    <w:rsid w:val="00CC5BAB"/>
    <w:rsid w:val="00CC6686"/>
    <w:rsid w:val="00CE2A08"/>
    <w:rsid w:val="00CE6255"/>
    <w:rsid w:val="00CE668B"/>
    <w:rsid w:val="00CF1C59"/>
    <w:rsid w:val="00CF2322"/>
    <w:rsid w:val="00D10925"/>
    <w:rsid w:val="00D14503"/>
    <w:rsid w:val="00D4524D"/>
    <w:rsid w:val="00D522FC"/>
    <w:rsid w:val="00D61978"/>
    <w:rsid w:val="00D73EB7"/>
    <w:rsid w:val="00D75EC5"/>
    <w:rsid w:val="00D77971"/>
    <w:rsid w:val="00DA2178"/>
    <w:rsid w:val="00DA3D0F"/>
    <w:rsid w:val="00DA3ECB"/>
    <w:rsid w:val="00DB3D99"/>
    <w:rsid w:val="00DB49C6"/>
    <w:rsid w:val="00DB55DC"/>
    <w:rsid w:val="00DB5AA4"/>
    <w:rsid w:val="00DE2731"/>
    <w:rsid w:val="00DF0608"/>
    <w:rsid w:val="00E0288C"/>
    <w:rsid w:val="00E028F4"/>
    <w:rsid w:val="00E029BB"/>
    <w:rsid w:val="00E03255"/>
    <w:rsid w:val="00E15DBE"/>
    <w:rsid w:val="00E179DF"/>
    <w:rsid w:val="00E2714B"/>
    <w:rsid w:val="00E30138"/>
    <w:rsid w:val="00E33F2B"/>
    <w:rsid w:val="00E34BC5"/>
    <w:rsid w:val="00E35789"/>
    <w:rsid w:val="00E41150"/>
    <w:rsid w:val="00E44A15"/>
    <w:rsid w:val="00E44DE9"/>
    <w:rsid w:val="00E5087E"/>
    <w:rsid w:val="00E74411"/>
    <w:rsid w:val="00E75427"/>
    <w:rsid w:val="00E77029"/>
    <w:rsid w:val="00E81899"/>
    <w:rsid w:val="00E87999"/>
    <w:rsid w:val="00EA68F3"/>
    <w:rsid w:val="00EC2071"/>
    <w:rsid w:val="00EC7B62"/>
    <w:rsid w:val="00ED7534"/>
    <w:rsid w:val="00EE0908"/>
    <w:rsid w:val="00EE53BB"/>
    <w:rsid w:val="00EE7482"/>
    <w:rsid w:val="00F06F40"/>
    <w:rsid w:val="00F121C3"/>
    <w:rsid w:val="00F14F57"/>
    <w:rsid w:val="00F15B86"/>
    <w:rsid w:val="00F273F4"/>
    <w:rsid w:val="00F32320"/>
    <w:rsid w:val="00F327E8"/>
    <w:rsid w:val="00F3294D"/>
    <w:rsid w:val="00F41544"/>
    <w:rsid w:val="00F46DF7"/>
    <w:rsid w:val="00F471D1"/>
    <w:rsid w:val="00F50249"/>
    <w:rsid w:val="00F53E55"/>
    <w:rsid w:val="00F61EB6"/>
    <w:rsid w:val="00F630B5"/>
    <w:rsid w:val="00F703F8"/>
    <w:rsid w:val="00F8157E"/>
    <w:rsid w:val="00F87ABF"/>
    <w:rsid w:val="00F93910"/>
    <w:rsid w:val="00F97355"/>
    <w:rsid w:val="00FA1507"/>
    <w:rsid w:val="00FA783F"/>
    <w:rsid w:val="00FB0E13"/>
    <w:rsid w:val="00FB1D4C"/>
    <w:rsid w:val="00FB2562"/>
    <w:rsid w:val="00FC2640"/>
    <w:rsid w:val="00FE5B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uiPriority="0"/>
    <w:lsdException w:name="footer" w:uiPriority="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8F4"/>
    <w:rPr>
      <w:rFonts w:ascii="Times" w:hAnsi="Times"/>
      <w:sz w:val="20"/>
      <w:szCs w:val="20"/>
    </w:rPr>
  </w:style>
  <w:style w:type="paragraph" w:styleId="Heading1">
    <w:name w:val="heading 1"/>
    <w:next w:val="Normal"/>
    <w:link w:val="Heading1Char"/>
    <w:qFormat/>
    <w:rsid w:val="00EA68F3"/>
    <w:pPr>
      <w:keepNext/>
      <w:keepLines/>
      <w:tabs>
        <w:tab w:val="left" w:pos="357"/>
      </w:tabs>
      <w:spacing w:before="240" w:after="240"/>
      <w:outlineLvl w:val="0"/>
    </w:pPr>
    <w:rPr>
      <w:rFonts w:ascii="Arial" w:eastAsiaTheme="majorEastAsia" w:hAnsi="Arial" w:cstheme="majorBidi"/>
      <w:b/>
      <w:bCs/>
      <w:sz w:val="28"/>
      <w:szCs w:val="28"/>
    </w:rPr>
  </w:style>
  <w:style w:type="paragraph" w:styleId="Heading2">
    <w:name w:val="heading 2"/>
    <w:next w:val="Normal"/>
    <w:link w:val="Heading2Char"/>
    <w:qFormat/>
    <w:rsid w:val="00EA68F3"/>
    <w:pPr>
      <w:keepNext/>
      <w:keepLines/>
      <w:tabs>
        <w:tab w:val="left" w:pos="709"/>
      </w:tabs>
      <w:spacing w:before="360" w:after="120"/>
      <w:outlineLvl w:val="1"/>
    </w:pPr>
    <w:rPr>
      <w:rFonts w:ascii="Arial" w:eastAsiaTheme="majorEastAsia" w:hAnsi="Arial" w:cs="Arial"/>
      <w:b/>
      <w:bCs/>
      <w:sz w:val="24"/>
      <w:szCs w:val="24"/>
    </w:rPr>
  </w:style>
  <w:style w:type="paragraph" w:styleId="Heading3">
    <w:name w:val="heading 3"/>
    <w:next w:val="Normal"/>
    <w:link w:val="Heading3Char"/>
    <w:qFormat/>
    <w:locked/>
    <w:rsid w:val="00EA68F3"/>
    <w:pPr>
      <w:spacing w:before="120" w:after="120"/>
      <w:outlineLvl w:val="2"/>
    </w:pPr>
    <w:rPr>
      <w:rFonts w:ascii="Arial" w:hAnsi="Arial"/>
      <w:b/>
      <w:bCs/>
      <w:sz w:val="20"/>
      <w:szCs w:val="27"/>
    </w:rPr>
  </w:style>
  <w:style w:type="paragraph" w:styleId="Heading4">
    <w:name w:val="heading 4"/>
    <w:next w:val="Normal"/>
    <w:link w:val="Heading4Char"/>
    <w:qFormat/>
    <w:locked/>
    <w:rsid w:val="00EA68F3"/>
    <w:pPr>
      <w:keepNext/>
      <w:keepLines/>
      <w:spacing w:after="120"/>
      <w:outlineLvl w:val="3"/>
    </w:pPr>
    <w:rPr>
      <w:rFonts w:eastAsiaTheme="majorEastAsia" w:cstheme="majorBidi"/>
      <w:b/>
      <w:bCs/>
      <w:i/>
      <w:iCs/>
      <w:szCs w:val="20"/>
    </w:rPr>
  </w:style>
  <w:style w:type="paragraph" w:styleId="Heading5">
    <w:name w:val="heading 5"/>
    <w:basedOn w:val="Normal"/>
    <w:next w:val="Normal"/>
    <w:link w:val="Heading5Char"/>
    <w:unhideWhenUsed/>
    <w:qFormat/>
    <w:locked/>
    <w:rsid w:val="00EA68F3"/>
    <w:pPr>
      <w:spacing w:before="240" w:after="60"/>
      <w:outlineLvl w:val="4"/>
    </w:pPr>
    <w:rPr>
      <w:rFonts w:ascii="Times New Roman" w:hAnsi="Times New Roman"/>
      <w:b/>
      <w:bCs/>
      <w:i/>
      <w:iCs/>
      <w:sz w:val="22"/>
      <w:szCs w:val="26"/>
    </w:rPr>
  </w:style>
  <w:style w:type="paragraph" w:styleId="Heading6">
    <w:name w:val="heading 6"/>
    <w:basedOn w:val="Normal"/>
    <w:next w:val="Normal"/>
    <w:link w:val="Heading6Char"/>
    <w:uiPriority w:val="9"/>
    <w:semiHidden/>
    <w:unhideWhenUsed/>
    <w:qFormat/>
    <w:locked/>
    <w:rsid w:val="00EA68F3"/>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EA68F3"/>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EA68F3"/>
    <w:pPr>
      <w:keepNext/>
      <w:keepLines/>
      <w:numPr>
        <w:ilvl w:val="7"/>
        <w:numId w:val="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EA68F3"/>
    <w:pPr>
      <w:keepNext/>
      <w:keepLines/>
      <w:numPr>
        <w:ilvl w:val="8"/>
        <w:numId w:val="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A68F3"/>
    <w:rPr>
      <w:rFonts w:ascii="Arial" w:eastAsiaTheme="majorEastAsia" w:hAnsi="Arial" w:cstheme="majorBidi"/>
      <w:b/>
      <w:bCs/>
      <w:sz w:val="28"/>
      <w:szCs w:val="28"/>
    </w:rPr>
  </w:style>
  <w:style w:type="character" w:customStyle="1" w:styleId="Heading2Char">
    <w:name w:val="Heading 2 Char"/>
    <w:basedOn w:val="DefaultParagraphFont"/>
    <w:link w:val="Heading2"/>
    <w:locked/>
    <w:rsid w:val="00EA68F3"/>
    <w:rPr>
      <w:rFonts w:ascii="Arial" w:eastAsiaTheme="majorEastAsia" w:hAnsi="Arial" w:cs="Arial"/>
      <w:b/>
      <w:bCs/>
      <w:sz w:val="24"/>
      <w:szCs w:val="24"/>
    </w:rPr>
  </w:style>
  <w:style w:type="paragraph" w:styleId="Header">
    <w:name w:val="header"/>
    <w:basedOn w:val="Normal"/>
    <w:link w:val="HeaderChar"/>
    <w:unhideWhenUsed/>
    <w:rsid w:val="00EA68F3"/>
    <w:pPr>
      <w:tabs>
        <w:tab w:val="center" w:pos="4513"/>
        <w:tab w:val="right" w:pos="9026"/>
      </w:tabs>
    </w:pPr>
  </w:style>
  <w:style w:type="character" w:customStyle="1" w:styleId="HeaderChar">
    <w:name w:val="Header Char"/>
    <w:basedOn w:val="DefaultParagraphFont"/>
    <w:link w:val="Header"/>
    <w:locked/>
    <w:rsid w:val="00EA68F3"/>
    <w:rPr>
      <w:rFonts w:ascii="Times" w:hAnsi="Times"/>
      <w:sz w:val="20"/>
      <w:szCs w:val="20"/>
    </w:rPr>
  </w:style>
  <w:style w:type="paragraph" w:styleId="Footer">
    <w:name w:val="footer"/>
    <w:basedOn w:val="Normal"/>
    <w:link w:val="FooterChar"/>
    <w:rsid w:val="00EA68F3"/>
    <w:pPr>
      <w:pBdr>
        <w:top w:val="single" w:sz="4" w:space="1" w:color="auto"/>
      </w:pBdr>
      <w:tabs>
        <w:tab w:val="center" w:pos="4513"/>
        <w:tab w:val="left" w:pos="4935"/>
        <w:tab w:val="right" w:pos="9026"/>
      </w:tabs>
    </w:pPr>
  </w:style>
  <w:style w:type="character" w:customStyle="1" w:styleId="FooterChar">
    <w:name w:val="Footer Char"/>
    <w:basedOn w:val="DefaultParagraphFont"/>
    <w:link w:val="Footer"/>
    <w:locked/>
    <w:rsid w:val="00EA68F3"/>
    <w:rPr>
      <w:rFonts w:ascii="Times" w:hAnsi="Times"/>
      <w:sz w:val="20"/>
      <w:szCs w:val="20"/>
    </w:rPr>
  </w:style>
  <w:style w:type="character" w:styleId="CommentReference">
    <w:name w:val="annotation reference"/>
    <w:basedOn w:val="DefaultParagraphFont"/>
    <w:semiHidden/>
    <w:unhideWhenUsed/>
    <w:rsid w:val="00EA68F3"/>
    <w:rPr>
      <w:sz w:val="16"/>
      <w:szCs w:val="16"/>
    </w:rPr>
  </w:style>
  <w:style w:type="paragraph" w:styleId="CommentText">
    <w:name w:val="annotation text"/>
    <w:aliases w:val=" Char2 Char, Char2 Char1,Char2 Char,Char2 Char1"/>
    <w:basedOn w:val="Normal"/>
    <w:link w:val="CommentTextChar"/>
    <w:semiHidden/>
    <w:unhideWhenUsed/>
    <w:rsid w:val="00EA68F3"/>
  </w:style>
  <w:style w:type="character" w:customStyle="1" w:styleId="CommentTextChar">
    <w:name w:val="Comment Text Char"/>
    <w:aliases w:val=" Char2 Char Char1, Char2 Char1 Char,Char2 Char Char1,Char2 Char1 Char"/>
    <w:basedOn w:val="DefaultParagraphFont"/>
    <w:link w:val="CommentText"/>
    <w:semiHidden/>
    <w:locked/>
    <w:rsid w:val="00EA68F3"/>
    <w:rPr>
      <w:rFonts w:ascii="Times" w:hAnsi="Times"/>
      <w:sz w:val="20"/>
      <w:szCs w:val="20"/>
    </w:rPr>
  </w:style>
  <w:style w:type="character" w:styleId="Hyperlink">
    <w:name w:val="Hyperlink"/>
    <w:rsid w:val="00EA68F3"/>
    <w:rPr>
      <w:rFonts w:ascii="Times New Roman" w:hAnsi="Times New Roman"/>
      <w:color w:val="auto"/>
      <w:sz w:val="22"/>
      <w:u w:val="single"/>
    </w:rPr>
  </w:style>
  <w:style w:type="paragraph" w:styleId="BalloonText">
    <w:name w:val="Balloon Text"/>
    <w:basedOn w:val="Normal"/>
    <w:link w:val="BalloonTextChar"/>
    <w:semiHidden/>
    <w:unhideWhenUsed/>
    <w:rsid w:val="00EA68F3"/>
    <w:rPr>
      <w:rFonts w:ascii="Tahoma" w:hAnsi="Tahoma" w:cs="Tahoma"/>
      <w:sz w:val="16"/>
      <w:szCs w:val="16"/>
    </w:rPr>
  </w:style>
  <w:style w:type="character" w:customStyle="1" w:styleId="BalloonTextChar">
    <w:name w:val="Balloon Text Char"/>
    <w:basedOn w:val="DefaultParagraphFont"/>
    <w:link w:val="BalloonText"/>
    <w:semiHidden/>
    <w:locked/>
    <w:rsid w:val="00EA68F3"/>
    <w:rPr>
      <w:rFonts w:ascii="Tahoma" w:hAnsi="Tahoma" w:cs="Tahoma"/>
      <w:sz w:val="16"/>
      <w:szCs w:val="16"/>
    </w:rPr>
  </w:style>
  <w:style w:type="paragraph" w:styleId="CommentSubject">
    <w:name w:val="annotation subject"/>
    <w:basedOn w:val="CommentText"/>
    <w:next w:val="CommentText"/>
    <w:link w:val="CommentSubjectChar"/>
    <w:semiHidden/>
    <w:unhideWhenUsed/>
    <w:rsid w:val="00EA68F3"/>
    <w:rPr>
      <w:b/>
      <w:bCs/>
    </w:rPr>
  </w:style>
  <w:style w:type="character" w:customStyle="1" w:styleId="CommentSubjectChar">
    <w:name w:val="Comment Subject Char"/>
    <w:basedOn w:val="CommentTextChar"/>
    <w:link w:val="CommentSubject"/>
    <w:semiHidden/>
    <w:locked/>
    <w:rsid w:val="00EA68F3"/>
    <w:rPr>
      <w:rFonts w:ascii="Times" w:hAnsi="Times"/>
      <w:b/>
      <w:bCs/>
      <w:sz w:val="20"/>
      <w:szCs w:val="20"/>
    </w:rPr>
  </w:style>
  <w:style w:type="table" w:styleId="TableGrid">
    <w:name w:val="Table Grid"/>
    <w:basedOn w:val="TableNormal"/>
    <w:rsid w:val="00EA68F3"/>
    <w:rPr>
      <w:rFonts w:ascii="Times" w:hAnsi="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68F3"/>
    <w:rPr>
      <w:rFonts w:ascii="Times" w:hAnsi="Times"/>
      <w:sz w:val="24"/>
      <w:szCs w:val="24"/>
    </w:rPr>
  </w:style>
  <w:style w:type="character" w:customStyle="1" w:styleId="Heading3Char">
    <w:name w:val="Heading 3 Char"/>
    <w:basedOn w:val="DefaultParagraphFont"/>
    <w:link w:val="Heading3"/>
    <w:rsid w:val="00EA68F3"/>
    <w:rPr>
      <w:rFonts w:ascii="Arial" w:hAnsi="Arial"/>
      <w:b/>
      <w:bCs/>
      <w:sz w:val="20"/>
      <w:szCs w:val="27"/>
    </w:rPr>
  </w:style>
  <w:style w:type="character" w:customStyle="1" w:styleId="Heading4Char">
    <w:name w:val="Heading 4 Char"/>
    <w:basedOn w:val="DefaultParagraphFont"/>
    <w:link w:val="Heading4"/>
    <w:rsid w:val="00EA68F3"/>
    <w:rPr>
      <w:rFonts w:eastAsiaTheme="majorEastAsia" w:cstheme="majorBidi"/>
      <w:b/>
      <w:bCs/>
      <w:i/>
      <w:iCs/>
      <w:szCs w:val="20"/>
    </w:rPr>
  </w:style>
  <w:style w:type="character" w:customStyle="1" w:styleId="Heading5Char">
    <w:name w:val="Heading 5 Char"/>
    <w:basedOn w:val="DefaultParagraphFont"/>
    <w:link w:val="Heading5"/>
    <w:rsid w:val="00EA68F3"/>
    <w:rPr>
      <w:b/>
      <w:bCs/>
      <w:i/>
      <w:iCs/>
      <w:szCs w:val="26"/>
    </w:rPr>
  </w:style>
  <w:style w:type="character" w:customStyle="1" w:styleId="Heading6Char">
    <w:name w:val="Heading 6 Char"/>
    <w:basedOn w:val="DefaultParagraphFont"/>
    <w:link w:val="Heading6"/>
    <w:uiPriority w:val="9"/>
    <w:semiHidden/>
    <w:rsid w:val="00EA68F3"/>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A68F3"/>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A68F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A68F3"/>
    <w:rPr>
      <w:rFonts w:asciiTheme="majorHAnsi" w:eastAsiaTheme="majorEastAsia" w:hAnsiTheme="majorHAnsi" w:cstheme="majorBidi"/>
      <w:i/>
      <w:iCs/>
      <w:color w:val="404040" w:themeColor="text1" w:themeTint="BF"/>
      <w:sz w:val="20"/>
      <w:szCs w:val="20"/>
    </w:rPr>
  </w:style>
  <w:style w:type="paragraph" w:customStyle="1" w:styleId="Tableheading">
    <w:name w:val="Table heading"/>
    <w:next w:val="Normal"/>
    <w:qFormat/>
    <w:rsid w:val="00EA68F3"/>
    <w:pPr>
      <w:tabs>
        <w:tab w:val="left" w:pos="1021"/>
      </w:tabs>
      <w:spacing w:before="240" w:after="240"/>
      <w:ind w:left="1021" w:hanging="1021"/>
    </w:pPr>
    <w:rPr>
      <w:b/>
      <w:szCs w:val="20"/>
    </w:rPr>
  </w:style>
  <w:style w:type="table" w:customStyle="1" w:styleId="TableGrid1">
    <w:name w:val="Table Grid1"/>
    <w:basedOn w:val="TableNormal"/>
    <w:next w:val="TableGrid"/>
    <w:uiPriority w:val="59"/>
    <w:rsid w:val="00EA68F3"/>
    <w:rPr>
      <w:rFonts w:ascii="Times" w:eastAsiaTheme="minorHAnsi" w:hAnsi="Times"/>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rsid w:val="00EA68F3"/>
    <w:rPr>
      <w:rFonts w:ascii="Consolas" w:hAnsi="Consolas"/>
      <w:sz w:val="21"/>
      <w:szCs w:val="21"/>
    </w:rPr>
  </w:style>
  <w:style w:type="character" w:customStyle="1" w:styleId="PlainTextChar">
    <w:name w:val="Plain Text Char"/>
    <w:basedOn w:val="DefaultParagraphFont"/>
    <w:link w:val="PlainText"/>
    <w:uiPriority w:val="99"/>
    <w:semiHidden/>
    <w:rsid w:val="00EA68F3"/>
    <w:rPr>
      <w:rFonts w:ascii="Consolas" w:hAnsi="Consolas"/>
      <w:sz w:val="21"/>
      <w:szCs w:val="21"/>
    </w:rPr>
  </w:style>
  <w:style w:type="paragraph" w:styleId="BodyText">
    <w:name w:val="Body Text"/>
    <w:link w:val="BodyTextChar"/>
    <w:rsid w:val="00EA68F3"/>
    <w:pPr>
      <w:spacing w:after="120"/>
    </w:pPr>
    <w:rPr>
      <w:szCs w:val="20"/>
    </w:rPr>
  </w:style>
  <w:style w:type="character" w:customStyle="1" w:styleId="BodyTextChar">
    <w:name w:val="Body Text Char"/>
    <w:basedOn w:val="DefaultParagraphFont"/>
    <w:link w:val="BodyText"/>
    <w:rsid w:val="00EA68F3"/>
    <w:rPr>
      <w:szCs w:val="20"/>
    </w:rPr>
  </w:style>
  <w:style w:type="paragraph" w:customStyle="1" w:styleId="Figureheading">
    <w:name w:val="Figure heading"/>
    <w:next w:val="Normal"/>
    <w:qFormat/>
    <w:rsid w:val="00EA68F3"/>
    <w:pPr>
      <w:tabs>
        <w:tab w:val="left" w:pos="1134"/>
      </w:tabs>
      <w:spacing w:before="240" w:after="240"/>
      <w:ind w:left="1134" w:hanging="1134"/>
    </w:pPr>
    <w:rPr>
      <w:b/>
      <w:szCs w:val="20"/>
    </w:rPr>
  </w:style>
  <w:style w:type="paragraph" w:customStyle="1" w:styleId="References">
    <w:name w:val="References"/>
    <w:qFormat/>
    <w:rsid w:val="00EA68F3"/>
    <w:pPr>
      <w:tabs>
        <w:tab w:val="left" w:pos="567"/>
      </w:tabs>
      <w:spacing w:after="120"/>
      <w:ind w:left="567" w:hanging="567"/>
    </w:pPr>
    <w:rPr>
      <w:szCs w:val="20"/>
    </w:rPr>
  </w:style>
  <w:style w:type="numbering" w:customStyle="1" w:styleId="Style12">
    <w:name w:val="Style12"/>
    <w:rsid w:val="00EA68F3"/>
    <w:pPr>
      <w:numPr>
        <w:numId w:val="4"/>
      </w:numPr>
    </w:pPr>
  </w:style>
  <w:style w:type="numbering" w:customStyle="1" w:styleId="111ATAGIWPreportheading3">
    <w:name w:val="1.1.1 ATAGI WP report heading 3"/>
    <w:basedOn w:val="NoList"/>
    <w:rsid w:val="00EA68F3"/>
    <w:pPr>
      <w:numPr>
        <w:numId w:val="5"/>
      </w:numPr>
    </w:pPr>
  </w:style>
  <w:style w:type="numbering" w:customStyle="1" w:styleId="1111ATAGIWPreportheading4">
    <w:name w:val="1.1.1.1 ATAGI WP report heading 4"/>
    <w:basedOn w:val="NoList"/>
    <w:rsid w:val="00EA68F3"/>
    <w:pPr>
      <w:numPr>
        <w:numId w:val="6"/>
      </w:numPr>
    </w:pPr>
  </w:style>
  <w:style w:type="numbering" w:customStyle="1" w:styleId="WPReportTemplate">
    <w:name w:val="WP Report Template"/>
    <w:uiPriority w:val="99"/>
    <w:rsid w:val="00EA68F3"/>
    <w:pPr>
      <w:numPr>
        <w:numId w:val="7"/>
      </w:numPr>
    </w:pPr>
  </w:style>
  <w:style w:type="paragraph" w:customStyle="1" w:styleId="Bodytext-indent">
    <w:name w:val="Body text - indent"/>
    <w:basedOn w:val="BodyText"/>
    <w:qFormat/>
    <w:rsid w:val="00EA68F3"/>
    <w:pPr>
      <w:tabs>
        <w:tab w:val="left" w:pos="357"/>
      </w:tabs>
      <w:ind w:left="714" w:hanging="357"/>
    </w:pPr>
    <w:rPr>
      <w:noProof/>
    </w:rPr>
  </w:style>
  <w:style w:type="paragraph" w:customStyle="1" w:styleId="Bodytext-bullet">
    <w:name w:val="Body text - bullet"/>
    <w:basedOn w:val="Bodytext-indent"/>
    <w:qFormat/>
    <w:rsid w:val="00EA68F3"/>
    <w:pPr>
      <w:numPr>
        <w:numId w:val="9"/>
      </w:numPr>
      <w:ind w:left="357" w:hanging="357"/>
    </w:pPr>
  </w:style>
  <w:style w:type="paragraph" w:customStyle="1" w:styleId="Bodytext-numberedlist">
    <w:name w:val="Body text - numbered list"/>
    <w:qFormat/>
    <w:rsid w:val="00EA68F3"/>
    <w:pPr>
      <w:numPr>
        <w:numId w:val="10"/>
      </w:numPr>
      <w:spacing w:after="120"/>
      <w:ind w:left="357" w:hanging="357"/>
    </w:pPr>
    <w:rPr>
      <w:szCs w:val="20"/>
    </w:rPr>
  </w:style>
  <w:style w:type="paragraph" w:styleId="BodyTextIndent">
    <w:name w:val="Body Text Indent"/>
    <w:basedOn w:val="Normal"/>
    <w:link w:val="BodyTextIndentChar"/>
    <w:uiPriority w:val="99"/>
    <w:semiHidden/>
    <w:unhideWhenUsed/>
    <w:rsid w:val="00EA68F3"/>
    <w:pPr>
      <w:spacing w:after="120"/>
      <w:ind w:left="283"/>
    </w:pPr>
  </w:style>
  <w:style w:type="character" w:customStyle="1" w:styleId="BodyTextIndentChar">
    <w:name w:val="Body Text Indent Char"/>
    <w:basedOn w:val="DefaultParagraphFont"/>
    <w:link w:val="BodyTextIndent"/>
    <w:uiPriority w:val="99"/>
    <w:semiHidden/>
    <w:rsid w:val="00EA68F3"/>
    <w:rPr>
      <w:rFonts w:ascii="Times" w:hAnsi="Times"/>
      <w:sz w:val="20"/>
      <w:szCs w:val="20"/>
    </w:rPr>
  </w:style>
  <w:style w:type="paragraph" w:customStyle="1" w:styleId="Tabletext">
    <w:name w:val="Table text"/>
    <w:qFormat/>
    <w:rsid w:val="00EA68F3"/>
    <w:pPr>
      <w:spacing w:before="60" w:after="60"/>
      <w:jc w:val="center"/>
    </w:pPr>
    <w:rPr>
      <w:sz w:val="20"/>
      <w:szCs w:val="20"/>
      <w:lang w:val="en-US" w:eastAsia="ja-JP"/>
    </w:rPr>
  </w:style>
  <w:style w:type="paragraph" w:customStyle="1" w:styleId="Summaryboxbullettext">
    <w:name w:val="Summary box bullet text"/>
    <w:autoRedefine/>
    <w:qFormat/>
    <w:rsid w:val="005B5FD8"/>
    <w:pPr>
      <w:numPr>
        <w:numId w:val="12"/>
      </w:numPr>
      <w:tabs>
        <w:tab w:val="left" w:pos="357"/>
      </w:tabs>
      <w:spacing w:after="60"/>
      <w:ind w:left="357" w:hanging="357"/>
    </w:pPr>
    <w:rPr>
      <w:sz w:val="21"/>
      <w:szCs w:val="20"/>
    </w:rPr>
  </w:style>
  <w:style w:type="character" w:customStyle="1" w:styleId="CommentTextChar1">
    <w:name w:val="Comment Text Char1"/>
    <w:aliases w:val="Comment Text Char Char, Char2 Char Char,Char2 Char Char,Char2 Char1 Char1"/>
    <w:semiHidden/>
    <w:rsid w:val="00EA68F3"/>
    <w:rPr>
      <w:rFonts w:ascii="Univers (W1)" w:hAnsi="Univers (W1)"/>
      <w:lang w:val="en-AU" w:eastAsia="en-AU" w:bidi="ar-SA"/>
    </w:rPr>
  </w:style>
  <w:style w:type="paragraph" w:customStyle="1" w:styleId="Summaryboxheading">
    <w:name w:val="Summary box heading"/>
    <w:basedOn w:val="Normal"/>
    <w:qFormat/>
    <w:rsid w:val="00EA68F3"/>
    <w:pPr>
      <w:spacing w:after="120"/>
    </w:pPr>
    <w:rPr>
      <w:rFonts w:ascii="Arial" w:hAnsi="Arial"/>
      <w:sz w:val="24"/>
    </w:rPr>
  </w:style>
  <w:style w:type="paragraph" w:customStyle="1" w:styleId="Tablecolumnheading">
    <w:name w:val="Table column heading"/>
    <w:qFormat/>
    <w:rsid w:val="00EA68F3"/>
    <w:pPr>
      <w:spacing w:before="60" w:after="60"/>
      <w:jc w:val="center"/>
    </w:pPr>
    <w:rPr>
      <w:b/>
      <w:sz w:val="20"/>
      <w:szCs w:val="20"/>
    </w:rPr>
  </w:style>
  <w:style w:type="paragraph" w:customStyle="1" w:styleId="Tablefootnote">
    <w:name w:val="Table footnote"/>
    <w:qFormat/>
    <w:rsid w:val="00EA68F3"/>
    <w:pPr>
      <w:tabs>
        <w:tab w:val="left" w:pos="284"/>
      </w:tabs>
      <w:spacing w:before="60"/>
      <w:ind w:left="284" w:hanging="284"/>
    </w:pPr>
    <w:rPr>
      <w:sz w:val="16"/>
      <w:szCs w:val="20"/>
      <w:lang w:val="en-US" w:eastAsia="ja-JP"/>
    </w:rPr>
  </w:style>
  <w:style w:type="paragraph" w:customStyle="1" w:styleId="Titletext">
    <w:name w:val="Title text"/>
    <w:rsid w:val="003D38F2"/>
    <w:pPr>
      <w:spacing w:before="240"/>
      <w:jc w:val="center"/>
    </w:pPr>
    <w:rPr>
      <w:b/>
      <w:sz w:val="30"/>
      <w:szCs w:val="26"/>
    </w:rPr>
  </w:style>
  <w:style w:type="character" w:styleId="FollowedHyperlink">
    <w:name w:val="FollowedHyperlink"/>
    <w:basedOn w:val="DefaultParagraphFont"/>
    <w:uiPriority w:val="99"/>
    <w:semiHidden/>
    <w:unhideWhenUsed/>
    <w:rsid w:val="000400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uiPriority="0"/>
    <w:lsdException w:name="footer" w:uiPriority="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8F4"/>
    <w:rPr>
      <w:rFonts w:ascii="Times" w:hAnsi="Times"/>
      <w:sz w:val="20"/>
      <w:szCs w:val="20"/>
    </w:rPr>
  </w:style>
  <w:style w:type="paragraph" w:styleId="Heading1">
    <w:name w:val="heading 1"/>
    <w:next w:val="Normal"/>
    <w:link w:val="Heading1Char"/>
    <w:qFormat/>
    <w:rsid w:val="00EA68F3"/>
    <w:pPr>
      <w:keepNext/>
      <w:keepLines/>
      <w:tabs>
        <w:tab w:val="left" w:pos="357"/>
      </w:tabs>
      <w:spacing w:before="240" w:after="240"/>
      <w:outlineLvl w:val="0"/>
    </w:pPr>
    <w:rPr>
      <w:rFonts w:ascii="Arial" w:eastAsiaTheme="majorEastAsia" w:hAnsi="Arial" w:cstheme="majorBidi"/>
      <w:b/>
      <w:bCs/>
      <w:sz w:val="28"/>
      <w:szCs w:val="28"/>
    </w:rPr>
  </w:style>
  <w:style w:type="paragraph" w:styleId="Heading2">
    <w:name w:val="heading 2"/>
    <w:next w:val="Normal"/>
    <w:link w:val="Heading2Char"/>
    <w:qFormat/>
    <w:rsid w:val="00EA68F3"/>
    <w:pPr>
      <w:keepNext/>
      <w:keepLines/>
      <w:tabs>
        <w:tab w:val="left" w:pos="709"/>
      </w:tabs>
      <w:spacing w:before="360" w:after="120"/>
      <w:outlineLvl w:val="1"/>
    </w:pPr>
    <w:rPr>
      <w:rFonts w:ascii="Arial" w:eastAsiaTheme="majorEastAsia" w:hAnsi="Arial" w:cs="Arial"/>
      <w:b/>
      <w:bCs/>
      <w:sz w:val="24"/>
      <w:szCs w:val="24"/>
    </w:rPr>
  </w:style>
  <w:style w:type="paragraph" w:styleId="Heading3">
    <w:name w:val="heading 3"/>
    <w:next w:val="Normal"/>
    <w:link w:val="Heading3Char"/>
    <w:qFormat/>
    <w:locked/>
    <w:rsid w:val="00EA68F3"/>
    <w:pPr>
      <w:spacing w:before="120" w:after="120"/>
      <w:outlineLvl w:val="2"/>
    </w:pPr>
    <w:rPr>
      <w:rFonts w:ascii="Arial" w:hAnsi="Arial"/>
      <w:b/>
      <w:bCs/>
      <w:sz w:val="20"/>
      <w:szCs w:val="27"/>
    </w:rPr>
  </w:style>
  <w:style w:type="paragraph" w:styleId="Heading4">
    <w:name w:val="heading 4"/>
    <w:next w:val="Normal"/>
    <w:link w:val="Heading4Char"/>
    <w:qFormat/>
    <w:locked/>
    <w:rsid w:val="00EA68F3"/>
    <w:pPr>
      <w:keepNext/>
      <w:keepLines/>
      <w:spacing w:after="120"/>
      <w:outlineLvl w:val="3"/>
    </w:pPr>
    <w:rPr>
      <w:rFonts w:eastAsiaTheme="majorEastAsia" w:cstheme="majorBidi"/>
      <w:b/>
      <w:bCs/>
      <w:i/>
      <w:iCs/>
      <w:szCs w:val="20"/>
    </w:rPr>
  </w:style>
  <w:style w:type="paragraph" w:styleId="Heading5">
    <w:name w:val="heading 5"/>
    <w:basedOn w:val="Normal"/>
    <w:next w:val="Normal"/>
    <w:link w:val="Heading5Char"/>
    <w:unhideWhenUsed/>
    <w:qFormat/>
    <w:locked/>
    <w:rsid w:val="00EA68F3"/>
    <w:pPr>
      <w:spacing w:before="240" w:after="60"/>
      <w:outlineLvl w:val="4"/>
    </w:pPr>
    <w:rPr>
      <w:rFonts w:ascii="Times New Roman" w:hAnsi="Times New Roman"/>
      <w:b/>
      <w:bCs/>
      <w:i/>
      <w:iCs/>
      <w:sz w:val="22"/>
      <w:szCs w:val="26"/>
    </w:rPr>
  </w:style>
  <w:style w:type="paragraph" w:styleId="Heading6">
    <w:name w:val="heading 6"/>
    <w:basedOn w:val="Normal"/>
    <w:next w:val="Normal"/>
    <w:link w:val="Heading6Char"/>
    <w:uiPriority w:val="9"/>
    <w:semiHidden/>
    <w:unhideWhenUsed/>
    <w:qFormat/>
    <w:locked/>
    <w:rsid w:val="00EA68F3"/>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EA68F3"/>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EA68F3"/>
    <w:pPr>
      <w:keepNext/>
      <w:keepLines/>
      <w:numPr>
        <w:ilvl w:val="7"/>
        <w:numId w:val="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EA68F3"/>
    <w:pPr>
      <w:keepNext/>
      <w:keepLines/>
      <w:numPr>
        <w:ilvl w:val="8"/>
        <w:numId w:val="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A68F3"/>
    <w:rPr>
      <w:rFonts w:ascii="Arial" w:eastAsiaTheme="majorEastAsia" w:hAnsi="Arial" w:cstheme="majorBidi"/>
      <w:b/>
      <w:bCs/>
      <w:sz w:val="28"/>
      <w:szCs w:val="28"/>
    </w:rPr>
  </w:style>
  <w:style w:type="character" w:customStyle="1" w:styleId="Heading2Char">
    <w:name w:val="Heading 2 Char"/>
    <w:basedOn w:val="DefaultParagraphFont"/>
    <w:link w:val="Heading2"/>
    <w:locked/>
    <w:rsid w:val="00EA68F3"/>
    <w:rPr>
      <w:rFonts w:ascii="Arial" w:eastAsiaTheme="majorEastAsia" w:hAnsi="Arial" w:cs="Arial"/>
      <w:b/>
      <w:bCs/>
      <w:sz w:val="24"/>
      <w:szCs w:val="24"/>
    </w:rPr>
  </w:style>
  <w:style w:type="paragraph" w:styleId="Header">
    <w:name w:val="header"/>
    <w:basedOn w:val="Normal"/>
    <w:link w:val="HeaderChar"/>
    <w:unhideWhenUsed/>
    <w:rsid w:val="00EA68F3"/>
    <w:pPr>
      <w:tabs>
        <w:tab w:val="center" w:pos="4513"/>
        <w:tab w:val="right" w:pos="9026"/>
      </w:tabs>
    </w:pPr>
  </w:style>
  <w:style w:type="character" w:customStyle="1" w:styleId="HeaderChar">
    <w:name w:val="Header Char"/>
    <w:basedOn w:val="DefaultParagraphFont"/>
    <w:link w:val="Header"/>
    <w:locked/>
    <w:rsid w:val="00EA68F3"/>
    <w:rPr>
      <w:rFonts w:ascii="Times" w:hAnsi="Times"/>
      <w:sz w:val="20"/>
      <w:szCs w:val="20"/>
    </w:rPr>
  </w:style>
  <w:style w:type="paragraph" w:styleId="Footer">
    <w:name w:val="footer"/>
    <w:basedOn w:val="Normal"/>
    <w:link w:val="FooterChar"/>
    <w:rsid w:val="00EA68F3"/>
    <w:pPr>
      <w:pBdr>
        <w:top w:val="single" w:sz="4" w:space="1" w:color="auto"/>
      </w:pBdr>
      <w:tabs>
        <w:tab w:val="center" w:pos="4513"/>
        <w:tab w:val="left" w:pos="4935"/>
        <w:tab w:val="right" w:pos="9026"/>
      </w:tabs>
    </w:pPr>
  </w:style>
  <w:style w:type="character" w:customStyle="1" w:styleId="FooterChar">
    <w:name w:val="Footer Char"/>
    <w:basedOn w:val="DefaultParagraphFont"/>
    <w:link w:val="Footer"/>
    <w:locked/>
    <w:rsid w:val="00EA68F3"/>
    <w:rPr>
      <w:rFonts w:ascii="Times" w:hAnsi="Times"/>
      <w:sz w:val="20"/>
      <w:szCs w:val="20"/>
    </w:rPr>
  </w:style>
  <w:style w:type="character" w:styleId="CommentReference">
    <w:name w:val="annotation reference"/>
    <w:basedOn w:val="DefaultParagraphFont"/>
    <w:semiHidden/>
    <w:unhideWhenUsed/>
    <w:rsid w:val="00EA68F3"/>
    <w:rPr>
      <w:sz w:val="16"/>
      <w:szCs w:val="16"/>
    </w:rPr>
  </w:style>
  <w:style w:type="paragraph" w:styleId="CommentText">
    <w:name w:val="annotation text"/>
    <w:aliases w:val=" Char2 Char, Char2 Char1,Char2 Char,Char2 Char1"/>
    <w:basedOn w:val="Normal"/>
    <w:link w:val="CommentTextChar"/>
    <w:semiHidden/>
    <w:unhideWhenUsed/>
    <w:rsid w:val="00EA68F3"/>
  </w:style>
  <w:style w:type="character" w:customStyle="1" w:styleId="CommentTextChar">
    <w:name w:val="Comment Text Char"/>
    <w:aliases w:val=" Char2 Char Char1, Char2 Char1 Char,Char2 Char Char1,Char2 Char1 Char"/>
    <w:basedOn w:val="DefaultParagraphFont"/>
    <w:link w:val="CommentText"/>
    <w:semiHidden/>
    <w:locked/>
    <w:rsid w:val="00EA68F3"/>
    <w:rPr>
      <w:rFonts w:ascii="Times" w:hAnsi="Times"/>
      <w:sz w:val="20"/>
      <w:szCs w:val="20"/>
    </w:rPr>
  </w:style>
  <w:style w:type="character" w:styleId="Hyperlink">
    <w:name w:val="Hyperlink"/>
    <w:rsid w:val="00EA68F3"/>
    <w:rPr>
      <w:rFonts w:ascii="Times New Roman" w:hAnsi="Times New Roman"/>
      <w:color w:val="auto"/>
      <w:sz w:val="22"/>
      <w:u w:val="single"/>
    </w:rPr>
  </w:style>
  <w:style w:type="paragraph" w:styleId="BalloonText">
    <w:name w:val="Balloon Text"/>
    <w:basedOn w:val="Normal"/>
    <w:link w:val="BalloonTextChar"/>
    <w:semiHidden/>
    <w:unhideWhenUsed/>
    <w:rsid w:val="00EA68F3"/>
    <w:rPr>
      <w:rFonts w:ascii="Tahoma" w:hAnsi="Tahoma" w:cs="Tahoma"/>
      <w:sz w:val="16"/>
      <w:szCs w:val="16"/>
    </w:rPr>
  </w:style>
  <w:style w:type="character" w:customStyle="1" w:styleId="BalloonTextChar">
    <w:name w:val="Balloon Text Char"/>
    <w:basedOn w:val="DefaultParagraphFont"/>
    <w:link w:val="BalloonText"/>
    <w:semiHidden/>
    <w:locked/>
    <w:rsid w:val="00EA68F3"/>
    <w:rPr>
      <w:rFonts w:ascii="Tahoma" w:hAnsi="Tahoma" w:cs="Tahoma"/>
      <w:sz w:val="16"/>
      <w:szCs w:val="16"/>
    </w:rPr>
  </w:style>
  <w:style w:type="paragraph" w:styleId="CommentSubject">
    <w:name w:val="annotation subject"/>
    <w:basedOn w:val="CommentText"/>
    <w:next w:val="CommentText"/>
    <w:link w:val="CommentSubjectChar"/>
    <w:semiHidden/>
    <w:unhideWhenUsed/>
    <w:rsid w:val="00EA68F3"/>
    <w:rPr>
      <w:b/>
      <w:bCs/>
    </w:rPr>
  </w:style>
  <w:style w:type="character" w:customStyle="1" w:styleId="CommentSubjectChar">
    <w:name w:val="Comment Subject Char"/>
    <w:basedOn w:val="CommentTextChar"/>
    <w:link w:val="CommentSubject"/>
    <w:semiHidden/>
    <w:locked/>
    <w:rsid w:val="00EA68F3"/>
    <w:rPr>
      <w:rFonts w:ascii="Times" w:hAnsi="Times"/>
      <w:b/>
      <w:bCs/>
      <w:sz w:val="20"/>
      <w:szCs w:val="20"/>
    </w:rPr>
  </w:style>
  <w:style w:type="table" w:styleId="TableGrid">
    <w:name w:val="Table Grid"/>
    <w:basedOn w:val="TableNormal"/>
    <w:rsid w:val="00EA68F3"/>
    <w:rPr>
      <w:rFonts w:ascii="Times" w:hAnsi="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68F3"/>
    <w:rPr>
      <w:rFonts w:ascii="Times" w:hAnsi="Times"/>
      <w:sz w:val="24"/>
      <w:szCs w:val="24"/>
    </w:rPr>
  </w:style>
  <w:style w:type="character" w:customStyle="1" w:styleId="Heading3Char">
    <w:name w:val="Heading 3 Char"/>
    <w:basedOn w:val="DefaultParagraphFont"/>
    <w:link w:val="Heading3"/>
    <w:rsid w:val="00EA68F3"/>
    <w:rPr>
      <w:rFonts w:ascii="Arial" w:hAnsi="Arial"/>
      <w:b/>
      <w:bCs/>
      <w:sz w:val="20"/>
      <w:szCs w:val="27"/>
    </w:rPr>
  </w:style>
  <w:style w:type="character" w:customStyle="1" w:styleId="Heading4Char">
    <w:name w:val="Heading 4 Char"/>
    <w:basedOn w:val="DefaultParagraphFont"/>
    <w:link w:val="Heading4"/>
    <w:rsid w:val="00EA68F3"/>
    <w:rPr>
      <w:rFonts w:eastAsiaTheme="majorEastAsia" w:cstheme="majorBidi"/>
      <w:b/>
      <w:bCs/>
      <w:i/>
      <w:iCs/>
      <w:szCs w:val="20"/>
    </w:rPr>
  </w:style>
  <w:style w:type="character" w:customStyle="1" w:styleId="Heading5Char">
    <w:name w:val="Heading 5 Char"/>
    <w:basedOn w:val="DefaultParagraphFont"/>
    <w:link w:val="Heading5"/>
    <w:rsid w:val="00EA68F3"/>
    <w:rPr>
      <w:b/>
      <w:bCs/>
      <w:i/>
      <w:iCs/>
      <w:szCs w:val="26"/>
    </w:rPr>
  </w:style>
  <w:style w:type="character" w:customStyle="1" w:styleId="Heading6Char">
    <w:name w:val="Heading 6 Char"/>
    <w:basedOn w:val="DefaultParagraphFont"/>
    <w:link w:val="Heading6"/>
    <w:uiPriority w:val="9"/>
    <w:semiHidden/>
    <w:rsid w:val="00EA68F3"/>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A68F3"/>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A68F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A68F3"/>
    <w:rPr>
      <w:rFonts w:asciiTheme="majorHAnsi" w:eastAsiaTheme="majorEastAsia" w:hAnsiTheme="majorHAnsi" w:cstheme="majorBidi"/>
      <w:i/>
      <w:iCs/>
      <w:color w:val="404040" w:themeColor="text1" w:themeTint="BF"/>
      <w:sz w:val="20"/>
      <w:szCs w:val="20"/>
    </w:rPr>
  </w:style>
  <w:style w:type="paragraph" w:customStyle="1" w:styleId="Tableheading">
    <w:name w:val="Table heading"/>
    <w:next w:val="Normal"/>
    <w:qFormat/>
    <w:rsid w:val="00EA68F3"/>
    <w:pPr>
      <w:tabs>
        <w:tab w:val="left" w:pos="1021"/>
      </w:tabs>
      <w:spacing w:before="240" w:after="240"/>
      <w:ind w:left="1021" w:hanging="1021"/>
    </w:pPr>
    <w:rPr>
      <w:b/>
      <w:szCs w:val="20"/>
    </w:rPr>
  </w:style>
  <w:style w:type="table" w:customStyle="1" w:styleId="TableGrid1">
    <w:name w:val="Table Grid1"/>
    <w:basedOn w:val="TableNormal"/>
    <w:next w:val="TableGrid"/>
    <w:uiPriority w:val="59"/>
    <w:rsid w:val="00EA68F3"/>
    <w:rPr>
      <w:rFonts w:ascii="Times" w:eastAsiaTheme="minorHAnsi" w:hAnsi="Times"/>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rsid w:val="00EA68F3"/>
    <w:rPr>
      <w:rFonts w:ascii="Consolas" w:hAnsi="Consolas"/>
      <w:sz w:val="21"/>
      <w:szCs w:val="21"/>
    </w:rPr>
  </w:style>
  <w:style w:type="character" w:customStyle="1" w:styleId="PlainTextChar">
    <w:name w:val="Plain Text Char"/>
    <w:basedOn w:val="DefaultParagraphFont"/>
    <w:link w:val="PlainText"/>
    <w:uiPriority w:val="99"/>
    <w:semiHidden/>
    <w:rsid w:val="00EA68F3"/>
    <w:rPr>
      <w:rFonts w:ascii="Consolas" w:hAnsi="Consolas"/>
      <w:sz w:val="21"/>
      <w:szCs w:val="21"/>
    </w:rPr>
  </w:style>
  <w:style w:type="paragraph" w:styleId="BodyText">
    <w:name w:val="Body Text"/>
    <w:link w:val="BodyTextChar"/>
    <w:rsid w:val="00EA68F3"/>
    <w:pPr>
      <w:spacing w:after="120"/>
    </w:pPr>
    <w:rPr>
      <w:szCs w:val="20"/>
    </w:rPr>
  </w:style>
  <w:style w:type="character" w:customStyle="1" w:styleId="BodyTextChar">
    <w:name w:val="Body Text Char"/>
    <w:basedOn w:val="DefaultParagraphFont"/>
    <w:link w:val="BodyText"/>
    <w:rsid w:val="00EA68F3"/>
    <w:rPr>
      <w:szCs w:val="20"/>
    </w:rPr>
  </w:style>
  <w:style w:type="paragraph" w:customStyle="1" w:styleId="Figureheading">
    <w:name w:val="Figure heading"/>
    <w:next w:val="Normal"/>
    <w:qFormat/>
    <w:rsid w:val="00EA68F3"/>
    <w:pPr>
      <w:tabs>
        <w:tab w:val="left" w:pos="1134"/>
      </w:tabs>
      <w:spacing w:before="240" w:after="240"/>
      <w:ind w:left="1134" w:hanging="1134"/>
    </w:pPr>
    <w:rPr>
      <w:b/>
      <w:szCs w:val="20"/>
    </w:rPr>
  </w:style>
  <w:style w:type="paragraph" w:customStyle="1" w:styleId="References">
    <w:name w:val="References"/>
    <w:qFormat/>
    <w:rsid w:val="00EA68F3"/>
    <w:pPr>
      <w:tabs>
        <w:tab w:val="left" w:pos="567"/>
      </w:tabs>
      <w:spacing w:after="120"/>
      <w:ind w:left="567" w:hanging="567"/>
    </w:pPr>
    <w:rPr>
      <w:szCs w:val="20"/>
    </w:rPr>
  </w:style>
  <w:style w:type="numbering" w:customStyle="1" w:styleId="Style12">
    <w:name w:val="Style12"/>
    <w:rsid w:val="00EA68F3"/>
    <w:pPr>
      <w:numPr>
        <w:numId w:val="4"/>
      </w:numPr>
    </w:pPr>
  </w:style>
  <w:style w:type="numbering" w:customStyle="1" w:styleId="111ATAGIWPreportheading3">
    <w:name w:val="1.1.1 ATAGI WP report heading 3"/>
    <w:basedOn w:val="NoList"/>
    <w:rsid w:val="00EA68F3"/>
    <w:pPr>
      <w:numPr>
        <w:numId w:val="5"/>
      </w:numPr>
    </w:pPr>
  </w:style>
  <w:style w:type="numbering" w:customStyle="1" w:styleId="1111ATAGIWPreportheading4">
    <w:name w:val="1.1.1.1 ATAGI WP report heading 4"/>
    <w:basedOn w:val="NoList"/>
    <w:rsid w:val="00EA68F3"/>
    <w:pPr>
      <w:numPr>
        <w:numId w:val="6"/>
      </w:numPr>
    </w:pPr>
  </w:style>
  <w:style w:type="numbering" w:customStyle="1" w:styleId="WPReportTemplate">
    <w:name w:val="WP Report Template"/>
    <w:uiPriority w:val="99"/>
    <w:rsid w:val="00EA68F3"/>
    <w:pPr>
      <w:numPr>
        <w:numId w:val="7"/>
      </w:numPr>
    </w:pPr>
  </w:style>
  <w:style w:type="paragraph" w:customStyle="1" w:styleId="Bodytext-indent">
    <w:name w:val="Body text - indent"/>
    <w:basedOn w:val="BodyText"/>
    <w:qFormat/>
    <w:rsid w:val="00EA68F3"/>
    <w:pPr>
      <w:tabs>
        <w:tab w:val="left" w:pos="357"/>
      </w:tabs>
      <w:ind w:left="714" w:hanging="357"/>
    </w:pPr>
    <w:rPr>
      <w:noProof/>
    </w:rPr>
  </w:style>
  <w:style w:type="paragraph" w:customStyle="1" w:styleId="Bodytext-bullet">
    <w:name w:val="Body text - bullet"/>
    <w:basedOn w:val="Bodytext-indent"/>
    <w:qFormat/>
    <w:rsid w:val="00EA68F3"/>
    <w:pPr>
      <w:numPr>
        <w:numId w:val="9"/>
      </w:numPr>
      <w:ind w:left="357" w:hanging="357"/>
    </w:pPr>
  </w:style>
  <w:style w:type="paragraph" w:customStyle="1" w:styleId="Bodytext-numberedlist">
    <w:name w:val="Body text - numbered list"/>
    <w:qFormat/>
    <w:rsid w:val="00EA68F3"/>
    <w:pPr>
      <w:numPr>
        <w:numId w:val="10"/>
      </w:numPr>
      <w:spacing w:after="120"/>
      <w:ind w:left="357" w:hanging="357"/>
    </w:pPr>
    <w:rPr>
      <w:szCs w:val="20"/>
    </w:rPr>
  </w:style>
  <w:style w:type="paragraph" w:styleId="BodyTextIndent">
    <w:name w:val="Body Text Indent"/>
    <w:basedOn w:val="Normal"/>
    <w:link w:val="BodyTextIndentChar"/>
    <w:uiPriority w:val="99"/>
    <w:semiHidden/>
    <w:unhideWhenUsed/>
    <w:rsid w:val="00EA68F3"/>
    <w:pPr>
      <w:spacing w:after="120"/>
      <w:ind w:left="283"/>
    </w:pPr>
  </w:style>
  <w:style w:type="character" w:customStyle="1" w:styleId="BodyTextIndentChar">
    <w:name w:val="Body Text Indent Char"/>
    <w:basedOn w:val="DefaultParagraphFont"/>
    <w:link w:val="BodyTextIndent"/>
    <w:uiPriority w:val="99"/>
    <w:semiHidden/>
    <w:rsid w:val="00EA68F3"/>
    <w:rPr>
      <w:rFonts w:ascii="Times" w:hAnsi="Times"/>
      <w:sz w:val="20"/>
      <w:szCs w:val="20"/>
    </w:rPr>
  </w:style>
  <w:style w:type="paragraph" w:customStyle="1" w:styleId="Tabletext">
    <w:name w:val="Table text"/>
    <w:qFormat/>
    <w:rsid w:val="00EA68F3"/>
    <w:pPr>
      <w:spacing w:before="60" w:after="60"/>
      <w:jc w:val="center"/>
    </w:pPr>
    <w:rPr>
      <w:sz w:val="20"/>
      <w:szCs w:val="20"/>
      <w:lang w:val="en-US" w:eastAsia="ja-JP"/>
    </w:rPr>
  </w:style>
  <w:style w:type="paragraph" w:customStyle="1" w:styleId="Summaryboxbullettext">
    <w:name w:val="Summary box bullet text"/>
    <w:autoRedefine/>
    <w:qFormat/>
    <w:rsid w:val="005B5FD8"/>
    <w:pPr>
      <w:numPr>
        <w:numId w:val="12"/>
      </w:numPr>
      <w:tabs>
        <w:tab w:val="left" w:pos="357"/>
      </w:tabs>
      <w:spacing w:after="60"/>
      <w:ind w:left="357" w:hanging="357"/>
    </w:pPr>
    <w:rPr>
      <w:sz w:val="21"/>
      <w:szCs w:val="20"/>
    </w:rPr>
  </w:style>
  <w:style w:type="character" w:customStyle="1" w:styleId="CommentTextChar1">
    <w:name w:val="Comment Text Char1"/>
    <w:aliases w:val="Comment Text Char Char, Char2 Char Char,Char2 Char Char,Char2 Char1 Char1"/>
    <w:semiHidden/>
    <w:rsid w:val="00EA68F3"/>
    <w:rPr>
      <w:rFonts w:ascii="Univers (W1)" w:hAnsi="Univers (W1)"/>
      <w:lang w:val="en-AU" w:eastAsia="en-AU" w:bidi="ar-SA"/>
    </w:rPr>
  </w:style>
  <w:style w:type="paragraph" w:customStyle="1" w:styleId="Summaryboxheading">
    <w:name w:val="Summary box heading"/>
    <w:basedOn w:val="Normal"/>
    <w:qFormat/>
    <w:rsid w:val="00EA68F3"/>
    <w:pPr>
      <w:spacing w:after="120"/>
    </w:pPr>
    <w:rPr>
      <w:rFonts w:ascii="Arial" w:hAnsi="Arial"/>
      <w:sz w:val="24"/>
    </w:rPr>
  </w:style>
  <w:style w:type="paragraph" w:customStyle="1" w:styleId="Tablecolumnheading">
    <w:name w:val="Table column heading"/>
    <w:qFormat/>
    <w:rsid w:val="00EA68F3"/>
    <w:pPr>
      <w:spacing w:before="60" w:after="60"/>
      <w:jc w:val="center"/>
    </w:pPr>
    <w:rPr>
      <w:b/>
      <w:sz w:val="20"/>
      <w:szCs w:val="20"/>
    </w:rPr>
  </w:style>
  <w:style w:type="paragraph" w:customStyle="1" w:styleId="Tablefootnote">
    <w:name w:val="Table footnote"/>
    <w:qFormat/>
    <w:rsid w:val="00EA68F3"/>
    <w:pPr>
      <w:tabs>
        <w:tab w:val="left" w:pos="284"/>
      </w:tabs>
      <w:spacing w:before="60"/>
      <w:ind w:left="284" w:hanging="284"/>
    </w:pPr>
    <w:rPr>
      <w:sz w:val="16"/>
      <w:szCs w:val="20"/>
      <w:lang w:val="en-US" w:eastAsia="ja-JP"/>
    </w:rPr>
  </w:style>
  <w:style w:type="paragraph" w:customStyle="1" w:styleId="Titletext">
    <w:name w:val="Title text"/>
    <w:rsid w:val="003D38F2"/>
    <w:pPr>
      <w:spacing w:before="240"/>
      <w:jc w:val="center"/>
    </w:pPr>
    <w:rPr>
      <w:b/>
      <w:sz w:val="30"/>
      <w:szCs w:val="26"/>
    </w:rPr>
  </w:style>
  <w:style w:type="character" w:styleId="FollowedHyperlink">
    <w:name w:val="FollowedHyperlink"/>
    <w:basedOn w:val="DefaultParagraphFont"/>
    <w:uiPriority w:val="99"/>
    <w:semiHidden/>
    <w:unhideWhenUsed/>
    <w:rsid w:val="000400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munisation.ie/en/Conferences/2013VPDConference/PDFFile_17228_en.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mmunise.health.gov.a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49B7F9C-A4D5-40D3-849B-44AD2857E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2992</Words>
  <Characters>36007</Characters>
  <Application>Microsoft Office Word</Application>
  <DocSecurity>0</DocSecurity>
  <Lines>300</Lines>
  <Paragraphs>77</Paragraphs>
  <ScaleCrop>false</ScaleCrop>
  <Company/>
  <LinksUpToDate>false</LinksUpToDate>
  <CharactersWithSpaces>38922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ATAGI Advice to Immunisation Providers on Use of Bexsero®</dc:title>
  <dc:subject/>
  <dc:creator/>
  <cp:keywords/>
  <cp:lastModifiedBy/>
  <cp:revision>1</cp:revision>
  <dcterms:created xsi:type="dcterms:W3CDTF">2018-01-10T22:24:00Z</dcterms:created>
  <dcterms:modified xsi:type="dcterms:W3CDTF">2018-01-10T22:24:00Z</dcterms:modified>
</cp:coreProperties>
</file>