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9F45" w14:textId="77777777" w:rsidR="008261EE" w:rsidRPr="00764216" w:rsidRDefault="003E2BE8" w:rsidP="00846AF4">
      <w:pPr>
        <w:pStyle w:val="Subtitle"/>
      </w:pPr>
      <w:bookmarkStart w:id="0" w:name="_Toc517096229"/>
      <w:bookmarkStart w:id="1" w:name="_Toc521942653"/>
      <w:r w:rsidRPr="006C47A3">
        <w:t>Appendix 1</w:t>
      </w:r>
      <w:bookmarkEnd w:id="0"/>
      <w:bookmarkEnd w:id="1"/>
    </w:p>
    <w:p w14:paraId="68AE9F49" w14:textId="77777777" w:rsidR="00003743" w:rsidRPr="00764216" w:rsidRDefault="003E2BE8" w:rsidP="0030067B">
      <w:pPr>
        <w:pStyle w:val="Title"/>
        <w:spacing w:before="2000"/>
      </w:pPr>
      <w:r w:rsidRPr="00764216">
        <w:t>Supplementary Information</w:t>
      </w:r>
    </w:p>
    <w:p w14:paraId="68AE9F52" w14:textId="77777777" w:rsidR="008261EE" w:rsidRPr="006C47A3" w:rsidRDefault="008261EE" w:rsidP="00764216">
      <w:pPr>
        <w:pStyle w:val="Title"/>
      </w:pPr>
      <w:bookmarkStart w:id="2" w:name="_Toc494370682"/>
      <w:bookmarkStart w:id="3" w:name="_Toc496272283"/>
      <w:bookmarkStart w:id="4" w:name="_Toc496531429"/>
      <w:bookmarkStart w:id="5" w:name="_Toc497205691"/>
      <w:bookmarkStart w:id="6" w:name="_Toc497224666"/>
      <w:bookmarkStart w:id="7" w:name="_Toc497224713"/>
      <w:bookmarkStart w:id="8" w:name="_Toc497375475"/>
      <w:bookmarkStart w:id="9" w:name="_Toc497399466"/>
      <w:bookmarkStart w:id="10" w:name="_Toc497404543"/>
      <w:bookmarkStart w:id="11" w:name="_Toc497475698"/>
      <w:bookmarkStart w:id="12" w:name="_Toc497743944"/>
      <w:bookmarkStart w:id="13" w:name="_Toc497743968"/>
      <w:bookmarkStart w:id="14" w:name="_Toc497811247"/>
      <w:bookmarkStart w:id="15" w:name="_Toc497815550"/>
      <w:bookmarkStart w:id="16" w:name="_Toc497816153"/>
      <w:bookmarkStart w:id="17" w:name="_Toc497827534"/>
      <w:bookmarkStart w:id="18" w:name="_Toc497985801"/>
      <w:bookmarkStart w:id="19" w:name="_Toc498073653"/>
      <w:bookmarkStart w:id="20" w:name="_Toc498073705"/>
      <w:bookmarkStart w:id="21" w:name="_Toc498086506"/>
      <w:bookmarkStart w:id="22" w:name="_Toc498091985"/>
      <w:bookmarkStart w:id="23" w:name="_Toc498092037"/>
      <w:bookmarkStart w:id="24" w:name="_Toc498598018"/>
      <w:bookmarkStart w:id="25" w:name="_Toc498600779"/>
      <w:bookmarkStart w:id="26" w:name="_Toc498945307"/>
      <w:bookmarkStart w:id="27" w:name="_Toc498954213"/>
      <w:bookmarkStart w:id="28" w:name="_Toc499038082"/>
      <w:bookmarkStart w:id="29" w:name="_Toc499038157"/>
      <w:bookmarkStart w:id="30" w:name="_Toc499134088"/>
      <w:bookmarkStart w:id="31" w:name="_Toc499626114"/>
      <w:bookmarkStart w:id="32" w:name="_Toc499905372"/>
      <w:bookmarkStart w:id="33" w:name="_Toc499905716"/>
      <w:bookmarkStart w:id="34" w:name="_Toc507166427"/>
      <w:bookmarkStart w:id="35" w:name="_Toc521942654"/>
      <w:r w:rsidRPr="006C47A3">
        <w:t>Australian Government response to the Standing Committee on Hea</w:t>
      </w:r>
      <w:r w:rsidR="00861192" w:rsidRPr="006C47A3">
        <w:t>lth, Aged Care and Sport report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8AE9F56" w14:textId="77777777" w:rsidR="008261EE" w:rsidRPr="006C47A3" w:rsidRDefault="008261EE" w:rsidP="00764216">
      <w:pPr>
        <w:pStyle w:val="Title"/>
      </w:pPr>
      <w:bookmarkStart w:id="36" w:name="_Toc494370683"/>
      <w:bookmarkStart w:id="37" w:name="_Toc496272284"/>
      <w:bookmarkStart w:id="38" w:name="_Toc496531430"/>
      <w:bookmarkStart w:id="39" w:name="_Toc497205692"/>
      <w:bookmarkStart w:id="40" w:name="_Toc497224667"/>
      <w:bookmarkStart w:id="41" w:name="_Toc497224714"/>
      <w:bookmarkStart w:id="42" w:name="_Toc497375476"/>
      <w:bookmarkStart w:id="43" w:name="_Toc497399467"/>
      <w:bookmarkStart w:id="44" w:name="_Toc497404544"/>
      <w:bookmarkStart w:id="45" w:name="_Toc497475699"/>
      <w:bookmarkStart w:id="46" w:name="_Toc497743945"/>
      <w:bookmarkStart w:id="47" w:name="_Toc497743969"/>
      <w:bookmarkStart w:id="48" w:name="_Toc497811248"/>
      <w:bookmarkStart w:id="49" w:name="_Toc497815551"/>
      <w:bookmarkStart w:id="50" w:name="_Toc497816154"/>
      <w:bookmarkStart w:id="51" w:name="_Toc497827535"/>
      <w:bookmarkStart w:id="52" w:name="_Toc497985802"/>
      <w:bookmarkStart w:id="53" w:name="_Toc498073654"/>
      <w:bookmarkStart w:id="54" w:name="_Toc498073706"/>
      <w:bookmarkStart w:id="55" w:name="_Toc498086507"/>
      <w:bookmarkStart w:id="56" w:name="_Toc498091986"/>
      <w:bookmarkStart w:id="57" w:name="_Toc498092038"/>
      <w:bookmarkStart w:id="58" w:name="_Toc498598019"/>
      <w:bookmarkStart w:id="59" w:name="_Toc498600780"/>
      <w:bookmarkStart w:id="60" w:name="_Toc498945308"/>
      <w:bookmarkStart w:id="61" w:name="_Toc498954214"/>
      <w:bookmarkStart w:id="62" w:name="_Toc499038083"/>
      <w:bookmarkStart w:id="63" w:name="_Toc499038158"/>
      <w:bookmarkStart w:id="64" w:name="_Toc499134089"/>
      <w:bookmarkStart w:id="65" w:name="_Toc499626115"/>
      <w:bookmarkStart w:id="66" w:name="_Toc499905373"/>
      <w:bookmarkStart w:id="67" w:name="_Toc499905717"/>
      <w:bookmarkStart w:id="68" w:name="_Toc507166428"/>
      <w:bookmarkStart w:id="69" w:name="_Toc517096230"/>
      <w:bookmarkStart w:id="70" w:name="_Toc521942655"/>
      <w:r w:rsidRPr="006C47A3">
        <w:t>Still waiting to be heard… Report on the Inquiry into the Hearing Health and Wellbeing of Australia</w:t>
      </w:r>
      <w:bookmarkStart w:id="71" w:name="_GoBack"/>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21DE389" w14:textId="657C9B7C" w:rsidR="00030E93" w:rsidRDefault="006F5AF3" w:rsidP="00846AF4">
      <w:pPr>
        <w:spacing w:before="6000" w:after="0" w:line="240" w:lineRule="auto"/>
        <w:jc w:val="right"/>
      </w:pPr>
      <w:bookmarkStart w:id="72" w:name="_Toc494370684"/>
      <w:bookmarkStart w:id="73" w:name="_Toc496272285"/>
      <w:bookmarkStart w:id="74" w:name="_Toc496531431"/>
      <w:bookmarkStart w:id="75" w:name="_Toc497205693"/>
      <w:bookmarkStart w:id="76" w:name="_Toc497224668"/>
      <w:bookmarkStart w:id="77" w:name="_Toc497224715"/>
      <w:bookmarkStart w:id="78" w:name="_Toc497375477"/>
      <w:bookmarkStart w:id="79" w:name="_Toc497399468"/>
      <w:bookmarkStart w:id="80" w:name="_Toc497404545"/>
      <w:bookmarkStart w:id="81" w:name="_Toc497475700"/>
      <w:bookmarkStart w:id="82" w:name="_Toc497743946"/>
      <w:bookmarkStart w:id="83" w:name="_Toc497743970"/>
      <w:bookmarkStart w:id="84" w:name="_Toc497811249"/>
      <w:bookmarkStart w:id="85" w:name="_Toc497815552"/>
      <w:bookmarkStart w:id="86" w:name="_Toc497816155"/>
      <w:bookmarkStart w:id="87" w:name="_Toc497827536"/>
      <w:bookmarkStart w:id="88" w:name="_Toc497985803"/>
      <w:bookmarkStart w:id="89" w:name="_Toc498073655"/>
      <w:bookmarkStart w:id="90" w:name="_Toc498073707"/>
      <w:bookmarkStart w:id="91" w:name="_Toc498086508"/>
      <w:bookmarkStart w:id="92" w:name="_Toc498091987"/>
      <w:bookmarkStart w:id="93" w:name="_Toc498092039"/>
      <w:bookmarkStart w:id="94" w:name="_Toc498598020"/>
      <w:bookmarkStart w:id="95" w:name="_Toc498600781"/>
      <w:bookmarkStart w:id="96" w:name="_Toc498945309"/>
      <w:bookmarkStart w:id="97" w:name="_Toc498954215"/>
      <w:bookmarkStart w:id="98" w:name="_Toc499038084"/>
      <w:bookmarkStart w:id="99" w:name="_Toc499038159"/>
      <w:bookmarkStart w:id="100" w:name="_Toc499134090"/>
      <w:bookmarkStart w:id="101" w:name="_Toc499626116"/>
      <w:bookmarkStart w:id="102" w:name="_Toc499905374"/>
      <w:bookmarkStart w:id="103" w:name="_Toc499905718"/>
      <w:bookmarkStart w:id="104" w:name="_Toc507166429"/>
      <w:r w:rsidRPr="00764216">
        <w:t xml:space="preserve">August </w:t>
      </w:r>
      <w:r w:rsidR="008261EE" w:rsidRPr="00764216">
        <w:t>20</w:t>
      </w:r>
      <w:bookmarkEnd w:id="72"/>
      <w:bookmarkEnd w:id="73"/>
      <w:bookmarkEnd w:id="74"/>
      <w:bookmarkEnd w:id="75"/>
      <w:bookmarkEnd w:id="76"/>
      <w:r w:rsidR="003A4D01" w:rsidRPr="00764216">
        <w:t>18</w:t>
      </w:r>
      <w:bookmarkStart w:id="105" w:name="_Toc1134913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sdt>
      <w:sdtPr>
        <w:id w:val="1952360139"/>
        <w:docPartObj>
          <w:docPartGallery w:val="Table of Contents"/>
          <w:docPartUnique/>
        </w:docPartObj>
      </w:sdtPr>
      <w:sdtEndPr>
        <w:rPr>
          <w:rFonts w:ascii="Times New Roman" w:eastAsia="Times New Roman" w:hAnsi="Times New Roman" w:cs="Times New Roman"/>
          <w:b w:val="0"/>
          <w:color w:val="auto"/>
          <w:sz w:val="24"/>
          <w:szCs w:val="24"/>
          <w:lang w:val="en-AU" w:eastAsia="en-US"/>
        </w:rPr>
      </w:sdtEndPr>
      <w:sdtContent>
        <w:p w14:paraId="2EDB4DE8" w14:textId="2DBCAC6E" w:rsidR="00030E93" w:rsidRDefault="00030E93" w:rsidP="00030E93">
          <w:pPr>
            <w:pStyle w:val="TOCHeading"/>
            <w:pageBreakBefore/>
            <w:spacing w:before="240"/>
          </w:pPr>
          <w:r>
            <w:t>Contents</w:t>
          </w:r>
        </w:p>
        <w:p w14:paraId="3FF68898" w14:textId="50963D8A" w:rsidR="00030E93" w:rsidRDefault="00030E93">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1349294" w:history="1">
            <w:r w:rsidRPr="00AB17D3">
              <w:rPr>
                <w:rStyle w:val="Hyperlink"/>
                <w:noProof/>
              </w:rPr>
              <w:t>Current Government Actions</w:t>
            </w:r>
            <w:r>
              <w:rPr>
                <w:noProof/>
                <w:webHidden/>
              </w:rPr>
              <w:tab/>
            </w:r>
            <w:r>
              <w:rPr>
                <w:noProof/>
                <w:webHidden/>
              </w:rPr>
              <w:fldChar w:fldCharType="begin"/>
            </w:r>
            <w:r>
              <w:rPr>
                <w:noProof/>
                <w:webHidden/>
              </w:rPr>
              <w:instrText xml:space="preserve"> PAGEREF _Toc11349294 \h </w:instrText>
            </w:r>
            <w:r>
              <w:rPr>
                <w:noProof/>
                <w:webHidden/>
              </w:rPr>
            </w:r>
            <w:r>
              <w:rPr>
                <w:noProof/>
                <w:webHidden/>
              </w:rPr>
              <w:fldChar w:fldCharType="separate"/>
            </w:r>
            <w:r>
              <w:rPr>
                <w:noProof/>
                <w:webHidden/>
              </w:rPr>
              <w:t>1</w:t>
            </w:r>
            <w:r>
              <w:rPr>
                <w:noProof/>
                <w:webHidden/>
              </w:rPr>
              <w:fldChar w:fldCharType="end"/>
            </w:r>
          </w:hyperlink>
        </w:p>
        <w:p w14:paraId="6FE2F5F3" w14:textId="55B6215E"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295" w:history="1">
            <w:r w:rsidRPr="00AB17D3">
              <w:rPr>
                <w:rStyle w:val="Hyperlink"/>
                <w:noProof/>
              </w:rPr>
              <w:t>Aboriginal and Torres Strait Islander Specific Measures</w:t>
            </w:r>
            <w:r>
              <w:rPr>
                <w:noProof/>
                <w:webHidden/>
              </w:rPr>
              <w:tab/>
            </w:r>
            <w:r>
              <w:rPr>
                <w:noProof/>
                <w:webHidden/>
              </w:rPr>
              <w:fldChar w:fldCharType="begin"/>
            </w:r>
            <w:r>
              <w:rPr>
                <w:noProof/>
                <w:webHidden/>
              </w:rPr>
              <w:instrText xml:space="preserve"> PAGEREF _Toc11349295 \h </w:instrText>
            </w:r>
            <w:r>
              <w:rPr>
                <w:noProof/>
                <w:webHidden/>
              </w:rPr>
            </w:r>
            <w:r>
              <w:rPr>
                <w:noProof/>
                <w:webHidden/>
              </w:rPr>
              <w:fldChar w:fldCharType="separate"/>
            </w:r>
            <w:r>
              <w:rPr>
                <w:noProof/>
                <w:webHidden/>
              </w:rPr>
              <w:t>1</w:t>
            </w:r>
            <w:r>
              <w:rPr>
                <w:noProof/>
                <w:webHidden/>
              </w:rPr>
              <w:fldChar w:fldCharType="end"/>
            </w:r>
          </w:hyperlink>
        </w:p>
        <w:p w14:paraId="71025719" w14:textId="043F77D6"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296" w:history="1">
            <w:r w:rsidRPr="00AB17D3">
              <w:rPr>
                <w:rStyle w:val="Hyperlink"/>
                <w:noProof/>
              </w:rPr>
              <w:t>Closing the Gap</w:t>
            </w:r>
            <w:r>
              <w:rPr>
                <w:noProof/>
                <w:webHidden/>
              </w:rPr>
              <w:tab/>
            </w:r>
            <w:r>
              <w:rPr>
                <w:noProof/>
                <w:webHidden/>
              </w:rPr>
              <w:fldChar w:fldCharType="begin"/>
            </w:r>
            <w:r>
              <w:rPr>
                <w:noProof/>
                <w:webHidden/>
              </w:rPr>
              <w:instrText xml:space="preserve"> PAGEREF _Toc11349296 \h </w:instrText>
            </w:r>
            <w:r>
              <w:rPr>
                <w:noProof/>
                <w:webHidden/>
              </w:rPr>
            </w:r>
            <w:r>
              <w:rPr>
                <w:noProof/>
                <w:webHidden/>
              </w:rPr>
              <w:fldChar w:fldCharType="separate"/>
            </w:r>
            <w:r>
              <w:rPr>
                <w:noProof/>
                <w:webHidden/>
              </w:rPr>
              <w:t>1</w:t>
            </w:r>
            <w:r>
              <w:rPr>
                <w:noProof/>
                <w:webHidden/>
              </w:rPr>
              <w:fldChar w:fldCharType="end"/>
            </w:r>
          </w:hyperlink>
        </w:p>
        <w:p w14:paraId="01D4429C" w14:textId="276BDB8B"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297" w:history="1">
            <w:r w:rsidRPr="00AB17D3">
              <w:rPr>
                <w:rStyle w:val="Hyperlink"/>
                <w:noProof/>
              </w:rPr>
              <w:t>Indigenous Advancement Strategy</w:t>
            </w:r>
            <w:r>
              <w:rPr>
                <w:noProof/>
                <w:webHidden/>
              </w:rPr>
              <w:tab/>
            </w:r>
            <w:r>
              <w:rPr>
                <w:noProof/>
                <w:webHidden/>
              </w:rPr>
              <w:fldChar w:fldCharType="begin"/>
            </w:r>
            <w:r>
              <w:rPr>
                <w:noProof/>
                <w:webHidden/>
              </w:rPr>
              <w:instrText xml:space="preserve"> PAGEREF _Toc11349297 \h </w:instrText>
            </w:r>
            <w:r>
              <w:rPr>
                <w:noProof/>
                <w:webHidden/>
              </w:rPr>
            </w:r>
            <w:r>
              <w:rPr>
                <w:noProof/>
                <w:webHidden/>
              </w:rPr>
              <w:fldChar w:fldCharType="separate"/>
            </w:r>
            <w:r>
              <w:rPr>
                <w:noProof/>
                <w:webHidden/>
              </w:rPr>
              <w:t>1</w:t>
            </w:r>
            <w:r>
              <w:rPr>
                <w:noProof/>
                <w:webHidden/>
              </w:rPr>
              <w:fldChar w:fldCharType="end"/>
            </w:r>
          </w:hyperlink>
        </w:p>
        <w:p w14:paraId="470C1D22" w14:textId="771ACC64"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298" w:history="1">
            <w:r w:rsidRPr="00AB17D3">
              <w:rPr>
                <w:rStyle w:val="Hyperlink"/>
                <w:noProof/>
              </w:rPr>
              <w:t>National Aboriginal and Torres Strait Islander Health Plan 2013-2023</w:t>
            </w:r>
            <w:r>
              <w:rPr>
                <w:noProof/>
                <w:webHidden/>
              </w:rPr>
              <w:tab/>
            </w:r>
            <w:r>
              <w:rPr>
                <w:noProof/>
                <w:webHidden/>
              </w:rPr>
              <w:fldChar w:fldCharType="begin"/>
            </w:r>
            <w:r>
              <w:rPr>
                <w:noProof/>
                <w:webHidden/>
              </w:rPr>
              <w:instrText xml:space="preserve"> PAGEREF _Toc11349298 \h </w:instrText>
            </w:r>
            <w:r>
              <w:rPr>
                <w:noProof/>
                <w:webHidden/>
              </w:rPr>
            </w:r>
            <w:r>
              <w:rPr>
                <w:noProof/>
                <w:webHidden/>
              </w:rPr>
              <w:fldChar w:fldCharType="separate"/>
            </w:r>
            <w:r>
              <w:rPr>
                <w:noProof/>
                <w:webHidden/>
              </w:rPr>
              <w:t>2</w:t>
            </w:r>
            <w:r>
              <w:rPr>
                <w:noProof/>
                <w:webHidden/>
              </w:rPr>
              <w:fldChar w:fldCharType="end"/>
            </w:r>
          </w:hyperlink>
        </w:p>
        <w:p w14:paraId="36C67F9D" w14:textId="3B9EE6B9"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299" w:history="1">
            <w:r w:rsidRPr="00AB17D3">
              <w:rPr>
                <w:rStyle w:val="Hyperlink"/>
                <w:noProof/>
              </w:rPr>
              <w:t>National Disability Strategy</w:t>
            </w:r>
            <w:r>
              <w:rPr>
                <w:noProof/>
                <w:webHidden/>
              </w:rPr>
              <w:tab/>
            </w:r>
            <w:r>
              <w:rPr>
                <w:noProof/>
                <w:webHidden/>
              </w:rPr>
              <w:fldChar w:fldCharType="begin"/>
            </w:r>
            <w:r>
              <w:rPr>
                <w:noProof/>
                <w:webHidden/>
              </w:rPr>
              <w:instrText xml:space="preserve"> PAGEREF _Toc11349299 \h </w:instrText>
            </w:r>
            <w:r>
              <w:rPr>
                <w:noProof/>
                <w:webHidden/>
              </w:rPr>
            </w:r>
            <w:r>
              <w:rPr>
                <w:noProof/>
                <w:webHidden/>
              </w:rPr>
              <w:fldChar w:fldCharType="separate"/>
            </w:r>
            <w:r>
              <w:rPr>
                <w:noProof/>
                <w:webHidden/>
              </w:rPr>
              <w:t>2</w:t>
            </w:r>
            <w:r>
              <w:rPr>
                <w:noProof/>
                <w:webHidden/>
              </w:rPr>
              <w:fldChar w:fldCharType="end"/>
            </w:r>
          </w:hyperlink>
        </w:p>
        <w:p w14:paraId="781A87D8" w14:textId="61D05A12"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0" w:history="1">
            <w:r w:rsidRPr="00AB17D3">
              <w:rPr>
                <w:rStyle w:val="Hyperlink"/>
                <w:noProof/>
              </w:rPr>
              <w:t>Current Government Supports and Programs - Health</w:t>
            </w:r>
            <w:r>
              <w:rPr>
                <w:noProof/>
                <w:webHidden/>
              </w:rPr>
              <w:tab/>
            </w:r>
            <w:r>
              <w:rPr>
                <w:noProof/>
                <w:webHidden/>
              </w:rPr>
              <w:fldChar w:fldCharType="begin"/>
            </w:r>
            <w:r>
              <w:rPr>
                <w:noProof/>
                <w:webHidden/>
              </w:rPr>
              <w:instrText xml:space="preserve"> PAGEREF _Toc11349300 \h </w:instrText>
            </w:r>
            <w:r>
              <w:rPr>
                <w:noProof/>
                <w:webHidden/>
              </w:rPr>
            </w:r>
            <w:r>
              <w:rPr>
                <w:noProof/>
                <w:webHidden/>
              </w:rPr>
              <w:fldChar w:fldCharType="separate"/>
            </w:r>
            <w:r>
              <w:rPr>
                <w:noProof/>
                <w:webHidden/>
              </w:rPr>
              <w:t>3</w:t>
            </w:r>
            <w:r>
              <w:rPr>
                <w:noProof/>
                <w:webHidden/>
              </w:rPr>
              <w:fldChar w:fldCharType="end"/>
            </w:r>
          </w:hyperlink>
        </w:p>
        <w:p w14:paraId="2CDA5332" w14:textId="3B73C144"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1" w:history="1">
            <w:r w:rsidRPr="00AB17D3">
              <w:rPr>
                <w:rStyle w:val="Hyperlink"/>
                <w:noProof/>
              </w:rPr>
              <w:t>Current Government Supports and Programs – Education</w:t>
            </w:r>
            <w:r>
              <w:rPr>
                <w:noProof/>
                <w:webHidden/>
              </w:rPr>
              <w:tab/>
            </w:r>
            <w:r>
              <w:rPr>
                <w:noProof/>
                <w:webHidden/>
              </w:rPr>
              <w:fldChar w:fldCharType="begin"/>
            </w:r>
            <w:r>
              <w:rPr>
                <w:noProof/>
                <w:webHidden/>
              </w:rPr>
              <w:instrText xml:space="preserve"> PAGEREF _Toc11349301 \h </w:instrText>
            </w:r>
            <w:r>
              <w:rPr>
                <w:noProof/>
                <w:webHidden/>
              </w:rPr>
            </w:r>
            <w:r>
              <w:rPr>
                <w:noProof/>
                <w:webHidden/>
              </w:rPr>
              <w:fldChar w:fldCharType="separate"/>
            </w:r>
            <w:r>
              <w:rPr>
                <w:noProof/>
                <w:webHidden/>
              </w:rPr>
              <w:t>6</w:t>
            </w:r>
            <w:r>
              <w:rPr>
                <w:noProof/>
                <w:webHidden/>
              </w:rPr>
              <w:fldChar w:fldCharType="end"/>
            </w:r>
          </w:hyperlink>
        </w:p>
        <w:p w14:paraId="4EB66407" w14:textId="6F28737B"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2" w:history="1">
            <w:r w:rsidRPr="00AB17D3">
              <w:rPr>
                <w:rStyle w:val="Hyperlink"/>
                <w:noProof/>
              </w:rPr>
              <w:t>Current Government Supports – States and Territories</w:t>
            </w:r>
            <w:r>
              <w:rPr>
                <w:noProof/>
                <w:webHidden/>
              </w:rPr>
              <w:tab/>
            </w:r>
            <w:r>
              <w:rPr>
                <w:noProof/>
                <w:webHidden/>
              </w:rPr>
              <w:fldChar w:fldCharType="begin"/>
            </w:r>
            <w:r>
              <w:rPr>
                <w:noProof/>
                <w:webHidden/>
              </w:rPr>
              <w:instrText xml:space="preserve"> PAGEREF _Toc11349302 \h </w:instrText>
            </w:r>
            <w:r>
              <w:rPr>
                <w:noProof/>
                <w:webHidden/>
              </w:rPr>
            </w:r>
            <w:r>
              <w:rPr>
                <w:noProof/>
                <w:webHidden/>
              </w:rPr>
              <w:fldChar w:fldCharType="separate"/>
            </w:r>
            <w:r>
              <w:rPr>
                <w:noProof/>
                <w:webHidden/>
              </w:rPr>
              <w:t>6</w:t>
            </w:r>
            <w:r>
              <w:rPr>
                <w:noProof/>
                <w:webHidden/>
              </w:rPr>
              <w:fldChar w:fldCharType="end"/>
            </w:r>
          </w:hyperlink>
        </w:p>
        <w:p w14:paraId="46284998" w14:textId="5E14A3EB"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03" w:history="1">
            <w:r w:rsidRPr="00AB17D3">
              <w:rPr>
                <w:rStyle w:val="Hyperlink"/>
                <w:noProof/>
              </w:rPr>
              <w:t>Early Intervention</w:t>
            </w:r>
            <w:r>
              <w:rPr>
                <w:noProof/>
                <w:webHidden/>
              </w:rPr>
              <w:tab/>
            </w:r>
            <w:r>
              <w:rPr>
                <w:noProof/>
                <w:webHidden/>
              </w:rPr>
              <w:fldChar w:fldCharType="begin"/>
            </w:r>
            <w:r>
              <w:rPr>
                <w:noProof/>
                <w:webHidden/>
              </w:rPr>
              <w:instrText xml:space="preserve"> PAGEREF _Toc11349303 \h </w:instrText>
            </w:r>
            <w:r>
              <w:rPr>
                <w:noProof/>
                <w:webHidden/>
              </w:rPr>
            </w:r>
            <w:r>
              <w:rPr>
                <w:noProof/>
                <w:webHidden/>
              </w:rPr>
              <w:fldChar w:fldCharType="separate"/>
            </w:r>
            <w:r>
              <w:rPr>
                <w:noProof/>
                <w:webHidden/>
              </w:rPr>
              <w:t>6</w:t>
            </w:r>
            <w:r>
              <w:rPr>
                <w:noProof/>
                <w:webHidden/>
              </w:rPr>
              <w:fldChar w:fldCharType="end"/>
            </w:r>
          </w:hyperlink>
        </w:p>
        <w:p w14:paraId="129C1906" w14:textId="4FD8D4A5"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4" w:history="1">
            <w:r w:rsidRPr="00AB17D3">
              <w:rPr>
                <w:rStyle w:val="Hyperlink"/>
                <w:noProof/>
              </w:rPr>
              <w:t>Universal Neonatal Hearing Screening Program</w:t>
            </w:r>
            <w:r>
              <w:rPr>
                <w:noProof/>
                <w:webHidden/>
              </w:rPr>
              <w:tab/>
            </w:r>
            <w:r>
              <w:rPr>
                <w:noProof/>
                <w:webHidden/>
              </w:rPr>
              <w:fldChar w:fldCharType="begin"/>
            </w:r>
            <w:r>
              <w:rPr>
                <w:noProof/>
                <w:webHidden/>
              </w:rPr>
              <w:instrText xml:space="preserve"> PAGEREF _Toc11349304 \h </w:instrText>
            </w:r>
            <w:r>
              <w:rPr>
                <w:noProof/>
                <w:webHidden/>
              </w:rPr>
            </w:r>
            <w:r>
              <w:rPr>
                <w:noProof/>
                <w:webHidden/>
              </w:rPr>
              <w:fldChar w:fldCharType="separate"/>
            </w:r>
            <w:r>
              <w:rPr>
                <w:noProof/>
                <w:webHidden/>
              </w:rPr>
              <w:t>7</w:t>
            </w:r>
            <w:r>
              <w:rPr>
                <w:noProof/>
                <w:webHidden/>
              </w:rPr>
              <w:fldChar w:fldCharType="end"/>
            </w:r>
          </w:hyperlink>
        </w:p>
        <w:p w14:paraId="0978B5A1" w14:textId="69DDF74A"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5" w:history="1">
            <w:r w:rsidRPr="00AB17D3">
              <w:rPr>
                <w:rStyle w:val="Hyperlink"/>
                <w:noProof/>
              </w:rPr>
              <w:t>Australian Hearing</w:t>
            </w:r>
            <w:r>
              <w:rPr>
                <w:noProof/>
                <w:webHidden/>
              </w:rPr>
              <w:tab/>
            </w:r>
            <w:r>
              <w:rPr>
                <w:noProof/>
                <w:webHidden/>
              </w:rPr>
              <w:fldChar w:fldCharType="begin"/>
            </w:r>
            <w:r>
              <w:rPr>
                <w:noProof/>
                <w:webHidden/>
              </w:rPr>
              <w:instrText xml:space="preserve"> PAGEREF _Toc11349305 \h </w:instrText>
            </w:r>
            <w:r>
              <w:rPr>
                <w:noProof/>
                <w:webHidden/>
              </w:rPr>
            </w:r>
            <w:r>
              <w:rPr>
                <w:noProof/>
                <w:webHidden/>
              </w:rPr>
              <w:fldChar w:fldCharType="separate"/>
            </w:r>
            <w:r>
              <w:rPr>
                <w:noProof/>
                <w:webHidden/>
              </w:rPr>
              <w:t>7</w:t>
            </w:r>
            <w:r>
              <w:rPr>
                <w:noProof/>
                <w:webHidden/>
              </w:rPr>
              <w:fldChar w:fldCharType="end"/>
            </w:r>
          </w:hyperlink>
        </w:p>
        <w:p w14:paraId="76DC88AC" w14:textId="6C3A1120"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6" w:history="1">
            <w:r w:rsidRPr="00AB17D3">
              <w:rPr>
                <w:rStyle w:val="Hyperlink"/>
                <w:noProof/>
              </w:rPr>
              <w:t>School Aged Interventions</w:t>
            </w:r>
            <w:r>
              <w:rPr>
                <w:noProof/>
                <w:webHidden/>
              </w:rPr>
              <w:tab/>
            </w:r>
            <w:r>
              <w:rPr>
                <w:noProof/>
                <w:webHidden/>
              </w:rPr>
              <w:fldChar w:fldCharType="begin"/>
            </w:r>
            <w:r>
              <w:rPr>
                <w:noProof/>
                <w:webHidden/>
              </w:rPr>
              <w:instrText xml:space="preserve"> PAGEREF _Toc11349306 \h </w:instrText>
            </w:r>
            <w:r>
              <w:rPr>
                <w:noProof/>
                <w:webHidden/>
              </w:rPr>
            </w:r>
            <w:r>
              <w:rPr>
                <w:noProof/>
                <w:webHidden/>
              </w:rPr>
              <w:fldChar w:fldCharType="separate"/>
            </w:r>
            <w:r>
              <w:rPr>
                <w:noProof/>
                <w:webHidden/>
              </w:rPr>
              <w:t>8</w:t>
            </w:r>
            <w:r>
              <w:rPr>
                <w:noProof/>
                <w:webHidden/>
              </w:rPr>
              <w:fldChar w:fldCharType="end"/>
            </w:r>
          </w:hyperlink>
        </w:p>
        <w:p w14:paraId="05742E9E" w14:textId="20F98987"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7" w:history="1">
            <w:r w:rsidRPr="00AB17D3">
              <w:rPr>
                <w:rStyle w:val="Hyperlink"/>
                <w:noProof/>
              </w:rPr>
              <w:t>Online screening programs</w:t>
            </w:r>
            <w:r>
              <w:rPr>
                <w:noProof/>
                <w:webHidden/>
              </w:rPr>
              <w:tab/>
            </w:r>
            <w:r>
              <w:rPr>
                <w:noProof/>
                <w:webHidden/>
              </w:rPr>
              <w:fldChar w:fldCharType="begin"/>
            </w:r>
            <w:r>
              <w:rPr>
                <w:noProof/>
                <w:webHidden/>
              </w:rPr>
              <w:instrText xml:space="preserve"> PAGEREF _Toc11349307 \h </w:instrText>
            </w:r>
            <w:r>
              <w:rPr>
                <w:noProof/>
                <w:webHidden/>
              </w:rPr>
            </w:r>
            <w:r>
              <w:rPr>
                <w:noProof/>
                <w:webHidden/>
              </w:rPr>
              <w:fldChar w:fldCharType="separate"/>
            </w:r>
            <w:r>
              <w:rPr>
                <w:noProof/>
                <w:webHidden/>
              </w:rPr>
              <w:t>8</w:t>
            </w:r>
            <w:r>
              <w:rPr>
                <w:noProof/>
                <w:webHidden/>
              </w:rPr>
              <w:fldChar w:fldCharType="end"/>
            </w:r>
          </w:hyperlink>
        </w:p>
        <w:p w14:paraId="552D07E3" w14:textId="08740D05"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08" w:history="1">
            <w:r w:rsidRPr="00AB17D3">
              <w:rPr>
                <w:rStyle w:val="Hyperlink"/>
                <w:noProof/>
              </w:rPr>
              <w:t>Healthy Start for School Initiative</w:t>
            </w:r>
            <w:r>
              <w:rPr>
                <w:noProof/>
                <w:webHidden/>
              </w:rPr>
              <w:tab/>
            </w:r>
            <w:r>
              <w:rPr>
                <w:noProof/>
                <w:webHidden/>
              </w:rPr>
              <w:fldChar w:fldCharType="begin"/>
            </w:r>
            <w:r>
              <w:rPr>
                <w:noProof/>
                <w:webHidden/>
              </w:rPr>
              <w:instrText xml:space="preserve"> PAGEREF _Toc11349308 \h </w:instrText>
            </w:r>
            <w:r>
              <w:rPr>
                <w:noProof/>
                <w:webHidden/>
              </w:rPr>
            </w:r>
            <w:r>
              <w:rPr>
                <w:noProof/>
                <w:webHidden/>
              </w:rPr>
              <w:fldChar w:fldCharType="separate"/>
            </w:r>
            <w:r>
              <w:rPr>
                <w:noProof/>
                <w:webHidden/>
              </w:rPr>
              <w:t>8</w:t>
            </w:r>
            <w:r>
              <w:rPr>
                <w:noProof/>
                <w:webHidden/>
              </w:rPr>
              <w:fldChar w:fldCharType="end"/>
            </w:r>
          </w:hyperlink>
        </w:p>
        <w:p w14:paraId="3B947AEA" w14:textId="3414E247"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09" w:history="1">
            <w:r w:rsidRPr="00AB17D3">
              <w:rPr>
                <w:rStyle w:val="Hyperlink"/>
                <w:noProof/>
              </w:rPr>
              <w:t>MBS Supports and Primary Health Care</w:t>
            </w:r>
            <w:r>
              <w:rPr>
                <w:noProof/>
                <w:webHidden/>
              </w:rPr>
              <w:tab/>
            </w:r>
            <w:r>
              <w:rPr>
                <w:noProof/>
                <w:webHidden/>
              </w:rPr>
              <w:fldChar w:fldCharType="begin"/>
            </w:r>
            <w:r>
              <w:rPr>
                <w:noProof/>
                <w:webHidden/>
              </w:rPr>
              <w:instrText xml:space="preserve"> PAGEREF _Toc11349309 \h </w:instrText>
            </w:r>
            <w:r>
              <w:rPr>
                <w:noProof/>
                <w:webHidden/>
              </w:rPr>
            </w:r>
            <w:r>
              <w:rPr>
                <w:noProof/>
                <w:webHidden/>
              </w:rPr>
              <w:fldChar w:fldCharType="separate"/>
            </w:r>
            <w:r>
              <w:rPr>
                <w:noProof/>
                <w:webHidden/>
              </w:rPr>
              <w:t>9</w:t>
            </w:r>
            <w:r>
              <w:rPr>
                <w:noProof/>
                <w:webHidden/>
              </w:rPr>
              <w:fldChar w:fldCharType="end"/>
            </w:r>
          </w:hyperlink>
        </w:p>
        <w:p w14:paraId="4A3C289E" w14:textId="62116F5A"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10" w:history="1">
            <w:r w:rsidRPr="00AB17D3">
              <w:rPr>
                <w:rStyle w:val="Hyperlink"/>
                <w:noProof/>
              </w:rPr>
              <w:t>Support for Veterans</w:t>
            </w:r>
            <w:r>
              <w:rPr>
                <w:noProof/>
                <w:webHidden/>
              </w:rPr>
              <w:tab/>
            </w:r>
            <w:r>
              <w:rPr>
                <w:noProof/>
                <w:webHidden/>
              </w:rPr>
              <w:fldChar w:fldCharType="begin"/>
            </w:r>
            <w:r>
              <w:rPr>
                <w:noProof/>
                <w:webHidden/>
              </w:rPr>
              <w:instrText xml:space="preserve"> PAGEREF _Toc11349310 \h </w:instrText>
            </w:r>
            <w:r>
              <w:rPr>
                <w:noProof/>
                <w:webHidden/>
              </w:rPr>
            </w:r>
            <w:r>
              <w:rPr>
                <w:noProof/>
                <w:webHidden/>
              </w:rPr>
              <w:fldChar w:fldCharType="separate"/>
            </w:r>
            <w:r>
              <w:rPr>
                <w:noProof/>
                <w:webHidden/>
              </w:rPr>
              <w:t>9</w:t>
            </w:r>
            <w:r>
              <w:rPr>
                <w:noProof/>
                <w:webHidden/>
              </w:rPr>
              <w:fldChar w:fldCharType="end"/>
            </w:r>
          </w:hyperlink>
        </w:p>
        <w:p w14:paraId="00EF056D" w14:textId="2F0BFFEB"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11" w:history="1">
            <w:r w:rsidRPr="00AB17D3">
              <w:rPr>
                <w:rStyle w:val="Hyperlink"/>
                <w:noProof/>
              </w:rPr>
              <w:t>Research into Hearing Health</w:t>
            </w:r>
            <w:r>
              <w:rPr>
                <w:noProof/>
                <w:webHidden/>
              </w:rPr>
              <w:tab/>
            </w:r>
            <w:r>
              <w:rPr>
                <w:noProof/>
                <w:webHidden/>
              </w:rPr>
              <w:fldChar w:fldCharType="begin"/>
            </w:r>
            <w:r>
              <w:rPr>
                <w:noProof/>
                <w:webHidden/>
              </w:rPr>
              <w:instrText xml:space="preserve"> PAGEREF _Toc11349311 \h </w:instrText>
            </w:r>
            <w:r>
              <w:rPr>
                <w:noProof/>
                <w:webHidden/>
              </w:rPr>
            </w:r>
            <w:r>
              <w:rPr>
                <w:noProof/>
                <w:webHidden/>
              </w:rPr>
              <w:fldChar w:fldCharType="separate"/>
            </w:r>
            <w:r>
              <w:rPr>
                <w:noProof/>
                <w:webHidden/>
              </w:rPr>
              <w:t>9</w:t>
            </w:r>
            <w:r>
              <w:rPr>
                <w:noProof/>
                <w:webHidden/>
              </w:rPr>
              <w:fldChar w:fldCharType="end"/>
            </w:r>
          </w:hyperlink>
        </w:p>
        <w:p w14:paraId="6CAFD9C5" w14:textId="1E3307D8"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2" w:history="1">
            <w:r w:rsidRPr="00AB17D3">
              <w:rPr>
                <w:rStyle w:val="Hyperlink"/>
                <w:noProof/>
              </w:rPr>
              <w:t>National Acoustic Laboratories</w:t>
            </w:r>
            <w:r>
              <w:rPr>
                <w:noProof/>
                <w:webHidden/>
              </w:rPr>
              <w:tab/>
            </w:r>
            <w:r>
              <w:rPr>
                <w:noProof/>
                <w:webHidden/>
              </w:rPr>
              <w:fldChar w:fldCharType="begin"/>
            </w:r>
            <w:r>
              <w:rPr>
                <w:noProof/>
                <w:webHidden/>
              </w:rPr>
              <w:instrText xml:space="preserve"> PAGEREF _Toc11349312 \h </w:instrText>
            </w:r>
            <w:r>
              <w:rPr>
                <w:noProof/>
                <w:webHidden/>
              </w:rPr>
            </w:r>
            <w:r>
              <w:rPr>
                <w:noProof/>
                <w:webHidden/>
              </w:rPr>
              <w:fldChar w:fldCharType="separate"/>
            </w:r>
            <w:r>
              <w:rPr>
                <w:noProof/>
                <w:webHidden/>
              </w:rPr>
              <w:t>10</w:t>
            </w:r>
            <w:r>
              <w:rPr>
                <w:noProof/>
                <w:webHidden/>
              </w:rPr>
              <w:fldChar w:fldCharType="end"/>
            </w:r>
          </w:hyperlink>
        </w:p>
        <w:p w14:paraId="31425D18" w14:textId="3396272C"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3" w:history="1">
            <w:r w:rsidRPr="00AB17D3">
              <w:rPr>
                <w:rStyle w:val="Hyperlink"/>
                <w:noProof/>
              </w:rPr>
              <w:t>National Health and Medical Research Council</w:t>
            </w:r>
            <w:r>
              <w:rPr>
                <w:noProof/>
                <w:webHidden/>
              </w:rPr>
              <w:tab/>
            </w:r>
            <w:r>
              <w:rPr>
                <w:noProof/>
                <w:webHidden/>
              </w:rPr>
              <w:fldChar w:fldCharType="begin"/>
            </w:r>
            <w:r>
              <w:rPr>
                <w:noProof/>
                <w:webHidden/>
              </w:rPr>
              <w:instrText xml:space="preserve"> PAGEREF _Toc11349313 \h </w:instrText>
            </w:r>
            <w:r>
              <w:rPr>
                <w:noProof/>
                <w:webHidden/>
              </w:rPr>
            </w:r>
            <w:r>
              <w:rPr>
                <w:noProof/>
                <w:webHidden/>
              </w:rPr>
              <w:fldChar w:fldCharType="separate"/>
            </w:r>
            <w:r>
              <w:rPr>
                <w:noProof/>
                <w:webHidden/>
              </w:rPr>
              <w:t>10</w:t>
            </w:r>
            <w:r>
              <w:rPr>
                <w:noProof/>
                <w:webHidden/>
              </w:rPr>
              <w:fldChar w:fldCharType="end"/>
            </w:r>
          </w:hyperlink>
        </w:p>
        <w:p w14:paraId="59FA30C4" w14:textId="4A1D1AD0"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4" w:history="1">
            <w:r w:rsidRPr="00AB17D3">
              <w:rPr>
                <w:rStyle w:val="Hyperlink"/>
                <w:noProof/>
              </w:rPr>
              <w:t>Hearing Loss Prevention Program</w:t>
            </w:r>
            <w:r>
              <w:rPr>
                <w:noProof/>
                <w:webHidden/>
              </w:rPr>
              <w:tab/>
            </w:r>
            <w:r>
              <w:rPr>
                <w:noProof/>
                <w:webHidden/>
              </w:rPr>
              <w:fldChar w:fldCharType="begin"/>
            </w:r>
            <w:r>
              <w:rPr>
                <w:noProof/>
                <w:webHidden/>
              </w:rPr>
              <w:instrText xml:space="preserve"> PAGEREF _Toc11349314 \h </w:instrText>
            </w:r>
            <w:r>
              <w:rPr>
                <w:noProof/>
                <w:webHidden/>
              </w:rPr>
            </w:r>
            <w:r>
              <w:rPr>
                <w:noProof/>
                <w:webHidden/>
              </w:rPr>
              <w:fldChar w:fldCharType="separate"/>
            </w:r>
            <w:r>
              <w:rPr>
                <w:noProof/>
                <w:webHidden/>
              </w:rPr>
              <w:t>10</w:t>
            </w:r>
            <w:r>
              <w:rPr>
                <w:noProof/>
                <w:webHidden/>
              </w:rPr>
              <w:fldChar w:fldCharType="end"/>
            </w:r>
          </w:hyperlink>
        </w:p>
        <w:p w14:paraId="6E2DC13E" w14:textId="322AFE36"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5" w:history="1">
            <w:r w:rsidRPr="00AB17D3">
              <w:rPr>
                <w:rStyle w:val="Hyperlink"/>
                <w:noProof/>
              </w:rPr>
              <w:t>Medical Research Future Fund</w:t>
            </w:r>
            <w:r>
              <w:rPr>
                <w:noProof/>
                <w:webHidden/>
              </w:rPr>
              <w:tab/>
            </w:r>
            <w:r>
              <w:rPr>
                <w:noProof/>
                <w:webHidden/>
              </w:rPr>
              <w:fldChar w:fldCharType="begin"/>
            </w:r>
            <w:r>
              <w:rPr>
                <w:noProof/>
                <w:webHidden/>
              </w:rPr>
              <w:instrText xml:space="preserve"> PAGEREF _Toc11349315 \h </w:instrText>
            </w:r>
            <w:r>
              <w:rPr>
                <w:noProof/>
                <w:webHidden/>
              </w:rPr>
            </w:r>
            <w:r>
              <w:rPr>
                <w:noProof/>
                <w:webHidden/>
              </w:rPr>
              <w:fldChar w:fldCharType="separate"/>
            </w:r>
            <w:r>
              <w:rPr>
                <w:noProof/>
                <w:webHidden/>
              </w:rPr>
              <w:t>10</w:t>
            </w:r>
            <w:r>
              <w:rPr>
                <w:noProof/>
                <w:webHidden/>
              </w:rPr>
              <w:fldChar w:fldCharType="end"/>
            </w:r>
          </w:hyperlink>
        </w:p>
        <w:p w14:paraId="6C5B52E5" w14:textId="3589779C"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6" w:history="1">
            <w:r w:rsidRPr="00AB17D3">
              <w:rPr>
                <w:rStyle w:val="Hyperlink"/>
                <w:noProof/>
              </w:rPr>
              <w:t>Australian Institute of Health and Welfare</w:t>
            </w:r>
            <w:r>
              <w:rPr>
                <w:noProof/>
                <w:webHidden/>
              </w:rPr>
              <w:tab/>
            </w:r>
            <w:r>
              <w:rPr>
                <w:noProof/>
                <w:webHidden/>
              </w:rPr>
              <w:fldChar w:fldCharType="begin"/>
            </w:r>
            <w:r>
              <w:rPr>
                <w:noProof/>
                <w:webHidden/>
              </w:rPr>
              <w:instrText xml:space="preserve"> PAGEREF _Toc11349316 \h </w:instrText>
            </w:r>
            <w:r>
              <w:rPr>
                <w:noProof/>
                <w:webHidden/>
              </w:rPr>
            </w:r>
            <w:r>
              <w:rPr>
                <w:noProof/>
                <w:webHidden/>
              </w:rPr>
              <w:fldChar w:fldCharType="separate"/>
            </w:r>
            <w:r>
              <w:rPr>
                <w:noProof/>
                <w:webHidden/>
              </w:rPr>
              <w:t>11</w:t>
            </w:r>
            <w:r>
              <w:rPr>
                <w:noProof/>
                <w:webHidden/>
              </w:rPr>
              <w:fldChar w:fldCharType="end"/>
            </w:r>
          </w:hyperlink>
        </w:p>
        <w:p w14:paraId="06880046" w14:textId="04B5075A"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17" w:history="1">
            <w:r w:rsidRPr="00AB17D3">
              <w:rPr>
                <w:rStyle w:val="Hyperlink"/>
                <w:noProof/>
              </w:rPr>
              <w:t>Promotional Activities</w:t>
            </w:r>
            <w:r>
              <w:rPr>
                <w:noProof/>
                <w:webHidden/>
              </w:rPr>
              <w:tab/>
            </w:r>
            <w:r>
              <w:rPr>
                <w:noProof/>
                <w:webHidden/>
              </w:rPr>
              <w:fldChar w:fldCharType="begin"/>
            </w:r>
            <w:r>
              <w:rPr>
                <w:noProof/>
                <w:webHidden/>
              </w:rPr>
              <w:instrText xml:space="preserve"> PAGEREF _Toc11349317 \h </w:instrText>
            </w:r>
            <w:r>
              <w:rPr>
                <w:noProof/>
                <w:webHidden/>
              </w:rPr>
            </w:r>
            <w:r>
              <w:rPr>
                <w:noProof/>
                <w:webHidden/>
              </w:rPr>
              <w:fldChar w:fldCharType="separate"/>
            </w:r>
            <w:r>
              <w:rPr>
                <w:noProof/>
                <w:webHidden/>
              </w:rPr>
              <w:t>11</w:t>
            </w:r>
            <w:r>
              <w:rPr>
                <w:noProof/>
                <w:webHidden/>
              </w:rPr>
              <w:fldChar w:fldCharType="end"/>
            </w:r>
          </w:hyperlink>
        </w:p>
        <w:p w14:paraId="2A7F3241" w14:textId="7A1C4A86"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8" w:history="1">
            <w:r w:rsidRPr="00AB17D3">
              <w:rPr>
                <w:rStyle w:val="Hyperlink"/>
                <w:noProof/>
              </w:rPr>
              <w:t>Indigenous awareness campaigns</w:t>
            </w:r>
            <w:r>
              <w:rPr>
                <w:noProof/>
                <w:webHidden/>
              </w:rPr>
              <w:tab/>
            </w:r>
            <w:r>
              <w:rPr>
                <w:noProof/>
                <w:webHidden/>
              </w:rPr>
              <w:fldChar w:fldCharType="begin"/>
            </w:r>
            <w:r>
              <w:rPr>
                <w:noProof/>
                <w:webHidden/>
              </w:rPr>
              <w:instrText xml:space="preserve"> PAGEREF _Toc11349318 \h </w:instrText>
            </w:r>
            <w:r>
              <w:rPr>
                <w:noProof/>
                <w:webHidden/>
              </w:rPr>
            </w:r>
            <w:r>
              <w:rPr>
                <w:noProof/>
                <w:webHidden/>
              </w:rPr>
              <w:fldChar w:fldCharType="separate"/>
            </w:r>
            <w:r>
              <w:rPr>
                <w:noProof/>
                <w:webHidden/>
              </w:rPr>
              <w:t>11</w:t>
            </w:r>
            <w:r>
              <w:rPr>
                <w:noProof/>
                <w:webHidden/>
              </w:rPr>
              <w:fldChar w:fldCharType="end"/>
            </w:r>
          </w:hyperlink>
        </w:p>
        <w:p w14:paraId="6CB7C39F" w14:textId="2CA67C23"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19" w:history="1">
            <w:r w:rsidRPr="00AB17D3">
              <w:rPr>
                <w:rStyle w:val="Hyperlink"/>
                <w:noProof/>
              </w:rPr>
              <w:t>Workplace noise exposure</w:t>
            </w:r>
            <w:r>
              <w:rPr>
                <w:noProof/>
                <w:webHidden/>
              </w:rPr>
              <w:tab/>
            </w:r>
            <w:r>
              <w:rPr>
                <w:noProof/>
                <w:webHidden/>
              </w:rPr>
              <w:fldChar w:fldCharType="begin"/>
            </w:r>
            <w:r>
              <w:rPr>
                <w:noProof/>
                <w:webHidden/>
              </w:rPr>
              <w:instrText xml:space="preserve"> PAGEREF _Toc11349319 \h </w:instrText>
            </w:r>
            <w:r>
              <w:rPr>
                <w:noProof/>
                <w:webHidden/>
              </w:rPr>
            </w:r>
            <w:r>
              <w:rPr>
                <w:noProof/>
                <w:webHidden/>
              </w:rPr>
              <w:fldChar w:fldCharType="separate"/>
            </w:r>
            <w:r>
              <w:rPr>
                <w:noProof/>
                <w:webHidden/>
              </w:rPr>
              <w:t>12</w:t>
            </w:r>
            <w:r>
              <w:rPr>
                <w:noProof/>
                <w:webHidden/>
              </w:rPr>
              <w:fldChar w:fldCharType="end"/>
            </w:r>
          </w:hyperlink>
        </w:p>
        <w:p w14:paraId="60D8AD0F" w14:textId="57F005D7"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20" w:history="1">
            <w:r w:rsidRPr="00AB17D3">
              <w:rPr>
                <w:rStyle w:val="Hyperlink"/>
                <w:noProof/>
              </w:rPr>
              <w:t>Rural noise exposure</w:t>
            </w:r>
            <w:r>
              <w:rPr>
                <w:noProof/>
                <w:webHidden/>
              </w:rPr>
              <w:tab/>
            </w:r>
            <w:r>
              <w:rPr>
                <w:noProof/>
                <w:webHidden/>
              </w:rPr>
              <w:fldChar w:fldCharType="begin"/>
            </w:r>
            <w:r>
              <w:rPr>
                <w:noProof/>
                <w:webHidden/>
              </w:rPr>
              <w:instrText xml:space="preserve"> PAGEREF _Toc11349320 \h </w:instrText>
            </w:r>
            <w:r>
              <w:rPr>
                <w:noProof/>
                <w:webHidden/>
              </w:rPr>
            </w:r>
            <w:r>
              <w:rPr>
                <w:noProof/>
                <w:webHidden/>
              </w:rPr>
              <w:fldChar w:fldCharType="separate"/>
            </w:r>
            <w:r>
              <w:rPr>
                <w:noProof/>
                <w:webHidden/>
              </w:rPr>
              <w:t>12</w:t>
            </w:r>
            <w:r>
              <w:rPr>
                <w:noProof/>
                <w:webHidden/>
              </w:rPr>
              <w:fldChar w:fldCharType="end"/>
            </w:r>
          </w:hyperlink>
        </w:p>
        <w:p w14:paraId="737413DA" w14:textId="578EA560"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21" w:history="1">
            <w:r w:rsidRPr="00AB17D3">
              <w:rPr>
                <w:rStyle w:val="Hyperlink"/>
                <w:noProof/>
              </w:rPr>
              <w:t>Interpreting Services</w:t>
            </w:r>
            <w:r>
              <w:rPr>
                <w:noProof/>
                <w:webHidden/>
              </w:rPr>
              <w:tab/>
            </w:r>
            <w:r>
              <w:rPr>
                <w:noProof/>
                <w:webHidden/>
              </w:rPr>
              <w:fldChar w:fldCharType="begin"/>
            </w:r>
            <w:r>
              <w:rPr>
                <w:noProof/>
                <w:webHidden/>
              </w:rPr>
              <w:instrText xml:space="preserve"> PAGEREF _Toc11349321 \h </w:instrText>
            </w:r>
            <w:r>
              <w:rPr>
                <w:noProof/>
                <w:webHidden/>
              </w:rPr>
            </w:r>
            <w:r>
              <w:rPr>
                <w:noProof/>
                <w:webHidden/>
              </w:rPr>
              <w:fldChar w:fldCharType="separate"/>
            </w:r>
            <w:r>
              <w:rPr>
                <w:noProof/>
                <w:webHidden/>
              </w:rPr>
              <w:t>12</w:t>
            </w:r>
            <w:r>
              <w:rPr>
                <w:noProof/>
                <w:webHidden/>
              </w:rPr>
              <w:fldChar w:fldCharType="end"/>
            </w:r>
          </w:hyperlink>
        </w:p>
        <w:p w14:paraId="472A989E" w14:textId="766FF115"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22" w:history="1">
            <w:r w:rsidRPr="00AB17D3">
              <w:rPr>
                <w:rStyle w:val="Hyperlink"/>
                <w:noProof/>
              </w:rPr>
              <w:t>Translating and Interpreting Service</w:t>
            </w:r>
            <w:r>
              <w:rPr>
                <w:noProof/>
                <w:webHidden/>
              </w:rPr>
              <w:tab/>
            </w:r>
            <w:r>
              <w:rPr>
                <w:noProof/>
                <w:webHidden/>
              </w:rPr>
              <w:fldChar w:fldCharType="begin"/>
            </w:r>
            <w:r>
              <w:rPr>
                <w:noProof/>
                <w:webHidden/>
              </w:rPr>
              <w:instrText xml:space="preserve"> PAGEREF _Toc11349322 \h </w:instrText>
            </w:r>
            <w:r>
              <w:rPr>
                <w:noProof/>
                <w:webHidden/>
              </w:rPr>
            </w:r>
            <w:r>
              <w:rPr>
                <w:noProof/>
                <w:webHidden/>
              </w:rPr>
              <w:fldChar w:fldCharType="separate"/>
            </w:r>
            <w:r>
              <w:rPr>
                <w:noProof/>
                <w:webHidden/>
              </w:rPr>
              <w:t>13</w:t>
            </w:r>
            <w:r>
              <w:rPr>
                <w:noProof/>
                <w:webHidden/>
              </w:rPr>
              <w:fldChar w:fldCharType="end"/>
            </w:r>
          </w:hyperlink>
        </w:p>
        <w:p w14:paraId="482DBA24" w14:textId="60D08A35"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23" w:history="1">
            <w:r w:rsidRPr="00AB17D3">
              <w:rPr>
                <w:rStyle w:val="Hyperlink"/>
                <w:noProof/>
              </w:rPr>
              <w:t>National Auslan Interpreter Booking and Payment System</w:t>
            </w:r>
            <w:r>
              <w:rPr>
                <w:noProof/>
                <w:webHidden/>
              </w:rPr>
              <w:tab/>
            </w:r>
            <w:r>
              <w:rPr>
                <w:noProof/>
                <w:webHidden/>
              </w:rPr>
              <w:fldChar w:fldCharType="begin"/>
            </w:r>
            <w:r>
              <w:rPr>
                <w:noProof/>
                <w:webHidden/>
              </w:rPr>
              <w:instrText xml:space="preserve"> PAGEREF _Toc11349323 \h </w:instrText>
            </w:r>
            <w:r>
              <w:rPr>
                <w:noProof/>
                <w:webHidden/>
              </w:rPr>
            </w:r>
            <w:r>
              <w:rPr>
                <w:noProof/>
                <w:webHidden/>
              </w:rPr>
              <w:fldChar w:fldCharType="separate"/>
            </w:r>
            <w:r>
              <w:rPr>
                <w:noProof/>
                <w:webHidden/>
              </w:rPr>
              <w:t>13</w:t>
            </w:r>
            <w:r>
              <w:rPr>
                <w:noProof/>
                <w:webHidden/>
              </w:rPr>
              <w:fldChar w:fldCharType="end"/>
            </w:r>
          </w:hyperlink>
        </w:p>
        <w:p w14:paraId="1D4AE1A1" w14:textId="1AA03492"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24" w:history="1">
            <w:r w:rsidRPr="00AB17D3">
              <w:rPr>
                <w:rStyle w:val="Hyperlink"/>
                <w:noProof/>
              </w:rPr>
              <w:t>National Relay Service</w:t>
            </w:r>
            <w:r>
              <w:rPr>
                <w:noProof/>
                <w:webHidden/>
              </w:rPr>
              <w:tab/>
            </w:r>
            <w:r>
              <w:rPr>
                <w:noProof/>
                <w:webHidden/>
              </w:rPr>
              <w:fldChar w:fldCharType="begin"/>
            </w:r>
            <w:r>
              <w:rPr>
                <w:noProof/>
                <w:webHidden/>
              </w:rPr>
              <w:instrText xml:space="preserve"> PAGEREF _Toc11349324 \h </w:instrText>
            </w:r>
            <w:r>
              <w:rPr>
                <w:noProof/>
                <w:webHidden/>
              </w:rPr>
            </w:r>
            <w:r>
              <w:rPr>
                <w:noProof/>
                <w:webHidden/>
              </w:rPr>
              <w:fldChar w:fldCharType="separate"/>
            </w:r>
            <w:r>
              <w:rPr>
                <w:noProof/>
                <w:webHidden/>
              </w:rPr>
              <w:t>13</w:t>
            </w:r>
            <w:r>
              <w:rPr>
                <w:noProof/>
                <w:webHidden/>
              </w:rPr>
              <w:fldChar w:fldCharType="end"/>
            </w:r>
          </w:hyperlink>
        </w:p>
        <w:p w14:paraId="5CBE9C34" w14:textId="00F25551" w:rsidR="00030E93" w:rsidRDefault="00030E93">
          <w:pPr>
            <w:pStyle w:val="TOC2"/>
            <w:tabs>
              <w:tab w:val="right" w:leader="dot" w:pos="8777"/>
            </w:tabs>
            <w:rPr>
              <w:rFonts w:asciiTheme="minorHAnsi" w:eastAsiaTheme="minorEastAsia" w:hAnsiTheme="minorHAnsi" w:cstheme="minorBidi"/>
              <w:noProof/>
              <w:sz w:val="22"/>
              <w:szCs w:val="22"/>
              <w:lang w:eastAsia="en-AU"/>
            </w:rPr>
          </w:pPr>
          <w:hyperlink w:anchor="_Toc11349325" w:history="1">
            <w:r w:rsidRPr="00AB17D3">
              <w:rPr>
                <w:rStyle w:val="Hyperlink"/>
                <w:noProof/>
              </w:rPr>
              <w:t>Hearing Sector Regulation</w:t>
            </w:r>
            <w:r>
              <w:rPr>
                <w:noProof/>
                <w:webHidden/>
              </w:rPr>
              <w:tab/>
            </w:r>
            <w:r>
              <w:rPr>
                <w:noProof/>
                <w:webHidden/>
              </w:rPr>
              <w:fldChar w:fldCharType="begin"/>
            </w:r>
            <w:r>
              <w:rPr>
                <w:noProof/>
                <w:webHidden/>
              </w:rPr>
              <w:instrText xml:space="preserve"> PAGEREF _Toc11349325 \h </w:instrText>
            </w:r>
            <w:r>
              <w:rPr>
                <w:noProof/>
                <w:webHidden/>
              </w:rPr>
            </w:r>
            <w:r>
              <w:rPr>
                <w:noProof/>
                <w:webHidden/>
              </w:rPr>
              <w:fldChar w:fldCharType="separate"/>
            </w:r>
            <w:r>
              <w:rPr>
                <w:noProof/>
                <w:webHidden/>
              </w:rPr>
              <w:t>14</w:t>
            </w:r>
            <w:r>
              <w:rPr>
                <w:noProof/>
                <w:webHidden/>
              </w:rPr>
              <w:fldChar w:fldCharType="end"/>
            </w:r>
          </w:hyperlink>
        </w:p>
        <w:p w14:paraId="177B5202" w14:textId="2568059D"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26" w:history="1">
            <w:r w:rsidRPr="00AB17D3">
              <w:rPr>
                <w:rStyle w:val="Hyperlink"/>
                <w:noProof/>
              </w:rPr>
              <w:t>Practitioner Professional Bodies</w:t>
            </w:r>
            <w:r>
              <w:rPr>
                <w:noProof/>
                <w:webHidden/>
              </w:rPr>
              <w:tab/>
            </w:r>
            <w:r>
              <w:rPr>
                <w:noProof/>
                <w:webHidden/>
              </w:rPr>
              <w:fldChar w:fldCharType="begin"/>
            </w:r>
            <w:r>
              <w:rPr>
                <w:noProof/>
                <w:webHidden/>
              </w:rPr>
              <w:instrText xml:space="preserve"> PAGEREF _Toc11349326 \h </w:instrText>
            </w:r>
            <w:r>
              <w:rPr>
                <w:noProof/>
                <w:webHidden/>
              </w:rPr>
            </w:r>
            <w:r>
              <w:rPr>
                <w:noProof/>
                <w:webHidden/>
              </w:rPr>
              <w:fldChar w:fldCharType="separate"/>
            </w:r>
            <w:r>
              <w:rPr>
                <w:noProof/>
                <w:webHidden/>
              </w:rPr>
              <w:t>14</w:t>
            </w:r>
            <w:r>
              <w:rPr>
                <w:noProof/>
                <w:webHidden/>
              </w:rPr>
              <w:fldChar w:fldCharType="end"/>
            </w:r>
          </w:hyperlink>
        </w:p>
        <w:p w14:paraId="7105C567" w14:textId="0C3A765C" w:rsidR="00030E93" w:rsidRDefault="00030E93">
          <w:pPr>
            <w:pStyle w:val="TOC3"/>
            <w:tabs>
              <w:tab w:val="right" w:leader="dot" w:pos="8777"/>
            </w:tabs>
            <w:rPr>
              <w:rFonts w:asciiTheme="minorHAnsi" w:eastAsiaTheme="minorEastAsia" w:hAnsiTheme="minorHAnsi" w:cstheme="minorBidi"/>
              <w:noProof/>
              <w:sz w:val="22"/>
              <w:szCs w:val="22"/>
              <w:lang w:eastAsia="en-AU"/>
            </w:rPr>
          </w:pPr>
          <w:hyperlink w:anchor="_Toc11349327" w:history="1">
            <w:r w:rsidRPr="00AB17D3">
              <w:rPr>
                <w:rStyle w:val="Hyperlink"/>
                <w:noProof/>
              </w:rPr>
              <w:t>National Registration and Accreditation Scheme</w:t>
            </w:r>
            <w:r>
              <w:rPr>
                <w:noProof/>
                <w:webHidden/>
              </w:rPr>
              <w:tab/>
            </w:r>
            <w:r>
              <w:rPr>
                <w:noProof/>
                <w:webHidden/>
              </w:rPr>
              <w:fldChar w:fldCharType="begin"/>
            </w:r>
            <w:r>
              <w:rPr>
                <w:noProof/>
                <w:webHidden/>
              </w:rPr>
              <w:instrText xml:space="preserve"> PAGEREF _Toc11349327 \h </w:instrText>
            </w:r>
            <w:r>
              <w:rPr>
                <w:noProof/>
                <w:webHidden/>
              </w:rPr>
            </w:r>
            <w:r>
              <w:rPr>
                <w:noProof/>
                <w:webHidden/>
              </w:rPr>
              <w:fldChar w:fldCharType="separate"/>
            </w:r>
            <w:r>
              <w:rPr>
                <w:noProof/>
                <w:webHidden/>
              </w:rPr>
              <w:t>14</w:t>
            </w:r>
            <w:r>
              <w:rPr>
                <w:noProof/>
                <w:webHidden/>
              </w:rPr>
              <w:fldChar w:fldCharType="end"/>
            </w:r>
          </w:hyperlink>
        </w:p>
        <w:p w14:paraId="2E487913" w14:textId="39DB50EF" w:rsidR="00030E93" w:rsidRPr="00A5050B" w:rsidRDefault="00030E93" w:rsidP="00A5050B">
          <w:r>
            <w:rPr>
              <w:noProof/>
            </w:rPr>
            <w:fldChar w:fldCharType="end"/>
          </w:r>
        </w:p>
      </w:sdtContent>
    </w:sdt>
    <w:p w14:paraId="68AE9F85" w14:textId="0E3DC0E6" w:rsidR="00FC4551" w:rsidRPr="00764216" w:rsidRDefault="00C254E9" w:rsidP="00030E93">
      <w:pPr>
        <w:pStyle w:val="Heading1"/>
        <w:pageBreakBefore/>
      </w:pPr>
      <w:bookmarkStart w:id="106" w:name="_Toc11349294"/>
      <w:r w:rsidRPr="00764216">
        <w:t>Current Government Actions</w:t>
      </w:r>
      <w:bookmarkEnd w:id="105"/>
      <w:bookmarkEnd w:id="106"/>
    </w:p>
    <w:p w14:paraId="68AE9F86" w14:textId="77777777" w:rsidR="00CA6A4E" w:rsidRPr="00AD6E6C" w:rsidRDefault="00EC38AD" w:rsidP="00B361DA">
      <w:pPr>
        <w:pStyle w:val="Heading2"/>
      </w:pPr>
      <w:bookmarkStart w:id="107" w:name="_Toc11349140"/>
      <w:bookmarkStart w:id="108" w:name="_Toc11349295"/>
      <w:r w:rsidRPr="00AD6E6C">
        <w:t>Aboriginal and Torres Strait Islander Specific Measures</w:t>
      </w:r>
      <w:bookmarkEnd w:id="107"/>
      <w:bookmarkEnd w:id="108"/>
    </w:p>
    <w:p w14:paraId="68AE9F87" w14:textId="77777777" w:rsidR="009E1D88" w:rsidRPr="00B361DA" w:rsidRDefault="000742AA" w:rsidP="00B361DA">
      <w:pPr>
        <w:pStyle w:val="Paralist"/>
      </w:pPr>
      <w:r w:rsidRPr="00B361DA">
        <w:t>The incidence of ear disease and hearing loss in Aboriginal and Torres Strait Islander people is</w:t>
      </w:r>
      <w:r w:rsidR="005D0F13" w:rsidRPr="00B361DA">
        <w:t xml:space="preserve"> approximately</w:t>
      </w:r>
      <w:r w:rsidRPr="00B361DA">
        <w:t xml:space="preserve"> three times that of the general population.</w:t>
      </w:r>
      <w:r w:rsidRPr="00B361DA">
        <w:footnoteReference w:id="1"/>
      </w:r>
      <w:r w:rsidRPr="00B361DA">
        <w:t xml:space="preserve"> </w:t>
      </w:r>
      <w:r w:rsidR="0066175B" w:rsidRPr="00B361DA">
        <w:t xml:space="preserve">The Government has a shared goal to </w:t>
      </w:r>
      <w:proofErr w:type="spellStart"/>
      <w:r w:rsidR="0066175B" w:rsidRPr="00B361DA">
        <w:t>realise</w:t>
      </w:r>
      <w:proofErr w:type="spellEnd"/>
      <w:r w:rsidR="0066175B" w:rsidRPr="00B361DA">
        <w:t xml:space="preserve"> health equality by 2031 and makes a significant investment in programs to improve ear and hearing health in Aboriginal and Torres Strait Islander people.</w:t>
      </w:r>
    </w:p>
    <w:p w14:paraId="68AE9F88" w14:textId="77777777" w:rsidR="00CB2AFB" w:rsidRPr="00B361DA" w:rsidRDefault="00CB2AFB" w:rsidP="00B361DA">
      <w:pPr>
        <w:pStyle w:val="Heading3"/>
      </w:pPr>
      <w:bookmarkStart w:id="109" w:name="_Toc11349141"/>
      <w:bookmarkStart w:id="110" w:name="_Toc11349296"/>
      <w:r w:rsidRPr="00B361DA">
        <w:t>Closing the Gap</w:t>
      </w:r>
      <w:bookmarkEnd w:id="109"/>
      <w:bookmarkEnd w:id="110"/>
    </w:p>
    <w:p w14:paraId="68AE9F89" w14:textId="77777777" w:rsidR="00991D3B" w:rsidRDefault="00692249" w:rsidP="00B361DA">
      <w:pPr>
        <w:pStyle w:val="Paralist"/>
      </w:pPr>
      <w:r w:rsidRPr="009E1D88">
        <w:t>The Closing the Gap targets address the areas of health, education and employment and provide a snapshot of where progress is being made and where further efforts are needed.</w:t>
      </w:r>
      <w:r w:rsidRPr="005E4724">
        <w:rPr>
          <w:vertAlign w:val="superscript"/>
        </w:rPr>
        <w:footnoteReference w:id="2"/>
      </w:r>
      <w:r w:rsidRPr="009E1D88">
        <w:t xml:space="preserve"> </w:t>
      </w:r>
    </w:p>
    <w:p w14:paraId="68AE9F8A" w14:textId="77777777" w:rsidR="00526D95" w:rsidRPr="00DF234F" w:rsidRDefault="00526D95" w:rsidP="00B361DA">
      <w:pPr>
        <w:pStyle w:val="Heading3"/>
      </w:pPr>
      <w:bookmarkStart w:id="111" w:name="_Toc11349142"/>
      <w:bookmarkStart w:id="112" w:name="_Toc11349297"/>
      <w:r>
        <w:t>Indigenous Advancement Strategy</w:t>
      </w:r>
      <w:bookmarkEnd w:id="111"/>
      <w:bookmarkEnd w:id="112"/>
    </w:p>
    <w:p w14:paraId="68AE9F8C" w14:textId="647C0B36" w:rsidR="00345BE6" w:rsidRPr="00345BE6" w:rsidRDefault="00526D95" w:rsidP="00B361DA">
      <w:pPr>
        <w:pStyle w:val="Paralist"/>
      </w:pPr>
      <w:r w:rsidRPr="009E1D88">
        <w:t>On 1 July 2014</w:t>
      </w:r>
      <w:r w:rsidR="00684E91" w:rsidRPr="009E1D88">
        <w:t>, the Government introduced the Indigenous Advancement Strategy</w:t>
      </w:r>
      <w:r w:rsidR="00991D3B">
        <w:t>.</w:t>
      </w:r>
      <w:r w:rsidR="0001179A">
        <w:t xml:space="preserve"> </w:t>
      </w:r>
      <w:r w:rsidR="00345BE6" w:rsidRPr="00345BE6">
        <w:t>The Government has set three clear priorities to make sure e</w:t>
      </w:r>
      <w:r w:rsidR="007072F1">
        <w:t>fforts are effectively targeted.</w:t>
      </w:r>
    </w:p>
    <w:p w14:paraId="68AE9F8D" w14:textId="77777777" w:rsidR="00345BE6" w:rsidRPr="00345BE6" w:rsidRDefault="00345BE6" w:rsidP="00B361DA">
      <w:pPr>
        <w:pStyle w:val="paralist2"/>
      </w:pPr>
      <w:r w:rsidRPr="00345BE6">
        <w:lastRenderedPageBreak/>
        <w:t>The positive impact that education has on the future success of individuals, families and communities is clear. Children who go to school have better life outcomes.</w:t>
      </w:r>
    </w:p>
    <w:p w14:paraId="68AE9F8E" w14:textId="77777777" w:rsidR="00345BE6" w:rsidRPr="00345BE6" w:rsidRDefault="00345BE6" w:rsidP="00B361DA">
      <w:pPr>
        <w:pStyle w:val="paralist2"/>
      </w:pPr>
      <w:r w:rsidRPr="00345BE6">
        <w:t>Employment, economic development and social participation improve the lives of families and communities. The right conditions and incentives need to be in place for Aboriginal and Torres Strait Islander peoples to participate in the economy and broader society.</w:t>
      </w:r>
    </w:p>
    <w:p w14:paraId="68AE9F8F" w14:textId="77777777" w:rsidR="00345BE6" w:rsidRDefault="00345BE6" w:rsidP="00B361DA">
      <w:pPr>
        <w:pStyle w:val="paralist2"/>
      </w:pPr>
      <w:r w:rsidRPr="00345BE6">
        <w:t>Growing up in a healthy and safe home and community is essential for families to thrive and reach their full potential. In particular, the violence that too many women and children face must be addressed.</w:t>
      </w:r>
      <w:r w:rsidRPr="00345BE6">
        <w:rPr>
          <w:rStyle w:val="FootnoteReference"/>
        </w:rPr>
        <w:t xml:space="preserve"> </w:t>
      </w:r>
    </w:p>
    <w:p w14:paraId="68AE9F90" w14:textId="77777777" w:rsidR="00345BE6" w:rsidRPr="009E1D88" w:rsidRDefault="00345BE6" w:rsidP="00B361DA">
      <w:pPr>
        <w:pStyle w:val="Paralist"/>
      </w:pPr>
      <w:r w:rsidRPr="009E1D88">
        <w:t xml:space="preserve">In the 2015-16 Budget, the Government allocated $4.9 billion to the Indigenous Advancement Strategy over four years for grant funding processes and administered procurement activities that address the objectives of the Strategy. </w:t>
      </w:r>
      <w:r w:rsidR="007072F1" w:rsidRPr="009E1D88">
        <w:t>T</w:t>
      </w:r>
      <w:r w:rsidRPr="009E1D88">
        <w:t>he Government is worki</w:t>
      </w:r>
      <w:r w:rsidR="007072F1" w:rsidRPr="009E1D88">
        <w:t>ng to improve the way that g</w:t>
      </w:r>
      <w:r w:rsidRPr="009E1D88">
        <w:t>overnment does business with Aboriginal and Torres Strait Islander peoples to ensure funding actually achieves outcomes.</w:t>
      </w:r>
    </w:p>
    <w:p w14:paraId="68AE9F91" w14:textId="77777777" w:rsidR="00345BE6" w:rsidRPr="00DF234F" w:rsidRDefault="00345BE6" w:rsidP="00B361DA">
      <w:pPr>
        <w:pStyle w:val="Heading3"/>
      </w:pPr>
      <w:bookmarkStart w:id="113" w:name="_Toc11349143"/>
      <w:bookmarkStart w:id="114" w:name="_Toc11349298"/>
      <w:r>
        <w:t>National Aboriginal and Torres Strait Islander Health Plan 2013-2023</w:t>
      </w:r>
      <w:bookmarkEnd w:id="113"/>
      <w:bookmarkEnd w:id="114"/>
    </w:p>
    <w:p w14:paraId="68AE9F92" w14:textId="77777777" w:rsidR="006623D0" w:rsidRPr="009E1D88" w:rsidRDefault="00E50F94" w:rsidP="00B361DA">
      <w:pPr>
        <w:pStyle w:val="Paralist"/>
      </w:pPr>
      <w:r w:rsidRPr="009E1D88">
        <w:t>The National Aboriginal and Torres Strait Islander Health Plan</w:t>
      </w:r>
      <w:r w:rsidR="0066175B">
        <w:t xml:space="preserve"> 2013-2023</w:t>
      </w:r>
      <w:r w:rsidRPr="009E1D88">
        <w:t xml:space="preserve"> vision is that the Australian health system is free of racism and inequality</w:t>
      </w:r>
      <w:r w:rsidR="007072F1" w:rsidRPr="009E1D88">
        <w:t>,</w:t>
      </w:r>
      <w:r w:rsidRPr="009E1D88">
        <w:t xml:space="preserve"> and all Aboriginal and Torres Strait Islander people have access to health services that are effective, high quality, appropriate and affordable. Together with strategies to address social inequalities and determinants of health, this provides the necessary platform to </w:t>
      </w:r>
      <w:proofErr w:type="spellStart"/>
      <w:r w:rsidRPr="009E1D88">
        <w:t>realise</w:t>
      </w:r>
      <w:proofErr w:type="spellEnd"/>
      <w:r w:rsidRPr="009E1D88">
        <w:t xml:space="preserve"> health equality by 2031.</w:t>
      </w:r>
      <w:r w:rsidRPr="009E1D88">
        <w:rPr>
          <w:vertAlign w:val="superscript"/>
        </w:rPr>
        <w:footnoteReference w:id="3"/>
      </w:r>
      <w:r w:rsidRPr="009E1D88">
        <w:rPr>
          <w:vertAlign w:val="superscript"/>
        </w:rPr>
        <w:t xml:space="preserve"> </w:t>
      </w:r>
    </w:p>
    <w:p w14:paraId="68AE9F93" w14:textId="1CC746EC" w:rsidR="00311641" w:rsidRPr="0058338F" w:rsidRDefault="0066175B" w:rsidP="00B361DA">
      <w:pPr>
        <w:pStyle w:val="Paralist"/>
      </w:pPr>
      <w:r w:rsidRPr="0066175B">
        <w:t>The overarching vision of the National Aboriginal and Torres Strait Islander Health Plan 2013-2023 is being taken forward through an Implementation Plan, which outlines the actions to be taken by the Australian Government and other key stakeholders to give effect to the vision, principles, priorities and strategies of the Health Plan.</w:t>
      </w:r>
    </w:p>
    <w:p w14:paraId="68AE9F94" w14:textId="77777777" w:rsidR="00C950EB" w:rsidRPr="00DF234F" w:rsidRDefault="00C950EB" w:rsidP="00B361DA">
      <w:pPr>
        <w:pStyle w:val="Heading3"/>
      </w:pPr>
      <w:bookmarkStart w:id="115" w:name="_Toc11349144"/>
      <w:bookmarkStart w:id="116" w:name="_Toc11349299"/>
      <w:r>
        <w:t xml:space="preserve">National </w:t>
      </w:r>
      <w:r w:rsidR="00DD764B">
        <w:t>Disability Strategy</w:t>
      </w:r>
      <w:bookmarkEnd w:id="115"/>
      <w:bookmarkEnd w:id="116"/>
    </w:p>
    <w:p w14:paraId="68AE9F95" w14:textId="77777777" w:rsidR="007E41C2" w:rsidRPr="009E1D88" w:rsidRDefault="00DD764B" w:rsidP="00B361DA">
      <w:pPr>
        <w:pStyle w:val="Paralist"/>
      </w:pPr>
      <w:r w:rsidRPr="009E1D88">
        <w:t>The National Disability Strategy 2010-2020</w:t>
      </w:r>
      <w:r w:rsidR="00E83BFF" w:rsidRPr="009E1D88">
        <w:t xml:space="preserve"> </w:t>
      </w:r>
      <w:r w:rsidR="00EE5067" w:rsidRPr="009E1D88">
        <w:t>provides a ten-year national policy framework for all levels of government to drive a more inclusive approach to the design of policies, programs and infrastructure so that people with disability can participate in all areas of Australian life.</w:t>
      </w:r>
      <w:r w:rsidR="00EE5067" w:rsidRPr="005E4724">
        <w:rPr>
          <w:vertAlign w:val="superscript"/>
        </w:rPr>
        <w:footnoteReference w:id="4"/>
      </w:r>
      <w:r w:rsidR="00E83BFF" w:rsidRPr="005E4724">
        <w:rPr>
          <w:vertAlign w:val="superscript"/>
        </w:rPr>
        <w:t xml:space="preserve"> </w:t>
      </w:r>
      <w:r w:rsidR="007E41C2" w:rsidRPr="009E1D88">
        <w:t>As part of the Strategy, DSS released the Australian Government Plan to Improve Outcomes for Aboriginal and Torres Strait Islander People with Disability (the Plan). The Plan</w:t>
      </w:r>
      <w:r w:rsidR="0008720C" w:rsidRPr="009E1D88">
        <w:t xml:space="preserve"> also</w:t>
      </w:r>
      <w:r w:rsidR="007E41C2" w:rsidRPr="009E1D88">
        <w:t xml:space="preserve"> assists in addressing the Government’s targets under </w:t>
      </w:r>
      <w:proofErr w:type="gramStart"/>
      <w:r w:rsidR="007E41C2" w:rsidRPr="009E1D88">
        <w:t>Closing</w:t>
      </w:r>
      <w:proofErr w:type="gramEnd"/>
      <w:r w:rsidR="007E41C2" w:rsidRPr="009E1D88">
        <w:t xml:space="preserve"> the Gap. The Plan highlights five key priorities, noting work that is currently underway and potential strategies to address each area in the future.</w:t>
      </w:r>
    </w:p>
    <w:p w14:paraId="68AE9F96" w14:textId="77777777" w:rsidR="007E41C2" w:rsidRDefault="007E41C2" w:rsidP="00B361DA">
      <w:pPr>
        <w:pStyle w:val="paralist3"/>
      </w:pPr>
      <w:r>
        <w:lastRenderedPageBreak/>
        <w:t>Aboriginal and Torres Strait Islander people with disability have access to appropriately designed shelter and live in accessible, well designed communities that are fully inclusive of all their residents.</w:t>
      </w:r>
    </w:p>
    <w:p w14:paraId="68AE9F97" w14:textId="380502D5" w:rsidR="007E41C2" w:rsidRDefault="007E41C2" w:rsidP="00B361DA">
      <w:pPr>
        <w:pStyle w:val="paralist3"/>
      </w:pPr>
      <w:r>
        <w:t>Aboriginal and Torres Strait Islander people with disability have the right to</w:t>
      </w:r>
    </w:p>
    <w:p w14:paraId="68AE9F98" w14:textId="77777777" w:rsidR="007E41C2" w:rsidRPr="008431FD" w:rsidRDefault="007E41C2" w:rsidP="00B361DA">
      <w:pPr>
        <w:pStyle w:val="paralist4"/>
      </w:pPr>
      <w:r w:rsidRPr="008431FD">
        <w:t>be free from racism and discrimination</w:t>
      </w:r>
    </w:p>
    <w:p w14:paraId="68AE9F99" w14:textId="77777777" w:rsidR="007E41C2" w:rsidRPr="008431FD" w:rsidRDefault="007E41C2" w:rsidP="00B361DA">
      <w:pPr>
        <w:pStyle w:val="paralist4"/>
      </w:pPr>
      <w:r w:rsidRPr="008431FD">
        <w:t>have their rights promoted, and</w:t>
      </w:r>
    </w:p>
    <w:p w14:paraId="68AE9F9A" w14:textId="77777777" w:rsidR="007E41C2" w:rsidRPr="008431FD" w:rsidRDefault="007E41C2" w:rsidP="00B361DA">
      <w:pPr>
        <w:pStyle w:val="paralist4"/>
      </w:pPr>
      <w:proofErr w:type="gramStart"/>
      <w:r w:rsidRPr="008431FD">
        <w:t>a</w:t>
      </w:r>
      <w:proofErr w:type="gramEnd"/>
      <w:r w:rsidRPr="008431FD">
        <w:t xml:space="preserve"> disability inclusive justice system.</w:t>
      </w:r>
    </w:p>
    <w:p w14:paraId="68AE9F9B" w14:textId="77777777" w:rsidR="007E41C2" w:rsidRPr="008431FD" w:rsidRDefault="007E41C2" w:rsidP="00B361DA">
      <w:pPr>
        <w:pStyle w:val="paralist3"/>
      </w:pPr>
      <w:r w:rsidRPr="008431FD">
        <w:t>Aboriginal and Torres Strait Islander people with disability achieve their full potential through participation in an inclusive, high quality education system that is responsive to their needs. People with disability have opportunities for lifelong learning.</w:t>
      </w:r>
    </w:p>
    <w:p w14:paraId="68AE9F9C" w14:textId="77777777" w:rsidR="007E41C2" w:rsidRPr="008431FD" w:rsidRDefault="007E41C2" w:rsidP="00B361DA">
      <w:pPr>
        <w:pStyle w:val="paralist3"/>
      </w:pPr>
      <w:r w:rsidRPr="008431FD">
        <w:t>Aboriginal and Torres Strait Islander people with disability, their families and carers have opportunities to gain economic security through employment and business ownership, enabling them to plan for the future and exercise choice and control over their lives.</w:t>
      </w:r>
    </w:p>
    <w:p w14:paraId="68AE9F9D" w14:textId="77777777" w:rsidR="007E41C2" w:rsidRDefault="007E41C2" w:rsidP="00B361DA">
      <w:pPr>
        <w:pStyle w:val="paralist3"/>
      </w:pPr>
      <w:r w:rsidRPr="008431FD">
        <w:t>Aboriginal and Torres Strait Islander people with disability attain the highest possible health and wellbeing outcomes throughout their lives, enabled by all health services capabilities to meet the needs of people with disability</w:t>
      </w:r>
      <w:r>
        <w:t>.</w:t>
      </w:r>
      <w:r>
        <w:rPr>
          <w:rStyle w:val="FootnoteReference"/>
        </w:rPr>
        <w:footnoteReference w:id="5"/>
      </w:r>
    </w:p>
    <w:p w14:paraId="68AE9F9E" w14:textId="77777777" w:rsidR="00C71CC3" w:rsidRPr="00DF234F" w:rsidRDefault="00081DF5" w:rsidP="00B361DA">
      <w:pPr>
        <w:pStyle w:val="Heading3"/>
      </w:pPr>
      <w:bookmarkStart w:id="117" w:name="_Toc11349145"/>
      <w:bookmarkStart w:id="118" w:name="_Toc11349300"/>
      <w:r w:rsidRPr="00302B32">
        <w:t xml:space="preserve">Current Government </w:t>
      </w:r>
      <w:r w:rsidR="002A3398" w:rsidRPr="00302B32">
        <w:t>Support</w:t>
      </w:r>
      <w:r w:rsidR="00672C1C" w:rsidRPr="00302B32">
        <w:t>s</w:t>
      </w:r>
      <w:r w:rsidR="0088669D" w:rsidRPr="00302B32">
        <w:t xml:space="preserve"> and Programs</w:t>
      </w:r>
      <w:r w:rsidR="00AC341B" w:rsidRPr="00302B32">
        <w:t xml:space="preserve"> - Health</w:t>
      </w:r>
      <w:bookmarkEnd w:id="117"/>
      <w:bookmarkEnd w:id="118"/>
    </w:p>
    <w:p w14:paraId="68AE9F9F" w14:textId="2264C41F" w:rsidR="00CF3144" w:rsidRPr="009E1D88" w:rsidRDefault="00CF3144" w:rsidP="00B361DA">
      <w:pPr>
        <w:pStyle w:val="Paralist"/>
      </w:pPr>
      <w:r w:rsidRPr="009E1D88">
        <w:t xml:space="preserve">The Government </w:t>
      </w:r>
      <w:r w:rsidR="002A3398" w:rsidRPr="009E1D88">
        <w:t>contributes funding and provides services through</w:t>
      </w:r>
      <w:r w:rsidRPr="009E1D88">
        <w:t xml:space="preserve"> a number of programs which include </w:t>
      </w:r>
      <w:r w:rsidR="002A3398" w:rsidRPr="009E1D88">
        <w:t xml:space="preserve">hearing </w:t>
      </w:r>
      <w:r w:rsidRPr="009E1D88">
        <w:t xml:space="preserve">services </w:t>
      </w:r>
      <w:r w:rsidR="002A3398" w:rsidRPr="009E1D88">
        <w:t xml:space="preserve">specifically </w:t>
      </w:r>
      <w:r w:rsidRPr="009E1D88">
        <w:t>for Indigenous people and communities</w:t>
      </w:r>
      <w:r w:rsidR="00ED1010" w:rsidRPr="009E1D88">
        <w:t xml:space="preserve">. </w:t>
      </w:r>
      <w:r w:rsidR="002A3398" w:rsidRPr="009E1D88">
        <w:t>In the Health portfolio, for example, programs include</w:t>
      </w:r>
    </w:p>
    <w:p w14:paraId="68AE9FA0" w14:textId="77777777" w:rsidR="002A3398" w:rsidRDefault="0066175B" w:rsidP="00B361DA">
      <w:pPr>
        <w:pStyle w:val="paralist2"/>
      </w:pPr>
      <w:r>
        <w:t>The Australian Government Hearing Services Program (</w:t>
      </w:r>
      <w:r w:rsidR="00672C1C">
        <w:t>HSP</w:t>
      </w:r>
      <w:r>
        <w:t>) Community Service Obligations (</w:t>
      </w:r>
      <w:r w:rsidR="007E1568">
        <w:t>CSO</w:t>
      </w:r>
      <w:r>
        <w:t>)</w:t>
      </w:r>
      <w:r w:rsidR="007E1568">
        <w:t xml:space="preserve"> component</w:t>
      </w:r>
    </w:p>
    <w:p w14:paraId="68AE9FA1" w14:textId="77777777" w:rsidR="008041E6" w:rsidRDefault="007976CA" w:rsidP="00B361DA">
      <w:pPr>
        <w:pStyle w:val="paralist2"/>
      </w:pPr>
      <w:r>
        <w:t xml:space="preserve">A range of ear and hearing health initiatives funded through the </w:t>
      </w:r>
      <w:r w:rsidR="002A3398">
        <w:t>Indigenous Australians’ Health Program</w:t>
      </w:r>
      <w:r>
        <w:t xml:space="preserve">me. </w:t>
      </w:r>
    </w:p>
    <w:p w14:paraId="68AE9FA2" w14:textId="77777777" w:rsidR="008041E6" w:rsidRDefault="008041E6" w:rsidP="00B361DA">
      <w:pPr>
        <w:pStyle w:val="paralist2"/>
      </w:pPr>
      <w:r>
        <w:t>Medicare Benefits Scheme (MBS)</w:t>
      </w:r>
      <w:r w:rsidR="0088669D">
        <w:t xml:space="preserve"> and other primary health care supports</w:t>
      </w:r>
      <w:r>
        <w:t>.</w:t>
      </w:r>
    </w:p>
    <w:p w14:paraId="68AE9FA3" w14:textId="77777777" w:rsidR="00380439" w:rsidRPr="00A5050B" w:rsidRDefault="00380439" w:rsidP="00A5050B">
      <w:pPr>
        <w:pStyle w:val="Heading4"/>
      </w:pPr>
      <w:r w:rsidRPr="00B361DA">
        <w:t>Community Service Obligations</w:t>
      </w:r>
    </w:p>
    <w:p w14:paraId="68AE9FA4" w14:textId="77777777" w:rsidR="00AF1556" w:rsidRPr="008431FD" w:rsidRDefault="00672C1C" w:rsidP="00B361DA">
      <w:pPr>
        <w:pStyle w:val="Paralist"/>
      </w:pPr>
      <w:r w:rsidRPr="008431FD">
        <w:t xml:space="preserve">The HSP provides </w:t>
      </w:r>
      <w:proofErr w:type="spellStart"/>
      <w:r w:rsidRPr="008431FD">
        <w:t>specialised</w:t>
      </w:r>
      <w:proofErr w:type="spellEnd"/>
      <w:r w:rsidRPr="008431FD">
        <w:t xml:space="preserve"> services for specific groups through a </w:t>
      </w:r>
      <w:r w:rsidR="00AF1556" w:rsidRPr="008431FD">
        <w:t>CSO</w:t>
      </w:r>
      <w:r w:rsidRPr="008431FD">
        <w:t xml:space="preserve"> arrangement delivered by Australian Hearing</w:t>
      </w:r>
      <w:r w:rsidR="00ED1010" w:rsidRPr="008431FD">
        <w:t xml:space="preserve">. </w:t>
      </w:r>
      <w:r w:rsidR="00AF1556" w:rsidRPr="008431FD">
        <w:t xml:space="preserve">The CSO provides specialist services to young Australians aged 0-26 years, Voucher eligible adults with complex hearing needs, </w:t>
      </w:r>
      <w:r w:rsidR="000513BA" w:rsidRPr="008431FD">
        <w:t xml:space="preserve">and </w:t>
      </w:r>
      <w:r w:rsidR="00AF1556" w:rsidRPr="008431FD">
        <w:t xml:space="preserve">Indigenous </w:t>
      </w:r>
      <w:r w:rsidR="00340BA1" w:rsidRPr="008431FD">
        <w:t>persons over 50 years of age or who are</w:t>
      </w:r>
      <w:r w:rsidR="00AF1556" w:rsidRPr="008431FD">
        <w:t xml:space="preserve"> participants in the Remote Jobs and Communities Program or the Community Development Employment Projects Program</w:t>
      </w:r>
      <w:r w:rsidR="00ED1010" w:rsidRPr="008431FD">
        <w:t xml:space="preserve">. </w:t>
      </w:r>
      <w:r w:rsidR="00AF1556" w:rsidRPr="008431FD">
        <w:t>CSO services are delivered by Australian Hearing, the sole government provider under the portfolio responsibility of DHS</w:t>
      </w:r>
      <w:r w:rsidR="00ED1010" w:rsidRPr="008431FD">
        <w:t xml:space="preserve">. </w:t>
      </w:r>
      <w:r w:rsidR="00AF1556" w:rsidRPr="008431FD">
        <w:t>In 201</w:t>
      </w:r>
      <w:r w:rsidR="0088669D" w:rsidRPr="008431FD">
        <w:t>6-17, Health provided $69</w:t>
      </w:r>
      <w:r w:rsidR="00AF1556" w:rsidRPr="008431FD">
        <w:t>.3 million to Australian Hearing for CSO services.</w:t>
      </w:r>
    </w:p>
    <w:p w14:paraId="68AE9FA5" w14:textId="77777777" w:rsidR="00AF1556" w:rsidRPr="009E1D88" w:rsidRDefault="00AF1556" w:rsidP="00B361DA">
      <w:pPr>
        <w:pStyle w:val="Paralist"/>
      </w:pPr>
      <w:r w:rsidRPr="009E1D88">
        <w:t>Each year, Australian Hearing uses a portion of funding allocated for CSO services to deliver outreach services to both urban and remote clients</w:t>
      </w:r>
      <w:r w:rsidR="00ED1010" w:rsidRPr="009E1D88">
        <w:t xml:space="preserve">. </w:t>
      </w:r>
      <w:r w:rsidRPr="009E1D88">
        <w:t xml:space="preserve">A high proportion of </w:t>
      </w:r>
      <w:r w:rsidRPr="009E1D88">
        <w:lastRenderedPageBreak/>
        <w:t>these services are accessed through local health services</w:t>
      </w:r>
      <w:r w:rsidR="00ED1010" w:rsidRPr="009E1D88">
        <w:t xml:space="preserve">. </w:t>
      </w:r>
      <w:r w:rsidRPr="009E1D88">
        <w:t xml:space="preserve">Services are delivered from permanent hearing </w:t>
      </w:r>
      <w:proofErr w:type="spellStart"/>
      <w:r w:rsidRPr="009E1D88">
        <w:t>centres</w:t>
      </w:r>
      <w:proofErr w:type="spellEnd"/>
      <w:r w:rsidRPr="009E1D88">
        <w:t>, visiting, and remote sites located across Australia</w:t>
      </w:r>
      <w:r w:rsidR="00ED1010" w:rsidRPr="009E1D88">
        <w:t xml:space="preserve">. </w:t>
      </w:r>
      <w:r w:rsidRPr="009E1D88">
        <w:t>Australian Hearing works closely with local services to deliver the outreach program providing hearing services to some of the most remote communities in Australia.</w:t>
      </w:r>
    </w:p>
    <w:p w14:paraId="68AE9FA6" w14:textId="77777777" w:rsidR="0076645C" w:rsidRPr="009E1D88" w:rsidRDefault="0076645C" w:rsidP="00B361DA">
      <w:pPr>
        <w:pStyle w:val="Paralist"/>
      </w:pPr>
      <w:r w:rsidRPr="009E1D88">
        <w:t>Australian Hearing reports that 116 audiologists completed 1,072 visits to 238 outreach sites in 2016-17. This represents an increase of 13.8% on the figures from 2015-16.</w:t>
      </w:r>
      <w:r w:rsidRPr="009E1D88">
        <w:rPr>
          <w:vertAlign w:val="superscript"/>
        </w:rPr>
        <w:footnoteReference w:id="6"/>
      </w:r>
    </w:p>
    <w:p w14:paraId="68AE9FA7" w14:textId="0EC49030" w:rsidR="00AF1556" w:rsidRPr="009E1D88" w:rsidRDefault="00AF1556" w:rsidP="00B361DA">
      <w:pPr>
        <w:pStyle w:val="Paralist"/>
      </w:pPr>
      <w:r w:rsidRPr="009E1D88">
        <w:t xml:space="preserve">Australian Hearing </w:t>
      </w:r>
      <w:r w:rsidR="0076645C" w:rsidRPr="009E1D88">
        <w:t xml:space="preserve">also </w:t>
      </w:r>
      <w:r w:rsidRPr="009E1D88">
        <w:t>reports that</w:t>
      </w:r>
      <w:r w:rsidR="00FE5A23" w:rsidRPr="009E1D88">
        <w:t>,</w:t>
      </w:r>
      <w:r w:rsidRPr="009E1D88">
        <w:t xml:space="preserve"> under the CSO in 2016-17</w:t>
      </w:r>
      <w:r w:rsidR="00FE5A23" w:rsidRPr="009E1D88">
        <w:t>, they provided services to</w:t>
      </w:r>
    </w:p>
    <w:p w14:paraId="68AE9FA8" w14:textId="77777777" w:rsidR="00AF1556" w:rsidRPr="00400FB8" w:rsidRDefault="00325933" w:rsidP="00B361DA">
      <w:pPr>
        <w:pStyle w:val="paralist2"/>
      </w:pPr>
      <w:r>
        <w:t>4,944 Indigenous</w:t>
      </w:r>
      <w:r w:rsidR="00AF1556" w:rsidRPr="00400FB8">
        <w:t xml:space="preserve"> ch</w:t>
      </w:r>
      <w:r w:rsidR="00FE5A23">
        <w:t xml:space="preserve">ildren </w:t>
      </w:r>
      <w:r>
        <w:t xml:space="preserve">and </w:t>
      </w:r>
      <w:r w:rsidR="00FE5A23">
        <w:t>young adults under 2</w:t>
      </w:r>
      <w:r>
        <w:t>6, and</w:t>
      </w:r>
    </w:p>
    <w:p w14:paraId="68AE9FA9" w14:textId="77777777" w:rsidR="00081DF5" w:rsidRDefault="00AF1556" w:rsidP="00B361DA">
      <w:pPr>
        <w:pStyle w:val="paralist2"/>
      </w:pPr>
      <w:r>
        <w:t>4,</w:t>
      </w:r>
      <w:r w:rsidR="00325933">
        <w:t>971</w:t>
      </w:r>
      <w:r w:rsidR="00325933" w:rsidRPr="00400FB8">
        <w:t xml:space="preserve"> </w:t>
      </w:r>
      <w:r>
        <w:t>Indigenous</w:t>
      </w:r>
      <w:r w:rsidRPr="00400FB8">
        <w:t xml:space="preserve"> </w:t>
      </w:r>
      <w:r w:rsidR="00325933">
        <w:t>eligible adult clients</w:t>
      </w:r>
      <w:r w:rsidR="00FE5A23">
        <w:t>.</w:t>
      </w:r>
      <w:r w:rsidR="00CD6629">
        <w:rPr>
          <w:rStyle w:val="FootnoteReference"/>
        </w:rPr>
        <w:footnoteReference w:id="7"/>
      </w:r>
    </w:p>
    <w:p w14:paraId="68AE9FAA" w14:textId="77777777" w:rsidR="00380439" w:rsidRPr="00A5050B" w:rsidRDefault="00380439" w:rsidP="00A5050B">
      <w:pPr>
        <w:pStyle w:val="Heading4"/>
      </w:pPr>
      <w:r w:rsidRPr="00B361DA">
        <w:t>Indigenous Australians’ Health Program</w:t>
      </w:r>
    </w:p>
    <w:p w14:paraId="68AE9FAB" w14:textId="25DC3A63" w:rsidR="0066175B" w:rsidRPr="00284D9B" w:rsidRDefault="0066175B" w:rsidP="00B361DA">
      <w:pPr>
        <w:pStyle w:val="Paralist"/>
      </w:pPr>
      <w:r w:rsidRPr="00284D9B">
        <w:t>Through the Indigenous Australians’ Health Program</w:t>
      </w:r>
      <w:r>
        <w:t>me (IAHP)</w:t>
      </w:r>
      <w:r w:rsidRPr="00284D9B">
        <w:t xml:space="preserve">, </w:t>
      </w:r>
      <w:r>
        <w:t>$</w:t>
      </w:r>
      <w:r w:rsidR="00CB66C3">
        <w:t>103</w:t>
      </w:r>
      <w:r>
        <w:t xml:space="preserve"> million (2012-13 to 2021-22) </w:t>
      </w:r>
      <w:r w:rsidRPr="00284D9B">
        <w:t xml:space="preserve">is </w:t>
      </w:r>
      <w:r>
        <w:t xml:space="preserve">provided </w:t>
      </w:r>
      <w:r w:rsidRPr="00284D9B">
        <w:t>for activities to improve ear and hearing health for Indigenous children and youth (0</w:t>
      </w:r>
      <w:r w:rsidRPr="00284D9B">
        <w:noBreakHyphen/>
        <w:t>21 years of age). Current activities include</w:t>
      </w:r>
    </w:p>
    <w:p w14:paraId="59D454B6" w14:textId="1C794450" w:rsidR="00CB66C3" w:rsidRDefault="00CB66C3" w:rsidP="00B361DA">
      <w:pPr>
        <w:pStyle w:val="paralist2"/>
      </w:pPr>
      <w:proofErr w:type="gramStart"/>
      <w:r>
        <w:t>a</w:t>
      </w:r>
      <w:proofErr w:type="gramEnd"/>
      <w:r w:rsidRPr="00422633">
        <w:t xml:space="preserve"> new targeted outreach program which will provide an annual hearing assessment for Aboriginal and Torres Strait Islander children prior to the commencement of school.</w:t>
      </w:r>
      <w:r>
        <w:t xml:space="preserve"> This will commence in 2018-19</w:t>
      </w:r>
    </w:p>
    <w:p w14:paraId="68AE9FAC" w14:textId="41C2BEEF" w:rsidR="0066175B" w:rsidRDefault="0066175B" w:rsidP="00B361DA">
      <w:pPr>
        <w:pStyle w:val="paralist2"/>
      </w:pPr>
      <w:r>
        <w:t>health promotion activities to raise awareness of the importance of health hygiene and early intervention</w:t>
      </w:r>
    </w:p>
    <w:p w14:paraId="68AE9FAD" w14:textId="77777777" w:rsidR="0066175B" w:rsidRDefault="0066175B" w:rsidP="00B361DA">
      <w:pPr>
        <w:pStyle w:val="paralist2"/>
      </w:pPr>
      <w:r>
        <w:t>multidisciplinary clinical services to treat and manage ear disease and its impact (including by GPs, medical specialists, audiologists and speech pathologists)</w:t>
      </w:r>
    </w:p>
    <w:p w14:paraId="68AE9FAE" w14:textId="77777777" w:rsidR="0066175B" w:rsidRDefault="0066175B" w:rsidP="00B361DA">
      <w:pPr>
        <w:pStyle w:val="paralist2"/>
      </w:pPr>
      <w:r>
        <w:t>expediting access to surgery for individuals who have been on long waiting lists</w:t>
      </w:r>
    </w:p>
    <w:p w14:paraId="68AE9FAF" w14:textId="77777777" w:rsidR="0066175B" w:rsidRDefault="0066175B" w:rsidP="00B361DA">
      <w:pPr>
        <w:pStyle w:val="paralist2"/>
      </w:pPr>
      <w:r>
        <w:t>coordination of activity to improve the patient pathway</w:t>
      </w:r>
    </w:p>
    <w:p w14:paraId="68AE9FB0" w14:textId="334A69A4" w:rsidR="0066175B" w:rsidRDefault="0066175B" w:rsidP="00B361DA">
      <w:pPr>
        <w:pStyle w:val="paralist2"/>
      </w:pPr>
      <w:r>
        <w:t>training of health professionals and</w:t>
      </w:r>
    </w:p>
    <w:p w14:paraId="68AE9FB1" w14:textId="77777777" w:rsidR="0066175B" w:rsidRDefault="0066175B" w:rsidP="00B361DA">
      <w:pPr>
        <w:pStyle w:val="paralist2"/>
      </w:pPr>
      <w:proofErr w:type="gramStart"/>
      <w:r>
        <w:t>provision</w:t>
      </w:r>
      <w:proofErr w:type="gramEnd"/>
      <w:r>
        <w:t xml:space="preserve"> of diagnostic tools such as equipment and clinical guidelines.</w:t>
      </w:r>
    </w:p>
    <w:p w14:paraId="68AE9FB2" w14:textId="4F533D4C" w:rsidR="00261710" w:rsidRPr="00B73898" w:rsidRDefault="00261710" w:rsidP="00B361DA">
      <w:pPr>
        <w:pStyle w:val="Paralist"/>
      </w:pPr>
      <w:r w:rsidRPr="00B73898">
        <w:t>In 2016-17, around 47,000 patient contacts were provided in over 300 locations over 200 ear surgeries were completed over 1,100 health professionals received training in around 80 sites nationally and over 1,100 pieces of equipment were available in over 170 sites.</w:t>
      </w:r>
    </w:p>
    <w:p w14:paraId="68AE9FB3" w14:textId="77777777" w:rsidR="00380439" w:rsidRPr="00A5050B" w:rsidRDefault="0066175B" w:rsidP="00A5050B">
      <w:pPr>
        <w:pStyle w:val="Heading4"/>
      </w:pPr>
      <w:r w:rsidRPr="00B361DA">
        <w:t>Indigenous Primary Health Care</w:t>
      </w:r>
    </w:p>
    <w:p w14:paraId="68AE9FB4" w14:textId="77777777" w:rsidR="007E1568" w:rsidRPr="00284D9B" w:rsidRDefault="0036676C" w:rsidP="00B361DA">
      <w:pPr>
        <w:pStyle w:val="Paralist"/>
      </w:pPr>
      <w:r>
        <w:t>Under the IAHP</w:t>
      </w:r>
      <w:r w:rsidR="009F7757">
        <w:t xml:space="preserve"> </w:t>
      </w:r>
      <w:r w:rsidR="0066175B" w:rsidRPr="0066175B">
        <w:t>the Government funds a national network of approximately 140 Aboriginal Community Controlled Health Services and around 90 other services to deliver culturally competent, comprehensive primary health care</w:t>
      </w:r>
      <w:r w:rsidR="007E1568" w:rsidRPr="00284D9B">
        <w:t xml:space="preserve">. </w:t>
      </w:r>
    </w:p>
    <w:p w14:paraId="68AE9FB5" w14:textId="77777777" w:rsidR="007976CA" w:rsidRPr="00A5050B" w:rsidRDefault="007976CA" w:rsidP="00A5050B">
      <w:pPr>
        <w:pStyle w:val="Heading4"/>
      </w:pPr>
      <w:r w:rsidRPr="00B361DA">
        <w:lastRenderedPageBreak/>
        <w:t>New Directions Mothers and Babies Services</w:t>
      </w:r>
    </w:p>
    <w:p w14:paraId="68AE9FB6" w14:textId="77777777" w:rsidR="00295163" w:rsidRPr="00B73898" w:rsidRDefault="007976CA" w:rsidP="00B361DA">
      <w:pPr>
        <w:pStyle w:val="Paralist"/>
      </w:pPr>
      <w:r w:rsidRPr="00284D9B">
        <w:t xml:space="preserve">The New Directions Mothers and Babies Services provide Aboriginal and Torres Strait Islander children and their mothers with information about baby care, practical advice about parenting, monitoring of developmental milestones and health checks, and referrals for treatment before children start school. </w:t>
      </w:r>
      <w:r w:rsidR="00625B8A">
        <w:t>E</w:t>
      </w:r>
      <w:r w:rsidRPr="00284D9B">
        <w:t xml:space="preserve">ar health messages </w:t>
      </w:r>
      <w:r w:rsidR="00625B8A">
        <w:t xml:space="preserve">are </w:t>
      </w:r>
      <w:r w:rsidRPr="00284D9B">
        <w:t>included in this information.</w:t>
      </w:r>
    </w:p>
    <w:p w14:paraId="68AE9FB7" w14:textId="77777777" w:rsidR="00295163" w:rsidRPr="00A5050B" w:rsidRDefault="00295163" w:rsidP="00A5050B">
      <w:pPr>
        <w:pStyle w:val="Heading4"/>
      </w:pPr>
      <w:r w:rsidRPr="00B361DA">
        <w:t>Australian Nurse Family Partnership Program</w:t>
      </w:r>
    </w:p>
    <w:p w14:paraId="68AE9FB8" w14:textId="77777777" w:rsidR="00295163" w:rsidRPr="003A178C" w:rsidRDefault="00295163" w:rsidP="00B361DA">
      <w:pPr>
        <w:pStyle w:val="Paralist"/>
      </w:pPr>
      <w:r w:rsidRPr="003A178C">
        <w:t xml:space="preserve">The IAHP funds the Australian Nurse Family Partnership Program (ANFPP), which is an evidence based, nurse-led home visiting program, based on the internationally renowned Nurse-Family Partnership (NFP) model.  The program supports women pregnant with an Aboriginal and/or Torres Strait Islander baby who may benefit from a more intensive level of support to improve their own health and the health of their baby.  The program aims to improve pregnancy outcomes by helping women engage in good preventive health practices and support parents to improve their child’s health and development.  During infancy and toddlerhood, the child’s general health status is assessed to detect </w:t>
      </w:r>
      <w:proofErr w:type="spellStart"/>
      <w:r w:rsidRPr="003A178C">
        <w:t>unrecognised</w:t>
      </w:r>
      <w:proofErr w:type="spellEnd"/>
      <w:r w:rsidRPr="003A178C">
        <w:t xml:space="preserve"> or untreated problems, such as hearing problems, and if required the mother is encouraged to undertake further investigation with specialist services. The program is delivered in 13 sites across Australia.</w:t>
      </w:r>
    </w:p>
    <w:p w14:paraId="68AE9FB9" w14:textId="74A33DB5" w:rsidR="00265CDF" w:rsidRPr="00A5050B" w:rsidRDefault="00265CDF" w:rsidP="00A5050B">
      <w:pPr>
        <w:pStyle w:val="Heading4"/>
      </w:pPr>
      <w:r w:rsidRPr="00B361DA">
        <w:t>National Partnership on Northern Territory Remote Aboriginal Investment</w:t>
      </w:r>
    </w:p>
    <w:p w14:paraId="68AE9FBA" w14:textId="6E51482B" w:rsidR="00265CDF" w:rsidRPr="003A178C" w:rsidRDefault="00265CDF" w:rsidP="00B361DA">
      <w:pPr>
        <w:pStyle w:val="Paralist"/>
      </w:pPr>
      <w:r w:rsidRPr="003A178C">
        <w:t>The Australian Government is providing $33.4 million over 2012-13 to 2021-22 for the Hearing Health Program under the National Partnership on Northern Territory Remote Aboriginal Investment. The aim is to reduce the prevalence</w:t>
      </w:r>
      <w:r w:rsidR="001C392C">
        <w:t xml:space="preserve"> of</w:t>
      </w:r>
      <w:r w:rsidRPr="003A178C">
        <w:t xml:space="preserve"> ear disease among Aboriginal children under 16 years in the Northern Territory, particularly in remote areas. Activities include audiology and ear, nose and throat services complex case management, hearing health promotion and training. </w:t>
      </w:r>
    </w:p>
    <w:p w14:paraId="68AE9FBB" w14:textId="77777777" w:rsidR="00265CDF" w:rsidRPr="00C86242" w:rsidRDefault="00265CDF" w:rsidP="00B361DA">
      <w:pPr>
        <w:pStyle w:val="Paralist"/>
      </w:pPr>
      <w:r w:rsidRPr="00C86242">
        <w:t xml:space="preserve">The Northern Territory Outreach Hearing Health Program July 2012 to December 2016 report published by the Australian Institute of Health and Welfare indicates that there have been  improvements in children’s ear health and hearing - the percentage of children with at least </w:t>
      </w:r>
      <w:r w:rsidR="001C392C" w:rsidRPr="00C86242">
        <w:t>one</w:t>
      </w:r>
      <w:r w:rsidRPr="00C86242">
        <w:t xml:space="preserve"> ear disease decreased by 15 percentage points from July 2012 to December 2016 (from 76% to 61%) and the percentage of children with hearing loss decreased by 10 percentage points from July 2012 to December 2016 (from 55% to 45%).</w:t>
      </w:r>
    </w:p>
    <w:p w14:paraId="68AE9FBC" w14:textId="77777777" w:rsidR="007976CA" w:rsidRPr="00A5050B" w:rsidRDefault="007976CA" w:rsidP="00A5050B">
      <w:pPr>
        <w:pStyle w:val="Heading4"/>
      </w:pPr>
      <w:r w:rsidRPr="00B361DA">
        <w:t xml:space="preserve">Medicare Benefits </w:t>
      </w:r>
      <w:r w:rsidR="001C392C" w:rsidRPr="00B361DA">
        <w:t>Schedule</w:t>
      </w:r>
      <w:r w:rsidR="0036676C" w:rsidRPr="00B361DA">
        <w:t xml:space="preserve"> -</w:t>
      </w:r>
      <w:r w:rsidRPr="00B361DA">
        <w:t xml:space="preserve"> </w:t>
      </w:r>
      <w:r w:rsidR="0036676C" w:rsidRPr="00B361DA">
        <w:t xml:space="preserve">Aboriginal and Torres Strait Islander </w:t>
      </w:r>
      <w:r w:rsidR="00625B8A" w:rsidRPr="00B361DA">
        <w:t>Health Assessments</w:t>
      </w:r>
    </w:p>
    <w:p w14:paraId="68AE9FBD" w14:textId="77777777" w:rsidR="007976CA" w:rsidRPr="00284D9B" w:rsidRDefault="007976CA" w:rsidP="00B361DA">
      <w:pPr>
        <w:pStyle w:val="Paralist"/>
      </w:pPr>
      <w:r w:rsidRPr="00284D9B">
        <w:t xml:space="preserve">An Aboriginal and Torres Strait Islander Health Assessment for a child under 15 years must include an ear examination using otoscopy (MBS Item 715). Opportunistic inner ear examination is encouraged every time an Indigenous child attends a medical clinic, even if the child </w:t>
      </w:r>
      <w:r>
        <w:t xml:space="preserve">is asymptomatic or </w:t>
      </w:r>
      <w:r w:rsidRPr="00284D9B">
        <w:t xml:space="preserve">is not the </w:t>
      </w:r>
      <w:r w:rsidR="00625B8A">
        <w:t xml:space="preserve">primary </w:t>
      </w:r>
      <w:r w:rsidRPr="00284D9B">
        <w:t>patient. This model of care embeds ear and hearing health into existing child health primary care and can be beneficial as middle ear conditions can be asymptomatic with fluctuating hearing loss.</w:t>
      </w:r>
    </w:p>
    <w:p w14:paraId="68AE9FBE" w14:textId="77777777" w:rsidR="00AC341B" w:rsidRPr="00692A0D" w:rsidRDefault="00AC341B" w:rsidP="00B361DA">
      <w:pPr>
        <w:pStyle w:val="Heading3"/>
      </w:pPr>
      <w:bookmarkStart w:id="119" w:name="_Toc11349146"/>
      <w:bookmarkStart w:id="120" w:name="_Toc11349301"/>
      <w:r w:rsidRPr="00692A0D">
        <w:lastRenderedPageBreak/>
        <w:t>Current Government Supports</w:t>
      </w:r>
      <w:r w:rsidR="00FF2CD6" w:rsidRPr="00692A0D">
        <w:t xml:space="preserve"> and Programs</w:t>
      </w:r>
      <w:r w:rsidRPr="00692A0D">
        <w:t xml:space="preserve"> </w:t>
      </w:r>
      <w:r w:rsidR="008C0913" w:rsidRPr="00692A0D">
        <w:t>–</w:t>
      </w:r>
      <w:r w:rsidRPr="00692A0D">
        <w:t xml:space="preserve"> </w:t>
      </w:r>
      <w:r w:rsidR="00FF2CD6" w:rsidRPr="00692A0D">
        <w:t>Education</w:t>
      </w:r>
      <w:bookmarkEnd w:id="119"/>
      <w:bookmarkEnd w:id="120"/>
    </w:p>
    <w:p w14:paraId="68AE9FBF" w14:textId="0CB89D3E" w:rsidR="00AC341B" w:rsidRPr="00284D9B" w:rsidRDefault="00AC341B" w:rsidP="00B361DA">
      <w:pPr>
        <w:pStyle w:val="Paralist"/>
      </w:pPr>
      <w:r w:rsidRPr="00284D9B">
        <w:t>The Government provides national policy leadership and makes a significant financial contribution to school education through</w:t>
      </w:r>
      <w:r w:rsidR="007072F1" w:rsidRPr="00284D9B">
        <w:t xml:space="preserve"> record</w:t>
      </w:r>
      <w:r w:rsidRPr="00284D9B">
        <w:t xml:space="preserve"> Commonwealth recurrent funding. In recognition of the educational barriers faced specifically by disadvantaged students, the Government provides additional funding through loadings (included in recurrent funding arrangements) that target student and school disadvantage, including for</w:t>
      </w:r>
    </w:p>
    <w:p w14:paraId="68AE9FC0" w14:textId="77777777" w:rsidR="00AC341B" w:rsidRPr="00CD2BAA" w:rsidRDefault="00AC341B" w:rsidP="00B361DA">
      <w:pPr>
        <w:pStyle w:val="paralist2"/>
      </w:pPr>
      <w:r w:rsidRPr="00CD2BAA">
        <w:t xml:space="preserve">students from low socioeconomic status backgrounds </w:t>
      </w:r>
    </w:p>
    <w:p w14:paraId="68AE9FC1" w14:textId="77777777" w:rsidR="00AC341B" w:rsidRPr="00CD2BAA" w:rsidRDefault="00AC341B" w:rsidP="00B361DA">
      <w:pPr>
        <w:pStyle w:val="paralist2"/>
      </w:pPr>
      <w:r w:rsidRPr="00CD2BAA">
        <w:t xml:space="preserve">students with disability </w:t>
      </w:r>
    </w:p>
    <w:p w14:paraId="68AE9FC2" w14:textId="77777777" w:rsidR="00AC341B" w:rsidRPr="00CD2BAA" w:rsidRDefault="00AC341B" w:rsidP="00B361DA">
      <w:pPr>
        <w:pStyle w:val="paralist2"/>
      </w:pPr>
      <w:r w:rsidRPr="00CD2BAA">
        <w:t xml:space="preserve">Aboriginal and Torres Strait Islander students </w:t>
      </w:r>
    </w:p>
    <w:p w14:paraId="68AE9FC3" w14:textId="77777777" w:rsidR="00AC341B" w:rsidRPr="00CD2BAA" w:rsidRDefault="00AC341B" w:rsidP="00B361DA">
      <w:pPr>
        <w:pStyle w:val="paralist2"/>
      </w:pPr>
      <w:r w:rsidRPr="00CD2BAA">
        <w:t xml:space="preserve">students with low English proficiency </w:t>
      </w:r>
    </w:p>
    <w:p w14:paraId="68AE9FC4" w14:textId="77777777" w:rsidR="00AC341B" w:rsidRPr="00CD2BAA" w:rsidRDefault="00AC341B" w:rsidP="00B361DA">
      <w:pPr>
        <w:pStyle w:val="paralist2"/>
      </w:pPr>
      <w:r w:rsidRPr="00CD2BAA">
        <w:t>school size, and</w:t>
      </w:r>
    </w:p>
    <w:p w14:paraId="68AE9FC5" w14:textId="77777777" w:rsidR="00AC341B" w:rsidRPr="00CD2BAA" w:rsidRDefault="00AC341B" w:rsidP="00B361DA">
      <w:pPr>
        <w:pStyle w:val="paralist2"/>
      </w:pPr>
      <w:proofErr w:type="gramStart"/>
      <w:r w:rsidRPr="00CD2BAA">
        <w:t>school</w:t>
      </w:r>
      <w:proofErr w:type="gramEnd"/>
      <w:r w:rsidRPr="00CD2BAA">
        <w:t xml:space="preserve"> location.</w:t>
      </w:r>
    </w:p>
    <w:p w14:paraId="68AE9FC6" w14:textId="77777777" w:rsidR="00AC341B" w:rsidRPr="00284D9B" w:rsidRDefault="00AC341B" w:rsidP="00B361DA">
      <w:pPr>
        <w:pStyle w:val="Paralist"/>
      </w:pPr>
      <w:r w:rsidRPr="00284D9B">
        <w:t xml:space="preserve">The Government is not prescriptive about how school authorities or individual schools spend Commonwealth funding. Under the </w:t>
      </w:r>
      <w:r w:rsidRPr="001C392C">
        <w:rPr>
          <w:i/>
        </w:rPr>
        <w:t>Australian Education Act 2013</w:t>
      </w:r>
      <w:r w:rsidRPr="00284D9B">
        <w:t>, all school systems have the flexibility to distribute funds according to their own needs</w:t>
      </w:r>
      <w:r w:rsidR="00685CC1" w:rsidRPr="00284D9B">
        <w:noBreakHyphen/>
      </w:r>
      <w:r w:rsidRPr="00284D9B">
        <w:t>based arrangements. This allows school authorities to target resources appropriately to address local needs, including the needs of Aboriginal and Torres Strait Islander students and/or students with disability. For example, the Victorian Department of Education and Training offer a free Primary School Nursing Program and the Northern Territory’s Healthy School Age Kids is a collaborative health</w:t>
      </w:r>
      <w:r w:rsidR="00685CC1" w:rsidRPr="00284D9B">
        <w:noBreakHyphen/>
      </w:r>
      <w:r w:rsidRPr="00284D9B">
        <w:t>screening program between the NT Departments of Health and Education.</w:t>
      </w:r>
    </w:p>
    <w:p w14:paraId="68AE9FC7" w14:textId="77777777" w:rsidR="002411B3" w:rsidRPr="00A5050B" w:rsidRDefault="002411B3" w:rsidP="00A5050B">
      <w:pPr>
        <w:pStyle w:val="Heading4"/>
      </w:pPr>
      <w:r w:rsidRPr="008F4186">
        <w:t>Connected Beginnings</w:t>
      </w:r>
    </w:p>
    <w:p w14:paraId="68AE9FC8" w14:textId="77777777" w:rsidR="002411B3" w:rsidRPr="00284D9B" w:rsidRDefault="002411B3" w:rsidP="00B361DA">
      <w:pPr>
        <w:pStyle w:val="Paralist"/>
      </w:pPr>
      <w:r w:rsidRPr="00284D9B">
        <w:t xml:space="preserve">Connected Beginnings is a program run by DET, with a linked grants based program </w:t>
      </w:r>
      <w:proofErr w:type="gramStart"/>
      <w:r w:rsidRPr="00284D9B">
        <w:t>of</w:t>
      </w:r>
      <w:proofErr w:type="gramEnd"/>
      <w:r w:rsidRPr="00284D9B">
        <w:t xml:space="preserve"> the same name managed by Health. The objective of the program is to support the integration of early childhood, maternal and child health, and family support services with schools in a number of Indigenous communities experiencing disadvantage so that children are well prepared for school.</w:t>
      </w:r>
      <w:r w:rsidR="009B4050" w:rsidRPr="00284D9B">
        <w:t xml:space="preserve"> Connected Beginnings has approved funding of $10 million per year, commencing on 1 July 2016.</w:t>
      </w:r>
    </w:p>
    <w:p w14:paraId="68AE9FC9" w14:textId="77777777" w:rsidR="007E1568" w:rsidRPr="007D35BF" w:rsidRDefault="003F1240" w:rsidP="00B361DA">
      <w:pPr>
        <w:pStyle w:val="Heading3"/>
      </w:pPr>
      <w:bookmarkStart w:id="121" w:name="_Toc11349147"/>
      <w:bookmarkStart w:id="122" w:name="_Toc11349302"/>
      <w:r w:rsidRPr="007D35BF">
        <w:t>Current Government Supports – States and Territories</w:t>
      </w:r>
      <w:bookmarkEnd w:id="121"/>
      <w:bookmarkEnd w:id="122"/>
    </w:p>
    <w:p w14:paraId="68AE9FCA" w14:textId="77777777" w:rsidR="00E111E4" w:rsidRPr="004D3D6C" w:rsidRDefault="00E111E4" w:rsidP="00B361DA">
      <w:pPr>
        <w:pStyle w:val="Paralist"/>
      </w:pPr>
      <w:r w:rsidRPr="004D3D6C">
        <w:t xml:space="preserve">State and territory governments provide newborn screening services, prevention activities, hearing assessments through community health services, workers’ compensation arrangements, health care for prisoners, school based hearing equipment, and cochlear implantation surgery through public hospitals. </w:t>
      </w:r>
    </w:p>
    <w:p w14:paraId="68AE9FCB" w14:textId="77777777" w:rsidR="00CD525D" w:rsidRPr="00DF234F" w:rsidRDefault="00EA6A52" w:rsidP="00B361DA">
      <w:pPr>
        <w:pStyle w:val="Heading2"/>
      </w:pPr>
      <w:bookmarkStart w:id="123" w:name="_Toc11349148"/>
      <w:bookmarkStart w:id="124" w:name="_Toc11349303"/>
      <w:r>
        <w:t>Early Intervention</w:t>
      </w:r>
      <w:bookmarkEnd w:id="123"/>
      <w:bookmarkEnd w:id="124"/>
    </w:p>
    <w:p w14:paraId="68AE9FCC" w14:textId="77777777" w:rsidR="00225D34" w:rsidRPr="00CD2BAA" w:rsidRDefault="00225D34" w:rsidP="00B361DA">
      <w:pPr>
        <w:pStyle w:val="Paralist"/>
      </w:pPr>
      <w:r w:rsidRPr="00CD2BAA">
        <w:t xml:space="preserve">Hearing impairment </w:t>
      </w:r>
      <w:r w:rsidR="00DD73CE" w:rsidRPr="00CD2BAA">
        <w:t xml:space="preserve">may </w:t>
      </w:r>
      <w:r w:rsidRPr="00CD2BAA">
        <w:t>affect a person differently depending on when the hearing loss occurred and the severity of the hearing loss</w:t>
      </w:r>
      <w:r w:rsidR="00ED1010" w:rsidRPr="00CD2BAA">
        <w:t xml:space="preserve">. </w:t>
      </w:r>
      <w:r w:rsidRPr="00CD2BAA">
        <w:t xml:space="preserve">The social and psychological effects of hearing loss can include isolation, depression, anxiety, paranoia, </w:t>
      </w:r>
      <w:proofErr w:type="gramStart"/>
      <w:r w:rsidRPr="00CD2BAA">
        <w:t>stress</w:t>
      </w:r>
      <w:proofErr w:type="gramEnd"/>
      <w:r w:rsidRPr="00CD2BAA">
        <w:t xml:space="preserve">, loss of concentration, frustration, irritation, perceived inferiority, and anger. For children, the effects of hearing loss may include delays in language and psychosocial </w:t>
      </w:r>
      <w:r w:rsidRPr="00CD2BAA">
        <w:lastRenderedPageBreak/>
        <w:t xml:space="preserve">development. It can also impact on educational achievements and employment opportunities. </w:t>
      </w:r>
      <w:r w:rsidR="000742AA" w:rsidRPr="00CD2BAA">
        <w:t>The Government currently has several areas of particular focus in the early childhood early intervention space</w:t>
      </w:r>
      <w:r w:rsidR="009C498D" w:rsidRPr="00CD2BAA">
        <w:t>, starting with newborn hearing screening.</w:t>
      </w:r>
    </w:p>
    <w:p w14:paraId="68AE9FCD" w14:textId="77777777" w:rsidR="00EA6A52" w:rsidRPr="00DF234F" w:rsidRDefault="00EA6A52" w:rsidP="00B361DA">
      <w:pPr>
        <w:pStyle w:val="Heading3"/>
      </w:pPr>
      <w:bookmarkStart w:id="125" w:name="_Toc11349149"/>
      <w:bookmarkStart w:id="126" w:name="_Toc11349304"/>
      <w:r w:rsidRPr="00EA6A52">
        <w:t>Universal Neonatal Hearing Screening Program</w:t>
      </w:r>
      <w:bookmarkEnd w:id="125"/>
      <w:bookmarkEnd w:id="126"/>
    </w:p>
    <w:p w14:paraId="68AE9FCE" w14:textId="77777777" w:rsidR="00EA6A52" w:rsidRPr="00836E2B" w:rsidRDefault="00EA6A52" w:rsidP="00B361DA">
      <w:pPr>
        <w:pStyle w:val="Paralist"/>
      </w:pPr>
      <w:r w:rsidRPr="00836E2B">
        <w:t>It is widely acknowledged that delays in the identification and treatment of permanent childhood hearing impairment may profoundly affect quality of life in terms of language acquisition, social and emotional development, and education and employment prospects.</w:t>
      </w:r>
      <w:r w:rsidRPr="0084198F">
        <w:rPr>
          <w:vertAlign w:val="superscript"/>
        </w:rPr>
        <w:footnoteReference w:id="8"/>
      </w:r>
      <w:r w:rsidRPr="00836E2B">
        <w:t xml:space="preserve"> </w:t>
      </w:r>
      <w:r w:rsidR="007072F1" w:rsidRPr="00836E2B">
        <w:t>In July 2009, COAG agreed to a proposal that universal neonatal hearing screening would be available in all states and territories by the end of 2010.</w:t>
      </w:r>
      <w:r w:rsidR="007072F1" w:rsidRPr="003A178C">
        <w:rPr>
          <w:vertAlign w:val="superscript"/>
        </w:rPr>
        <w:footnoteReference w:id="9"/>
      </w:r>
    </w:p>
    <w:p w14:paraId="68AE9FCF" w14:textId="047F3FA0" w:rsidR="00CD525D" w:rsidRPr="00836E2B" w:rsidRDefault="00EA6A52" w:rsidP="00B361DA">
      <w:pPr>
        <w:pStyle w:val="Paralist"/>
      </w:pPr>
      <w:r w:rsidRPr="00836E2B">
        <w:t>While</w:t>
      </w:r>
      <w:r w:rsidR="00E21195" w:rsidRPr="00836E2B">
        <w:t xml:space="preserve"> the </w:t>
      </w:r>
      <w:r w:rsidRPr="00836E2B">
        <w:t>Government provides an overarching framework</w:t>
      </w:r>
      <w:r w:rsidR="00CD6629" w:rsidRPr="00836E2B">
        <w:rPr>
          <w:vertAlign w:val="superscript"/>
        </w:rPr>
        <w:footnoteReference w:id="10"/>
      </w:r>
      <w:r w:rsidRPr="00836E2B">
        <w:t xml:space="preserve"> for the program with an aim of achieving </w:t>
      </w:r>
      <w:proofErr w:type="spellStart"/>
      <w:r w:rsidRPr="00836E2B">
        <w:t>harmonisation</w:t>
      </w:r>
      <w:proofErr w:type="spellEnd"/>
      <w:r w:rsidRPr="00836E2B">
        <w:t>, the individual state</w:t>
      </w:r>
      <w:r w:rsidR="00E21195" w:rsidRPr="00836E2B">
        <w:t xml:space="preserve"> and territory</w:t>
      </w:r>
      <w:r w:rsidRPr="00836E2B">
        <w:t xml:space="preserve"> governments are responsible for </w:t>
      </w:r>
      <w:r w:rsidR="00AD2C8F" w:rsidRPr="00836E2B">
        <w:t>managing</w:t>
      </w:r>
      <w:r w:rsidRPr="00836E2B">
        <w:t xml:space="preserve"> their own programs.</w:t>
      </w:r>
      <w:r w:rsidR="00225D34" w:rsidRPr="00836E2B">
        <w:t xml:space="preserve"> </w:t>
      </w:r>
      <w:r w:rsidR="0061756C" w:rsidRPr="00836E2B">
        <w:t xml:space="preserve">The standards set for the National Framework for Neonatal Hearing Screening prescribe that all babies should be screened within 24 to 72 hours of birth with </w:t>
      </w:r>
      <w:r w:rsidR="001C392C">
        <w:t>a</w:t>
      </w:r>
      <w:r w:rsidR="001401A5" w:rsidRPr="00836E2B">
        <w:t xml:space="preserve"> target rate </w:t>
      </w:r>
      <w:r w:rsidR="0061756C" w:rsidRPr="00836E2B">
        <w:t>of</w:t>
      </w:r>
      <w:r w:rsidR="001401A5" w:rsidRPr="00836E2B">
        <w:t xml:space="preserve"> screening 97 percent of neonates born in Australia.</w:t>
      </w:r>
      <w:r w:rsidR="00CD6629" w:rsidRPr="00836E2B">
        <w:rPr>
          <w:vertAlign w:val="superscript"/>
        </w:rPr>
        <w:footnoteReference w:id="11"/>
      </w:r>
      <w:r w:rsidR="001401A5" w:rsidRPr="00836E2B">
        <w:t xml:space="preserve"> The screening process is not intended to be diagnostic. Rather, screening aims to identify infants who are more likely to have hearing impairment, and therefore require further investigation from diagnostic tests.</w:t>
      </w:r>
      <w:r w:rsidR="001401A5" w:rsidRPr="00836E2B">
        <w:rPr>
          <w:vertAlign w:val="superscript"/>
        </w:rPr>
        <w:footnoteReference w:id="12"/>
      </w:r>
      <w:r w:rsidR="0061756C" w:rsidRPr="00836E2B">
        <w:t xml:space="preserve"> This is initially within the hospital setting,</w:t>
      </w:r>
      <w:r w:rsidR="001401A5" w:rsidRPr="00836E2B">
        <w:t xml:space="preserve"> </w:t>
      </w:r>
      <w:r w:rsidR="00225D34" w:rsidRPr="00836E2B">
        <w:t xml:space="preserve">then, if a hearing loss is diagnosed, </w:t>
      </w:r>
      <w:r w:rsidR="00A50397" w:rsidRPr="00836E2B">
        <w:t>the child is referred</w:t>
      </w:r>
      <w:r w:rsidR="0061756C" w:rsidRPr="00836E2B">
        <w:t xml:space="preserve"> to </w:t>
      </w:r>
      <w:r w:rsidR="00225D34" w:rsidRPr="00836E2B">
        <w:t>Australian Hearing and/or a Cochlear Implant service for further assessment.</w:t>
      </w:r>
      <w:r w:rsidR="00691CD7" w:rsidRPr="00836E2B">
        <w:t xml:space="preserve"> </w:t>
      </w:r>
    </w:p>
    <w:p w14:paraId="68AE9FD0" w14:textId="77777777" w:rsidR="00AD2C8F" w:rsidRPr="00DF234F" w:rsidRDefault="00D603DD" w:rsidP="00B361DA">
      <w:pPr>
        <w:pStyle w:val="Heading3"/>
      </w:pPr>
      <w:bookmarkStart w:id="127" w:name="_Toc11349150"/>
      <w:bookmarkStart w:id="128" w:name="_Toc11349305"/>
      <w:r>
        <w:t>Australian Hearing</w:t>
      </w:r>
      <w:bookmarkEnd w:id="127"/>
      <w:bookmarkEnd w:id="128"/>
    </w:p>
    <w:p w14:paraId="68AE9FD1" w14:textId="77777777" w:rsidR="00332CF0" w:rsidRPr="00836E2B" w:rsidRDefault="00332CF0" w:rsidP="00B361DA">
      <w:pPr>
        <w:pStyle w:val="Paralist"/>
      </w:pPr>
      <w:r w:rsidRPr="00836E2B">
        <w:t xml:space="preserve">Australian Hearing </w:t>
      </w:r>
      <w:r w:rsidR="00E21195" w:rsidRPr="00836E2B">
        <w:t>estimates</w:t>
      </w:r>
      <w:r w:rsidRPr="00836E2B">
        <w:t xml:space="preserve"> that 320 to 350 children per year aged under one year are referred </w:t>
      </w:r>
      <w:r w:rsidR="00E21195" w:rsidRPr="00836E2B">
        <w:t xml:space="preserve">to them </w:t>
      </w:r>
      <w:r w:rsidRPr="00836E2B">
        <w:t xml:space="preserve">from the Universal Neonatal Hearing Screening Program. Other referral </w:t>
      </w:r>
      <w:r w:rsidR="001C12B9" w:rsidRPr="00836E2B">
        <w:t xml:space="preserve">pathways for children include from diagnostic services at hospitals or community health </w:t>
      </w:r>
      <w:proofErr w:type="spellStart"/>
      <w:r w:rsidR="001C12B9" w:rsidRPr="00836E2B">
        <w:t>centres</w:t>
      </w:r>
      <w:proofErr w:type="spellEnd"/>
      <w:r w:rsidR="001C12B9" w:rsidRPr="00836E2B">
        <w:t>, diagnostic audiology services in Aboriginal and Torres Strait Islander communities, ENT specialists, and private audiology clinics.</w:t>
      </w:r>
    </w:p>
    <w:p w14:paraId="68AE9FD2" w14:textId="686EC28E" w:rsidR="001C12B9" w:rsidRPr="00836E2B" w:rsidRDefault="001C12B9" w:rsidP="00B361DA">
      <w:pPr>
        <w:pStyle w:val="Paralist"/>
      </w:pPr>
      <w:r w:rsidRPr="00836E2B">
        <w:t xml:space="preserve">Outside of the medical space, children and young people may also receive a referral to Australian Hearing by failing an online screening test, such as Sound Scouts or Know Your Noise. Parents, teachers and allied health professionals can also refer children to Australian Hearing if they are at high risk </w:t>
      </w:r>
      <w:r w:rsidR="00E21195" w:rsidRPr="00836E2B">
        <w:t>of</w:t>
      </w:r>
      <w:r w:rsidRPr="00836E2B">
        <w:t xml:space="preserve"> permanent and long-term hearing loss.</w:t>
      </w:r>
    </w:p>
    <w:p w14:paraId="68AE9FD3" w14:textId="77777777" w:rsidR="00691CD7" w:rsidRPr="00DF234F" w:rsidRDefault="00ED1010" w:rsidP="00B361DA">
      <w:pPr>
        <w:pStyle w:val="Heading3"/>
      </w:pPr>
      <w:bookmarkStart w:id="129" w:name="_Toc11349151"/>
      <w:bookmarkStart w:id="130" w:name="_Toc11349306"/>
      <w:r>
        <w:lastRenderedPageBreak/>
        <w:t>School Aged Interventions</w:t>
      </w:r>
      <w:bookmarkEnd w:id="129"/>
      <w:bookmarkEnd w:id="130"/>
    </w:p>
    <w:p w14:paraId="68AE9FD4" w14:textId="77777777" w:rsidR="00ED1010" w:rsidRPr="00836E2B" w:rsidRDefault="00ED1010" w:rsidP="00B361DA">
      <w:pPr>
        <w:pStyle w:val="Paralist"/>
      </w:pPr>
      <w:r w:rsidRPr="00836E2B">
        <w:t>State and territory governments are mainly responsible for the delivery of school aged screening services, although funding may be shared with the Commonwealth as detailed in an agreement, such as those under COAG. Along with the Universal Neonatal Hearing Screening Program, state and territory governments als</w:t>
      </w:r>
      <w:r w:rsidR="00A65FDA" w:rsidRPr="00836E2B">
        <w:t>o manage health programs</w:t>
      </w:r>
      <w:r w:rsidR="008B377D" w:rsidRPr="00836E2B">
        <w:t xml:space="preserve"> delivered through the school system and state health system</w:t>
      </w:r>
      <w:r w:rsidR="00A65FDA" w:rsidRPr="00836E2B">
        <w:t>,</w:t>
      </w:r>
      <w:r w:rsidR="007253F0" w:rsidRPr="00836E2B">
        <w:t xml:space="preserve"> Children identified through these programs have access to support systems through Australian Hearing and the NDIS.</w:t>
      </w:r>
    </w:p>
    <w:p w14:paraId="68AE9FD5" w14:textId="77777777" w:rsidR="009F758B" w:rsidRPr="002920F2" w:rsidRDefault="00335FF9" w:rsidP="00B361DA">
      <w:pPr>
        <w:pStyle w:val="Heading3"/>
      </w:pPr>
      <w:bookmarkStart w:id="131" w:name="_Toc11349152"/>
      <w:bookmarkStart w:id="132" w:name="_Toc11349307"/>
      <w:r w:rsidRPr="00335FF9">
        <w:t>Online screening programs</w:t>
      </w:r>
      <w:bookmarkEnd w:id="131"/>
      <w:bookmarkEnd w:id="132"/>
    </w:p>
    <w:p w14:paraId="68AE9FD6" w14:textId="77777777" w:rsidR="009F758B" w:rsidRPr="00836E2B" w:rsidRDefault="009F758B" w:rsidP="00B361DA">
      <w:pPr>
        <w:pStyle w:val="Paralist"/>
      </w:pPr>
      <w:r w:rsidRPr="00836E2B">
        <w:t xml:space="preserve">There are a number of online hearing screening programs </w:t>
      </w:r>
      <w:r w:rsidR="004725AE" w:rsidRPr="00836E2B">
        <w:t>available</w:t>
      </w:r>
      <w:r w:rsidRPr="00836E2B">
        <w:t xml:space="preserve"> in Australia. For example, Sound Scouts </w:t>
      </w:r>
      <w:r w:rsidR="004725AE" w:rsidRPr="00836E2B">
        <w:t>is a</w:t>
      </w:r>
      <w:r w:rsidR="00B71128" w:rsidRPr="00836E2B">
        <w:t xml:space="preserve"> tablet-based game</w:t>
      </w:r>
      <w:r w:rsidRPr="00836E2B">
        <w:t xml:space="preserve"> </w:t>
      </w:r>
      <w:r w:rsidR="00836E2B">
        <w:t xml:space="preserve">developed by Carolyn </w:t>
      </w:r>
      <w:proofErr w:type="spellStart"/>
      <w:r w:rsidR="00836E2B">
        <w:t>Mee</w:t>
      </w:r>
      <w:proofErr w:type="spellEnd"/>
      <w:r w:rsidR="00836E2B">
        <w:t xml:space="preserve"> (cmee4 </w:t>
      </w:r>
      <w:r w:rsidRPr="00836E2B">
        <w:t>Productions) in collaboration with NAL, the research arm of Australian Hearing. The Commonwealth contributed approximately $90,000 to this project in 2015-16.</w:t>
      </w:r>
      <w:r w:rsidR="00F10DF6" w:rsidRPr="00836E2B">
        <w:t xml:space="preserve"> </w:t>
      </w:r>
      <w:r w:rsidRPr="00836E2B">
        <w:t>Sound Scouts detects hearing issues, whether the likely cause is inner ear, middle ear, auditory processing or</w:t>
      </w:r>
      <w:r w:rsidR="00A92BED" w:rsidRPr="00836E2B">
        <w:t xml:space="preserve"> a</w:t>
      </w:r>
      <w:r w:rsidRPr="00836E2B">
        <w:t xml:space="preserve"> language disorder. The game is targeted at children of school entry age (children four years and nine months) and is promoted as a hearing screening tool. </w:t>
      </w:r>
    </w:p>
    <w:p w14:paraId="68AE9FD7" w14:textId="21750C9F" w:rsidR="00F972C8" w:rsidRPr="00836E2B" w:rsidRDefault="009F758B" w:rsidP="00B361DA">
      <w:pPr>
        <w:pStyle w:val="Paralist"/>
      </w:pPr>
      <w:r w:rsidRPr="00836E2B">
        <w:t>Another example is the Know Your Noise</w:t>
      </w:r>
      <w:r w:rsidR="00F972C8" w:rsidRPr="00836E2B">
        <w:t xml:space="preserve"> campaign, launched under </w:t>
      </w:r>
      <w:proofErr w:type="spellStart"/>
      <w:r w:rsidR="00F972C8" w:rsidRPr="00836E2B">
        <w:t>HEARsmart</w:t>
      </w:r>
      <w:proofErr w:type="spellEnd"/>
      <w:r w:rsidR="00F972C8" w:rsidRPr="00836E2B">
        <w:t xml:space="preserve"> in November 2014. Researchers from NAL and </w:t>
      </w:r>
      <w:proofErr w:type="spellStart"/>
      <w:r w:rsidR="00F972C8" w:rsidRPr="00836E2B">
        <w:t>HEARsmart</w:t>
      </w:r>
      <w:proofErr w:type="spellEnd"/>
      <w:r w:rsidR="00F972C8" w:rsidRPr="00836E2B">
        <w:t xml:space="preserve"> developed a </w:t>
      </w:r>
      <w:hyperlink r:id="rId11" w:history="1">
        <w:r w:rsidR="00F972C8" w:rsidRPr="00836E2B">
          <w:t>website</w:t>
        </w:r>
      </w:hyperlink>
      <w:r w:rsidR="00F972C8" w:rsidRPr="00836E2B">
        <w:t xml:space="preserve"> with two main features</w:t>
      </w:r>
    </w:p>
    <w:p w14:paraId="68AE9FD8" w14:textId="4BC596CB" w:rsidR="00F972C8" w:rsidRPr="00F972C8" w:rsidRDefault="00F972C8" w:rsidP="00B361DA">
      <w:pPr>
        <w:pStyle w:val="paralist2"/>
      </w:pPr>
      <w:r w:rsidRPr="00F972C8">
        <w:rPr>
          <w:lang w:val="en-US"/>
        </w:rPr>
        <w:t xml:space="preserve">a </w:t>
      </w:r>
      <w:r w:rsidRPr="003051B6">
        <w:t>hearing test</w:t>
      </w:r>
      <w:r w:rsidRPr="00F972C8">
        <w:rPr>
          <w:lang w:val="en-US"/>
        </w:rPr>
        <w:t xml:space="preserve"> to help users determine how well they hear speech in noise compared to others their own age and</w:t>
      </w:r>
    </w:p>
    <w:p w14:paraId="68AE9FD9" w14:textId="77777777" w:rsidR="00CA57D4" w:rsidRDefault="00F972C8" w:rsidP="00B361DA">
      <w:pPr>
        <w:pStyle w:val="paralist2"/>
        <w:rPr>
          <w:i/>
        </w:rPr>
      </w:pPr>
      <w:proofErr w:type="gramStart"/>
      <w:r w:rsidRPr="00F7059A">
        <w:rPr>
          <w:lang w:val="en-US"/>
        </w:rPr>
        <w:t>an</w:t>
      </w:r>
      <w:proofErr w:type="gramEnd"/>
      <w:r w:rsidRPr="00F7059A">
        <w:rPr>
          <w:lang w:val="en-US"/>
        </w:rPr>
        <w:t xml:space="preserve"> online </w:t>
      </w:r>
      <w:r w:rsidRPr="003051B6">
        <w:t>noise risk calculator</w:t>
      </w:r>
      <w:r w:rsidRPr="00F7059A">
        <w:rPr>
          <w:lang w:val="en-US"/>
        </w:rPr>
        <w:t xml:space="preserve"> that enables users to discover their personal risk of developing hearing loss as a consequence of their current listening habits, such as going to nightclubs, music concerts or after using personal music devices. It can estimate noise exposure risk based on lifestyle habits and offer simple suggestions on how to optimally manage these risks.</w:t>
      </w:r>
      <w:r>
        <w:rPr>
          <w:rStyle w:val="FootnoteReference"/>
          <w:lang w:val="en-US"/>
        </w:rPr>
        <w:footnoteReference w:id="13"/>
      </w:r>
      <w:r w:rsidR="00CA57D4" w:rsidRPr="00F7059A">
        <w:rPr>
          <w:i/>
        </w:rPr>
        <w:t xml:space="preserve"> </w:t>
      </w:r>
    </w:p>
    <w:p w14:paraId="68AE9FDA" w14:textId="77777777" w:rsidR="00CA57D4" w:rsidRPr="002920F2" w:rsidRDefault="00CA57D4" w:rsidP="00B361DA">
      <w:pPr>
        <w:pStyle w:val="Heading3"/>
      </w:pPr>
      <w:bookmarkStart w:id="133" w:name="_Toc11349153"/>
      <w:bookmarkStart w:id="134" w:name="_Toc11349308"/>
      <w:r w:rsidRPr="0071353A">
        <w:t>Health</w:t>
      </w:r>
      <w:r>
        <w:t>y Start for School</w:t>
      </w:r>
      <w:r w:rsidRPr="0071353A">
        <w:t xml:space="preserve"> Initiative</w:t>
      </w:r>
      <w:bookmarkEnd w:id="133"/>
      <w:bookmarkEnd w:id="134"/>
    </w:p>
    <w:p w14:paraId="68AE9FDB" w14:textId="2271F2F9" w:rsidR="00CA57D4" w:rsidRPr="007A60B0" w:rsidRDefault="00CA57D4" w:rsidP="00B361DA">
      <w:pPr>
        <w:pStyle w:val="Paralist"/>
      </w:pPr>
      <w:r w:rsidRPr="007A60B0">
        <w:t xml:space="preserve">Under the current Healthy Start for School Initiative managed by DSS, all four year old children need to have a health check, including hearing assessment, if their parent or </w:t>
      </w:r>
      <w:proofErr w:type="spellStart"/>
      <w:r w:rsidRPr="007A60B0">
        <w:t>carer</w:t>
      </w:r>
      <w:proofErr w:type="spellEnd"/>
      <w:r w:rsidRPr="007A60B0">
        <w:t xml:space="preserve"> receives </w:t>
      </w:r>
      <w:proofErr w:type="spellStart"/>
      <w:r w:rsidRPr="007A60B0">
        <w:t>Centrelink</w:t>
      </w:r>
      <w:proofErr w:type="spellEnd"/>
      <w:r w:rsidRPr="007A60B0">
        <w:t xml:space="preserve"> payments and they wish to receive the Family Tax Benefit Part A </w:t>
      </w:r>
      <w:r w:rsidR="009A02BA" w:rsidRPr="007A60B0">
        <w:t>s</w:t>
      </w:r>
      <w:r w:rsidRPr="007A60B0">
        <w:t>upplement payment. Health assessments must be provided</w:t>
      </w:r>
    </w:p>
    <w:p w14:paraId="68AE9FDC" w14:textId="7636C83A" w:rsidR="00CA57D4" w:rsidRPr="00AE488B" w:rsidRDefault="00CA57D4" w:rsidP="00B361DA">
      <w:pPr>
        <w:pStyle w:val="paralist2"/>
      </w:pPr>
      <w:r w:rsidRPr="00AE488B">
        <w:t xml:space="preserve">at a state/territory funded Infant Health clinic or </w:t>
      </w:r>
    </w:p>
    <w:p w14:paraId="68AE9FDD" w14:textId="2EAC5B26" w:rsidR="00CA57D4" w:rsidRPr="00AE488B" w:rsidRDefault="00CA57D4" w:rsidP="00B361DA">
      <w:pPr>
        <w:pStyle w:val="paralist2"/>
      </w:pPr>
      <w:r w:rsidRPr="00AE488B">
        <w:t>by a GP using a general attendance</w:t>
      </w:r>
      <w:r>
        <w:t xml:space="preserve"> MBS</w:t>
      </w:r>
      <w:r w:rsidRPr="00AE488B">
        <w:t xml:space="preserve"> item or </w:t>
      </w:r>
    </w:p>
    <w:p w14:paraId="68AE9FDE" w14:textId="77777777" w:rsidR="00F972C8" w:rsidRDefault="00CA57D4" w:rsidP="00B361DA">
      <w:pPr>
        <w:pStyle w:val="paralist2"/>
      </w:pPr>
      <w:proofErr w:type="gramStart"/>
      <w:r w:rsidRPr="00AE488B">
        <w:t>for</w:t>
      </w:r>
      <w:proofErr w:type="gramEnd"/>
      <w:r w:rsidRPr="00AE488B">
        <w:t xml:space="preserve"> Aboriginal and Torres Strait Islander children, </w:t>
      </w:r>
      <w:r>
        <w:t xml:space="preserve">as </w:t>
      </w:r>
      <w:r w:rsidRPr="00AE488B">
        <w:t>an Aboriginal and Torres Strait Islander child health check under MBS item 715.</w:t>
      </w:r>
      <w:r>
        <w:rPr>
          <w:rStyle w:val="FootnoteReference"/>
        </w:rPr>
        <w:footnoteReference w:id="14"/>
      </w:r>
    </w:p>
    <w:p w14:paraId="68AE9FE0" w14:textId="77777777" w:rsidR="009F758B" w:rsidRPr="002920F2" w:rsidRDefault="00F13AA0" w:rsidP="00B361DA">
      <w:pPr>
        <w:pStyle w:val="Heading2"/>
      </w:pPr>
      <w:bookmarkStart w:id="135" w:name="_Toc11349154"/>
      <w:bookmarkStart w:id="136" w:name="_Toc11349309"/>
      <w:r>
        <w:lastRenderedPageBreak/>
        <w:t>MBS</w:t>
      </w:r>
      <w:r w:rsidR="00CA57D4">
        <w:t xml:space="preserve"> Supports</w:t>
      </w:r>
      <w:r w:rsidR="007133D4">
        <w:t xml:space="preserve"> and Primary Health Care</w:t>
      </w:r>
      <w:bookmarkEnd w:id="135"/>
      <w:bookmarkEnd w:id="136"/>
    </w:p>
    <w:p w14:paraId="68AE9FE1" w14:textId="77777777" w:rsidR="002247FE" w:rsidRPr="007A60B0" w:rsidRDefault="003C4741" w:rsidP="00B361DA">
      <w:pPr>
        <w:pStyle w:val="Paralist"/>
      </w:pPr>
      <w:r w:rsidRPr="007A60B0">
        <w:t xml:space="preserve">The Government also supports </w:t>
      </w:r>
      <w:r w:rsidR="00F13AA0" w:rsidRPr="007A60B0">
        <w:t xml:space="preserve">audiology measures through the MBS. </w:t>
      </w:r>
      <w:r w:rsidR="00F62E29" w:rsidRPr="007A60B0">
        <w:t xml:space="preserve">As part of a 2012-13 Budget measure, </w:t>
      </w:r>
      <w:r w:rsidR="00365015" w:rsidRPr="007A60B0">
        <w:t xml:space="preserve">nine </w:t>
      </w:r>
      <w:r w:rsidR="00F62E29" w:rsidRPr="007A60B0">
        <w:t>Medi</w:t>
      </w:r>
      <w:r w:rsidR="006157CF" w:rsidRPr="007A60B0">
        <w:t>care items were introduced on 1 </w:t>
      </w:r>
      <w:r w:rsidR="00F62E29" w:rsidRPr="007A60B0">
        <w:t>November 2012 for diagnostic audiology services performed by an audiologist</w:t>
      </w:r>
      <w:r w:rsidR="00A064F2" w:rsidRPr="007A60B0">
        <w:t>, in additi</w:t>
      </w:r>
      <w:r w:rsidR="00473A99" w:rsidRPr="007A60B0">
        <w:t>on to the 17 </w:t>
      </w:r>
      <w:r w:rsidR="00A064F2" w:rsidRPr="007A60B0">
        <w:t>existing items related to audiology</w:t>
      </w:r>
      <w:r w:rsidR="00F62E29" w:rsidRPr="007A60B0">
        <w:t>. The</w:t>
      </w:r>
      <w:r w:rsidR="00DF6AF3">
        <w:t>se</w:t>
      </w:r>
      <w:r w:rsidR="00A064F2" w:rsidRPr="007A60B0">
        <w:t xml:space="preserve"> </w:t>
      </w:r>
      <w:r w:rsidR="00F62E29" w:rsidRPr="007A60B0">
        <w:t>items enable an audiologist to perform diagnostic tests upon written request from an Ear, Nose and Throat (ENT) specialist or, for some services, a neurologist.</w:t>
      </w:r>
      <w:r w:rsidR="00F62E29" w:rsidRPr="007A60B0">
        <w:rPr>
          <w:vertAlign w:val="superscript"/>
        </w:rPr>
        <w:footnoteReference w:id="15"/>
      </w:r>
      <w:r w:rsidR="00F45085" w:rsidRPr="007A60B0">
        <w:t xml:space="preserve"> </w:t>
      </w:r>
      <w:r w:rsidR="002247FE" w:rsidRPr="007A60B0">
        <w:t>Related specialties, such as speech pathology, are also represented in the MBS.</w:t>
      </w:r>
    </w:p>
    <w:p w14:paraId="68AE9FE2" w14:textId="77777777" w:rsidR="00F13AA0" w:rsidRDefault="00184788" w:rsidP="00B361DA">
      <w:pPr>
        <w:pStyle w:val="Paralist"/>
      </w:pPr>
      <w:r w:rsidRPr="007A60B0">
        <w:t xml:space="preserve">The MBS also funds telehealth </w:t>
      </w:r>
      <w:r w:rsidR="00B13A4E">
        <w:t>consultations</w:t>
      </w:r>
      <w:r w:rsidR="00B13A4E" w:rsidRPr="007A60B0">
        <w:t xml:space="preserve"> </w:t>
      </w:r>
      <w:r w:rsidRPr="007A60B0">
        <w:t xml:space="preserve">provided by </w:t>
      </w:r>
      <w:r w:rsidR="00AE1AFC" w:rsidRPr="007A60B0">
        <w:t>a range of</w:t>
      </w:r>
      <w:r w:rsidRPr="007A60B0">
        <w:t xml:space="preserve"> </w:t>
      </w:r>
      <w:r w:rsidR="00B13A4E">
        <w:t xml:space="preserve">consultant physicians and </w:t>
      </w:r>
      <w:r w:rsidRPr="007A60B0">
        <w:t>specialists</w:t>
      </w:r>
      <w:r w:rsidR="00AE1AFC" w:rsidRPr="007A60B0">
        <w:t>, including ENTs,</w:t>
      </w:r>
      <w:r w:rsidRPr="007A60B0">
        <w:t xml:space="preserve"> to patients who live in non-urban Australia.</w:t>
      </w:r>
      <w:r w:rsidR="0030371B" w:rsidRPr="007A60B0">
        <w:t xml:space="preserve"> These services are also available in eligible aged care facilities and </w:t>
      </w:r>
      <w:r w:rsidR="00AE1AFC" w:rsidRPr="007A60B0">
        <w:t xml:space="preserve">eligible </w:t>
      </w:r>
      <w:r w:rsidR="0030371B" w:rsidRPr="007A60B0">
        <w:t>Aboriginal Medical Services throughout Australia.</w:t>
      </w:r>
      <w:r w:rsidR="0030371B" w:rsidRPr="003D0CF0">
        <w:rPr>
          <w:vertAlign w:val="superscript"/>
        </w:rPr>
        <w:footnoteReference w:id="16"/>
      </w:r>
      <w:r w:rsidR="0030371B" w:rsidRPr="007A60B0">
        <w:t xml:space="preserve"> In 2016-17, </w:t>
      </w:r>
      <w:r w:rsidR="00AE1AFC" w:rsidRPr="007A60B0">
        <w:t>the Government paid approximately $23.6 million for approximately 162,000 services provided under these items.</w:t>
      </w:r>
      <w:r w:rsidR="00F45085" w:rsidRPr="003D0CF0">
        <w:rPr>
          <w:vertAlign w:val="superscript"/>
        </w:rPr>
        <w:footnoteReference w:id="17"/>
      </w:r>
      <w:r w:rsidR="00AE1AFC" w:rsidRPr="0010205A">
        <w:t xml:space="preserve"> </w:t>
      </w:r>
    </w:p>
    <w:p w14:paraId="68AE9FE3" w14:textId="77777777" w:rsidR="00C979B5" w:rsidRDefault="00C979B5" w:rsidP="00B361DA">
      <w:pPr>
        <w:pStyle w:val="Heading2"/>
      </w:pPr>
      <w:bookmarkStart w:id="137" w:name="_Toc11349155"/>
      <w:bookmarkStart w:id="138" w:name="_Toc11349310"/>
      <w:r w:rsidRPr="00641B19">
        <w:t>Support for Veterans</w:t>
      </w:r>
      <w:bookmarkEnd w:id="137"/>
      <w:bookmarkEnd w:id="138"/>
    </w:p>
    <w:p w14:paraId="68AE9FE4" w14:textId="77777777" w:rsidR="00C979B5" w:rsidRPr="007D35BF" w:rsidRDefault="00C979B5" w:rsidP="00B361DA">
      <w:pPr>
        <w:pStyle w:val="Paralist"/>
      </w:pPr>
      <w:r w:rsidRPr="007D35BF">
        <w:t xml:space="preserve">In 2016, DVA established </w:t>
      </w:r>
      <w:proofErr w:type="gramStart"/>
      <w:r w:rsidRPr="007D35BF">
        <w:t>a</w:t>
      </w:r>
      <w:proofErr w:type="gramEnd"/>
      <w:r w:rsidRPr="007D35BF">
        <w:t xml:space="preserve"> Ex-Service </w:t>
      </w:r>
      <w:proofErr w:type="spellStart"/>
      <w:r w:rsidRPr="007D35BF">
        <w:t>Organisation</w:t>
      </w:r>
      <w:proofErr w:type="spellEnd"/>
      <w:r w:rsidRPr="007D35BF">
        <w:t xml:space="preserve"> (ESO) Round Table (ESORT) Hearing Services working group, which included senior representatives from DVA, the Department of Health, </w:t>
      </w:r>
      <w:proofErr w:type="spellStart"/>
      <w:r w:rsidRPr="007D35BF">
        <w:t>Comcare</w:t>
      </w:r>
      <w:proofErr w:type="spellEnd"/>
      <w:r w:rsidRPr="007D35BF">
        <w:t xml:space="preserve"> and the ESOs.  The working group reviewed concerns raised by the veteran community, expert advice regarding hearing technology available through the Hearing Services Program, and the range of services available to veterans.</w:t>
      </w:r>
    </w:p>
    <w:p w14:paraId="68AE9FE5" w14:textId="77777777" w:rsidR="00C979B5" w:rsidRPr="007D35BF" w:rsidRDefault="00C979B5" w:rsidP="00B361DA">
      <w:pPr>
        <w:pStyle w:val="Paralist"/>
      </w:pPr>
      <w:r w:rsidRPr="007D35BF">
        <w:t xml:space="preserve">DVA and </w:t>
      </w:r>
      <w:proofErr w:type="spellStart"/>
      <w:r w:rsidRPr="007D35BF">
        <w:t>Comcare</w:t>
      </w:r>
      <w:proofErr w:type="spellEnd"/>
      <w:r w:rsidRPr="007D35BF">
        <w:t xml:space="preserve"> agreed each of their processes are consistent across agencies and both refer to the Hearing Services Program, ensuring no inequities between client groups.  </w:t>
      </w:r>
    </w:p>
    <w:p w14:paraId="68AE9FE6" w14:textId="77777777" w:rsidR="00C979B5" w:rsidRPr="007D35BF" w:rsidRDefault="00C979B5" w:rsidP="00B361DA">
      <w:pPr>
        <w:pStyle w:val="Paralist"/>
      </w:pPr>
      <w:r w:rsidRPr="007D35BF">
        <w:t xml:space="preserve">In instances where a veterans’ clinical hearing needs cannot be met by the Hearing Services Program or DVA’s Tinnitus Program, the hearing service provider can request DVA review the clinical need of the veteran.  In exceptional circumstances, DVA will fund hearing devices not available on the Hearing Services Program fully </w:t>
      </w:r>
      <w:proofErr w:type="spellStart"/>
      <w:r w:rsidRPr="007D35BF">
        <w:t>subsidised</w:t>
      </w:r>
      <w:proofErr w:type="spellEnd"/>
      <w:r w:rsidRPr="007D35BF">
        <w:t xml:space="preserve"> devices schedule.  </w:t>
      </w:r>
    </w:p>
    <w:p w14:paraId="68AE9FE7" w14:textId="77777777" w:rsidR="00F13AA0" w:rsidRPr="002920F2" w:rsidRDefault="007133D4" w:rsidP="00B361DA">
      <w:pPr>
        <w:pStyle w:val="Heading2"/>
      </w:pPr>
      <w:bookmarkStart w:id="139" w:name="_Toc11349156"/>
      <w:bookmarkStart w:id="140" w:name="_Toc11349311"/>
      <w:r>
        <w:t>R</w:t>
      </w:r>
      <w:r w:rsidR="007B4487">
        <w:t>esearch into Hearing Health</w:t>
      </w:r>
      <w:bookmarkEnd w:id="139"/>
      <w:bookmarkEnd w:id="140"/>
    </w:p>
    <w:p w14:paraId="68AE9FE8" w14:textId="088311AD" w:rsidR="00AF72F5" w:rsidRPr="007A60B0" w:rsidRDefault="00AF72F5" w:rsidP="00B361DA">
      <w:pPr>
        <w:pStyle w:val="Paralist"/>
      </w:pPr>
      <w:r w:rsidRPr="007A60B0">
        <w:t xml:space="preserve">The Government, through the </w:t>
      </w:r>
      <w:r w:rsidR="00CA3BE6" w:rsidRPr="007A60B0">
        <w:t>HSP</w:t>
      </w:r>
      <w:r w:rsidR="00B03449" w:rsidRPr="007A60B0">
        <w:t xml:space="preserve"> and other funding mechanisms</w:t>
      </w:r>
      <w:r w:rsidRPr="007A60B0">
        <w:t>, is committed to reducing the impact of hearing loss on the lives of Australians</w:t>
      </w:r>
      <w:r w:rsidR="00522EF1" w:rsidRPr="007A60B0">
        <w:t xml:space="preserve">. </w:t>
      </w:r>
      <w:r w:rsidR="00B03449" w:rsidRPr="007A60B0">
        <w:t xml:space="preserve">The Government </w:t>
      </w:r>
      <w:r w:rsidRPr="007A60B0">
        <w:t>supports research and prevention activities that</w:t>
      </w:r>
    </w:p>
    <w:p w14:paraId="68AE9FE9" w14:textId="77777777" w:rsidR="00AF72F5" w:rsidRPr="00AF72F5" w:rsidRDefault="00AF72F5" w:rsidP="00B361DA">
      <w:pPr>
        <w:pStyle w:val="paralist2"/>
      </w:pPr>
      <w:r w:rsidRPr="00AF72F5">
        <w:t>contribute to the development of improved policies and service delivery, and</w:t>
      </w:r>
    </w:p>
    <w:p w14:paraId="68AE9FEA" w14:textId="77777777" w:rsidR="00AF72F5" w:rsidRDefault="00AF72F5" w:rsidP="00B361DA">
      <w:pPr>
        <w:pStyle w:val="paralist2"/>
      </w:pPr>
      <w:proofErr w:type="gramStart"/>
      <w:r>
        <w:lastRenderedPageBreak/>
        <w:t>enable</w:t>
      </w:r>
      <w:proofErr w:type="gramEnd"/>
      <w:r w:rsidRPr="00AF72F5">
        <w:t xml:space="preserve"> </w:t>
      </w:r>
      <w:r w:rsidR="00B03449">
        <w:t>the improved identification of</w:t>
      </w:r>
      <w:r w:rsidRPr="00AF72F5">
        <w:t xml:space="preserve"> the needs of the community in relation to hearing loss.</w:t>
      </w:r>
    </w:p>
    <w:p w14:paraId="6685FC25" w14:textId="77777777" w:rsidR="00A5050B" w:rsidRDefault="00AF72F5" w:rsidP="003051B6">
      <w:pPr>
        <w:pStyle w:val="paralist2"/>
        <w:numPr>
          <w:ilvl w:val="0"/>
          <w:numId w:val="0"/>
        </w:numPr>
        <w:ind w:left="360"/>
      </w:pPr>
      <w:r w:rsidRPr="007D35BF">
        <w:t>Funded research and development activities into</w:t>
      </w:r>
      <w:r w:rsidR="00A5050B">
        <w:t xml:space="preserve"> hearing health, prevention and</w:t>
      </w:r>
    </w:p>
    <w:p w14:paraId="68AE9FEC" w14:textId="2A35A19E" w:rsidR="00AF72F5" w:rsidRPr="007D35BF" w:rsidRDefault="00AF72F5" w:rsidP="003051B6">
      <w:pPr>
        <w:pStyle w:val="paralist2"/>
        <w:numPr>
          <w:ilvl w:val="0"/>
          <w:numId w:val="0"/>
        </w:numPr>
        <w:ind w:left="360"/>
      </w:pPr>
      <w:proofErr w:type="gramStart"/>
      <w:r w:rsidRPr="007D35BF">
        <w:t>rehabilitation</w:t>
      </w:r>
      <w:proofErr w:type="gramEnd"/>
      <w:r w:rsidRPr="007D35BF">
        <w:t xml:space="preserve"> are undertaken by NAL and vari</w:t>
      </w:r>
      <w:r w:rsidR="0033695C" w:rsidRPr="007D35BF">
        <w:t>ous other research institutions</w:t>
      </w:r>
      <w:r w:rsidRPr="007D35BF">
        <w:t>.</w:t>
      </w:r>
    </w:p>
    <w:p w14:paraId="68AE9FED" w14:textId="77777777" w:rsidR="006B0B55" w:rsidRPr="002920F2" w:rsidRDefault="00AF72F5" w:rsidP="00B361DA">
      <w:pPr>
        <w:pStyle w:val="Heading3"/>
      </w:pPr>
      <w:bookmarkStart w:id="141" w:name="_Toc11349157"/>
      <w:bookmarkStart w:id="142" w:name="_Toc11349312"/>
      <w:r>
        <w:t>National Acoustic Laboratories</w:t>
      </w:r>
      <w:bookmarkEnd w:id="141"/>
      <w:bookmarkEnd w:id="142"/>
    </w:p>
    <w:p w14:paraId="68AE9FEE" w14:textId="2749DDCF" w:rsidR="002C79A4" w:rsidRPr="00D62CB7" w:rsidRDefault="002C79A4" w:rsidP="00B361DA">
      <w:pPr>
        <w:pStyle w:val="Paralist"/>
      </w:pPr>
      <w:r w:rsidRPr="00D62CB7">
        <w:t>The research at NAL since its inception in 1947 has focused on acoustics and</w:t>
      </w:r>
      <w:r w:rsidR="00473A99" w:rsidRPr="00D62CB7">
        <w:t>,</w:t>
      </w:r>
      <w:r w:rsidRPr="00D62CB7">
        <w:t xml:space="preserve"> more recently</w:t>
      </w:r>
      <w:r w:rsidR="00473A99" w:rsidRPr="00D62CB7">
        <w:t>,</w:t>
      </w:r>
      <w:r w:rsidRPr="00D62CB7">
        <w:t xml:space="preserve"> on hearing specifically.</w:t>
      </w:r>
      <w:r w:rsidR="00F74219" w:rsidRPr="00D62CB7">
        <w:t xml:space="preserve"> There are four different sections within NAL, each of which focuses on a different area of hearing research hearing preservation, hearing assessment, hearing rehabilitation devices, and hearing rehabilitation procedures. These sections, while focused on different aspects of hearing, are complementary because each group brings different expertise and tools, providing a comprehensive approach to solving the problems faced by those with hearing disabilities. </w:t>
      </w:r>
    </w:p>
    <w:p w14:paraId="68AE9FEF" w14:textId="637656C7" w:rsidR="00AF72F5" w:rsidRPr="00D62CB7" w:rsidRDefault="006B0B55" w:rsidP="00B361DA">
      <w:pPr>
        <w:pStyle w:val="Paralist"/>
      </w:pPr>
      <w:r w:rsidRPr="00D62CB7">
        <w:t>The current funding agreement between Health and NAL (July 2015 to June 2019) provides for a total budget o</w:t>
      </w:r>
      <w:r w:rsidR="00473A99" w:rsidRPr="00D62CB7">
        <w:t>f $13.5 million</w:t>
      </w:r>
      <w:r w:rsidR="00522EF1" w:rsidRPr="00D62CB7">
        <w:t xml:space="preserve">. </w:t>
      </w:r>
      <w:r w:rsidRPr="00D62CB7">
        <w:t>NAL funding currently supports 36 projects, including partnerships with the Hearing Cooperative Research Centre</w:t>
      </w:r>
      <w:r w:rsidR="0033695C" w:rsidRPr="00D62CB7">
        <w:t xml:space="preserve"> (</w:t>
      </w:r>
      <w:proofErr w:type="spellStart"/>
      <w:r w:rsidR="0033695C" w:rsidRPr="00D62CB7">
        <w:t>HEARing</w:t>
      </w:r>
      <w:proofErr w:type="spellEnd"/>
      <w:r w:rsidR="0033695C" w:rsidRPr="00D62CB7">
        <w:t xml:space="preserve"> CRC)</w:t>
      </w:r>
      <w:r w:rsidRPr="00D62CB7">
        <w:t>.</w:t>
      </w:r>
    </w:p>
    <w:p w14:paraId="68AE9FF0" w14:textId="77777777" w:rsidR="00397235" w:rsidRPr="002920F2" w:rsidRDefault="00397235" w:rsidP="00B361DA">
      <w:pPr>
        <w:pStyle w:val="Heading3"/>
      </w:pPr>
      <w:bookmarkStart w:id="143" w:name="_Toc11349158"/>
      <w:bookmarkStart w:id="144" w:name="_Toc11349313"/>
      <w:r>
        <w:t>National Health and Medical Research Council</w:t>
      </w:r>
      <w:bookmarkEnd w:id="143"/>
      <w:bookmarkEnd w:id="144"/>
    </w:p>
    <w:p w14:paraId="68AE9FF1" w14:textId="77777777" w:rsidR="00397235" w:rsidRPr="00D62CB7" w:rsidRDefault="00272FA9" w:rsidP="00B361DA">
      <w:pPr>
        <w:pStyle w:val="Paralist"/>
      </w:pPr>
      <w:r w:rsidRPr="00D62CB7">
        <w:t xml:space="preserve">The </w:t>
      </w:r>
      <w:r w:rsidR="0033695C" w:rsidRPr="00D62CB7">
        <w:t>National Health and Medical Research Council (</w:t>
      </w:r>
      <w:r w:rsidRPr="00D62CB7">
        <w:t>NHMRC</w:t>
      </w:r>
      <w:r w:rsidR="0033695C" w:rsidRPr="00D62CB7">
        <w:t>)</w:t>
      </w:r>
      <w:r w:rsidRPr="00D62CB7">
        <w:t xml:space="preserve"> aim</w:t>
      </w:r>
      <w:r w:rsidR="00473A99" w:rsidRPr="00D62CB7">
        <w:t>s</w:t>
      </w:r>
      <w:r w:rsidRPr="00D62CB7">
        <w:t xml:space="preserve"> to improve human health through research. </w:t>
      </w:r>
      <w:r w:rsidR="00397235" w:rsidRPr="00D62CB7">
        <w:t>Under the</w:t>
      </w:r>
      <w:r w:rsidR="00397235" w:rsidRPr="00497DBC">
        <w:rPr>
          <w:i/>
        </w:rPr>
        <w:t xml:space="preserve"> National Health and Medical Research Council Act 1992</w:t>
      </w:r>
      <w:r w:rsidR="00397235" w:rsidRPr="00D62CB7">
        <w:t>, NHMRC administers the Medical Research Endowment Account (MREA) in order to provide assistance to institutions and people engaged in medical research and for medical research training.</w:t>
      </w:r>
      <w:r w:rsidRPr="00D62CB7">
        <w:t xml:space="preserve"> The MREA is currently funded to approximately $800 million per annum.</w:t>
      </w:r>
      <w:r w:rsidRPr="00D62CB7">
        <w:rPr>
          <w:vertAlign w:val="superscript"/>
        </w:rPr>
        <w:footnoteReference w:id="18"/>
      </w:r>
      <w:r w:rsidR="00B03449" w:rsidRPr="00D62CB7">
        <w:t xml:space="preserve"> According to data from the NHMRC, as at 1 March 2016, there were 32 open hearing related projects funded to approximately $24 million.</w:t>
      </w:r>
      <w:r w:rsidR="00B03449" w:rsidRPr="00D62CB7">
        <w:rPr>
          <w:vertAlign w:val="superscript"/>
        </w:rPr>
        <w:footnoteReference w:id="19"/>
      </w:r>
    </w:p>
    <w:p w14:paraId="68AE9FF2" w14:textId="77777777" w:rsidR="00AF72F5" w:rsidRPr="002920F2" w:rsidRDefault="00AF72F5" w:rsidP="00B361DA">
      <w:pPr>
        <w:pStyle w:val="Heading3"/>
      </w:pPr>
      <w:bookmarkStart w:id="145" w:name="_Toc11349159"/>
      <w:bookmarkStart w:id="146" w:name="_Toc11349314"/>
      <w:r>
        <w:t>Hearing Loss Prevention Program</w:t>
      </w:r>
      <w:bookmarkEnd w:id="145"/>
      <w:bookmarkEnd w:id="146"/>
    </w:p>
    <w:p w14:paraId="68AE9FF3" w14:textId="77777777" w:rsidR="006B0B55" w:rsidRDefault="00187CE0" w:rsidP="00B361DA">
      <w:pPr>
        <w:pStyle w:val="Paralist"/>
      </w:pPr>
      <w:r w:rsidRPr="00D62CB7">
        <w:t xml:space="preserve">The HLPP was a four year funded program established in 2007-08 in response to the 2006 Access Economics report </w:t>
      </w:r>
      <w:r w:rsidRPr="003D0CF0">
        <w:rPr>
          <w:i/>
        </w:rPr>
        <w:t>Listen Hear! The economic impact and cost of hearing loss in Australia</w:t>
      </w:r>
      <w:r w:rsidRPr="00D62CB7">
        <w:t xml:space="preserve">. The </w:t>
      </w:r>
      <w:r w:rsidR="006B0B55" w:rsidRPr="00D62CB7">
        <w:t xml:space="preserve">HLPP </w:t>
      </w:r>
      <w:r w:rsidR="00272FA9" w:rsidRPr="00D62CB7">
        <w:t>was</w:t>
      </w:r>
      <w:r w:rsidR="006B0B55" w:rsidRPr="00D62CB7">
        <w:t xml:space="preserve"> administered by the NHMRC and concluded as a funded measure</w:t>
      </w:r>
      <w:r w:rsidRPr="00D62CB7">
        <w:t xml:space="preserve"> for Health</w:t>
      </w:r>
      <w:r w:rsidR="006B0B55" w:rsidRPr="00D62CB7">
        <w:t xml:space="preserve"> at the end of June 2013. To date over $11.5 million (GST inclusive) has been allocated f</w:t>
      </w:r>
      <w:r w:rsidRPr="00D62CB7">
        <w:t xml:space="preserve">or 20 HLPP research projects, 14 of which have been completed. </w:t>
      </w:r>
      <w:r w:rsidR="006B0B55" w:rsidRPr="00D62CB7">
        <w:t xml:space="preserve">The </w:t>
      </w:r>
      <w:r w:rsidRPr="00D62CB7">
        <w:t>six</w:t>
      </w:r>
      <w:r w:rsidR="006B0B55" w:rsidRPr="00D62CB7">
        <w:t xml:space="preserve"> projects that are still in progress are due for completion by </w:t>
      </w:r>
      <w:r w:rsidRPr="00D62CB7">
        <w:t>late</w:t>
      </w:r>
      <w:r w:rsidR="006B0B55" w:rsidRPr="00D62CB7">
        <w:t xml:space="preserve"> 2020.</w:t>
      </w:r>
    </w:p>
    <w:p w14:paraId="68AE9FF4" w14:textId="77777777" w:rsidR="009F7757" w:rsidRPr="0058338F" w:rsidRDefault="009F7757" w:rsidP="00B361DA">
      <w:pPr>
        <w:pStyle w:val="Heading3"/>
      </w:pPr>
      <w:bookmarkStart w:id="147" w:name="_Toc11349160"/>
      <w:bookmarkStart w:id="148" w:name="_Toc11349315"/>
      <w:r w:rsidRPr="0058338F">
        <w:t>Medical Research Future Fund</w:t>
      </w:r>
      <w:bookmarkEnd w:id="147"/>
      <w:bookmarkEnd w:id="148"/>
    </w:p>
    <w:p w14:paraId="68AE9FF5" w14:textId="77777777" w:rsidR="009F7757" w:rsidRPr="009F7757" w:rsidRDefault="009F7757" w:rsidP="00B361DA">
      <w:pPr>
        <w:pStyle w:val="Paralist"/>
      </w:pPr>
      <w:r w:rsidRPr="009F7757">
        <w:t xml:space="preserve">As part of the 2014-15 Budget, the Government announced the establishment of the $20 billion Medical Research Future Fund (MRFF) to provide a sustainable source of </w:t>
      </w:r>
      <w:r w:rsidRPr="009F7757">
        <w:lastRenderedPageBreak/>
        <w:t>funding for vital medical research over the medium to long term. Through the MRFF, the Government will deliver a major additional injection of funds into the health and medical research sector.</w:t>
      </w:r>
    </w:p>
    <w:p w14:paraId="68AE9FF6" w14:textId="77777777" w:rsidR="009F7757" w:rsidRDefault="009F7757" w:rsidP="00B361DA">
      <w:pPr>
        <w:pStyle w:val="Paralist"/>
      </w:pPr>
      <w:r w:rsidRPr="009F7757">
        <w:t>Work is underway to establish ‘ending avoidable Indigenous blindness and deafness’ as a Mission under the MRFF.</w:t>
      </w:r>
    </w:p>
    <w:p w14:paraId="68AE9FF7" w14:textId="77777777" w:rsidR="00AF72F5" w:rsidRPr="002920F2" w:rsidRDefault="00AF72F5" w:rsidP="00B361DA">
      <w:pPr>
        <w:pStyle w:val="Heading3"/>
      </w:pPr>
      <w:bookmarkStart w:id="149" w:name="_Toc11349161"/>
      <w:bookmarkStart w:id="150" w:name="_Toc11349316"/>
      <w:r>
        <w:t>Australian Institute of Health and Welfare</w:t>
      </w:r>
      <w:bookmarkEnd w:id="149"/>
      <w:bookmarkEnd w:id="150"/>
    </w:p>
    <w:p w14:paraId="68AE9FF8" w14:textId="77777777" w:rsidR="00A220AD" w:rsidRPr="00D62CB7" w:rsidRDefault="0047754E" w:rsidP="00B361DA">
      <w:pPr>
        <w:pStyle w:val="Paralist"/>
      </w:pPr>
      <w:r w:rsidRPr="00D62CB7">
        <w:t>Following the 2010 Senate Community Affairs Reference Committee report, the AIHW developed a set of key indicators which could be collected by all jurisdictions to enable nationally consistent reporting</w:t>
      </w:r>
      <w:r w:rsidR="00623989" w:rsidRPr="00D62CB7">
        <w:t xml:space="preserve"> on the Universal Neonatal Hearing Screening Program</w:t>
      </w:r>
      <w:r w:rsidRPr="00D62CB7">
        <w:t>. These indicators were endorsed by the Community Care and Population Health Principal Committee in August 2013 and released for states and territories to use when developing and monitoring neonatal hearing screening services.</w:t>
      </w:r>
      <w:r w:rsidR="00751B95" w:rsidRPr="00D62CB7">
        <w:rPr>
          <w:vertAlign w:val="superscript"/>
        </w:rPr>
        <w:footnoteReference w:id="20"/>
      </w:r>
      <w:r w:rsidR="00A220AD" w:rsidRPr="00D62CB7">
        <w:t xml:space="preserve"> </w:t>
      </w:r>
    </w:p>
    <w:p w14:paraId="68AE9FF9" w14:textId="57CF1E5F" w:rsidR="00AF72F5" w:rsidRPr="00D62CB7" w:rsidRDefault="00A220AD" w:rsidP="00B361DA">
      <w:pPr>
        <w:pStyle w:val="Paralist"/>
      </w:pPr>
      <w:r w:rsidRPr="00D62CB7">
        <w:t>The AIHW has also completed several reports into the Northern Territory Remote Aboriginal Investment Ear and Hearing Health Program</w:t>
      </w:r>
      <w:r w:rsidR="00473A99" w:rsidRPr="00D62CB7">
        <w:t xml:space="preserve"> (see below)</w:t>
      </w:r>
      <w:r w:rsidRPr="00D62CB7">
        <w:t>, culminating in a final report released on 14 March 2017, which covered the period from July 2012 to June 2016.</w:t>
      </w:r>
      <w:r w:rsidRPr="00D62CB7">
        <w:rPr>
          <w:vertAlign w:val="superscript"/>
        </w:rPr>
        <w:footnoteReference w:id="21"/>
      </w:r>
      <w:r w:rsidRPr="00D62CB7">
        <w:t xml:space="preserve"> The </w:t>
      </w:r>
      <w:r w:rsidR="00E042E2" w:rsidRPr="00D62CB7">
        <w:t xml:space="preserve">final </w:t>
      </w:r>
      <w:r w:rsidRPr="00D62CB7">
        <w:t xml:space="preserve">report </w:t>
      </w:r>
      <w:r w:rsidR="00E042E2" w:rsidRPr="00D62CB7">
        <w:t xml:space="preserve">presents information on ear and hearing health outreach services for </w:t>
      </w:r>
      <w:r w:rsidRPr="00D62CB7">
        <w:t>Aboriginal</w:t>
      </w:r>
      <w:r w:rsidR="00E042E2" w:rsidRPr="00D62CB7">
        <w:t xml:space="preserve"> and Torres Strait Islander</w:t>
      </w:r>
      <w:r w:rsidRPr="00D62CB7">
        <w:t xml:space="preserve"> children </w:t>
      </w:r>
      <w:r w:rsidR="00E042E2" w:rsidRPr="00D62CB7">
        <w:t xml:space="preserve">and young people </w:t>
      </w:r>
      <w:r w:rsidRPr="00D62CB7">
        <w:t>through the Hearing Health Program, which is funded by the Government and delivered by the Northern Territory Government.</w:t>
      </w:r>
      <w:r w:rsidR="00E042E2" w:rsidRPr="00D62CB7">
        <w:rPr>
          <w:vertAlign w:val="superscript"/>
        </w:rPr>
        <w:footnoteReference w:id="22"/>
      </w:r>
    </w:p>
    <w:p w14:paraId="68AE9FFA" w14:textId="77777777" w:rsidR="007F7313" w:rsidRDefault="005C09B9" w:rsidP="00B361DA">
      <w:pPr>
        <w:pStyle w:val="Heading2"/>
      </w:pPr>
      <w:bookmarkStart w:id="151" w:name="_Toc11349162"/>
      <w:bookmarkStart w:id="152" w:name="_Toc11349317"/>
      <w:r>
        <w:t>Promotional Activities</w:t>
      </w:r>
      <w:bookmarkEnd w:id="151"/>
      <w:bookmarkEnd w:id="152"/>
      <w:r w:rsidR="007F7313" w:rsidRPr="007F7313">
        <w:t xml:space="preserve"> </w:t>
      </w:r>
    </w:p>
    <w:p w14:paraId="68AE9FFB" w14:textId="77777777" w:rsidR="005C09B9" w:rsidRPr="00D548F7" w:rsidRDefault="007F7313" w:rsidP="00B361DA">
      <w:pPr>
        <w:pStyle w:val="Paralist"/>
      </w:pPr>
      <w:r w:rsidRPr="00D548F7">
        <w:t>While public awareness campaigns are largely a matter for state and territory governments, there have been a variety of resources made available for ear health promotion and prevention funded</w:t>
      </w:r>
      <w:r w:rsidR="0032495F" w:rsidRPr="00D548F7">
        <w:t xml:space="preserve"> </w:t>
      </w:r>
      <w:r w:rsidR="0033695C" w:rsidRPr="00D548F7">
        <w:t>or otherwise</w:t>
      </w:r>
      <w:r w:rsidR="0032495F" w:rsidRPr="00D548F7">
        <w:t xml:space="preserve"> supported</w:t>
      </w:r>
      <w:r w:rsidRPr="00D548F7">
        <w:t xml:space="preserve"> by the Government, including Indigenous specific measures, </w:t>
      </w:r>
      <w:r w:rsidR="0032495F" w:rsidRPr="00D548F7">
        <w:t xml:space="preserve">workplace awareness campaigns, raising awareness in rural areas and </w:t>
      </w:r>
      <w:r w:rsidR="00473A99" w:rsidRPr="00D548F7">
        <w:t xml:space="preserve">community events, such as </w:t>
      </w:r>
      <w:r w:rsidR="0032495F" w:rsidRPr="00D548F7">
        <w:t>Hearing Awareness Week.</w:t>
      </w:r>
    </w:p>
    <w:p w14:paraId="68AE9FFC" w14:textId="77777777" w:rsidR="006D6DB7" w:rsidRPr="002920F2" w:rsidRDefault="006D6DB7" w:rsidP="00B361DA">
      <w:pPr>
        <w:pStyle w:val="Heading3"/>
      </w:pPr>
      <w:bookmarkStart w:id="153" w:name="_Toc11349163"/>
      <w:bookmarkStart w:id="154" w:name="_Toc11349318"/>
      <w:r>
        <w:t>Indigenous awareness campaigns</w:t>
      </w:r>
      <w:bookmarkEnd w:id="153"/>
      <w:bookmarkEnd w:id="154"/>
    </w:p>
    <w:p w14:paraId="68AE9FFD" w14:textId="77777777" w:rsidR="00C02838" w:rsidRPr="00D62CB7" w:rsidRDefault="009F7757" w:rsidP="00B361DA">
      <w:pPr>
        <w:pStyle w:val="Paralist"/>
      </w:pPr>
      <w:r w:rsidRPr="009F7757">
        <w:t xml:space="preserve">Through the Indigenous Australians’ Health Program, $0.15 million (2016-17 – 2018 19) is provided for the Care for Kids’ Ears health promotion resources to raise community awareness of ear disease and hearing health in Aboriginal and Torres Strait Islander peoples. The resources, developed as part of a campaign, aim to increase awareness among Indigenous people of ear disease, by highlighting risk factors and promoting the importance of good hygiene, and seeking and following </w:t>
      </w:r>
      <w:r w:rsidRPr="009F7757">
        <w:lastRenderedPageBreak/>
        <w:t xml:space="preserve">treatment regimens to prevent hearing loss. Resources are tailored for parents and </w:t>
      </w:r>
      <w:proofErr w:type="spellStart"/>
      <w:r w:rsidRPr="009F7757">
        <w:t>carers</w:t>
      </w:r>
      <w:proofErr w:type="spellEnd"/>
      <w:r w:rsidRPr="009F7757">
        <w:t>, teachers, early childhood groups and health professionals.</w:t>
      </w:r>
    </w:p>
    <w:p w14:paraId="68AE9FFE" w14:textId="77777777" w:rsidR="00CE22D1" w:rsidRPr="002920F2" w:rsidRDefault="00CE22D1" w:rsidP="00B361DA">
      <w:pPr>
        <w:pStyle w:val="Heading3"/>
      </w:pPr>
      <w:bookmarkStart w:id="155" w:name="_Toc11349164"/>
      <w:bookmarkStart w:id="156" w:name="_Toc11349319"/>
      <w:r w:rsidRPr="00DF234F">
        <w:t>Workplace</w:t>
      </w:r>
      <w:r w:rsidR="004C0922" w:rsidRPr="00DF234F">
        <w:t xml:space="preserve"> noise exposure</w:t>
      </w:r>
      <w:bookmarkEnd w:id="155"/>
      <w:bookmarkEnd w:id="156"/>
    </w:p>
    <w:p w14:paraId="68AE9FFF" w14:textId="77777777" w:rsidR="0097215F" w:rsidRPr="00D62CB7" w:rsidRDefault="0097215F" w:rsidP="00B361DA">
      <w:pPr>
        <w:pStyle w:val="Paralist"/>
      </w:pPr>
      <w:r w:rsidRPr="00D62CB7">
        <w:t>Safe Work Australia is working to promote safe noise exposure practices and prevent hearing loss through a variety of avenues.</w:t>
      </w:r>
      <w:r w:rsidR="0044721F" w:rsidRPr="00D62CB7">
        <w:t xml:space="preserve"> </w:t>
      </w:r>
      <w:r w:rsidRPr="00D62CB7">
        <w:t>Safe Work Australia is the national policy body comprised of representatives from all jurisdictions, workers and employers. Its role is to improve work health and safety and workers’ compensation arrangements in Australia. It does this by developing model laws, policies and guidance.</w:t>
      </w:r>
    </w:p>
    <w:p w14:paraId="68AEA000" w14:textId="77777777" w:rsidR="006A75B4" w:rsidRPr="00D62CB7" w:rsidRDefault="006A75B4" w:rsidP="00B361DA">
      <w:pPr>
        <w:pStyle w:val="Paralist"/>
      </w:pPr>
      <w:r w:rsidRPr="00D62CB7">
        <w:t xml:space="preserve">Safe Work Australia promotes safe design practices to help eliminate or </w:t>
      </w:r>
      <w:proofErr w:type="spellStart"/>
      <w:r w:rsidRPr="00D62CB7">
        <w:t>minimise</w:t>
      </w:r>
      <w:proofErr w:type="spellEnd"/>
      <w:r w:rsidRPr="00D62CB7">
        <w:t xml:space="preserve"> the risks involved in work when work environments, equipment and practices are being designed. It has developed Guidance on the principles of safe design for work which aims to raise awareness of the importance of safe design and how it can be achieved.</w:t>
      </w:r>
    </w:p>
    <w:p w14:paraId="68AEA001" w14:textId="77777777" w:rsidR="0028781E" w:rsidRPr="00D62CB7" w:rsidRDefault="00284EE1" w:rsidP="00B361DA">
      <w:pPr>
        <w:pStyle w:val="Paralist"/>
      </w:pPr>
      <w:r w:rsidRPr="00D62CB7">
        <w:t>The model WHS Regulations also requires audiometric testing to be provided to workers who frequently use personal hearing protectors as a control measure for noise that exceeds the exposure standard. Audiometric testing must be provided within three months of a worker starting work that exposes them to a risk of work related noise-induced hearing loss (baseline reference). Regular follow up tests are required at least every two years.  These requirements are included in the workplace health and safety regulations for all states and territories (with the exception of Queensland and Western Australia).</w:t>
      </w:r>
      <w:r w:rsidR="0028781E" w:rsidRPr="00D62CB7">
        <w:rPr>
          <w:vertAlign w:val="superscript"/>
        </w:rPr>
        <w:footnoteReference w:id="23"/>
      </w:r>
    </w:p>
    <w:p w14:paraId="68AEA002" w14:textId="77777777" w:rsidR="004C0922" w:rsidRPr="00DF234F" w:rsidRDefault="004C0922" w:rsidP="00B361DA">
      <w:pPr>
        <w:pStyle w:val="Heading3"/>
      </w:pPr>
      <w:bookmarkStart w:id="157" w:name="_Toc11349165"/>
      <w:bookmarkStart w:id="158" w:name="_Toc11349320"/>
      <w:r>
        <w:t>Rural noise exposure</w:t>
      </w:r>
      <w:bookmarkEnd w:id="157"/>
      <w:bookmarkEnd w:id="158"/>
    </w:p>
    <w:p w14:paraId="68AEA003" w14:textId="77777777" w:rsidR="004C0922" w:rsidRPr="0098274A" w:rsidRDefault="004C0922" w:rsidP="00B361DA">
      <w:pPr>
        <w:pStyle w:val="Paralist"/>
      </w:pPr>
      <w:r w:rsidRPr="0098274A">
        <w:t xml:space="preserve">Agriculture is a priority industry under the Australian Strategy. Hearing loss affects a significant number of farmers in Australia, though technology changes, better awareness and improved WHS approaches of the farm sector have reduced hearing loss among famers. </w:t>
      </w:r>
    </w:p>
    <w:p w14:paraId="68AEA004" w14:textId="77777777" w:rsidR="00C02838" w:rsidRPr="0098274A" w:rsidRDefault="004C0922" w:rsidP="00B361DA">
      <w:pPr>
        <w:pStyle w:val="Paralist"/>
      </w:pPr>
      <w:r w:rsidRPr="0098274A">
        <w:t xml:space="preserve">The states and territories are predominantly responsible for farm safety in Australia. </w:t>
      </w:r>
      <w:r w:rsidR="00D74A08" w:rsidRPr="0098274A">
        <w:t>Health provided almost $600,000</w:t>
      </w:r>
      <w:r w:rsidR="00EF5EBA" w:rsidRPr="003D0CF0">
        <w:rPr>
          <w:vertAlign w:val="superscript"/>
        </w:rPr>
        <w:footnoteReference w:id="24"/>
      </w:r>
      <w:r w:rsidR="00D74A08" w:rsidRPr="0098274A">
        <w:t xml:space="preserve"> through the HLPP to Deakin University and the National Centre for Farmer Health to fund the </w:t>
      </w:r>
      <w:proofErr w:type="spellStart"/>
      <w:r w:rsidR="00D74A08" w:rsidRPr="00F529F6">
        <w:t>Shhh</w:t>
      </w:r>
      <w:proofErr w:type="spellEnd"/>
      <w:r w:rsidR="00D74A08" w:rsidRPr="00F529F6">
        <w:t>! Hearing in a Farming Environment</w:t>
      </w:r>
      <w:r w:rsidR="00D74A08" w:rsidRPr="0098274A">
        <w:t xml:space="preserve"> project.</w:t>
      </w:r>
      <w:r w:rsidR="00D74A08" w:rsidRPr="003D0CF0">
        <w:rPr>
          <w:vertAlign w:val="superscript"/>
        </w:rPr>
        <w:footnoteReference w:id="25"/>
      </w:r>
      <w:r w:rsidR="0044721F" w:rsidRPr="00F529F6">
        <w:t xml:space="preserve"> </w:t>
      </w:r>
      <w:r w:rsidR="00EF5EBA" w:rsidRPr="0098274A">
        <w:t>The Centre</w:t>
      </w:r>
      <w:r w:rsidR="004E6F23" w:rsidRPr="0098274A">
        <w:t xml:space="preserve"> is a non-profit </w:t>
      </w:r>
      <w:proofErr w:type="spellStart"/>
      <w:r w:rsidR="004E6F23" w:rsidRPr="0098274A">
        <w:t>organisation</w:t>
      </w:r>
      <w:proofErr w:type="spellEnd"/>
      <w:r w:rsidR="004E6F23" w:rsidRPr="0098274A">
        <w:t xml:space="preserve">, funded through the Victorian government’s Future Farming Strategy and the Helen and Geoff </w:t>
      </w:r>
      <w:proofErr w:type="spellStart"/>
      <w:r w:rsidR="004E6F23" w:rsidRPr="0098274A">
        <w:t>Handbury</w:t>
      </w:r>
      <w:proofErr w:type="spellEnd"/>
      <w:r w:rsidR="004E6F23" w:rsidRPr="0098274A">
        <w:t xml:space="preserve"> Trust. The Centre</w:t>
      </w:r>
      <w:r w:rsidR="00EF5EBA" w:rsidRPr="0098274A">
        <w:t xml:space="preserve"> provides national leadership to improve the health, wellbeing and safety of farm men and women</w:t>
      </w:r>
      <w:r w:rsidR="004E6F23" w:rsidRPr="0098274A">
        <w:t>, farm workers, their families and communities across Australia.</w:t>
      </w:r>
      <w:r w:rsidR="004E6F23" w:rsidRPr="003D0CF0">
        <w:rPr>
          <w:vertAlign w:val="superscript"/>
        </w:rPr>
        <w:footnoteReference w:id="26"/>
      </w:r>
    </w:p>
    <w:p w14:paraId="68AEA005" w14:textId="77777777" w:rsidR="00D05A75" w:rsidRDefault="00D05A75" w:rsidP="00B361DA">
      <w:pPr>
        <w:pStyle w:val="Heading2"/>
      </w:pPr>
      <w:bookmarkStart w:id="159" w:name="_Toc11349166"/>
      <w:bookmarkStart w:id="160" w:name="_Toc11349321"/>
      <w:r>
        <w:t>Interpreting</w:t>
      </w:r>
      <w:r w:rsidR="00AF176B">
        <w:t xml:space="preserve"> Services</w:t>
      </w:r>
      <w:bookmarkEnd w:id="159"/>
      <w:bookmarkEnd w:id="160"/>
    </w:p>
    <w:p w14:paraId="68AEA006" w14:textId="3FCD09FD" w:rsidR="00612B35" w:rsidRPr="00D05A75" w:rsidRDefault="00014BF7" w:rsidP="00B361DA">
      <w:pPr>
        <w:pStyle w:val="Paralist"/>
      </w:pPr>
      <w:r w:rsidRPr="00D05A75">
        <w:lastRenderedPageBreak/>
        <w:t xml:space="preserve">The Government </w:t>
      </w:r>
      <w:r w:rsidR="002A5A36" w:rsidRPr="00D05A75">
        <w:t>supports</w:t>
      </w:r>
      <w:r w:rsidR="00612B35" w:rsidRPr="00D05A75">
        <w:t xml:space="preserve"> several interpreting services</w:t>
      </w:r>
      <w:r w:rsidR="00D05A75">
        <w:t>, including</w:t>
      </w:r>
    </w:p>
    <w:p w14:paraId="68AEA007" w14:textId="253180DF" w:rsidR="00612B35" w:rsidRDefault="00612B35" w:rsidP="00B361DA">
      <w:pPr>
        <w:pStyle w:val="paralist2"/>
      </w:pPr>
      <w:r>
        <w:t xml:space="preserve">the Translating and Interpreting Service (TIS National), provided by the Department of </w:t>
      </w:r>
      <w:r w:rsidR="00EE4615">
        <w:t>Home Affairs (DHA)</w:t>
      </w:r>
      <w:r w:rsidR="004A214C">
        <w:t xml:space="preserve"> and</w:t>
      </w:r>
    </w:p>
    <w:p w14:paraId="68AEA008" w14:textId="77777777" w:rsidR="00014BF7" w:rsidRDefault="00014BF7" w:rsidP="00B361DA">
      <w:pPr>
        <w:pStyle w:val="paralist2"/>
      </w:pPr>
      <w:proofErr w:type="gramStart"/>
      <w:r>
        <w:t>the</w:t>
      </w:r>
      <w:proofErr w:type="gramEnd"/>
      <w:r>
        <w:t xml:space="preserve"> National Auslan Interpreter Booking </w:t>
      </w:r>
      <w:r w:rsidR="00AB5844">
        <w:t>and Payment Service</w:t>
      </w:r>
      <w:r>
        <w:t xml:space="preserve"> (NABS) program.</w:t>
      </w:r>
    </w:p>
    <w:p w14:paraId="68AEA009" w14:textId="77777777" w:rsidR="00866A8C" w:rsidRPr="00F529F6" w:rsidRDefault="00866A8C" w:rsidP="00B361DA">
      <w:pPr>
        <w:pStyle w:val="Paralist"/>
      </w:pPr>
      <w:r w:rsidRPr="00F529F6">
        <w:t>The Government also supports the National Relay Service (NRS) to provide an Australia</w:t>
      </w:r>
      <w:r w:rsidRPr="00F529F6">
        <w:noBreakHyphen/>
        <w:t>wide phone service for people who are deaf or have a hearing or speech impairment.</w:t>
      </w:r>
    </w:p>
    <w:p w14:paraId="68AEA00A" w14:textId="77777777" w:rsidR="00866A8C" w:rsidRPr="00F529F6" w:rsidRDefault="00B42DC7" w:rsidP="00B361DA">
      <w:pPr>
        <w:pStyle w:val="Paralist"/>
      </w:pPr>
      <w:r w:rsidRPr="00F529F6">
        <w:t xml:space="preserve">Allied health professionals providing services through the public health system may </w:t>
      </w:r>
      <w:r w:rsidR="00473A99" w:rsidRPr="00F529F6">
        <w:t xml:space="preserve">also </w:t>
      </w:r>
      <w:r w:rsidRPr="00F529F6">
        <w:t>have access to interpreting services through the relevant state government health authority. Some Primary Health Networks also provide free interpreting services for allied health professionals.</w:t>
      </w:r>
    </w:p>
    <w:p w14:paraId="68AEA00B" w14:textId="77777777" w:rsidR="00612B35" w:rsidRPr="00DF234F" w:rsidRDefault="00612B35" w:rsidP="00B361DA">
      <w:pPr>
        <w:pStyle w:val="Heading3"/>
      </w:pPr>
      <w:bookmarkStart w:id="161" w:name="_Toc11349167"/>
      <w:bookmarkStart w:id="162" w:name="_Toc11349322"/>
      <w:r>
        <w:t>Translating and Interpreting Service</w:t>
      </w:r>
      <w:bookmarkEnd w:id="161"/>
      <w:bookmarkEnd w:id="162"/>
    </w:p>
    <w:p w14:paraId="68AEA00C" w14:textId="77777777" w:rsidR="00D05A75" w:rsidRPr="00D05A75" w:rsidRDefault="00DC0923" w:rsidP="00B361DA">
      <w:pPr>
        <w:pStyle w:val="Paralist"/>
      </w:pPr>
      <w:r>
        <w:t>TIS National</w:t>
      </w:r>
      <w:r w:rsidR="00D05A75" w:rsidRPr="00D05A75">
        <w:t xml:space="preserve"> is an interpreting service provided by </w:t>
      </w:r>
      <w:r w:rsidR="00EE4615">
        <w:t>DHA</w:t>
      </w:r>
      <w:r>
        <w:t xml:space="preserve"> </w:t>
      </w:r>
      <w:r w:rsidR="00D05A75" w:rsidRPr="00D05A75">
        <w:t>for people who do not speak English and for agencies and businesses that need to communicate with their non</w:t>
      </w:r>
      <w:r>
        <w:noBreakHyphen/>
      </w:r>
      <w:r w:rsidR="00D05A75" w:rsidRPr="00D05A75">
        <w:t>English speaking clients.</w:t>
      </w:r>
      <w:r>
        <w:t xml:space="preserve"> </w:t>
      </w:r>
      <w:r w:rsidR="00D05A75">
        <w:t xml:space="preserve">TIS National has </w:t>
      </w:r>
      <w:r w:rsidR="00D05A75" w:rsidRPr="00D05A75">
        <w:t xml:space="preserve">more than 40 </w:t>
      </w:r>
      <w:r w:rsidRPr="00D05A75">
        <w:t>yea</w:t>
      </w:r>
      <w:r>
        <w:t>rs</w:t>
      </w:r>
      <w:r w:rsidR="00A50397">
        <w:t>’</w:t>
      </w:r>
      <w:r w:rsidRPr="00D05A75">
        <w:t xml:space="preserve"> experience</w:t>
      </w:r>
      <w:r w:rsidR="00D05A75" w:rsidRPr="00D05A75">
        <w:t xml:space="preserve"> in the interpreting industry</w:t>
      </w:r>
      <w:r w:rsidR="00D05A75">
        <w:t xml:space="preserve">, </w:t>
      </w:r>
      <w:r w:rsidR="00D05A75" w:rsidRPr="00D05A75">
        <w:t>access to over 2900 contracted interpreters across Australia</w:t>
      </w:r>
      <w:r w:rsidR="00D05A75">
        <w:t xml:space="preserve">, and </w:t>
      </w:r>
      <w:r w:rsidR="00D05A75" w:rsidRPr="00D05A75">
        <w:t xml:space="preserve">access to interpreters speaking more than 160 languages. </w:t>
      </w:r>
    </w:p>
    <w:p w14:paraId="68AEA00D" w14:textId="77777777" w:rsidR="006F463C" w:rsidRPr="00DF234F" w:rsidRDefault="006F463C" w:rsidP="00B361DA">
      <w:pPr>
        <w:pStyle w:val="Heading3"/>
      </w:pPr>
      <w:bookmarkStart w:id="163" w:name="_Toc11349168"/>
      <w:bookmarkStart w:id="164" w:name="_Toc11349323"/>
      <w:r>
        <w:t xml:space="preserve">National Auslan Interpreter Booking </w:t>
      </w:r>
      <w:r w:rsidR="00AB5844">
        <w:t xml:space="preserve">and Payment </w:t>
      </w:r>
      <w:r>
        <w:t>System</w:t>
      </w:r>
      <w:bookmarkEnd w:id="163"/>
      <w:bookmarkEnd w:id="164"/>
    </w:p>
    <w:p w14:paraId="68AEA00E" w14:textId="77777777" w:rsidR="004E6F23" w:rsidRPr="00D548F7" w:rsidRDefault="00D45A1E" w:rsidP="00B361DA">
      <w:pPr>
        <w:pStyle w:val="Paralist"/>
      </w:pPr>
      <w:r w:rsidRPr="001E1C7E">
        <w:t xml:space="preserve">NABS books and pays for accredited Auslan interpreters for </w:t>
      </w:r>
      <w:r w:rsidR="00AB5844" w:rsidRPr="001E1C7E">
        <w:t>Deaf</w:t>
      </w:r>
      <w:r w:rsidRPr="001E1C7E">
        <w:t xml:space="preserve"> people attending medical consultations attracting a Medicare rebate, or specified health consultations, provided in a private medical practice by a general practitioner, specialist or health professional. </w:t>
      </w:r>
      <w:r w:rsidR="00AB5844" w:rsidRPr="001E1C7E">
        <w:t xml:space="preserve">NABS does not provide interpreting services for the Employment Assistance Fund or in other settings, such as legal or financial appointments or education. </w:t>
      </w:r>
      <w:r w:rsidRPr="001E1C7E">
        <w:t xml:space="preserve">Funding for this program for people aged 65 </w:t>
      </w:r>
      <w:r w:rsidRPr="00D548F7">
        <w:t>years and under is transitioning to the NDIS.</w:t>
      </w:r>
      <w:r w:rsidR="00AB5844" w:rsidRPr="00D548F7">
        <w:t xml:space="preserve"> NABS is free to people </w:t>
      </w:r>
      <w:r w:rsidR="005326E5" w:rsidRPr="00D548F7">
        <w:t xml:space="preserve">whether or not they are </w:t>
      </w:r>
      <w:r w:rsidR="00AB5844" w:rsidRPr="00D548F7">
        <w:t>eligible for the NDIS.</w:t>
      </w:r>
      <w:r w:rsidR="00AB5844" w:rsidRPr="006E5388">
        <w:rPr>
          <w:vertAlign w:val="superscript"/>
        </w:rPr>
        <w:footnoteReference w:id="27"/>
      </w:r>
    </w:p>
    <w:p w14:paraId="68AEA00F" w14:textId="77777777" w:rsidR="00866A8C" w:rsidRPr="00DF234F" w:rsidRDefault="00866A8C" w:rsidP="00B361DA">
      <w:pPr>
        <w:pStyle w:val="Heading3"/>
      </w:pPr>
      <w:bookmarkStart w:id="165" w:name="_Toc11349169"/>
      <w:bookmarkStart w:id="166" w:name="_Toc11349324"/>
      <w:r>
        <w:t>National Relay Service</w:t>
      </w:r>
      <w:bookmarkEnd w:id="165"/>
      <w:bookmarkEnd w:id="166"/>
    </w:p>
    <w:p w14:paraId="68AEA010" w14:textId="77777777" w:rsidR="00300519" w:rsidRDefault="00866A8C" w:rsidP="00B361DA">
      <w:pPr>
        <w:pStyle w:val="Paralist"/>
      </w:pPr>
      <w:r>
        <w:t>The NRS is</w:t>
      </w:r>
      <w:r w:rsidR="00300519">
        <w:t xml:space="preserve"> </w:t>
      </w:r>
      <w:r w:rsidR="00473A99">
        <w:t xml:space="preserve">a </w:t>
      </w:r>
      <w:r w:rsidR="00300519">
        <w:t xml:space="preserve">Government initiative funded by a levy on eligible telecommunications carriers. The NRS consists of a Relay Service Provider which runs </w:t>
      </w:r>
      <w:r w:rsidR="00473A99">
        <w:t>a</w:t>
      </w:r>
      <w:r w:rsidR="00300519">
        <w:t xml:space="preserve"> call </w:t>
      </w:r>
      <w:proofErr w:type="spellStart"/>
      <w:r w:rsidR="00300519">
        <w:t>centre</w:t>
      </w:r>
      <w:proofErr w:type="spellEnd"/>
      <w:r w:rsidR="00300519">
        <w:t xml:space="preserve"> and an Outreach Service Provider which provides support and information about the use of the NRS.</w:t>
      </w:r>
      <w:r w:rsidR="00300519" w:rsidRPr="001E1C7E">
        <w:rPr>
          <w:vertAlign w:val="superscript"/>
        </w:rPr>
        <w:footnoteReference w:id="28"/>
      </w:r>
    </w:p>
    <w:p w14:paraId="68AEA011" w14:textId="77777777" w:rsidR="00866A8C" w:rsidRPr="00866A8C" w:rsidRDefault="00300519" w:rsidP="00B361DA">
      <w:pPr>
        <w:pStyle w:val="Paralist"/>
      </w:pPr>
      <w:r>
        <w:t>The service is free to clients and</w:t>
      </w:r>
      <w:r w:rsidR="00866A8C">
        <w:t xml:space="preserve"> supports calls made through computers, tablets, mobile phones, landlines, or teletypewriters (TTYs), meaning hearing impaired clients can type and read or use a video relay if they use </w:t>
      </w:r>
      <w:r>
        <w:t xml:space="preserve">sign </w:t>
      </w:r>
      <w:r w:rsidR="005A71CD">
        <w:t>language</w:t>
      </w:r>
      <w:r w:rsidR="00866A8C">
        <w:t>. Alternatively, a relay officer can</w:t>
      </w:r>
      <w:r w:rsidR="005326E5">
        <w:t xml:space="preserve"> act as an intermediary,</w:t>
      </w:r>
      <w:r w:rsidR="00866A8C">
        <w:t xml:space="preserve"> read</w:t>
      </w:r>
      <w:r w:rsidR="005326E5">
        <w:t>ing</w:t>
      </w:r>
      <w:r w:rsidR="00866A8C">
        <w:t xml:space="preserve"> out a deaf client’s text to the second party, then </w:t>
      </w:r>
      <w:r w:rsidR="005326E5">
        <w:t>typing the response</w:t>
      </w:r>
      <w:r w:rsidR="00866A8C">
        <w:t xml:space="preserve"> back to the deaf client.</w:t>
      </w:r>
      <w:r w:rsidR="00866A8C" w:rsidRPr="001E1C7E">
        <w:rPr>
          <w:vertAlign w:val="superscript"/>
        </w:rPr>
        <w:footnoteReference w:id="29"/>
      </w:r>
    </w:p>
    <w:p w14:paraId="68AEA012" w14:textId="77777777" w:rsidR="00B12BC2" w:rsidRDefault="00706C08" w:rsidP="008F4186">
      <w:pPr>
        <w:pStyle w:val="Heading2"/>
      </w:pPr>
      <w:bookmarkStart w:id="167" w:name="_Toc11349170"/>
      <w:bookmarkStart w:id="168" w:name="_Toc11349325"/>
      <w:r>
        <w:lastRenderedPageBreak/>
        <w:t xml:space="preserve">Hearing </w:t>
      </w:r>
      <w:r w:rsidR="007E79EC">
        <w:t>Sector Regulation</w:t>
      </w:r>
      <w:bookmarkEnd w:id="167"/>
      <w:bookmarkEnd w:id="168"/>
    </w:p>
    <w:p w14:paraId="68AEA013" w14:textId="77777777" w:rsidR="00B12BC2" w:rsidRDefault="008301E9" w:rsidP="00B361DA">
      <w:pPr>
        <w:pStyle w:val="Paralist"/>
      </w:pPr>
      <w:r>
        <w:t xml:space="preserve">The Government supports the delivery of hearing services based on the clinical assessment and needs of the client. </w:t>
      </w:r>
      <w:r w:rsidR="00DA29A5">
        <w:t>Assistive hearing devices, such as aids, can represent a significant cost to consumers, ranging from around $1,500 to over $15,000. T</w:t>
      </w:r>
      <w:r w:rsidR="00253F12">
        <w:t xml:space="preserve">he Government is aware of concerns regarding sales practices which may undermine the provision </w:t>
      </w:r>
      <w:r w:rsidR="00E22478">
        <w:t xml:space="preserve">of </w:t>
      </w:r>
      <w:r w:rsidR="00253F12">
        <w:t xml:space="preserve">independent and impartial clinical advice. </w:t>
      </w:r>
      <w:r w:rsidR="00D56B4B">
        <w:t>Contracted Services Providers under the Hearing Services Program are required to disclose any preferred provider relationships to their clients</w:t>
      </w:r>
      <w:r w:rsidR="00253F12">
        <w:t>,</w:t>
      </w:r>
      <w:r w:rsidR="00D56B4B" w:rsidRPr="007C349C">
        <w:rPr>
          <w:vertAlign w:val="superscript"/>
        </w:rPr>
        <w:footnoteReference w:id="30"/>
      </w:r>
      <w:r w:rsidR="00253F12">
        <w:t xml:space="preserve"> but this represents only a portion of hearing service providers in Australia.</w:t>
      </w:r>
    </w:p>
    <w:p w14:paraId="68AEA014" w14:textId="77777777" w:rsidR="00E22478" w:rsidRPr="00DF234F" w:rsidRDefault="00E22478" w:rsidP="00B361DA">
      <w:pPr>
        <w:pStyle w:val="Heading3"/>
      </w:pPr>
      <w:bookmarkStart w:id="169" w:name="_Toc11349171"/>
      <w:bookmarkStart w:id="170" w:name="_Toc11349326"/>
      <w:r w:rsidRPr="00E22478">
        <w:t>Practitioner Professional Bodies</w:t>
      </w:r>
      <w:bookmarkEnd w:id="169"/>
      <w:bookmarkEnd w:id="170"/>
    </w:p>
    <w:p w14:paraId="68AEA015" w14:textId="7C2ABA11" w:rsidR="00E22478" w:rsidRDefault="003C12D0" w:rsidP="00B361DA">
      <w:pPr>
        <w:pStyle w:val="Paralist"/>
      </w:pPr>
      <w:r>
        <w:t xml:space="preserve">In order to become a Qualified Practitioner and provide services through the </w:t>
      </w:r>
      <w:r w:rsidR="00436668">
        <w:t>HSP</w:t>
      </w:r>
      <w:r>
        <w:t xml:space="preserve">, audiologists and </w:t>
      </w:r>
      <w:proofErr w:type="spellStart"/>
      <w:r>
        <w:t>audiometrists</w:t>
      </w:r>
      <w:proofErr w:type="spellEnd"/>
      <w:r>
        <w:t xml:space="preserve"> must first be full members of one of the three Practitioner Professional Bodies (PPBs) (Audiology Australia, </w:t>
      </w:r>
      <w:r w:rsidR="004A214C">
        <w:t>Australian College of Audiology</w:t>
      </w:r>
      <w:r>
        <w:t xml:space="preserve"> or Hearing Aid </w:t>
      </w:r>
      <w:r w:rsidR="00E85C99">
        <w:t xml:space="preserve">Audiology </w:t>
      </w:r>
      <w:r>
        <w:t xml:space="preserve">Society of Australia). The </w:t>
      </w:r>
      <w:r w:rsidR="00E564A3">
        <w:t xml:space="preserve">PPBs work to promote and advance the </w:t>
      </w:r>
      <w:r w:rsidR="00217465">
        <w:t xml:space="preserve">audiology </w:t>
      </w:r>
      <w:r w:rsidR="00E564A3">
        <w:t>and/or audiometry professions, set minimum qualification and standards requirements, maintain a program of continuing professional development, and promote ethical conduct in the practice of these professions.</w:t>
      </w:r>
      <w:r w:rsidR="00E564A3" w:rsidRPr="007C349C">
        <w:rPr>
          <w:vertAlign w:val="superscript"/>
        </w:rPr>
        <w:footnoteReference w:id="31"/>
      </w:r>
      <w:r w:rsidR="00E564A3">
        <w:t xml:space="preserve"> The PPBs have recently released a Joint Code of Conduct and Scope of Practice. </w:t>
      </w:r>
    </w:p>
    <w:p w14:paraId="68AEA016" w14:textId="77777777" w:rsidR="005A3FD9" w:rsidRPr="005A3FD9" w:rsidRDefault="00E564A3" w:rsidP="00B361DA">
      <w:pPr>
        <w:pStyle w:val="Paralist"/>
      </w:pPr>
      <w:r>
        <w:t xml:space="preserve">In addition, Audiology Australia has </w:t>
      </w:r>
      <w:r w:rsidR="00F13CF9">
        <w:t>recently become a member of the National Alliance of Self-Regulating Health Professions</w:t>
      </w:r>
      <w:r w:rsidR="005A3FD9">
        <w:t xml:space="preserve"> (NASRHP)</w:t>
      </w:r>
      <w:r w:rsidR="00F13CF9">
        <w:t>.</w:t>
      </w:r>
      <w:r w:rsidR="005A3FD9">
        <w:t xml:space="preserve"> Australian peak bodies of self-</w:t>
      </w:r>
      <w:r w:rsidR="005A3FD9" w:rsidRPr="005A3FD9">
        <w:t xml:space="preserve">regulating allied health professions wishing to join NASRHP must meet benchmark standards for regulation and accreditation of practitioners within that profession. NASRHP standards have been closely modelled on </w:t>
      </w:r>
      <w:r w:rsidR="00497DBC">
        <w:t>Australian Health P</w:t>
      </w:r>
      <w:r w:rsidR="00E22478">
        <w:t>ractitioner Regulation Agency’s (</w:t>
      </w:r>
      <w:r w:rsidR="005A3FD9" w:rsidRPr="005A3FD9">
        <w:t>AHPRA</w:t>
      </w:r>
      <w:r w:rsidR="00E22478">
        <w:t>)</w:t>
      </w:r>
      <w:r w:rsidR="005A3FD9" w:rsidRPr="005A3FD9">
        <w:t xml:space="preserve"> standards</w:t>
      </w:r>
      <w:r w:rsidR="00C83234">
        <w:t>.</w:t>
      </w:r>
      <w:r w:rsidR="005A3FD9" w:rsidRPr="005A3FD9">
        <w:t xml:space="preserve"> </w:t>
      </w:r>
    </w:p>
    <w:p w14:paraId="68AEA017" w14:textId="77777777" w:rsidR="007E79EC" w:rsidRPr="00D548F7" w:rsidRDefault="00497DBC" w:rsidP="00B361DA">
      <w:pPr>
        <w:pStyle w:val="Paralist"/>
      </w:pPr>
      <w:r w:rsidRPr="005A3FD9">
        <w:t xml:space="preserve">This facilitates national consistency </w:t>
      </w:r>
      <w:r>
        <w:t>in quality and supports</w:t>
      </w:r>
      <w:r w:rsidR="005A3FD9">
        <w:t xml:space="preserve"> for self-</w:t>
      </w:r>
      <w:r w:rsidR="005A3FD9" w:rsidRPr="005A3FD9">
        <w:t xml:space="preserve">regulating health professionals and satisfies national and jurisdictional regulatory requirements, including the </w:t>
      </w:r>
      <w:r w:rsidR="005A3FD9" w:rsidRPr="00D548F7">
        <w:t>National Code of Conduct of health care workers. This provides assurance to patients they are receiving a quality service from a certified health professional. NASRHP does not provide individual certification for practitioners.</w:t>
      </w:r>
    </w:p>
    <w:p w14:paraId="68AEA018" w14:textId="77777777" w:rsidR="00D31A11" w:rsidRPr="00DF234F" w:rsidRDefault="00D31A11" w:rsidP="00B361DA">
      <w:pPr>
        <w:pStyle w:val="Heading3"/>
      </w:pPr>
      <w:bookmarkStart w:id="171" w:name="_Toc11349172"/>
      <w:bookmarkStart w:id="172" w:name="_Toc11349327"/>
      <w:r>
        <w:t>National Registration and Accreditation Scheme</w:t>
      </w:r>
      <w:bookmarkEnd w:id="171"/>
      <w:bookmarkEnd w:id="172"/>
    </w:p>
    <w:p w14:paraId="68AEA019" w14:textId="77777777" w:rsidR="00522EF1" w:rsidRDefault="00D31A11" w:rsidP="00B361DA">
      <w:pPr>
        <w:pStyle w:val="Paralist"/>
      </w:pPr>
      <w:r>
        <w:t>The National Regist</w:t>
      </w:r>
      <w:r w:rsidR="00522EF1">
        <w:t>ration and Accreditation Scheme</w:t>
      </w:r>
      <w:r w:rsidR="00735015">
        <w:t xml:space="preserve"> commenced in 2010 following COAG</w:t>
      </w:r>
      <w:r>
        <w:t xml:space="preserve"> agreement in acknowledgement of the benefits in developing national consistency in the regulation of the health professions</w:t>
      </w:r>
      <w:r w:rsidR="00522EF1">
        <w:t xml:space="preserve">. </w:t>
      </w:r>
      <w:r>
        <w:t>The primary objective of the Scheme is the protection of the public</w:t>
      </w:r>
      <w:r w:rsidR="00735015">
        <w:t>. T</w:t>
      </w:r>
      <w:r w:rsidR="00E22478">
        <w:t>he Scheme is administered by AHPRA</w:t>
      </w:r>
      <w:r w:rsidR="00735015">
        <w:t>.</w:t>
      </w:r>
    </w:p>
    <w:p w14:paraId="68AEA01A" w14:textId="77777777" w:rsidR="00D31A11" w:rsidRDefault="00D31A11" w:rsidP="00B361DA">
      <w:pPr>
        <w:pStyle w:val="Paralist"/>
      </w:pPr>
      <w:r>
        <w:t xml:space="preserve">Under the Intergovernmental Agreement signed by COAG, the Australian Health Workforce Ministerial Council (AHWMC) has responsibility for determining the </w:t>
      </w:r>
      <w:r>
        <w:lastRenderedPageBreak/>
        <w:t>professions that should enter the Scheme</w:t>
      </w:r>
      <w:r w:rsidR="00522EF1">
        <w:t xml:space="preserve">. </w:t>
      </w:r>
      <w:r>
        <w:t>It was agreed that, due to the regulatory impact on individual practitioners, new professions would be included in the Scheme, only where a significant risk to public safety was identified and where there are no other regulatory mechanisms in place that can ensure public safety and quality of service provision.</w:t>
      </w:r>
    </w:p>
    <w:p w14:paraId="68AEA01B" w14:textId="2E75B905" w:rsidR="0085577A" w:rsidRDefault="00D31A11" w:rsidP="00B361DA">
      <w:pPr>
        <w:pStyle w:val="Paralist"/>
      </w:pPr>
      <w:r>
        <w:t xml:space="preserve">In order to mitigate the risk of those professions who are not registered under the Scheme, Health Ministers’ endorsement of the </w:t>
      </w:r>
      <w:r w:rsidRPr="00C449E2">
        <w:t>National Code of Conduct for unregulated health care workers</w:t>
      </w:r>
      <w:r>
        <w:t xml:space="preserve"> (the Code) provides an important mechanism for the regulation of workers in health care settings (including audiology </w:t>
      </w:r>
      <w:r w:rsidRPr="00672FF0">
        <w:t>and audiometry professions</w:t>
      </w:r>
      <w:r>
        <w:t>)</w:t>
      </w:r>
      <w:r w:rsidR="00522EF1">
        <w:t xml:space="preserve">. </w:t>
      </w:r>
      <w:r>
        <w:t xml:space="preserve">It is noted that the three </w:t>
      </w:r>
      <w:r w:rsidR="00436668">
        <w:t>PPBs</w:t>
      </w:r>
      <w:r>
        <w:t xml:space="preserve"> have developed a </w:t>
      </w:r>
      <w:r w:rsidR="00436668">
        <w:t>Joint Code of C</w:t>
      </w:r>
      <w:r>
        <w:t>onduct for th</w:t>
      </w:r>
      <w:r w:rsidR="00764216">
        <w:t>eir members, based on the Code.</w:t>
      </w:r>
    </w:p>
    <w:sectPr w:rsidR="0085577A" w:rsidSect="00B361DA">
      <w:footerReference w:type="first" r:id="rId12"/>
      <w:pgSz w:w="11906" w:h="16838" w:code="9"/>
      <w:pgMar w:top="1418"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EA01F" w14:textId="77777777" w:rsidR="00846AF4" w:rsidRDefault="00846AF4" w:rsidP="007D35BF">
      <w:r>
        <w:separator/>
      </w:r>
    </w:p>
  </w:endnote>
  <w:endnote w:type="continuationSeparator" w:id="0">
    <w:p w14:paraId="68AEA020" w14:textId="77777777" w:rsidR="00846AF4" w:rsidRDefault="00846AF4" w:rsidP="007D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S Me Pro">
    <w:altName w:val="FS Me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A022" w14:textId="77777777" w:rsidR="00846AF4" w:rsidRDefault="00846AF4" w:rsidP="007D35BF">
    <w:pPr>
      <w:pStyle w:val="Footer"/>
    </w:pPr>
    <w:r>
      <w:t>Australian Government response to the Standing Committee on Health, Aged Care and Sport report – December 2017</w:t>
    </w:r>
    <w:r>
      <w:tab/>
    </w:r>
    <w:r>
      <w:tab/>
    </w:r>
    <w:sdt>
      <w:sdtPr>
        <w:id w:val="-127978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p w14:paraId="68AEA023" w14:textId="77777777" w:rsidR="00846AF4" w:rsidRPr="001852E7" w:rsidRDefault="00846AF4" w:rsidP="007D3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A01D" w14:textId="77777777" w:rsidR="00846AF4" w:rsidRDefault="00846AF4" w:rsidP="007D35BF">
      <w:r>
        <w:separator/>
      </w:r>
    </w:p>
  </w:footnote>
  <w:footnote w:type="continuationSeparator" w:id="0">
    <w:p w14:paraId="68AEA01E" w14:textId="77777777" w:rsidR="00846AF4" w:rsidRDefault="00846AF4" w:rsidP="007D35BF">
      <w:r>
        <w:continuationSeparator/>
      </w:r>
    </w:p>
  </w:footnote>
  <w:footnote w:id="1">
    <w:p w14:paraId="68AEA024" w14:textId="77777777" w:rsidR="00846AF4" w:rsidRPr="005D0F13" w:rsidRDefault="00846AF4" w:rsidP="007D35BF">
      <w:pPr>
        <w:pStyle w:val="FootnoteText"/>
      </w:pPr>
      <w:r>
        <w:rPr>
          <w:rStyle w:val="FootnoteReference"/>
        </w:rPr>
        <w:footnoteRef/>
      </w:r>
      <w:r>
        <w:t xml:space="preserve">AHMAC, </w:t>
      </w:r>
      <w:r w:rsidRPr="00C120F5">
        <w:t>Aborigi</w:t>
      </w:r>
      <w:r>
        <w:t>nal and Torres Strait Islander H</w:t>
      </w:r>
      <w:r w:rsidRPr="00C120F5">
        <w:t xml:space="preserve">ealth Performance Framework </w:t>
      </w:r>
      <w:r>
        <w:t>2017</w:t>
      </w:r>
      <w:r w:rsidRPr="00C120F5">
        <w:t xml:space="preserve"> Report</w:t>
      </w:r>
      <w:r>
        <w:t>, page 70.</w:t>
      </w:r>
    </w:p>
  </w:footnote>
  <w:footnote w:id="2">
    <w:p w14:paraId="68AEA025" w14:textId="77777777" w:rsidR="00846AF4" w:rsidRPr="00692249" w:rsidRDefault="00846AF4" w:rsidP="007D35BF">
      <w:pPr>
        <w:pStyle w:val="FootnoteText"/>
      </w:pPr>
      <w:r>
        <w:rPr>
          <w:rStyle w:val="FootnoteReference"/>
        </w:rPr>
        <w:footnoteRef/>
      </w:r>
      <w:r>
        <w:t xml:space="preserve"> Closing the Gap: Prime Minister’s Report 2017, page 6.</w:t>
      </w:r>
    </w:p>
  </w:footnote>
  <w:footnote w:id="3">
    <w:p w14:paraId="68AEA026" w14:textId="77777777" w:rsidR="00846AF4" w:rsidRPr="00E50F94" w:rsidRDefault="00846AF4" w:rsidP="007D35BF">
      <w:pPr>
        <w:pStyle w:val="FootnoteText"/>
      </w:pPr>
      <w:r>
        <w:rPr>
          <w:rStyle w:val="FootnoteReference"/>
        </w:rPr>
        <w:footnoteRef/>
      </w:r>
      <w:r>
        <w:t xml:space="preserve"> Department of Health, Implementation Plan for the National Aboriginal and Torres Strait Islander Health Plan 2013-2023, page 1.</w:t>
      </w:r>
    </w:p>
  </w:footnote>
  <w:footnote w:id="4">
    <w:p w14:paraId="68AEA027" w14:textId="77777777" w:rsidR="00846AF4" w:rsidRPr="00EE5067" w:rsidRDefault="00846AF4" w:rsidP="007D35BF">
      <w:pPr>
        <w:pStyle w:val="FootnoteText"/>
      </w:pPr>
      <w:r>
        <w:rPr>
          <w:rStyle w:val="FootnoteReference"/>
        </w:rPr>
        <w:footnoteRef/>
      </w:r>
      <w:r>
        <w:t xml:space="preserve"> National Disability Strategy 2010-2020 – Second Implementation Plan </w:t>
      </w:r>
      <w:r>
        <w:rPr>
          <w:i/>
        </w:rPr>
        <w:t>Driving Action 2015-2018</w:t>
      </w:r>
      <w:r>
        <w:t>, page 1.</w:t>
      </w:r>
    </w:p>
  </w:footnote>
  <w:footnote w:id="5">
    <w:p w14:paraId="68AEA028" w14:textId="77777777" w:rsidR="00846AF4" w:rsidRPr="002F0EA8" w:rsidRDefault="00846AF4" w:rsidP="007D35BF">
      <w:pPr>
        <w:pStyle w:val="FootnoteText"/>
      </w:pPr>
      <w:r>
        <w:rPr>
          <w:rStyle w:val="FootnoteReference"/>
        </w:rPr>
        <w:footnoteRef/>
      </w:r>
      <w:r>
        <w:t xml:space="preserve"> Department of Social Services, Australian Government Plan to Improve Outcomes for Aboriginal and Torres Strait Islander People with Disability, 2017, page 6.</w:t>
      </w:r>
    </w:p>
  </w:footnote>
  <w:footnote w:id="6">
    <w:p w14:paraId="68AEA029" w14:textId="77777777" w:rsidR="00846AF4" w:rsidRDefault="00846AF4" w:rsidP="007D35BF">
      <w:pPr>
        <w:pStyle w:val="FootnoteText"/>
      </w:pPr>
      <w:r>
        <w:rPr>
          <w:rStyle w:val="FootnoteReference"/>
        </w:rPr>
        <w:footnoteRef/>
      </w:r>
      <w:r>
        <w:t xml:space="preserve"> </w:t>
      </w:r>
      <w:hyperlink r:id="rId1" w:history="1">
        <w:r w:rsidRPr="00FE5A23">
          <w:rPr>
            <w:rStyle w:val="Hyperlink"/>
            <w:sz w:val="18"/>
            <w:szCs w:val="18"/>
          </w:rPr>
          <w:t>Australian Hearing Annual Report 2017</w:t>
        </w:r>
      </w:hyperlink>
      <w:r w:rsidRPr="00351AA9">
        <w:t>, pages 20-21.</w:t>
      </w:r>
    </w:p>
  </w:footnote>
  <w:footnote w:id="7">
    <w:p w14:paraId="68AEA02A" w14:textId="77777777" w:rsidR="00846AF4" w:rsidRDefault="00846AF4" w:rsidP="007D35BF">
      <w:pPr>
        <w:pStyle w:val="FootnoteText"/>
      </w:pPr>
      <w:r>
        <w:rPr>
          <w:rStyle w:val="FootnoteReference"/>
        </w:rPr>
        <w:footnoteRef/>
      </w:r>
      <w:r>
        <w:t xml:space="preserve"> Department of Health unpublished data August 2017.</w:t>
      </w:r>
    </w:p>
  </w:footnote>
  <w:footnote w:id="8">
    <w:p w14:paraId="68AEA02B" w14:textId="77777777" w:rsidR="00846AF4" w:rsidRDefault="00846AF4" w:rsidP="007D35BF">
      <w:pPr>
        <w:pStyle w:val="FootnoteText"/>
      </w:pPr>
      <w:r>
        <w:rPr>
          <w:rStyle w:val="FootnoteReference"/>
        </w:rPr>
        <w:footnoteRef/>
      </w:r>
      <w:r>
        <w:t xml:space="preserve"> Department of Health, National Framework for Neonatal Hearing Screening – August 2013, page 4.</w:t>
      </w:r>
    </w:p>
  </w:footnote>
  <w:footnote w:id="9">
    <w:p w14:paraId="68AEA02C" w14:textId="77777777" w:rsidR="00846AF4" w:rsidRPr="003864F7" w:rsidRDefault="00846AF4" w:rsidP="007D35BF">
      <w:pPr>
        <w:pStyle w:val="FootnoteText"/>
      </w:pPr>
      <w:r>
        <w:rPr>
          <w:rStyle w:val="FootnoteReference"/>
        </w:rPr>
        <w:footnoteRef/>
      </w:r>
      <w:r>
        <w:t xml:space="preserve"> </w:t>
      </w:r>
      <w:r w:rsidRPr="00DF6AF3">
        <w:t>http://www.coag.gov.au/meeting-outcomes/coag-meeting-communiqu%C3%A9-2-july-2009</w:t>
      </w:r>
      <w:r>
        <w:t>.</w:t>
      </w:r>
    </w:p>
  </w:footnote>
  <w:footnote w:id="10">
    <w:p w14:paraId="68AEA02D" w14:textId="77777777" w:rsidR="00846AF4" w:rsidRDefault="00846AF4" w:rsidP="007D35BF">
      <w:pPr>
        <w:pStyle w:val="FootnoteText"/>
      </w:pPr>
      <w:r>
        <w:rPr>
          <w:rStyle w:val="FootnoteReference"/>
        </w:rPr>
        <w:footnoteRef/>
      </w:r>
      <w:r>
        <w:t xml:space="preserve"> Department of Health, National Framework for Neonatal Hearing Screening – August 2013</w:t>
      </w:r>
    </w:p>
  </w:footnote>
  <w:footnote w:id="11">
    <w:p w14:paraId="68AEA02E" w14:textId="77777777" w:rsidR="00846AF4" w:rsidRPr="00CD6629" w:rsidRDefault="00846AF4" w:rsidP="007D35BF">
      <w:pPr>
        <w:pStyle w:val="FootnoteText"/>
      </w:pPr>
      <w:r>
        <w:rPr>
          <w:rStyle w:val="FootnoteReference"/>
        </w:rPr>
        <w:footnoteRef/>
      </w:r>
      <w:r>
        <w:t xml:space="preserve"> Department of Health, National Framework for Neonatal Hearing Screening – August 2013, pages 9-10. See also Australian Institute of Health and Welfare, National Performance Indicators for Neonatal Hearing Screening in Australia, 2013.</w:t>
      </w:r>
    </w:p>
  </w:footnote>
  <w:footnote w:id="12">
    <w:p w14:paraId="68AEA02F" w14:textId="77777777" w:rsidR="00846AF4" w:rsidRPr="001401A5" w:rsidRDefault="00846AF4" w:rsidP="007D35BF">
      <w:pPr>
        <w:pStyle w:val="FootnoteText"/>
      </w:pPr>
      <w:r>
        <w:rPr>
          <w:rStyle w:val="FootnoteReference"/>
        </w:rPr>
        <w:footnoteRef/>
      </w:r>
      <w:r>
        <w:t xml:space="preserve"> Renée Punch PhD, Victorian Deaf Education Institute, </w:t>
      </w:r>
      <w:hyperlink r:id="rId2" w:history="1">
        <w:r w:rsidRPr="001401A5">
          <w:rPr>
            <w:rStyle w:val="Hyperlink"/>
            <w:i/>
          </w:rPr>
          <w:t>Universal Newborn Hearing Screening</w:t>
        </w:r>
      </w:hyperlink>
      <w:r>
        <w:t>, accessed 20 November 2017.</w:t>
      </w:r>
    </w:p>
  </w:footnote>
  <w:footnote w:id="13">
    <w:p w14:paraId="68AEA030" w14:textId="77777777" w:rsidR="00846AF4" w:rsidRDefault="00846AF4" w:rsidP="007D35BF">
      <w:pPr>
        <w:pStyle w:val="FootnoteText"/>
      </w:pPr>
      <w:r>
        <w:rPr>
          <w:rStyle w:val="FootnoteReference"/>
        </w:rPr>
        <w:footnoteRef/>
      </w:r>
      <w:r>
        <w:t xml:space="preserve"> </w:t>
      </w:r>
      <w:hyperlink r:id="rId3" w:history="1">
        <w:proofErr w:type="spellStart"/>
        <w:r w:rsidRPr="00F972C8">
          <w:rPr>
            <w:rStyle w:val="Hyperlink"/>
          </w:rPr>
          <w:t>HEARsmart</w:t>
        </w:r>
        <w:proofErr w:type="spellEnd"/>
        <w:r w:rsidRPr="00F972C8">
          <w:rPr>
            <w:rStyle w:val="Hyperlink"/>
          </w:rPr>
          <w:t xml:space="preserve"> website</w:t>
        </w:r>
      </w:hyperlink>
      <w:r>
        <w:t>, accessed 1 November 2017.</w:t>
      </w:r>
    </w:p>
  </w:footnote>
  <w:footnote w:id="14">
    <w:p w14:paraId="68AEA031" w14:textId="77777777" w:rsidR="00846AF4" w:rsidRDefault="00846AF4" w:rsidP="007D35BF">
      <w:pPr>
        <w:pStyle w:val="FootnoteText"/>
      </w:pPr>
      <w:r>
        <w:rPr>
          <w:rStyle w:val="FootnoteReference"/>
        </w:rPr>
        <w:footnoteRef/>
      </w:r>
      <w:r>
        <w:t xml:space="preserve"> Department of Health, </w:t>
      </w:r>
      <w:hyperlink r:id="rId4" w:history="1">
        <w:r w:rsidRPr="00335FF9">
          <w:rPr>
            <w:rStyle w:val="Hyperlink"/>
          </w:rPr>
          <w:t>Health Assessments</w:t>
        </w:r>
      </w:hyperlink>
      <w:r>
        <w:t>, accessed 1 November 2017.</w:t>
      </w:r>
    </w:p>
  </w:footnote>
  <w:footnote w:id="15">
    <w:p w14:paraId="68AEA032" w14:textId="77777777" w:rsidR="00846AF4" w:rsidRDefault="00846AF4" w:rsidP="007D35BF">
      <w:pPr>
        <w:pStyle w:val="FootnoteText"/>
      </w:pPr>
      <w:r>
        <w:rPr>
          <w:rStyle w:val="FootnoteReference"/>
        </w:rPr>
        <w:footnoteRef/>
      </w:r>
      <w:r>
        <w:t xml:space="preserve"> MBS Online, </w:t>
      </w:r>
      <w:hyperlink r:id="rId5" w:history="1">
        <w:r w:rsidRPr="0030371B">
          <w:rPr>
            <w:rStyle w:val="Hyperlink"/>
          </w:rPr>
          <w:t>Diagnostic Audiology Services under Medicare</w:t>
        </w:r>
      </w:hyperlink>
      <w:r>
        <w:t>, accessed 1 November 2017.</w:t>
      </w:r>
    </w:p>
  </w:footnote>
  <w:footnote w:id="16">
    <w:p w14:paraId="68AEA033" w14:textId="77777777" w:rsidR="00846AF4" w:rsidRDefault="00846AF4" w:rsidP="007D35BF">
      <w:pPr>
        <w:pStyle w:val="FootnoteText"/>
      </w:pPr>
      <w:r>
        <w:rPr>
          <w:rStyle w:val="FootnoteReference"/>
        </w:rPr>
        <w:footnoteRef/>
      </w:r>
      <w:r>
        <w:t xml:space="preserve"> MBS Online, </w:t>
      </w:r>
      <w:hyperlink r:id="rId6" w:history="1">
        <w:r w:rsidRPr="0030371B">
          <w:rPr>
            <w:rStyle w:val="Hyperlink"/>
          </w:rPr>
          <w:t>Medicare Rebates for Specialist Video Consultations</w:t>
        </w:r>
      </w:hyperlink>
      <w:r>
        <w:t>, accessed 2 November 2017.</w:t>
      </w:r>
    </w:p>
  </w:footnote>
  <w:footnote w:id="17">
    <w:p w14:paraId="68AEA034" w14:textId="77777777" w:rsidR="00846AF4" w:rsidRDefault="00846AF4" w:rsidP="007D35BF">
      <w:pPr>
        <w:pStyle w:val="FootnoteText"/>
      </w:pPr>
      <w:r>
        <w:rPr>
          <w:rStyle w:val="FootnoteReference"/>
        </w:rPr>
        <w:footnoteRef/>
      </w:r>
      <w:r>
        <w:t xml:space="preserve"> Medicare Australia Statistics, </w:t>
      </w:r>
      <w:hyperlink r:id="rId7" w:history="1">
        <w:r w:rsidRPr="00F45085">
          <w:rPr>
            <w:rStyle w:val="Hyperlink"/>
          </w:rPr>
          <w:t>Medicare Item Reports,</w:t>
        </w:r>
      </w:hyperlink>
      <w:r>
        <w:t xml:space="preserve"> accessed 2 November 2017. </w:t>
      </w:r>
    </w:p>
  </w:footnote>
  <w:footnote w:id="18">
    <w:p w14:paraId="68AEA035" w14:textId="77777777" w:rsidR="00846AF4" w:rsidRDefault="00846AF4" w:rsidP="007D35BF">
      <w:pPr>
        <w:pStyle w:val="FootnoteText"/>
      </w:pPr>
      <w:r>
        <w:rPr>
          <w:rStyle w:val="FootnoteReference"/>
        </w:rPr>
        <w:footnoteRef/>
      </w:r>
      <w:r>
        <w:t xml:space="preserve"> National Health and Medical Research Council, </w:t>
      </w:r>
      <w:hyperlink r:id="rId8" w:history="1">
        <w:r w:rsidRPr="00272FA9">
          <w:rPr>
            <w:rStyle w:val="Hyperlink"/>
          </w:rPr>
          <w:t>The Changes</w:t>
        </w:r>
      </w:hyperlink>
      <w:r>
        <w:t>, accessed 10 November 2017.</w:t>
      </w:r>
    </w:p>
  </w:footnote>
  <w:footnote w:id="19">
    <w:p w14:paraId="68AEA036" w14:textId="77777777" w:rsidR="00846AF4" w:rsidRDefault="00846AF4" w:rsidP="007D35BF">
      <w:pPr>
        <w:pStyle w:val="FootnoteText"/>
      </w:pPr>
      <w:r>
        <w:rPr>
          <w:rStyle w:val="FootnoteReference"/>
        </w:rPr>
        <w:footnoteRef/>
      </w:r>
      <w:r>
        <w:t xml:space="preserve"> National Health and Medical Research Council, </w:t>
      </w:r>
      <w:hyperlink r:id="rId9" w:history="1">
        <w:r w:rsidRPr="00B03449">
          <w:rPr>
            <w:rStyle w:val="Hyperlink"/>
          </w:rPr>
          <w:t>Research funding statistics and data</w:t>
        </w:r>
      </w:hyperlink>
      <w:r>
        <w:t>, accessed 23 November 2017,</w:t>
      </w:r>
    </w:p>
  </w:footnote>
  <w:footnote w:id="20">
    <w:p w14:paraId="68AEA037" w14:textId="77777777" w:rsidR="00846AF4" w:rsidRDefault="00846AF4" w:rsidP="007D35BF">
      <w:pPr>
        <w:pStyle w:val="FootnoteText"/>
      </w:pPr>
      <w:r>
        <w:rPr>
          <w:rStyle w:val="FootnoteReference"/>
        </w:rPr>
        <w:footnoteRef/>
      </w:r>
      <w:r>
        <w:t xml:space="preserve"> Australian Institute of Health and Welfare, National performance indicators to support neonatal hearing screening in Australia, November 2013.</w:t>
      </w:r>
    </w:p>
  </w:footnote>
  <w:footnote w:id="21">
    <w:p w14:paraId="68AEA038" w14:textId="77777777" w:rsidR="00846AF4" w:rsidRDefault="00846AF4" w:rsidP="007D35BF">
      <w:pPr>
        <w:pStyle w:val="FootnoteText"/>
      </w:pPr>
      <w:r>
        <w:rPr>
          <w:rStyle w:val="FootnoteReference"/>
        </w:rPr>
        <w:footnoteRef/>
      </w:r>
      <w:r>
        <w:t xml:space="preserve"> Australian Institute of Health and Welfare, Northern Territory Remote Aboriginal Investment: Ear and Hearing Health Program – July 2012 to June 2016, March 2017.</w:t>
      </w:r>
    </w:p>
  </w:footnote>
  <w:footnote w:id="22">
    <w:p w14:paraId="68AEA039" w14:textId="77777777" w:rsidR="00846AF4" w:rsidRDefault="00846AF4" w:rsidP="007D35BF">
      <w:pPr>
        <w:pStyle w:val="FootnoteText"/>
      </w:pPr>
      <w:r>
        <w:rPr>
          <w:rStyle w:val="FootnoteReference"/>
        </w:rPr>
        <w:footnoteRef/>
      </w:r>
      <w:r>
        <w:t xml:space="preserve"> Australian Institute of Health and Welfare, Northern Territory Remote Aboriginal Investment: Ear and Hearing Health Program – July 2012 to June 2016, March 2017, page vii.</w:t>
      </w:r>
    </w:p>
  </w:footnote>
  <w:footnote w:id="23">
    <w:p w14:paraId="68AEA03A" w14:textId="77777777" w:rsidR="00846AF4" w:rsidRDefault="00846AF4" w:rsidP="007D35BF">
      <w:pPr>
        <w:pStyle w:val="FootnoteText"/>
      </w:pPr>
      <w:r>
        <w:rPr>
          <w:rStyle w:val="FootnoteReference"/>
        </w:rPr>
        <w:footnoteRef/>
      </w:r>
      <w:r>
        <w:t xml:space="preserve"> Safe Work Australia, </w:t>
      </w:r>
      <w:hyperlink r:id="rId10" w:anchor="audiometric-testing" w:history="1">
        <w:r w:rsidRPr="0028781E">
          <w:rPr>
            <w:rStyle w:val="Hyperlink"/>
          </w:rPr>
          <w:t>Noise</w:t>
        </w:r>
      </w:hyperlink>
      <w:r>
        <w:t xml:space="preserve">, accessed 16 November 2017. Safe Work Australia, </w:t>
      </w:r>
      <w:hyperlink r:id="rId11" w:history="1">
        <w:r w:rsidRPr="0028781E">
          <w:rPr>
            <w:rStyle w:val="Hyperlink"/>
          </w:rPr>
          <w:t>The law in your state</w:t>
        </w:r>
      </w:hyperlink>
      <w:r>
        <w:t>, accessed 16 November 2017.</w:t>
      </w:r>
    </w:p>
  </w:footnote>
  <w:footnote w:id="24">
    <w:p w14:paraId="68AEA03B" w14:textId="77777777" w:rsidR="00846AF4" w:rsidRDefault="00846AF4" w:rsidP="007D35BF">
      <w:pPr>
        <w:pStyle w:val="FootnoteText"/>
      </w:pPr>
      <w:r>
        <w:rPr>
          <w:rStyle w:val="FootnoteReference"/>
        </w:rPr>
        <w:footnoteRef/>
      </w:r>
      <w:r>
        <w:t xml:space="preserve"> Department of Health, internal statistics.</w:t>
      </w:r>
    </w:p>
  </w:footnote>
  <w:footnote w:id="25">
    <w:p w14:paraId="68AEA03C" w14:textId="77777777" w:rsidR="00846AF4" w:rsidRDefault="00846AF4" w:rsidP="007D35BF">
      <w:pPr>
        <w:pStyle w:val="FootnoteText"/>
      </w:pPr>
      <w:r>
        <w:rPr>
          <w:rStyle w:val="FootnoteReference"/>
        </w:rPr>
        <w:footnoteRef/>
      </w:r>
      <w:r>
        <w:t xml:space="preserve"> Hearing Services Program, </w:t>
      </w:r>
      <w:hyperlink r:id="rId12" w:anchor="shhh" w:history="1">
        <w:r w:rsidRPr="00D74A08">
          <w:rPr>
            <w:rStyle w:val="Hyperlink"/>
          </w:rPr>
          <w:t>Completed Research into Hearing Health projects</w:t>
        </w:r>
      </w:hyperlink>
      <w:r>
        <w:t>, accessed 6 November 2017.</w:t>
      </w:r>
    </w:p>
  </w:footnote>
  <w:footnote w:id="26">
    <w:p w14:paraId="68AEA03D" w14:textId="77777777" w:rsidR="00846AF4" w:rsidRDefault="00846AF4" w:rsidP="007D35BF">
      <w:pPr>
        <w:pStyle w:val="FootnoteText"/>
      </w:pPr>
      <w:r>
        <w:rPr>
          <w:rStyle w:val="FootnoteReference"/>
        </w:rPr>
        <w:footnoteRef/>
      </w:r>
      <w:r>
        <w:t xml:space="preserve"> National Centre for Farmer Health, </w:t>
      </w:r>
      <w:hyperlink r:id="rId13" w:history="1">
        <w:proofErr w:type="gramStart"/>
        <w:r w:rsidRPr="004E6F23">
          <w:rPr>
            <w:rStyle w:val="Hyperlink"/>
          </w:rPr>
          <w:t>About</w:t>
        </w:r>
        <w:proofErr w:type="gramEnd"/>
        <w:r w:rsidRPr="004E6F23">
          <w:rPr>
            <w:rStyle w:val="Hyperlink"/>
          </w:rPr>
          <w:t xml:space="preserve"> us</w:t>
        </w:r>
      </w:hyperlink>
      <w:r>
        <w:t>, accessed 6 November 2017.</w:t>
      </w:r>
    </w:p>
  </w:footnote>
  <w:footnote w:id="27">
    <w:p w14:paraId="68AEA03E" w14:textId="77777777" w:rsidR="00846AF4" w:rsidRDefault="00846AF4" w:rsidP="007D35BF">
      <w:pPr>
        <w:pStyle w:val="FootnoteText"/>
      </w:pPr>
      <w:r>
        <w:rPr>
          <w:rStyle w:val="FootnoteReference"/>
        </w:rPr>
        <w:footnoteRef/>
      </w:r>
      <w:r>
        <w:t xml:space="preserve"> National Auslan Interpreter Booking and Payment Service, </w:t>
      </w:r>
      <w:hyperlink r:id="rId14" w:history="1">
        <w:r w:rsidRPr="00AB5844">
          <w:rPr>
            <w:rStyle w:val="Hyperlink"/>
          </w:rPr>
          <w:t>About NABS</w:t>
        </w:r>
      </w:hyperlink>
      <w:r>
        <w:t>, accessed 7 November 2017.</w:t>
      </w:r>
    </w:p>
  </w:footnote>
  <w:footnote w:id="28">
    <w:p w14:paraId="68AEA03F" w14:textId="77777777" w:rsidR="00846AF4" w:rsidRDefault="00846AF4" w:rsidP="007D35BF">
      <w:pPr>
        <w:pStyle w:val="FootnoteText"/>
      </w:pPr>
      <w:r>
        <w:rPr>
          <w:rStyle w:val="FootnoteReference"/>
        </w:rPr>
        <w:footnoteRef/>
      </w:r>
      <w:r>
        <w:t xml:space="preserve"> National Relay Service, </w:t>
      </w:r>
      <w:hyperlink r:id="rId15" w:history="1">
        <w:proofErr w:type="gramStart"/>
        <w:r w:rsidRPr="00300519">
          <w:rPr>
            <w:rStyle w:val="Hyperlink"/>
          </w:rPr>
          <w:t>About</w:t>
        </w:r>
        <w:proofErr w:type="gramEnd"/>
        <w:r w:rsidRPr="00300519">
          <w:rPr>
            <w:rStyle w:val="Hyperlink"/>
          </w:rPr>
          <w:t xml:space="preserve"> the organisation</w:t>
        </w:r>
      </w:hyperlink>
      <w:r>
        <w:t>, accessed 9 November 2017.</w:t>
      </w:r>
    </w:p>
  </w:footnote>
  <w:footnote w:id="29">
    <w:p w14:paraId="68AEA040" w14:textId="77777777" w:rsidR="00846AF4" w:rsidRDefault="00846AF4" w:rsidP="007D35BF">
      <w:pPr>
        <w:pStyle w:val="FootnoteText"/>
      </w:pPr>
      <w:r>
        <w:rPr>
          <w:rStyle w:val="FootnoteReference"/>
        </w:rPr>
        <w:footnoteRef/>
      </w:r>
      <w:r>
        <w:t xml:space="preserve"> National Relay Service, </w:t>
      </w:r>
      <w:hyperlink r:id="rId16" w:history="1">
        <w:r w:rsidRPr="00866A8C">
          <w:rPr>
            <w:rStyle w:val="Hyperlink"/>
          </w:rPr>
          <w:t>Features of the service</w:t>
        </w:r>
      </w:hyperlink>
      <w:r>
        <w:t>, accessed 9 November 2017.</w:t>
      </w:r>
    </w:p>
  </w:footnote>
  <w:footnote w:id="30">
    <w:p w14:paraId="68AEA041" w14:textId="77777777" w:rsidR="00846AF4" w:rsidRDefault="00846AF4" w:rsidP="007D35BF">
      <w:pPr>
        <w:pStyle w:val="FootnoteText"/>
      </w:pPr>
      <w:r>
        <w:rPr>
          <w:rStyle w:val="FootnoteReference"/>
        </w:rPr>
        <w:footnoteRef/>
      </w:r>
      <w:r>
        <w:t xml:space="preserve"> Hearing Services Program, </w:t>
      </w:r>
      <w:hyperlink r:id="rId17" w:anchor="30Conflict" w:history="1">
        <w:r w:rsidRPr="00D56B4B">
          <w:rPr>
            <w:rStyle w:val="Hyperlink"/>
          </w:rPr>
          <w:t>Service Provider Contract 2015-2018, section 30</w:t>
        </w:r>
      </w:hyperlink>
      <w:r>
        <w:t>, accessed 10 November 2017.</w:t>
      </w:r>
    </w:p>
  </w:footnote>
  <w:footnote w:id="31">
    <w:p w14:paraId="68AEA042" w14:textId="77777777" w:rsidR="00846AF4" w:rsidRPr="00E564A3" w:rsidRDefault="00846AF4" w:rsidP="007D35BF">
      <w:pPr>
        <w:pStyle w:val="FootnoteText"/>
      </w:pPr>
      <w:r>
        <w:rPr>
          <w:rStyle w:val="FootnoteReference"/>
        </w:rPr>
        <w:footnoteRef/>
      </w:r>
      <w:r>
        <w:t xml:space="preserve"> </w:t>
      </w:r>
      <w:r w:rsidRPr="00E564A3">
        <w:t>Hearing Services Rules of Conduct 2012 - Explanatory Statement</w:t>
      </w:r>
      <w:r>
        <w:t>, page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192"/>
    <w:multiLevelType w:val="hybridMultilevel"/>
    <w:tmpl w:val="63FA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A76D8"/>
    <w:multiLevelType w:val="hybridMultilevel"/>
    <w:tmpl w:val="143E0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03A80"/>
    <w:multiLevelType w:val="hybridMultilevel"/>
    <w:tmpl w:val="26B4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22B3"/>
    <w:multiLevelType w:val="hybridMultilevel"/>
    <w:tmpl w:val="B2561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D5BAC"/>
    <w:multiLevelType w:val="hybridMultilevel"/>
    <w:tmpl w:val="45DEC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B54F8"/>
    <w:multiLevelType w:val="hybridMultilevel"/>
    <w:tmpl w:val="DD7A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46213"/>
    <w:multiLevelType w:val="hybridMultilevel"/>
    <w:tmpl w:val="846A6B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473004"/>
    <w:multiLevelType w:val="hybridMultilevel"/>
    <w:tmpl w:val="AC7E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16823"/>
    <w:multiLevelType w:val="hybridMultilevel"/>
    <w:tmpl w:val="96501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807BC"/>
    <w:multiLevelType w:val="hybridMultilevel"/>
    <w:tmpl w:val="B90213C6"/>
    <w:lvl w:ilvl="0" w:tplc="02B667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1F1718"/>
    <w:multiLevelType w:val="hybridMultilevel"/>
    <w:tmpl w:val="4DC4E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F7F30"/>
    <w:multiLevelType w:val="hybridMultilevel"/>
    <w:tmpl w:val="B420CA54"/>
    <w:lvl w:ilvl="0" w:tplc="7C1CB5B4">
      <w:start w:val="1"/>
      <w:numFmt w:val="decimal"/>
      <w:pStyle w:val="Para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343E50"/>
    <w:multiLevelType w:val="hybridMultilevel"/>
    <w:tmpl w:val="D11EFF10"/>
    <w:lvl w:ilvl="0" w:tplc="C9FED0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A05242"/>
    <w:multiLevelType w:val="hybridMultilevel"/>
    <w:tmpl w:val="D96CA634"/>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904071"/>
    <w:multiLevelType w:val="hybridMultilevel"/>
    <w:tmpl w:val="F85454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FA2E55"/>
    <w:multiLevelType w:val="hybridMultilevel"/>
    <w:tmpl w:val="D90E6DF6"/>
    <w:lvl w:ilvl="0" w:tplc="0E2C3124">
      <w:start w:val="1"/>
      <w:numFmt w:val="bullet"/>
      <w:lvlText w:val=""/>
      <w:lvlJc w:val="left"/>
      <w:pPr>
        <w:ind w:left="720" w:hanging="360"/>
      </w:pPr>
      <w:rPr>
        <w:rFonts w:ascii="Symbol" w:hAnsi="Symbol" w:hint="default"/>
      </w:rPr>
    </w:lvl>
    <w:lvl w:ilvl="1" w:tplc="B5EEDADC">
      <w:start w:val="1"/>
      <w:numFmt w:val="bullet"/>
      <w:lvlText w:val=""/>
      <w:lvlJc w:val="left"/>
      <w:pPr>
        <w:ind w:left="1440" w:hanging="360"/>
      </w:pPr>
      <w:rPr>
        <w:rFonts w:ascii="Symbol" w:hAnsi="Symbol" w:hint="default"/>
      </w:rPr>
    </w:lvl>
    <w:lvl w:ilvl="2" w:tplc="E3DABDC2" w:tentative="1">
      <w:start w:val="1"/>
      <w:numFmt w:val="lowerRoman"/>
      <w:lvlText w:val="%3."/>
      <w:lvlJc w:val="right"/>
      <w:pPr>
        <w:ind w:left="2160" w:hanging="180"/>
      </w:pPr>
    </w:lvl>
    <w:lvl w:ilvl="3" w:tplc="48B49CB0" w:tentative="1">
      <w:start w:val="1"/>
      <w:numFmt w:val="decimal"/>
      <w:lvlText w:val="%4."/>
      <w:lvlJc w:val="left"/>
      <w:pPr>
        <w:ind w:left="2880" w:hanging="360"/>
      </w:pPr>
    </w:lvl>
    <w:lvl w:ilvl="4" w:tplc="8F40EF2C" w:tentative="1">
      <w:start w:val="1"/>
      <w:numFmt w:val="lowerLetter"/>
      <w:lvlText w:val="%5."/>
      <w:lvlJc w:val="left"/>
      <w:pPr>
        <w:ind w:left="3600" w:hanging="360"/>
      </w:pPr>
    </w:lvl>
    <w:lvl w:ilvl="5" w:tplc="17D48A08" w:tentative="1">
      <w:start w:val="1"/>
      <w:numFmt w:val="lowerRoman"/>
      <w:lvlText w:val="%6."/>
      <w:lvlJc w:val="right"/>
      <w:pPr>
        <w:ind w:left="4320" w:hanging="180"/>
      </w:pPr>
    </w:lvl>
    <w:lvl w:ilvl="6" w:tplc="C7CC7398" w:tentative="1">
      <w:start w:val="1"/>
      <w:numFmt w:val="decimal"/>
      <w:lvlText w:val="%7."/>
      <w:lvlJc w:val="left"/>
      <w:pPr>
        <w:ind w:left="5040" w:hanging="360"/>
      </w:pPr>
    </w:lvl>
    <w:lvl w:ilvl="7" w:tplc="2BE43400" w:tentative="1">
      <w:start w:val="1"/>
      <w:numFmt w:val="lowerLetter"/>
      <w:lvlText w:val="%8."/>
      <w:lvlJc w:val="left"/>
      <w:pPr>
        <w:ind w:left="5760" w:hanging="360"/>
      </w:pPr>
    </w:lvl>
    <w:lvl w:ilvl="8" w:tplc="44084FB4" w:tentative="1">
      <w:start w:val="1"/>
      <w:numFmt w:val="lowerRoman"/>
      <w:lvlText w:val="%9."/>
      <w:lvlJc w:val="right"/>
      <w:pPr>
        <w:ind w:left="6480" w:hanging="180"/>
      </w:pPr>
    </w:lvl>
  </w:abstractNum>
  <w:abstractNum w:abstractNumId="16" w15:restartNumberingAfterBreak="0">
    <w:nsid w:val="229735CC"/>
    <w:multiLevelType w:val="hybridMultilevel"/>
    <w:tmpl w:val="1C0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435FD5"/>
    <w:multiLevelType w:val="hybridMultilevel"/>
    <w:tmpl w:val="9410A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4753FA"/>
    <w:multiLevelType w:val="hybridMultilevel"/>
    <w:tmpl w:val="B8DC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B1CE1"/>
    <w:multiLevelType w:val="hybridMultilevel"/>
    <w:tmpl w:val="73F624FE"/>
    <w:lvl w:ilvl="0" w:tplc="0C09000F">
      <w:start w:val="1"/>
      <w:numFmt w:val="decimal"/>
      <w:lvlText w:val="%1."/>
      <w:lvlJc w:val="left"/>
      <w:pPr>
        <w:ind w:left="360" w:hanging="360"/>
      </w:pPr>
      <w:rPr>
        <w:rFonts w:hint="default"/>
      </w:rPr>
    </w:lvl>
    <w:lvl w:ilvl="1" w:tplc="E15631E0">
      <w:start w:val="1"/>
      <w:numFmt w:val="bullet"/>
      <w:lvlText w:val="o"/>
      <w:lvlJc w:val="left"/>
      <w:pPr>
        <w:ind w:left="1080" w:hanging="360"/>
      </w:pPr>
      <w:rPr>
        <w:rFonts w:ascii="Courier New" w:hAnsi="Courier New" w:cs="Courier New" w:hint="default"/>
      </w:rPr>
    </w:lvl>
    <w:lvl w:ilvl="2" w:tplc="AFCCBA22">
      <w:numFmt w:val="bullet"/>
      <w:lvlText w:val="•"/>
      <w:lvlJc w:val="left"/>
      <w:pPr>
        <w:ind w:left="2010" w:hanging="570"/>
      </w:pPr>
      <w:rPr>
        <w:rFonts w:ascii="Times New Roman" w:eastAsia="Times New Roman" w:hAnsi="Times New Roman" w:cs="Times New Roman" w:hint="default"/>
      </w:rPr>
    </w:lvl>
    <w:lvl w:ilvl="3" w:tplc="3A5A07BA">
      <w:start w:val="1"/>
      <w:numFmt w:val="bullet"/>
      <w:lvlText w:val=""/>
      <w:lvlJc w:val="left"/>
      <w:pPr>
        <w:ind w:left="2520" w:hanging="360"/>
      </w:pPr>
      <w:rPr>
        <w:rFonts w:ascii="Symbol" w:hAnsi="Symbol" w:hint="default"/>
      </w:rPr>
    </w:lvl>
    <w:lvl w:ilvl="4" w:tplc="B9EAE138">
      <w:start w:val="1"/>
      <w:numFmt w:val="bullet"/>
      <w:lvlText w:val="o"/>
      <w:lvlJc w:val="left"/>
      <w:pPr>
        <w:ind w:left="3240" w:hanging="360"/>
      </w:pPr>
      <w:rPr>
        <w:rFonts w:ascii="Courier New" w:hAnsi="Courier New" w:cs="Courier New" w:hint="default"/>
      </w:rPr>
    </w:lvl>
    <w:lvl w:ilvl="5" w:tplc="D5D28756">
      <w:start w:val="1"/>
      <w:numFmt w:val="bullet"/>
      <w:lvlText w:val=""/>
      <w:lvlJc w:val="left"/>
      <w:pPr>
        <w:ind w:left="3960" w:hanging="360"/>
      </w:pPr>
      <w:rPr>
        <w:rFonts w:ascii="Wingdings" w:hAnsi="Wingdings" w:hint="default"/>
      </w:rPr>
    </w:lvl>
    <w:lvl w:ilvl="6" w:tplc="6E58A832">
      <w:start w:val="1"/>
      <w:numFmt w:val="bullet"/>
      <w:lvlText w:val=""/>
      <w:lvlJc w:val="left"/>
      <w:pPr>
        <w:ind w:left="4680" w:hanging="360"/>
      </w:pPr>
      <w:rPr>
        <w:rFonts w:ascii="Symbol" w:hAnsi="Symbol" w:hint="default"/>
      </w:rPr>
    </w:lvl>
    <w:lvl w:ilvl="7" w:tplc="0ABAC136">
      <w:start w:val="1"/>
      <w:numFmt w:val="bullet"/>
      <w:lvlText w:val="o"/>
      <w:lvlJc w:val="left"/>
      <w:pPr>
        <w:ind w:left="5400" w:hanging="360"/>
      </w:pPr>
      <w:rPr>
        <w:rFonts w:ascii="Courier New" w:hAnsi="Courier New" w:cs="Courier New" w:hint="default"/>
      </w:rPr>
    </w:lvl>
    <w:lvl w:ilvl="8" w:tplc="EF38D276">
      <w:start w:val="1"/>
      <w:numFmt w:val="bullet"/>
      <w:lvlText w:val=""/>
      <w:lvlJc w:val="left"/>
      <w:pPr>
        <w:ind w:left="6120" w:hanging="360"/>
      </w:pPr>
      <w:rPr>
        <w:rFonts w:ascii="Wingdings" w:hAnsi="Wingdings" w:hint="default"/>
      </w:rPr>
    </w:lvl>
  </w:abstractNum>
  <w:abstractNum w:abstractNumId="20" w15:restartNumberingAfterBreak="0">
    <w:nsid w:val="2D5D0DF9"/>
    <w:multiLevelType w:val="hybridMultilevel"/>
    <w:tmpl w:val="87BA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CB2A7B"/>
    <w:multiLevelType w:val="hybridMultilevel"/>
    <w:tmpl w:val="E18C7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1B75AE"/>
    <w:multiLevelType w:val="hybridMultilevel"/>
    <w:tmpl w:val="B9CA1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13555"/>
    <w:multiLevelType w:val="hybridMultilevel"/>
    <w:tmpl w:val="78C6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366453"/>
    <w:multiLevelType w:val="hybridMultilevel"/>
    <w:tmpl w:val="1BEEB9BA"/>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5" w15:restartNumberingAfterBreak="0">
    <w:nsid w:val="39BE5AC9"/>
    <w:multiLevelType w:val="hybridMultilevel"/>
    <w:tmpl w:val="566C0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56168D"/>
    <w:multiLevelType w:val="hybridMultilevel"/>
    <w:tmpl w:val="3C1A2B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FBD6B58"/>
    <w:multiLevelType w:val="hybridMultilevel"/>
    <w:tmpl w:val="A8E2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D190E"/>
    <w:multiLevelType w:val="hybridMultilevel"/>
    <w:tmpl w:val="B6AC8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0807C4"/>
    <w:multiLevelType w:val="hybridMultilevel"/>
    <w:tmpl w:val="2C703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713E86"/>
    <w:multiLevelType w:val="multilevel"/>
    <w:tmpl w:val="B04E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72641A"/>
    <w:multiLevelType w:val="hybridMultilevel"/>
    <w:tmpl w:val="F50E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CA2429"/>
    <w:multiLevelType w:val="hybridMultilevel"/>
    <w:tmpl w:val="EF3E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817FEA"/>
    <w:multiLevelType w:val="hybridMultilevel"/>
    <w:tmpl w:val="F67CA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9E342C"/>
    <w:multiLevelType w:val="hybridMultilevel"/>
    <w:tmpl w:val="86969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0B0142"/>
    <w:multiLevelType w:val="hybridMultilevel"/>
    <w:tmpl w:val="E5FC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7E25E8"/>
    <w:multiLevelType w:val="multilevel"/>
    <w:tmpl w:val="ECE22DB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544716"/>
    <w:multiLevelType w:val="hybridMultilevel"/>
    <w:tmpl w:val="AECEB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8E6542"/>
    <w:multiLevelType w:val="hybridMultilevel"/>
    <w:tmpl w:val="D7EC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957FDA"/>
    <w:multiLevelType w:val="hybridMultilevel"/>
    <w:tmpl w:val="4B406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E60D49"/>
    <w:multiLevelType w:val="hybridMultilevel"/>
    <w:tmpl w:val="73783A88"/>
    <w:lvl w:ilvl="0" w:tplc="9CF4DABC">
      <w:start w:val="1"/>
      <w:numFmt w:val="bullet"/>
      <w:pStyle w:val="para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A837A1"/>
    <w:multiLevelType w:val="hybridMultilevel"/>
    <w:tmpl w:val="A030B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941558"/>
    <w:multiLevelType w:val="hybridMultilevel"/>
    <w:tmpl w:val="2E68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254B86"/>
    <w:multiLevelType w:val="hybridMultilevel"/>
    <w:tmpl w:val="5100D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F92961"/>
    <w:multiLevelType w:val="hybridMultilevel"/>
    <w:tmpl w:val="3074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68C7725"/>
    <w:multiLevelType w:val="hybridMultilevel"/>
    <w:tmpl w:val="14DE052E"/>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6" w15:restartNumberingAfterBreak="0">
    <w:nsid w:val="57580C7C"/>
    <w:multiLevelType w:val="hybridMultilevel"/>
    <w:tmpl w:val="6624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AE53B0"/>
    <w:multiLevelType w:val="hybridMultilevel"/>
    <w:tmpl w:val="9A16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C42AAF"/>
    <w:multiLevelType w:val="hybridMultilevel"/>
    <w:tmpl w:val="54FC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355DAC"/>
    <w:multiLevelType w:val="hybridMultilevel"/>
    <w:tmpl w:val="A2D07E02"/>
    <w:lvl w:ilvl="0" w:tplc="E83E1A70">
      <w:start w:val="1"/>
      <w:numFmt w:val="lowerRoman"/>
      <w:pStyle w:val="paralist3"/>
      <w:lvlText w:val="%1."/>
      <w:lvlJc w:val="right"/>
      <w:pPr>
        <w:ind w:left="720" w:hanging="360"/>
      </w:pPr>
    </w:lvl>
    <w:lvl w:ilvl="1" w:tplc="9B185634">
      <w:start w:val="1"/>
      <w:numFmt w:val="lowerLetter"/>
      <w:pStyle w:val="paralist4"/>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5913F62"/>
    <w:multiLevelType w:val="hybridMultilevel"/>
    <w:tmpl w:val="A164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5F1293"/>
    <w:multiLevelType w:val="hybridMultilevel"/>
    <w:tmpl w:val="8AE29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B465E7"/>
    <w:multiLevelType w:val="hybridMultilevel"/>
    <w:tmpl w:val="42BA4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DF2156"/>
    <w:multiLevelType w:val="hybridMultilevel"/>
    <w:tmpl w:val="43CC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90244A"/>
    <w:multiLevelType w:val="hybridMultilevel"/>
    <w:tmpl w:val="0DDC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6922C4"/>
    <w:multiLevelType w:val="hybridMultilevel"/>
    <w:tmpl w:val="03BC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970ED4"/>
    <w:multiLevelType w:val="hybridMultilevel"/>
    <w:tmpl w:val="41781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B229DB"/>
    <w:multiLevelType w:val="hybridMultilevel"/>
    <w:tmpl w:val="C2A6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3"/>
  </w:num>
  <w:num w:numId="3">
    <w:abstractNumId w:val="33"/>
  </w:num>
  <w:num w:numId="4">
    <w:abstractNumId w:val="56"/>
  </w:num>
  <w:num w:numId="5">
    <w:abstractNumId w:val="52"/>
  </w:num>
  <w:num w:numId="6">
    <w:abstractNumId w:val="10"/>
  </w:num>
  <w:num w:numId="7">
    <w:abstractNumId w:val="44"/>
  </w:num>
  <w:num w:numId="8">
    <w:abstractNumId w:val="46"/>
  </w:num>
  <w:num w:numId="9">
    <w:abstractNumId w:val="30"/>
  </w:num>
  <w:num w:numId="10">
    <w:abstractNumId w:val="15"/>
  </w:num>
  <w:num w:numId="11">
    <w:abstractNumId w:val="40"/>
  </w:num>
  <w:num w:numId="12">
    <w:abstractNumId w:val="17"/>
  </w:num>
  <w:num w:numId="13">
    <w:abstractNumId w:val="57"/>
  </w:num>
  <w:num w:numId="14">
    <w:abstractNumId w:val="55"/>
  </w:num>
  <w:num w:numId="15">
    <w:abstractNumId w:val="42"/>
  </w:num>
  <w:num w:numId="16">
    <w:abstractNumId w:val="5"/>
  </w:num>
  <w:num w:numId="17">
    <w:abstractNumId w:val="35"/>
  </w:num>
  <w:num w:numId="18">
    <w:abstractNumId w:val="54"/>
  </w:num>
  <w:num w:numId="19">
    <w:abstractNumId w:val="8"/>
  </w:num>
  <w:num w:numId="20">
    <w:abstractNumId w:val="22"/>
  </w:num>
  <w:num w:numId="21">
    <w:abstractNumId w:val="38"/>
  </w:num>
  <w:num w:numId="22">
    <w:abstractNumId w:val="4"/>
  </w:num>
  <w:num w:numId="23">
    <w:abstractNumId w:val="7"/>
  </w:num>
  <w:num w:numId="24">
    <w:abstractNumId w:val="31"/>
  </w:num>
  <w:num w:numId="25">
    <w:abstractNumId w:val="3"/>
  </w:num>
  <w:num w:numId="26">
    <w:abstractNumId w:val="51"/>
  </w:num>
  <w:num w:numId="27">
    <w:abstractNumId w:val="37"/>
  </w:num>
  <w:num w:numId="28">
    <w:abstractNumId w:val="0"/>
  </w:num>
  <w:num w:numId="29">
    <w:abstractNumId w:val="34"/>
  </w:num>
  <w:num w:numId="30">
    <w:abstractNumId w:val="20"/>
  </w:num>
  <w:num w:numId="31">
    <w:abstractNumId w:val="47"/>
  </w:num>
  <w:num w:numId="32">
    <w:abstractNumId w:val="29"/>
  </w:num>
  <w:num w:numId="33">
    <w:abstractNumId w:val="43"/>
  </w:num>
  <w:num w:numId="34">
    <w:abstractNumId w:val="48"/>
  </w:num>
  <w:num w:numId="35">
    <w:abstractNumId w:val="2"/>
  </w:num>
  <w:num w:numId="36">
    <w:abstractNumId w:val="50"/>
  </w:num>
  <w:num w:numId="37">
    <w:abstractNumId w:val="25"/>
  </w:num>
  <w:num w:numId="38">
    <w:abstractNumId w:val="28"/>
  </w:num>
  <w:num w:numId="39">
    <w:abstractNumId w:val="27"/>
  </w:num>
  <w:num w:numId="40">
    <w:abstractNumId w:val="18"/>
  </w:num>
  <w:num w:numId="41">
    <w:abstractNumId w:val="39"/>
  </w:num>
  <w:num w:numId="42">
    <w:abstractNumId w:val="32"/>
  </w:num>
  <w:num w:numId="43">
    <w:abstractNumId w:val="23"/>
  </w:num>
  <w:num w:numId="44">
    <w:abstractNumId w:val="11"/>
  </w:num>
  <w:num w:numId="45">
    <w:abstractNumId w:val="49"/>
  </w:num>
  <w:num w:numId="46">
    <w:abstractNumId w:val="45"/>
  </w:num>
  <w:num w:numId="47">
    <w:abstractNumId w:val="26"/>
  </w:num>
  <w:num w:numId="48">
    <w:abstractNumId w:val="6"/>
  </w:num>
  <w:num w:numId="49">
    <w:abstractNumId w:val="36"/>
  </w:num>
  <w:num w:numId="50">
    <w:abstractNumId w:val="12"/>
  </w:num>
  <w:num w:numId="51">
    <w:abstractNumId w:val="24"/>
  </w:num>
  <w:num w:numId="52">
    <w:abstractNumId w:val="19"/>
  </w:num>
  <w:num w:numId="53">
    <w:abstractNumId w:val="19"/>
  </w:num>
  <w:num w:numId="54">
    <w:abstractNumId w:val="1"/>
  </w:num>
  <w:num w:numId="55">
    <w:abstractNumId w:val="41"/>
  </w:num>
  <w:num w:numId="56">
    <w:abstractNumId w:val="21"/>
  </w:num>
  <w:num w:numId="57">
    <w:abstractNumId w:val="13"/>
  </w:num>
  <w:num w:numId="58">
    <w:abstractNumId w:val="9"/>
  </w:num>
  <w:num w:numId="59">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EE"/>
    <w:rsid w:val="0000003B"/>
    <w:rsid w:val="00003743"/>
    <w:rsid w:val="00004788"/>
    <w:rsid w:val="000049DD"/>
    <w:rsid w:val="00006E2E"/>
    <w:rsid w:val="0001179A"/>
    <w:rsid w:val="00014BF7"/>
    <w:rsid w:val="00014FCA"/>
    <w:rsid w:val="00022350"/>
    <w:rsid w:val="00023493"/>
    <w:rsid w:val="00030E93"/>
    <w:rsid w:val="00030F3A"/>
    <w:rsid w:val="00031B7A"/>
    <w:rsid w:val="00034314"/>
    <w:rsid w:val="0004021D"/>
    <w:rsid w:val="0004208B"/>
    <w:rsid w:val="00043F77"/>
    <w:rsid w:val="00045D13"/>
    <w:rsid w:val="0004668D"/>
    <w:rsid w:val="000513BA"/>
    <w:rsid w:val="00060A77"/>
    <w:rsid w:val="00062110"/>
    <w:rsid w:val="0006330F"/>
    <w:rsid w:val="00067456"/>
    <w:rsid w:val="000703BD"/>
    <w:rsid w:val="000705E3"/>
    <w:rsid w:val="00072A85"/>
    <w:rsid w:val="000742AA"/>
    <w:rsid w:val="00075DBF"/>
    <w:rsid w:val="00075DC0"/>
    <w:rsid w:val="000776C7"/>
    <w:rsid w:val="00081DF5"/>
    <w:rsid w:val="0008685A"/>
    <w:rsid w:val="00086CB2"/>
    <w:rsid w:val="0008720C"/>
    <w:rsid w:val="00087DE4"/>
    <w:rsid w:val="0009038E"/>
    <w:rsid w:val="00096DA7"/>
    <w:rsid w:val="000A68BE"/>
    <w:rsid w:val="000B32C0"/>
    <w:rsid w:val="000B4029"/>
    <w:rsid w:val="000C2A50"/>
    <w:rsid w:val="000D1EC3"/>
    <w:rsid w:val="000D22F8"/>
    <w:rsid w:val="000D4DE2"/>
    <w:rsid w:val="000D6F7C"/>
    <w:rsid w:val="000E121C"/>
    <w:rsid w:val="000E3427"/>
    <w:rsid w:val="000F670D"/>
    <w:rsid w:val="00100AF5"/>
    <w:rsid w:val="00101EC8"/>
    <w:rsid w:val="0010205A"/>
    <w:rsid w:val="00107B19"/>
    <w:rsid w:val="00110EB0"/>
    <w:rsid w:val="00125C51"/>
    <w:rsid w:val="00135DCA"/>
    <w:rsid w:val="001371D3"/>
    <w:rsid w:val="001378FE"/>
    <w:rsid w:val="001401A5"/>
    <w:rsid w:val="00142235"/>
    <w:rsid w:val="001507D7"/>
    <w:rsid w:val="00154A11"/>
    <w:rsid w:val="0016018E"/>
    <w:rsid w:val="0016311E"/>
    <w:rsid w:val="00167ABE"/>
    <w:rsid w:val="00171A8F"/>
    <w:rsid w:val="00171C05"/>
    <w:rsid w:val="001767F6"/>
    <w:rsid w:val="001802F2"/>
    <w:rsid w:val="00183C8C"/>
    <w:rsid w:val="00184788"/>
    <w:rsid w:val="001852E7"/>
    <w:rsid w:val="00187CE0"/>
    <w:rsid w:val="00196616"/>
    <w:rsid w:val="00196733"/>
    <w:rsid w:val="001A1149"/>
    <w:rsid w:val="001A1345"/>
    <w:rsid w:val="001B2DA5"/>
    <w:rsid w:val="001B3198"/>
    <w:rsid w:val="001B3443"/>
    <w:rsid w:val="001C12B9"/>
    <w:rsid w:val="001C392C"/>
    <w:rsid w:val="001C52D9"/>
    <w:rsid w:val="001C597D"/>
    <w:rsid w:val="001D31C9"/>
    <w:rsid w:val="001D6C50"/>
    <w:rsid w:val="001E1C7E"/>
    <w:rsid w:val="001F36D0"/>
    <w:rsid w:val="001F3792"/>
    <w:rsid w:val="001F53B1"/>
    <w:rsid w:val="002152D1"/>
    <w:rsid w:val="00217465"/>
    <w:rsid w:val="00217FF7"/>
    <w:rsid w:val="00224529"/>
    <w:rsid w:val="002247FE"/>
    <w:rsid w:val="00225C40"/>
    <w:rsid w:val="00225D34"/>
    <w:rsid w:val="00231A29"/>
    <w:rsid w:val="0023348C"/>
    <w:rsid w:val="00233ECF"/>
    <w:rsid w:val="002343AE"/>
    <w:rsid w:val="00240085"/>
    <w:rsid w:val="002411B3"/>
    <w:rsid w:val="00241468"/>
    <w:rsid w:val="002418F3"/>
    <w:rsid w:val="002432CF"/>
    <w:rsid w:val="00244395"/>
    <w:rsid w:val="00247547"/>
    <w:rsid w:val="00250627"/>
    <w:rsid w:val="00251C40"/>
    <w:rsid w:val="00251F78"/>
    <w:rsid w:val="002521FE"/>
    <w:rsid w:val="00253F12"/>
    <w:rsid w:val="00255C7D"/>
    <w:rsid w:val="0025720C"/>
    <w:rsid w:val="00257E4E"/>
    <w:rsid w:val="00261710"/>
    <w:rsid w:val="00265B96"/>
    <w:rsid w:val="00265CDF"/>
    <w:rsid w:val="00271A60"/>
    <w:rsid w:val="00272FA9"/>
    <w:rsid w:val="00284D9B"/>
    <w:rsid w:val="00284EE1"/>
    <w:rsid w:val="002862CC"/>
    <w:rsid w:val="0028744D"/>
    <w:rsid w:val="0028781E"/>
    <w:rsid w:val="00287C16"/>
    <w:rsid w:val="00291659"/>
    <w:rsid w:val="00292029"/>
    <w:rsid w:val="002920F2"/>
    <w:rsid w:val="00292394"/>
    <w:rsid w:val="00295163"/>
    <w:rsid w:val="00296799"/>
    <w:rsid w:val="002A3196"/>
    <w:rsid w:val="002A3398"/>
    <w:rsid w:val="002A473A"/>
    <w:rsid w:val="002A5A36"/>
    <w:rsid w:val="002A60F2"/>
    <w:rsid w:val="002B0507"/>
    <w:rsid w:val="002B1AF5"/>
    <w:rsid w:val="002B2419"/>
    <w:rsid w:val="002B2CB0"/>
    <w:rsid w:val="002B3F73"/>
    <w:rsid w:val="002B7105"/>
    <w:rsid w:val="002C79A4"/>
    <w:rsid w:val="002D155A"/>
    <w:rsid w:val="002D3B79"/>
    <w:rsid w:val="002D3C78"/>
    <w:rsid w:val="002D405C"/>
    <w:rsid w:val="002E084C"/>
    <w:rsid w:val="002E2129"/>
    <w:rsid w:val="002E6FEE"/>
    <w:rsid w:val="002F0EA8"/>
    <w:rsid w:val="002F295F"/>
    <w:rsid w:val="002F3AE3"/>
    <w:rsid w:val="002F60FC"/>
    <w:rsid w:val="002F68FE"/>
    <w:rsid w:val="00300519"/>
    <w:rsid w:val="0030067B"/>
    <w:rsid w:val="003016C9"/>
    <w:rsid w:val="00302B32"/>
    <w:rsid w:val="003031D0"/>
    <w:rsid w:val="0030371B"/>
    <w:rsid w:val="003051B6"/>
    <w:rsid w:val="0030786C"/>
    <w:rsid w:val="00310DC7"/>
    <w:rsid w:val="00311641"/>
    <w:rsid w:val="003129B9"/>
    <w:rsid w:val="003156B7"/>
    <w:rsid w:val="0032495F"/>
    <w:rsid w:val="00325933"/>
    <w:rsid w:val="00332971"/>
    <w:rsid w:val="00332CF0"/>
    <w:rsid w:val="00334BDB"/>
    <w:rsid w:val="00335FF9"/>
    <w:rsid w:val="00336597"/>
    <w:rsid w:val="0033695C"/>
    <w:rsid w:val="00336DE1"/>
    <w:rsid w:val="00340BA1"/>
    <w:rsid w:val="00342340"/>
    <w:rsid w:val="00345BE6"/>
    <w:rsid w:val="00351AA9"/>
    <w:rsid w:val="003529DD"/>
    <w:rsid w:val="00365015"/>
    <w:rsid w:val="0036676C"/>
    <w:rsid w:val="00367552"/>
    <w:rsid w:val="0037551A"/>
    <w:rsid w:val="00375572"/>
    <w:rsid w:val="00380439"/>
    <w:rsid w:val="00380950"/>
    <w:rsid w:val="003864F7"/>
    <w:rsid w:val="003915E5"/>
    <w:rsid w:val="00395CC2"/>
    <w:rsid w:val="00397235"/>
    <w:rsid w:val="003A178C"/>
    <w:rsid w:val="003A2C52"/>
    <w:rsid w:val="003A4D01"/>
    <w:rsid w:val="003A6E36"/>
    <w:rsid w:val="003B347E"/>
    <w:rsid w:val="003B76F8"/>
    <w:rsid w:val="003C12D0"/>
    <w:rsid w:val="003C162C"/>
    <w:rsid w:val="003C33B5"/>
    <w:rsid w:val="003C4741"/>
    <w:rsid w:val="003C5757"/>
    <w:rsid w:val="003D0CF0"/>
    <w:rsid w:val="003D17F9"/>
    <w:rsid w:val="003D22D6"/>
    <w:rsid w:val="003E2BE8"/>
    <w:rsid w:val="003E3080"/>
    <w:rsid w:val="003F1240"/>
    <w:rsid w:val="003F74CD"/>
    <w:rsid w:val="004047BD"/>
    <w:rsid w:val="00404D31"/>
    <w:rsid w:val="004133BF"/>
    <w:rsid w:val="00414E29"/>
    <w:rsid w:val="00422482"/>
    <w:rsid w:val="00436668"/>
    <w:rsid w:val="00436861"/>
    <w:rsid w:val="00440EDC"/>
    <w:rsid w:val="004424D0"/>
    <w:rsid w:val="0044721F"/>
    <w:rsid w:val="004472FC"/>
    <w:rsid w:val="0045362F"/>
    <w:rsid w:val="0045677C"/>
    <w:rsid w:val="004574F9"/>
    <w:rsid w:val="00460CB2"/>
    <w:rsid w:val="00471509"/>
    <w:rsid w:val="004725AE"/>
    <w:rsid w:val="00473A99"/>
    <w:rsid w:val="00474637"/>
    <w:rsid w:val="0047754E"/>
    <w:rsid w:val="00480A82"/>
    <w:rsid w:val="004867E2"/>
    <w:rsid w:val="0048762E"/>
    <w:rsid w:val="00487CFA"/>
    <w:rsid w:val="004970AB"/>
    <w:rsid w:val="00497DBC"/>
    <w:rsid w:val="004A214C"/>
    <w:rsid w:val="004A5BBC"/>
    <w:rsid w:val="004B2DA4"/>
    <w:rsid w:val="004B54CB"/>
    <w:rsid w:val="004C0922"/>
    <w:rsid w:val="004C0A48"/>
    <w:rsid w:val="004C1C03"/>
    <w:rsid w:val="004C285E"/>
    <w:rsid w:val="004C285F"/>
    <w:rsid w:val="004C4F8E"/>
    <w:rsid w:val="004C7EEC"/>
    <w:rsid w:val="004D0962"/>
    <w:rsid w:val="004D23EB"/>
    <w:rsid w:val="004D2DAC"/>
    <w:rsid w:val="004D3D6C"/>
    <w:rsid w:val="004D4DC8"/>
    <w:rsid w:val="004D59B0"/>
    <w:rsid w:val="004D5B3A"/>
    <w:rsid w:val="004E177B"/>
    <w:rsid w:val="004E6F23"/>
    <w:rsid w:val="004F11B9"/>
    <w:rsid w:val="004F19C3"/>
    <w:rsid w:val="004F3CAD"/>
    <w:rsid w:val="004F4BFE"/>
    <w:rsid w:val="00504DD4"/>
    <w:rsid w:val="00520401"/>
    <w:rsid w:val="00522EF1"/>
    <w:rsid w:val="00525C26"/>
    <w:rsid w:val="00526D95"/>
    <w:rsid w:val="005326E5"/>
    <w:rsid w:val="00534464"/>
    <w:rsid w:val="00536872"/>
    <w:rsid w:val="00541DFD"/>
    <w:rsid w:val="0055025D"/>
    <w:rsid w:val="00550762"/>
    <w:rsid w:val="0055752A"/>
    <w:rsid w:val="00557E59"/>
    <w:rsid w:val="005654AD"/>
    <w:rsid w:val="00570B59"/>
    <w:rsid w:val="00573653"/>
    <w:rsid w:val="0057612F"/>
    <w:rsid w:val="00582017"/>
    <w:rsid w:val="0058338F"/>
    <w:rsid w:val="00587C88"/>
    <w:rsid w:val="00587DF4"/>
    <w:rsid w:val="005971B0"/>
    <w:rsid w:val="005A0940"/>
    <w:rsid w:val="005A3FD9"/>
    <w:rsid w:val="005A71CD"/>
    <w:rsid w:val="005A72A2"/>
    <w:rsid w:val="005B45AD"/>
    <w:rsid w:val="005B7138"/>
    <w:rsid w:val="005B7CCF"/>
    <w:rsid w:val="005C09B9"/>
    <w:rsid w:val="005C2446"/>
    <w:rsid w:val="005C5CB6"/>
    <w:rsid w:val="005D01B8"/>
    <w:rsid w:val="005D0F13"/>
    <w:rsid w:val="005D182A"/>
    <w:rsid w:val="005D1BE3"/>
    <w:rsid w:val="005D55D8"/>
    <w:rsid w:val="005E4724"/>
    <w:rsid w:val="00601AA7"/>
    <w:rsid w:val="006032E5"/>
    <w:rsid w:val="00611888"/>
    <w:rsid w:val="00612B35"/>
    <w:rsid w:val="006157CF"/>
    <w:rsid w:val="00615D4E"/>
    <w:rsid w:val="0061756C"/>
    <w:rsid w:val="00623989"/>
    <w:rsid w:val="00625B8A"/>
    <w:rsid w:val="00625C0F"/>
    <w:rsid w:val="006309C7"/>
    <w:rsid w:val="00630E41"/>
    <w:rsid w:val="0063208E"/>
    <w:rsid w:val="0064160B"/>
    <w:rsid w:val="00641B19"/>
    <w:rsid w:val="006452CA"/>
    <w:rsid w:val="00645542"/>
    <w:rsid w:val="006520E1"/>
    <w:rsid w:val="006539EC"/>
    <w:rsid w:val="0066116E"/>
    <w:rsid w:val="0066175B"/>
    <w:rsid w:val="006623D0"/>
    <w:rsid w:val="00672C1C"/>
    <w:rsid w:val="00674539"/>
    <w:rsid w:val="00677596"/>
    <w:rsid w:val="00680F54"/>
    <w:rsid w:val="00681AB4"/>
    <w:rsid w:val="00684E91"/>
    <w:rsid w:val="00685CC1"/>
    <w:rsid w:val="00691CD7"/>
    <w:rsid w:val="00692249"/>
    <w:rsid w:val="00692A0D"/>
    <w:rsid w:val="00697D5C"/>
    <w:rsid w:val="006A75B4"/>
    <w:rsid w:val="006B0B55"/>
    <w:rsid w:val="006B2BB2"/>
    <w:rsid w:val="006B39A9"/>
    <w:rsid w:val="006C47A3"/>
    <w:rsid w:val="006C5FFF"/>
    <w:rsid w:val="006C6258"/>
    <w:rsid w:val="006D0A05"/>
    <w:rsid w:val="006D59A9"/>
    <w:rsid w:val="006D6DB7"/>
    <w:rsid w:val="006E42D8"/>
    <w:rsid w:val="006E5388"/>
    <w:rsid w:val="006F4191"/>
    <w:rsid w:val="006F463C"/>
    <w:rsid w:val="006F5AF3"/>
    <w:rsid w:val="006F7E8E"/>
    <w:rsid w:val="00706C08"/>
    <w:rsid w:val="007072F1"/>
    <w:rsid w:val="00711421"/>
    <w:rsid w:val="00711F10"/>
    <w:rsid w:val="007133D4"/>
    <w:rsid w:val="0071353A"/>
    <w:rsid w:val="00721C5C"/>
    <w:rsid w:val="00724372"/>
    <w:rsid w:val="007253F0"/>
    <w:rsid w:val="00727DB9"/>
    <w:rsid w:val="00727DE2"/>
    <w:rsid w:val="00731117"/>
    <w:rsid w:val="007317F1"/>
    <w:rsid w:val="00732357"/>
    <w:rsid w:val="00735015"/>
    <w:rsid w:val="00736A2B"/>
    <w:rsid w:val="00736A68"/>
    <w:rsid w:val="00737636"/>
    <w:rsid w:val="00740BE2"/>
    <w:rsid w:val="00742713"/>
    <w:rsid w:val="0074290F"/>
    <w:rsid w:val="00742B82"/>
    <w:rsid w:val="0074451A"/>
    <w:rsid w:val="0074642F"/>
    <w:rsid w:val="00746984"/>
    <w:rsid w:val="00751B95"/>
    <w:rsid w:val="00764216"/>
    <w:rsid w:val="00766242"/>
    <w:rsid w:val="0076645C"/>
    <w:rsid w:val="007770BD"/>
    <w:rsid w:val="00777203"/>
    <w:rsid w:val="0078674C"/>
    <w:rsid w:val="007976CA"/>
    <w:rsid w:val="007A60B0"/>
    <w:rsid w:val="007B0A3A"/>
    <w:rsid w:val="007B4487"/>
    <w:rsid w:val="007B6E75"/>
    <w:rsid w:val="007C349C"/>
    <w:rsid w:val="007C4D40"/>
    <w:rsid w:val="007D046F"/>
    <w:rsid w:val="007D35BF"/>
    <w:rsid w:val="007D5B4B"/>
    <w:rsid w:val="007D6D53"/>
    <w:rsid w:val="007E1568"/>
    <w:rsid w:val="007E18AD"/>
    <w:rsid w:val="007E41C2"/>
    <w:rsid w:val="007E5315"/>
    <w:rsid w:val="007E579C"/>
    <w:rsid w:val="007E79EC"/>
    <w:rsid w:val="007F4613"/>
    <w:rsid w:val="007F5C0F"/>
    <w:rsid w:val="007F7313"/>
    <w:rsid w:val="008041E6"/>
    <w:rsid w:val="00804C03"/>
    <w:rsid w:val="00807301"/>
    <w:rsid w:val="00820E0D"/>
    <w:rsid w:val="008261EE"/>
    <w:rsid w:val="008264EB"/>
    <w:rsid w:val="008301E9"/>
    <w:rsid w:val="00830551"/>
    <w:rsid w:val="008345B6"/>
    <w:rsid w:val="00836E2B"/>
    <w:rsid w:val="00837A4A"/>
    <w:rsid w:val="0084198F"/>
    <w:rsid w:val="008431FD"/>
    <w:rsid w:val="008435E8"/>
    <w:rsid w:val="00843C8C"/>
    <w:rsid w:val="00846AF4"/>
    <w:rsid w:val="00851B04"/>
    <w:rsid w:val="0085577A"/>
    <w:rsid w:val="00856212"/>
    <w:rsid w:val="00861192"/>
    <w:rsid w:val="00863943"/>
    <w:rsid w:val="008652C1"/>
    <w:rsid w:val="00866A8C"/>
    <w:rsid w:val="00871165"/>
    <w:rsid w:val="0087369C"/>
    <w:rsid w:val="00884CC1"/>
    <w:rsid w:val="0088669D"/>
    <w:rsid w:val="008A1210"/>
    <w:rsid w:val="008B377D"/>
    <w:rsid w:val="008B691A"/>
    <w:rsid w:val="008C0427"/>
    <w:rsid w:val="008C0913"/>
    <w:rsid w:val="008D39F6"/>
    <w:rsid w:val="008D3D52"/>
    <w:rsid w:val="008D7C0C"/>
    <w:rsid w:val="008E22DE"/>
    <w:rsid w:val="008E3AE7"/>
    <w:rsid w:val="008E50F6"/>
    <w:rsid w:val="008F403F"/>
    <w:rsid w:val="008F4186"/>
    <w:rsid w:val="00903867"/>
    <w:rsid w:val="00906052"/>
    <w:rsid w:val="00906679"/>
    <w:rsid w:val="00906A36"/>
    <w:rsid w:val="00910F59"/>
    <w:rsid w:val="00913E7B"/>
    <w:rsid w:val="009142E5"/>
    <w:rsid w:val="00933F0F"/>
    <w:rsid w:val="00940111"/>
    <w:rsid w:val="00945F20"/>
    <w:rsid w:val="00950899"/>
    <w:rsid w:val="00956488"/>
    <w:rsid w:val="009601E5"/>
    <w:rsid w:val="00960CFB"/>
    <w:rsid w:val="00961B19"/>
    <w:rsid w:val="00963A6B"/>
    <w:rsid w:val="0097215F"/>
    <w:rsid w:val="00975AD8"/>
    <w:rsid w:val="0098214F"/>
    <w:rsid w:val="0098274A"/>
    <w:rsid w:val="00982FAD"/>
    <w:rsid w:val="00986830"/>
    <w:rsid w:val="00991D3B"/>
    <w:rsid w:val="00992403"/>
    <w:rsid w:val="009930D0"/>
    <w:rsid w:val="009A02BA"/>
    <w:rsid w:val="009A256D"/>
    <w:rsid w:val="009A4316"/>
    <w:rsid w:val="009A7122"/>
    <w:rsid w:val="009B1A4C"/>
    <w:rsid w:val="009B2DC5"/>
    <w:rsid w:val="009B4050"/>
    <w:rsid w:val="009B7B54"/>
    <w:rsid w:val="009B7F89"/>
    <w:rsid w:val="009C0D97"/>
    <w:rsid w:val="009C2373"/>
    <w:rsid w:val="009C498D"/>
    <w:rsid w:val="009D7E28"/>
    <w:rsid w:val="009E063D"/>
    <w:rsid w:val="009E1D88"/>
    <w:rsid w:val="009E566A"/>
    <w:rsid w:val="009E75CF"/>
    <w:rsid w:val="009F0817"/>
    <w:rsid w:val="009F758B"/>
    <w:rsid w:val="009F7757"/>
    <w:rsid w:val="00A064F2"/>
    <w:rsid w:val="00A06663"/>
    <w:rsid w:val="00A1343E"/>
    <w:rsid w:val="00A1464B"/>
    <w:rsid w:val="00A220AD"/>
    <w:rsid w:val="00A315EE"/>
    <w:rsid w:val="00A409ED"/>
    <w:rsid w:val="00A43063"/>
    <w:rsid w:val="00A43127"/>
    <w:rsid w:val="00A4512D"/>
    <w:rsid w:val="00A50397"/>
    <w:rsid w:val="00A5050B"/>
    <w:rsid w:val="00A50749"/>
    <w:rsid w:val="00A50927"/>
    <w:rsid w:val="00A52B3A"/>
    <w:rsid w:val="00A62E00"/>
    <w:rsid w:val="00A63398"/>
    <w:rsid w:val="00A65FDA"/>
    <w:rsid w:val="00A669F4"/>
    <w:rsid w:val="00A70580"/>
    <w:rsid w:val="00A705AF"/>
    <w:rsid w:val="00A768D8"/>
    <w:rsid w:val="00A813BE"/>
    <w:rsid w:val="00A83020"/>
    <w:rsid w:val="00A92BED"/>
    <w:rsid w:val="00A9763D"/>
    <w:rsid w:val="00AA06FF"/>
    <w:rsid w:val="00AB272D"/>
    <w:rsid w:val="00AB454D"/>
    <w:rsid w:val="00AB5844"/>
    <w:rsid w:val="00AC341B"/>
    <w:rsid w:val="00AD0224"/>
    <w:rsid w:val="00AD13D0"/>
    <w:rsid w:val="00AD2C8F"/>
    <w:rsid w:val="00AD6E6C"/>
    <w:rsid w:val="00AE1AFC"/>
    <w:rsid w:val="00AE338F"/>
    <w:rsid w:val="00AE488B"/>
    <w:rsid w:val="00AE7E7B"/>
    <w:rsid w:val="00AF08AB"/>
    <w:rsid w:val="00AF1556"/>
    <w:rsid w:val="00AF176B"/>
    <w:rsid w:val="00AF6AB4"/>
    <w:rsid w:val="00AF72F5"/>
    <w:rsid w:val="00B00AA1"/>
    <w:rsid w:val="00B03449"/>
    <w:rsid w:val="00B03595"/>
    <w:rsid w:val="00B0433A"/>
    <w:rsid w:val="00B0717F"/>
    <w:rsid w:val="00B07A63"/>
    <w:rsid w:val="00B113FC"/>
    <w:rsid w:val="00B12BC2"/>
    <w:rsid w:val="00B13A4E"/>
    <w:rsid w:val="00B230C9"/>
    <w:rsid w:val="00B361DA"/>
    <w:rsid w:val="00B42851"/>
    <w:rsid w:val="00B42DC7"/>
    <w:rsid w:val="00B505BE"/>
    <w:rsid w:val="00B505C9"/>
    <w:rsid w:val="00B61E7B"/>
    <w:rsid w:val="00B71128"/>
    <w:rsid w:val="00B714E0"/>
    <w:rsid w:val="00B73898"/>
    <w:rsid w:val="00B809E7"/>
    <w:rsid w:val="00B82812"/>
    <w:rsid w:val="00B84B60"/>
    <w:rsid w:val="00B947D0"/>
    <w:rsid w:val="00B971B2"/>
    <w:rsid w:val="00B97B42"/>
    <w:rsid w:val="00BA2626"/>
    <w:rsid w:val="00BA3EEB"/>
    <w:rsid w:val="00BA40B4"/>
    <w:rsid w:val="00BB360E"/>
    <w:rsid w:val="00BC2FDA"/>
    <w:rsid w:val="00BC39C7"/>
    <w:rsid w:val="00BC5B59"/>
    <w:rsid w:val="00BD0B3E"/>
    <w:rsid w:val="00BD1E70"/>
    <w:rsid w:val="00BD3B8B"/>
    <w:rsid w:val="00BD4EDD"/>
    <w:rsid w:val="00BE011F"/>
    <w:rsid w:val="00BE1403"/>
    <w:rsid w:val="00BE15B9"/>
    <w:rsid w:val="00BE30D8"/>
    <w:rsid w:val="00BE5C14"/>
    <w:rsid w:val="00BF11B9"/>
    <w:rsid w:val="00BF39B8"/>
    <w:rsid w:val="00C02838"/>
    <w:rsid w:val="00C04DD6"/>
    <w:rsid w:val="00C05768"/>
    <w:rsid w:val="00C058BB"/>
    <w:rsid w:val="00C062C0"/>
    <w:rsid w:val="00C15583"/>
    <w:rsid w:val="00C20A2F"/>
    <w:rsid w:val="00C219A1"/>
    <w:rsid w:val="00C21AD3"/>
    <w:rsid w:val="00C254E9"/>
    <w:rsid w:val="00C307E4"/>
    <w:rsid w:val="00C34232"/>
    <w:rsid w:val="00C42506"/>
    <w:rsid w:val="00C44685"/>
    <w:rsid w:val="00C449E2"/>
    <w:rsid w:val="00C44BC4"/>
    <w:rsid w:val="00C50FFE"/>
    <w:rsid w:val="00C63D95"/>
    <w:rsid w:val="00C71CC3"/>
    <w:rsid w:val="00C83234"/>
    <w:rsid w:val="00C84B2D"/>
    <w:rsid w:val="00C86242"/>
    <w:rsid w:val="00C91F11"/>
    <w:rsid w:val="00C92F25"/>
    <w:rsid w:val="00C950EB"/>
    <w:rsid w:val="00C96E47"/>
    <w:rsid w:val="00C979B5"/>
    <w:rsid w:val="00CA0623"/>
    <w:rsid w:val="00CA3BE6"/>
    <w:rsid w:val="00CA57D4"/>
    <w:rsid w:val="00CA62D1"/>
    <w:rsid w:val="00CA6A4E"/>
    <w:rsid w:val="00CB0A5A"/>
    <w:rsid w:val="00CB0F4E"/>
    <w:rsid w:val="00CB2AFB"/>
    <w:rsid w:val="00CB5B1A"/>
    <w:rsid w:val="00CB66C3"/>
    <w:rsid w:val="00CB715C"/>
    <w:rsid w:val="00CD25C3"/>
    <w:rsid w:val="00CD2BAA"/>
    <w:rsid w:val="00CD525D"/>
    <w:rsid w:val="00CD6629"/>
    <w:rsid w:val="00CE01B2"/>
    <w:rsid w:val="00CE22D1"/>
    <w:rsid w:val="00CE5530"/>
    <w:rsid w:val="00CF2172"/>
    <w:rsid w:val="00CF261C"/>
    <w:rsid w:val="00CF3144"/>
    <w:rsid w:val="00CF418E"/>
    <w:rsid w:val="00CF4E16"/>
    <w:rsid w:val="00CF5080"/>
    <w:rsid w:val="00CF6058"/>
    <w:rsid w:val="00D05A75"/>
    <w:rsid w:val="00D1394D"/>
    <w:rsid w:val="00D261E6"/>
    <w:rsid w:val="00D3105A"/>
    <w:rsid w:val="00D31110"/>
    <w:rsid w:val="00D31A11"/>
    <w:rsid w:val="00D34550"/>
    <w:rsid w:val="00D37644"/>
    <w:rsid w:val="00D409C8"/>
    <w:rsid w:val="00D45A1E"/>
    <w:rsid w:val="00D545EE"/>
    <w:rsid w:val="00D548F7"/>
    <w:rsid w:val="00D56B4B"/>
    <w:rsid w:val="00D603DD"/>
    <w:rsid w:val="00D62CB7"/>
    <w:rsid w:val="00D735F3"/>
    <w:rsid w:val="00D74A08"/>
    <w:rsid w:val="00D82B15"/>
    <w:rsid w:val="00D84963"/>
    <w:rsid w:val="00D9036E"/>
    <w:rsid w:val="00D96010"/>
    <w:rsid w:val="00DA29A5"/>
    <w:rsid w:val="00DA5B8F"/>
    <w:rsid w:val="00DA6C45"/>
    <w:rsid w:val="00DB0ADD"/>
    <w:rsid w:val="00DB1F50"/>
    <w:rsid w:val="00DC0923"/>
    <w:rsid w:val="00DC3445"/>
    <w:rsid w:val="00DC71D1"/>
    <w:rsid w:val="00DD274A"/>
    <w:rsid w:val="00DD73CE"/>
    <w:rsid w:val="00DD764B"/>
    <w:rsid w:val="00DF234F"/>
    <w:rsid w:val="00DF6A01"/>
    <w:rsid w:val="00DF6AF3"/>
    <w:rsid w:val="00E01DD9"/>
    <w:rsid w:val="00E042E2"/>
    <w:rsid w:val="00E111E4"/>
    <w:rsid w:val="00E21195"/>
    <w:rsid w:val="00E22478"/>
    <w:rsid w:val="00E27976"/>
    <w:rsid w:val="00E50F94"/>
    <w:rsid w:val="00E549FA"/>
    <w:rsid w:val="00E564A3"/>
    <w:rsid w:val="00E72A52"/>
    <w:rsid w:val="00E73736"/>
    <w:rsid w:val="00E77452"/>
    <w:rsid w:val="00E800C8"/>
    <w:rsid w:val="00E83BFF"/>
    <w:rsid w:val="00E85C99"/>
    <w:rsid w:val="00E86BAA"/>
    <w:rsid w:val="00E87BE3"/>
    <w:rsid w:val="00EA4D4E"/>
    <w:rsid w:val="00EA6A52"/>
    <w:rsid w:val="00EB61A6"/>
    <w:rsid w:val="00EB7F5E"/>
    <w:rsid w:val="00EC36C0"/>
    <w:rsid w:val="00EC38AD"/>
    <w:rsid w:val="00EC7F8E"/>
    <w:rsid w:val="00ED1010"/>
    <w:rsid w:val="00ED561D"/>
    <w:rsid w:val="00EE40DF"/>
    <w:rsid w:val="00EE4323"/>
    <w:rsid w:val="00EE4615"/>
    <w:rsid w:val="00EE5067"/>
    <w:rsid w:val="00EF300B"/>
    <w:rsid w:val="00EF5EBA"/>
    <w:rsid w:val="00F07550"/>
    <w:rsid w:val="00F10DF6"/>
    <w:rsid w:val="00F13279"/>
    <w:rsid w:val="00F13AA0"/>
    <w:rsid w:val="00F13CF9"/>
    <w:rsid w:val="00F1476E"/>
    <w:rsid w:val="00F14FE2"/>
    <w:rsid w:val="00F26D1A"/>
    <w:rsid w:val="00F31615"/>
    <w:rsid w:val="00F343DF"/>
    <w:rsid w:val="00F42521"/>
    <w:rsid w:val="00F45085"/>
    <w:rsid w:val="00F529F6"/>
    <w:rsid w:val="00F55A4B"/>
    <w:rsid w:val="00F62E29"/>
    <w:rsid w:val="00F6403F"/>
    <w:rsid w:val="00F7059A"/>
    <w:rsid w:val="00F720F7"/>
    <w:rsid w:val="00F7271E"/>
    <w:rsid w:val="00F74219"/>
    <w:rsid w:val="00F87956"/>
    <w:rsid w:val="00F972C8"/>
    <w:rsid w:val="00FA4C72"/>
    <w:rsid w:val="00FB2D4C"/>
    <w:rsid w:val="00FB4648"/>
    <w:rsid w:val="00FB6ED0"/>
    <w:rsid w:val="00FC3896"/>
    <w:rsid w:val="00FC4551"/>
    <w:rsid w:val="00FD236B"/>
    <w:rsid w:val="00FD323C"/>
    <w:rsid w:val="00FD37BC"/>
    <w:rsid w:val="00FD6488"/>
    <w:rsid w:val="00FE08C2"/>
    <w:rsid w:val="00FE3AD0"/>
    <w:rsid w:val="00FE5A23"/>
    <w:rsid w:val="00FF2956"/>
    <w:rsid w:val="00FF2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8AE9F45"/>
  <w15:docId w15:val="{64E19096-B523-4B53-9983-39E3CBD0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BF"/>
    <w:pPr>
      <w:spacing w:after="120" w:line="276" w:lineRule="auto"/>
      <w:contextualSpacing/>
    </w:pPr>
    <w:rPr>
      <w:sz w:val="24"/>
      <w:szCs w:val="24"/>
      <w:lang w:eastAsia="en-US"/>
    </w:rPr>
  </w:style>
  <w:style w:type="paragraph" w:styleId="Heading1">
    <w:name w:val="heading 1"/>
    <w:basedOn w:val="Normal"/>
    <w:next w:val="Normal"/>
    <w:qFormat/>
    <w:rsid w:val="00030E93"/>
    <w:pPr>
      <w:keepNext/>
      <w:spacing w:before="120" w:line="240" w:lineRule="auto"/>
      <w:contextualSpacing w:val="0"/>
      <w:outlineLvl w:val="0"/>
    </w:pPr>
    <w:rPr>
      <w:b/>
      <w:sz w:val="26"/>
      <w:szCs w:val="40"/>
    </w:rPr>
  </w:style>
  <w:style w:type="paragraph" w:styleId="Heading2">
    <w:name w:val="heading 2"/>
    <w:basedOn w:val="Heading1"/>
    <w:next w:val="Normal"/>
    <w:qFormat/>
    <w:rsid w:val="00030E93"/>
    <w:pPr>
      <w:outlineLvl w:val="1"/>
    </w:pPr>
    <w:rPr>
      <w:sz w:val="24"/>
    </w:rPr>
  </w:style>
  <w:style w:type="paragraph" w:styleId="Heading3">
    <w:name w:val="heading 3"/>
    <w:basedOn w:val="Heading2"/>
    <w:next w:val="Normal"/>
    <w:qFormat/>
    <w:rsid w:val="00030E93"/>
    <w:pPr>
      <w:spacing w:after="60"/>
      <w:outlineLvl w:val="2"/>
    </w:pPr>
    <w:rPr>
      <w:rFonts w:cs="Arial"/>
      <w:bCs/>
      <w:sz w:val="22"/>
      <w:szCs w:val="26"/>
    </w:rPr>
  </w:style>
  <w:style w:type="paragraph" w:styleId="Heading4">
    <w:name w:val="heading 4"/>
    <w:basedOn w:val="Heading3"/>
    <w:next w:val="Normal"/>
    <w:qFormat/>
    <w:rsid w:val="00A5050B"/>
    <w:pPr>
      <w:spacing w:after="0"/>
      <w:outlineLvl w:val="3"/>
    </w:pPr>
    <w:rPr>
      <w:bCs w:val="0"/>
      <w:szCs w:val="28"/>
    </w:rPr>
  </w:style>
  <w:style w:type="paragraph" w:styleId="Heading5">
    <w:name w:val="heading 5"/>
    <w:basedOn w:val="Normal"/>
    <w:next w:val="Normal"/>
    <w:rsid w:val="00380439"/>
    <w:pPr>
      <w:keepNext/>
      <w:spacing w:before="240" w:after="60"/>
      <w:outlineLvl w:val="4"/>
    </w:pPr>
    <w:rPr>
      <w:bCs/>
      <w:i/>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Title"/>
    <w:next w:val="Normal"/>
    <w:link w:val="SubtitleChar"/>
    <w:qFormat/>
    <w:rsid w:val="0030067B"/>
    <w:pPr>
      <w:numPr>
        <w:ilvl w:val="1"/>
      </w:numPr>
      <w:spacing w:before="120"/>
      <w:jc w:val="right"/>
    </w:pPr>
    <w:rPr>
      <w:rFonts w:eastAsiaTheme="majorEastAsia" w:cstheme="majorBidi"/>
      <w:iCs/>
      <w:spacing w:val="15"/>
      <w:sz w:val="28"/>
    </w:rPr>
  </w:style>
  <w:style w:type="character" w:customStyle="1" w:styleId="SubtitleChar">
    <w:name w:val="Subtitle Char"/>
    <w:basedOn w:val="DefaultParagraphFont"/>
    <w:link w:val="Subtitle"/>
    <w:rsid w:val="0030067B"/>
    <w:rPr>
      <w:rFonts w:eastAsiaTheme="majorEastAsia" w:cstheme="majorBidi"/>
      <w:b/>
      <w:iCs/>
      <w:spacing w:val="15"/>
      <w:sz w:val="28"/>
      <w:szCs w:val="40"/>
      <w:lang w:eastAsia="en-US"/>
    </w:rPr>
  </w:style>
  <w:style w:type="paragraph" w:styleId="Title">
    <w:name w:val="Title"/>
    <w:basedOn w:val="Normal"/>
    <w:next w:val="Normal"/>
    <w:link w:val="TitleChar"/>
    <w:qFormat/>
    <w:rsid w:val="00945F20"/>
    <w:pPr>
      <w:spacing w:before="240" w:line="240" w:lineRule="auto"/>
      <w:contextualSpacing w:val="0"/>
      <w:jc w:val="center"/>
    </w:pPr>
    <w:rPr>
      <w:b/>
      <w:sz w:val="40"/>
      <w:szCs w:val="40"/>
    </w:rPr>
  </w:style>
  <w:style w:type="character" w:customStyle="1" w:styleId="TitleChar">
    <w:name w:val="Title Char"/>
    <w:basedOn w:val="DefaultParagraphFont"/>
    <w:link w:val="Title"/>
    <w:rsid w:val="00945F20"/>
    <w:rPr>
      <w:b/>
      <w:sz w:val="40"/>
      <w:szCs w:val="4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ody text,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4512D"/>
    <w:pPr>
      <w:ind w:left="720"/>
    </w:pPr>
  </w:style>
  <w:style w:type="paragraph" w:styleId="BalloonText">
    <w:name w:val="Balloon Text"/>
    <w:basedOn w:val="Normal"/>
    <w:link w:val="BalloonTextChar"/>
    <w:rsid w:val="008261EE"/>
    <w:rPr>
      <w:rFonts w:ascii="Tahoma" w:hAnsi="Tahoma" w:cs="Tahoma"/>
      <w:sz w:val="16"/>
      <w:szCs w:val="16"/>
    </w:rPr>
  </w:style>
  <w:style w:type="character" w:customStyle="1" w:styleId="BalloonTextChar">
    <w:name w:val="Balloon Text Char"/>
    <w:basedOn w:val="DefaultParagraphFont"/>
    <w:link w:val="BalloonText"/>
    <w:rsid w:val="008261EE"/>
    <w:rPr>
      <w:rFonts w:ascii="Tahoma" w:hAnsi="Tahoma" w:cs="Tahoma"/>
      <w:sz w:val="16"/>
      <w:szCs w:val="16"/>
      <w:lang w:eastAsia="en-US"/>
    </w:rPr>
  </w:style>
  <w:style w:type="paragraph" w:styleId="TOCHeading">
    <w:name w:val="TOC Heading"/>
    <w:basedOn w:val="Heading1"/>
    <w:next w:val="Normal"/>
    <w:uiPriority w:val="39"/>
    <w:unhideWhenUsed/>
    <w:qFormat/>
    <w:rsid w:val="00861192"/>
    <w:pPr>
      <w:keepLines/>
      <w:spacing w:before="480"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030E93"/>
    <w:pPr>
      <w:tabs>
        <w:tab w:val="right" w:pos="9060"/>
      </w:tabs>
      <w:spacing w:after="100"/>
    </w:pPr>
    <w:rPr>
      <w:szCs w:val="28"/>
    </w:rPr>
  </w:style>
  <w:style w:type="paragraph" w:styleId="TOC2">
    <w:name w:val="toc 2"/>
    <w:basedOn w:val="Normal"/>
    <w:next w:val="Normal"/>
    <w:autoRedefine/>
    <w:uiPriority w:val="39"/>
    <w:rsid w:val="00861192"/>
    <w:pPr>
      <w:spacing w:after="100"/>
      <w:ind w:left="240"/>
    </w:pPr>
  </w:style>
  <w:style w:type="paragraph" w:styleId="TOC3">
    <w:name w:val="toc 3"/>
    <w:basedOn w:val="Normal"/>
    <w:next w:val="Normal"/>
    <w:autoRedefine/>
    <w:uiPriority w:val="39"/>
    <w:rsid w:val="00861192"/>
    <w:pPr>
      <w:spacing w:after="100"/>
      <w:ind w:left="480"/>
    </w:pPr>
  </w:style>
  <w:style w:type="character" w:styleId="Hyperlink">
    <w:name w:val="Hyperlink"/>
    <w:basedOn w:val="DefaultParagraphFont"/>
    <w:uiPriority w:val="99"/>
    <w:unhideWhenUsed/>
    <w:rsid w:val="00861192"/>
    <w:rPr>
      <w:color w:val="0000FF" w:themeColor="hyperlink"/>
      <w:u w:val="single"/>
    </w:rPr>
  </w:style>
  <w:style w:type="paragraph" w:styleId="Header">
    <w:name w:val="header"/>
    <w:basedOn w:val="Normal"/>
    <w:link w:val="HeaderChar"/>
    <w:rsid w:val="00440EDC"/>
    <w:pPr>
      <w:tabs>
        <w:tab w:val="center" w:pos="4513"/>
        <w:tab w:val="right" w:pos="9026"/>
      </w:tabs>
    </w:pPr>
  </w:style>
  <w:style w:type="character" w:customStyle="1" w:styleId="HeaderChar">
    <w:name w:val="Header Char"/>
    <w:basedOn w:val="DefaultParagraphFont"/>
    <w:link w:val="Header"/>
    <w:rsid w:val="00440EDC"/>
    <w:rPr>
      <w:sz w:val="24"/>
      <w:szCs w:val="24"/>
      <w:lang w:eastAsia="en-US"/>
    </w:rPr>
  </w:style>
  <w:style w:type="paragraph" w:styleId="Footer">
    <w:name w:val="footer"/>
    <w:basedOn w:val="Normal"/>
    <w:link w:val="FooterChar"/>
    <w:uiPriority w:val="99"/>
    <w:rsid w:val="00440EDC"/>
    <w:pPr>
      <w:tabs>
        <w:tab w:val="center" w:pos="4513"/>
        <w:tab w:val="right" w:pos="9026"/>
      </w:tabs>
    </w:pPr>
  </w:style>
  <w:style w:type="character" w:customStyle="1" w:styleId="FooterChar">
    <w:name w:val="Footer Char"/>
    <w:basedOn w:val="DefaultParagraphFont"/>
    <w:link w:val="Footer"/>
    <w:uiPriority w:val="99"/>
    <w:rsid w:val="00440EDC"/>
    <w:rPr>
      <w:sz w:val="24"/>
      <w:szCs w:val="24"/>
      <w:lang w:eastAsia="en-US"/>
    </w:rPr>
  </w:style>
  <w:style w:type="paragraph" w:styleId="NormalWeb">
    <w:name w:val="Normal (Web)"/>
    <w:basedOn w:val="Normal"/>
    <w:uiPriority w:val="99"/>
    <w:unhideWhenUsed/>
    <w:rsid w:val="002A473A"/>
    <w:pPr>
      <w:spacing w:before="100" w:beforeAutospacing="1" w:after="100" w:afterAutospacing="1"/>
    </w:pPr>
    <w:rPr>
      <w:lang w:eastAsia="en-AU"/>
    </w:rPr>
  </w:style>
  <w:style w:type="paragraph" w:styleId="FootnoteText">
    <w:name w:val="footnote text"/>
    <w:aliases w:val="(NECG) Footnote Text"/>
    <w:basedOn w:val="Normal"/>
    <w:link w:val="FootnoteTextChar"/>
    <w:rsid w:val="002A473A"/>
    <w:rPr>
      <w:sz w:val="20"/>
      <w:szCs w:val="20"/>
    </w:rPr>
  </w:style>
  <w:style w:type="character" w:customStyle="1" w:styleId="FootnoteTextChar">
    <w:name w:val="Footnote Text Char"/>
    <w:aliases w:val="(NECG) Footnote Text Char"/>
    <w:basedOn w:val="DefaultParagraphFont"/>
    <w:link w:val="FootnoteText"/>
    <w:rsid w:val="002A473A"/>
    <w:rPr>
      <w:lang w:eastAsia="en-US"/>
    </w:rPr>
  </w:style>
  <w:style w:type="character" w:styleId="FootnoteReference">
    <w:name w:val="footnote reference"/>
    <w:aliases w:val="(NECG) Footnote Reference"/>
    <w:basedOn w:val="DefaultParagraphFont"/>
    <w:rsid w:val="002A473A"/>
    <w:rPr>
      <w:vertAlign w:val="superscript"/>
    </w:rPr>
  </w:style>
  <w:style w:type="character" w:customStyle="1" w:styleId="ListParagraphChar">
    <w:name w:val="List Paragraph Char"/>
    <w:aliases w:val="Body text Char,Bullet point Char,Bullets Char,CV text Char,Dot pt Char,F5 List Paragraph Char,FooterText Char,L Char,List Paragraph1 Char,List Paragraph11 Char,List Paragraph111 Char,List Paragraph2 Char,NAST Quote Char,列 Char"/>
    <w:link w:val="ListParagraph"/>
    <w:uiPriority w:val="34"/>
    <w:locked/>
    <w:rsid w:val="003156B7"/>
    <w:rPr>
      <w:sz w:val="24"/>
      <w:szCs w:val="24"/>
      <w:lang w:eastAsia="en-US"/>
    </w:rPr>
  </w:style>
  <w:style w:type="table" w:styleId="TableGrid">
    <w:name w:val="Table Grid"/>
    <w:basedOn w:val="TableNormal"/>
    <w:rsid w:val="002B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A5050B"/>
    <w:pPr>
      <w:autoSpaceDE w:val="0"/>
      <w:autoSpaceDN w:val="0"/>
      <w:adjustRightInd w:val="0"/>
      <w:spacing w:after="0" w:line="221" w:lineRule="atLeast"/>
      <w:contextualSpacing w:val="0"/>
    </w:pPr>
    <w:rPr>
      <w:rFonts w:ascii="FS Me Pro" w:hAnsi="FS Me Pro"/>
      <w:lang w:eastAsia="en-AU"/>
    </w:rPr>
  </w:style>
  <w:style w:type="paragraph" w:styleId="Revision">
    <w:name w:val="Revision"/>
    <w:hidden/>
    <w:uiPriority w:val="99"/>
    <w:semiHidden/>
    <w:rsid w:val="00FE3AD0"/>
    <w:rPr>
      <w:sz w:val="24"/>
      <w:szCs w:val="24"/>
      <w:lang w:eastAsia="en-US"/>
    </w:rPr>
  </w:style>
  <w:style w:type="paragraph" w:styleId="EndnoteText">
    <w:name w:val="endnote text"/>
    <w:basedOn w:val="Normal"/>
    <w:link w:val="EndnoteTextChar"/>
    <w:rsid w:val="00171A8F"/>
    <w:rPr>
      <w:sz w:val="20"/>
      <w:szCs w:val="20"/>
    </w:rPr>
  </w:style>
  <w:style w:type="character" w:customStyle="1" w:styleId="EndnoteTextChar">
    <w:name w:val="Endnote Text Char"/>
    <w:basedOn w:val="DefaultParagraphFont"/>
    <w:link w:val="EndnoteText"/>
    <w:rsid w:val="00171A8F"/>
    <w:rPr>
      <w:lang w:eastAsia="en-US"/>
    </w:rPr>
  </w:style>
  <w:style w:type="paragraph" w:customStyle="1" w:styleId="Paralist">
    <w:name w:val="Para list"/>
    <w:basedOn w:val="Normal"/>
    <w:qFormat/>
    <w:rsid w:val="00A5050B"/>
    <w:pPr>
      <w:numPr>
        <w:numId w:val="44"/>
      </w:numPr>
      <w:autoSpaceDE w:val="0"/>
      <w:autoSpaceDN w:val="0"/>
      <w:adjustRightInd w:val="0"/>
      <w:spacing w:before="120"/>
      <w:ind w:left="567" w:hanging="567"/>
      <w:contextualSpacing w:val="0"/>
    </w:pPr>
    <w:rPr>
      <w:lang w:val="en" w:eastAsia="en-AU"/>
    </w:rPr>
  </w:style>
  <w:style w:type="paragraph" w:customStyle="1" w:styleId="paralist2">
    <w:name w:val="para list 2"/>
    <w:basedOn w:val="ListParagraph"/>
    <w:link w:val="paralist2Char"/>
    <w:qFormat/>
    <w:rsid w:val="00B361DA"/>
    <w:pPr>
      <w:numPr>
        <w:numId w:val="11"/>
      </w:numPr>
    </w:pPr>
  </w:style>
  <w:style w:type="paragraph" w:customStyle="1" w:styleId="paralist3">
    <w:name w:val="para list 3"/>
    <w:basedOn w:val="ListParagraph"/>
    <w:link w:val="paralist3Char"/>
    <w:qFormat/>
    <w:rsid w:val="00B361DA"/>
    <w:pPr>
      <w:numPr>
        <w:numId w:val="45"/>
      </w:numPr>
      <w:ind w:left="993" w:hanging="426"/>
    </w:pPr>
  </w:style>
  <w:style w:type="character" w:customStyle="1" w:styleId="paralist2Char">
    <w:name w:val="para list 2 Char"/>
    <w:basedOn w:val="ListParagraphChar"/>
    <w:link w:val="paralist2"/>
    <w:rsid w:val="00B361DA"/>
    <w:rPr>
      <w:sz w:val="24"/>
      <w:szCs w:val="24"/>
      <w:lang w:eastAsia="en-US"/>
    </w:rPr>
  </w:style>
  <w:style w:type="paragraph" w:customStyle="1" w:styleId="paralist4">
    <w:name w:val="para list 4"/>
    <w:basedOn w:val="ListParagraph"/>
    <w:link w:val="paralist4Char"/>
    <w:qFormat/>
    <w:rsid w:val="00B361DA"/>
    <w:pPr>
      <w:numPr>
        <w:ilvl w:val="1"/>
        <w:numId w:val="45"/>
      </w:numPr>
      <w:ind w:left="1434" w:hanging="441"/>
    </w:pPr>
  </w:style>
  <w:style w:type="character" w:customStyle="1" w:styleId="paralist3Char">
    <w:name w:val="para list 3 Char"/>
    <w:basedOn w:val="ListParagraphChar"/>
    <w:link w:val="paralist3"/>
    <w:rsid w:val="00B361DA"/>
    <w:rPr>
      <w:sz w:val="24"/>
      <w:szCs w:val="24"/>
      <w:lang w:eastAsia="en-US"/>
    </w:rPr>
  </w:style>
  <w:style w:type="character" w:customStyle="1" w:styleId="paralist4Char">
    <w:name w:val="para list 4 Char"/>
    <w:basedOn w:val="ListParagraphChar"/>
    <w:link w:val="paralist4"/>
    <w:rsid w:val="00B361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3521">
      <w:bodyDiv w:val="1"/>
      <w:marLeft w:val="0"/>
      <w:marRight w:val="0"/>
      <w:marTop w:val="0"/>
      <w:marBottom w:val="0"/>
      <w:divBdr>
        <w:top w:val="none" w:sz="0" w:space="0" w:color="auto"/>
        <w:left w:val="none" w:sz="0" w:space="0" w:color="auto"/>
        <w:bottom w:val="none" w:sz="0" w:space="0" w:color="auto"/>
        <w:right w:val="none" w:sz="0" w:space="0" w:color="auto"/>
      </w:divBdr>
    </w:div>
    <w:div w:id="122047255">
      <w:bodyDiv w:val="1"/>
      <w:marLeft w:val="0"/>
      <w:marRight w:val="0"/>
      <w:marTop w:val="0"/>
      <w:marBottom w:val="0"/>
      <w:divBdr>
        <w:top w:val="none" w:sz="0" w:space="0" w:color="auto"/>
        <w:left w:val="none" w:sz="0" w:space="0" w:color="auto"/>
        <w:bottom w:val="none" w:sz="0" w:space="0" w:color="auto"/>
        <w:right w:val="none" w:sz="0" w:space="0" w:color="auto"/>
      </w:divBdr>
      <w:divsChild>
        <w:div w:id="1777098302">
          <w:marLeft w:val="0"/>
          <w:marRight w:val="0"/>
          <w:marTop w:val="0"/>
          <w:marBottom w:val="0"/>
          <w:divBdr>
            <w:top w:val="none" w:sz="0" w:space="0" w:color="auto"/>
            <w:left w:val="none" w:sz="0" w:space="0" w:color="auto"/>
            <w:bottom w:val="none" w:sz="0" w:space="0" w:color="auto"/>
            <w:right w:val="none" w:sz="0" w:space="0" w:color="auto"/>
          </w:divBdr>
          <w:divsChild>
            <w:div w:id="270743719">
              <w:marLeft w:val="0"/>
              <w:marRight w:val="0"/>
              <w:marTop w:val="0"/>
              <w:marBottom w:val="0"/>
              <w:divBdr>
                <w:top w:val="none" w:sz="0" w:space="0" w:color="auto"/>
                <w:left w:val="none" w:sz="0" w:space="0" w:color="auto"/>
                <w:bottom w:val="none" w:sz="0" w:space="0" w:color="auto"/>
                <w:right w:val="none" w:sz="0" w:space="0" w:color="auto"/>
              </w:divBdr>
              <w:divsChild>
                <w:div w:id="308676188">
                  <w:marLeft w:val="0"/>
                  <w:marRight w:val="0"/>
                  <w:marTop w:val="0"/>
                  <w:marBottom w:val="0"/>
                  <w:divBdr>
                    <w:top w:val="none" w:sz="0" w:space="0" w:color="auto"/>
                    <w:left w:val="none" w:sz="0" w:space="0" w:color="auto"/>
                    <w:bottom w:val="none" w:sz="0" w:space="0" w:color="auto"/>
                    <w:right w:val="none" w:sz="0" w:space="0" w:color="auto"/>
                  </w:divBdr>
                  <w:divsChild>
                    <w:div w:id="615067542">
                      <w:marLeft w:val="0"/>
                      <w:marRight w:val="0"/>
                      <w:marTop w:val="0"/>
                      <w:marBottom w:val="0"/>
                      <w:divBdr>
                        <w:top w:val="none" w:sz="0" w:space="0" w:color="auto"/>
                        <w:left w:val="none" w:sz="0" w:space="0" w:color="auto"/>
                        <w:bottom w:val="none" w:sz="0" w:space="0" w:color="auto"/>
                        <w:right w:val="none" w:sz="0" w:space="0" w:color="auto"/>
                      </w:divBdr>
                      <w:divsChild>
                        <w:div w:id="288097224">
                          <w:marLeft w:val="0"/>
                          <w:marRight w:val="0"/>
                          <w:marTop w:val="0"/>
                          <w:marBottom w:val="0"/>
                          <w:divBdr>
                            <w:top w:val="none" w:sz="0" w:space="0" w:color="auto"/>
                            <w:left w:val="none" w:sz="0" w:space="0" w:color="auto"/>
                            <w:bottom w:val="none" w:sz="0" w:space="0" w:color="auto"/>
                            <w:right w:val="none" w:sz="0" w:space="0" w:color="auto"/>
                          </w:divBdr>
                          <w:divsChild>
                            <w:div w:id="765542665">
                              <w:marLeft w:val="0"/>
                              <w:marRight w:val="0"/>
                              <w:marTop w:val="0"/>
                              <w:marBottom w:val="0"/>
                              <w:divBdr>
                                <w:top w:val="none" w:sz="0" w:space="0" w:color="auto"/>
                                <w:left w:val="none" w:sz="0" w:space="0" w:color="auto"/>
                                <w:bottom w:val="none" w:sz="0" w:space="0" w:color="auto"/>
                                <w:right w:val="none" w:sz="0" w:space="0" w:color="auto"/>
                              </w:divBdr>
                              <w:divsChild>
                                <w:div w:id="787042110">
                                  <w:marLeft w:val="0"/>
                                  <w:marRight w:val="0"/>
                                  <w:marTop w:val="0"/>
                                  <w:marBottom w:val="0"/>
                                  <w:divBdr>
                                    <w:top w:val="none" w:sz="0" w:space="0" w:color="auto"/>
                                    <w:left w:val="none" w:sz="0" w:space="0" w:color="auto"/>
                                    <w:bottom w:val="none" w:sz="0" w:space="0" w:color="auto"/>
                                    <w:right w:val="none" w:sz="0" w:space="0" w:color="auto"/>
                                  </w:divBdr>
                                  <w:divsChild>
                                    <w:div w:id="15376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07673">
      <w:bodyDiv w:val="1"/>
      <w:marLeft w:val="0"/>
      <w:marRight w:val="0"/>
      <w:marTop w:val="0"/>
      <w:marBottom w:val="0"/>
      <w:divBdr>
        <w:top w:val="none" w:sz="0" w:space="0" w:color="auto"/>
        <w:left w:val="none" w:sz="0" w:space="0" w:color="auto"/>
        <w:bottom w:val="none" w:sz="0" w:space="0" w:color="auto"/>
        <w:right w:val="none" w:sz="0" w:space="0" w:color="auto"/>
      </w:divBdr>
      <w:divsChild>
        <w:div w:id="1146160999">
          <w:marLeft w:val="0"/>
          <w:marRight w:val="0"/>
          <w:marTop w:val="0"/>
          <w:marBottom w:val="0"/>
          <w:divBdr>
            <w:top w:val="none" w:sz="0" w:space="0" w:color="auto"/>
            <w:left w:val="none" w:sz="0" w:space="0" w:color="auto"/>
            <w:bottom w:val="none" w:sz="0" w:space="0" w:color="auto"/>
            <w:right w:val="none" w:sz="0" w:space="0" w:color="auto"/>
          </w:divBdr>
          <w:divsChild>
            <w:div w:id="1700280796">
              <w:marLeft w:val="0"/>
              <w:marRight w:val="0"/>
              <w:marTop w:val="0"/>
              <w:marBottom w:val="0"/>
              <w:divBdr>
                <w:top w:val="none" w:sz="0" w:space="0" w:color="auto"/>
                <w:left w:val="none" w:sz="0" w:space="0" w:color="auto"/>
                <w:bottom w:val="none" w:sz="0" w:space="0" w:color="auto"/>
                <w:right w:val="none" w:sz="0" w:space="0" w:color="auto"/>
              </w:divBdr>
              <w:divsChild>
                <w:div w:id="1758136456">
                  <w:marLeft w:val="0"/>
                  <w:marRight w:val="0"/>
                  <w:marTop w:val="0"/>
                  <w:marBottom w:val="0"/>
                  <w:divBdr>
                    <w:top w:val="none" w:sz="0" w:space="0" w:color="auto"/>
                    <w:left w:val="none" w:sz="0" w:space="0" w:color="auto"/>
                    <w:bottom w:val="none" w:sz="0" w:space="0" w:color="auto"/>
                    <w:right w:val="none" w:sz="0" w:space="0" w:color="auto"/>
                  </w:divBdr>
                  <w:divsChild>
                    <w:div w:id="1953199095">
                      <w:marLeft w:val="-225"/>
                      <w:marRight w:val="-225"/>
                      <w:marTop w:val="0"/>
                      <w:marBottom w:val="0"/>
                      <w:divBdr>
                        <w:top w:val="none" w:sz="0" w:space="0" w:color="auto"/>
                        <w:left w:val="none" w:sz="0" w:space="0" w:color="auto"/>
                        <w:bottom w:val="none" w:sz="0" w:space="0" w:color="auto"/>
                        <w:right w:val="none" w:sz="0" w:space="0" w:color="auto"/>
                      </w:divBdr>
                      <w:divsChild>
                        <w:div w:id="2092193701">
                          <w:marLeft w:val="0"/>
                          <w:marRight w:val="0"/>
                          <w:marTop w:val="0"/>
                          <w:marBottom w:val="0"/>
                          <w:divBdr>
                            <w:top w:val="none" w:sz="0" w:space="0" w:color="auto"/>
                            <w:left w:val="none" w:sz="0" w:space="0" w:color="auto"/>
                            <w:bottom w:val="none" w:sz="0" w:space="0" w:color="auto"/>
                            <w:right w:val="none" w:sz="0" w:space="0" w:color="auto"/>
                          </w:divBdr>
                          <w:divsChild>
                            <w:div w:id="785924451">
                              <w:marLeft w:val="0"/>
                              <w:marRight w:val="0"/>
                              <w:marTop w:val="0"/>
                              <w:marBottom w:val="0"/>
                              <w:divBdr>
                                <w:top w:val="none" w:sz="0" w:space="0" w:color="auto"/>
                                <w:left w:val="none" w:sz="0" w:space="0" w:color="auto"/>
                                <w:bottom w:val="none" w:sz="0" w:space="0" w:color="auto"/>
                                <w:right w:val="none" w:sz="0" w:space="0" w:color="auto"/>
                              </w:divBdr>
                              <w:divsChild>
                                <w:div w:id="1013802779">
                                  <w:marLeft w:val="0"/>
                                  <w:marRight w:val="0"/>
                                  <w:marTop w:val="0"/>
                                  <w:marBottom w:val="0"/>
                                  <w:divBdr>
                                    <w:top w:val="none" w:sz="0" w:space="0" w:color="auto"/>
                                    <w:left w:val="none" w:sz="0" w:space="0" w:color="auto"/>
                                    <w:bottom w:val="none" w:sz="0" w:space="0" w:color="auto"/>
                                    <w:right w:val="none" w:sz="0" w:space="0" w:color="auto"/>
                                  </w:divBdr>
                                  <w:divsChild>
                                    <w:div w:id="1493985983">
                                      <w:marLeft w:val="0"/>
                                      <w:marRight w:val="0"/>
                                      <w:marTop w:val="0"/>
                                      <w:marBottom w:val="0"/>
                                      <w:divBdr>
                                        <w:top w:val="none" w:sz="0" w:space="0" w:color="auto"/>
                                        <w:left w:val="none" w:sz="0" w:space="0" w:color="auto"/>
                                        <w:bottom w:val="none" w:sz="0" w:space="0" w:color="auto"/>
                                        <w:right w:val="none" w:sz="0" w:space="0" w:color="auto"/>
                                      </w:divBdr>
                                      <w:divsChild>
                                        <w:div w:id="41712090">
                                          <w:marLeft w:val="0"/>
                                          <w:marRight w:val="0"/>
                                          <w:marTop w:val="0"/>
                                          <w:marBottom w:val="0"/>
                                          <w:divBdr>
                                            <w:top w:val="none" w:sz="0" w:space="0" w:color="auto"/>
                                            <w:left w:val="none" w:sz="0" w:space="0" w:color="auto"/>
                                            <w:bottom w:val="none" w:sz="0" w:space="0" w:color="auto"/>
                                            <w:right w:val="none" w:sz="0" w:space="0" w:color="auto"/>
                                          </w:divBdr>
                                          <w:divsChild>
                                            <w:div w:id="860430959">
                                              <w:marLeft w:val="0"/>
                                              <w:marRight w:val="0"/>
                                              <w:marTop w:val="0"/>
                                              <w:marBottom w:val="0"/>
                                              <w:divBdr>
                                                <w:top w:val="none" w:sz="0" w:space="0" w:color="auto"/>
                                                <w:left w:val="none" w:sz="0" w:space="0" w:color="auto"/>
                                                <w:bottom w:val="none" w:sz="0" w:space="0" w:color="auto"/>
                                                <w:right w:val="none" w:sz="0" w:space="0" w:color="auto"/>
                                              </w:divBdr>
                                              <w:divsChild>
                                                <w:div w:id="106434295">
                                                  <w:marLeft w:val="-225"/>
                                                  <w:marRight w:val="-225"/>
                                                  <w:marTop w:val="0"/>
                                                  <w:marBottom w:val="0"/>
                                                  <w:divBdr>
                                                    <w:top w:val="none" w:sz="0" w:space="0" w:color="auto"/>
                                                    <w:left w:val="none" w:sz="0" w:space="0" w:color="auto"/>
                                                    <w:bottom w:val="none" w:sz="0" w:space="0" w:color="auto"/>
                                                    <w:right w:val="none" w:sz="0" w:space="0" w:color="auto"/>
                                                  </w:divBdr>
                                                  <w:divsChild>
                                                    <w:div w:id="1575624673">
                                                      <w:marLeft w:val="0"/>
                                                      <w:marRight w:val="0"/>
                                                      <w:marTop w:val="0"/>
                                                      <w:marBottom w:val="0"/>
                                                      <w:divBdr>
                                                        <w:top w:val="none" w:sz="0" w:space="0" w:color="auto"/>
                                                        <w:left w:val="none" w:sz="0" w:space="0" w:color="auto"/>
                                                        <w:bottom w:val="none" w:sz="0" w:space="0" w:color="auto"/>
                                                        <w:right w:val="none" w:sz="0" w:space="0" w:color="auto"/>
                                                      </w:divBdr>
                                                      <w:divsChild>
                                                        <w:div w:id="4323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63588">
      <w:bodyDiv w:val="1"/>
      <w:marLeft w:val="0"/>
      <w:marRight w:val="0"/>
      <w:marTop w:val="0"/>
      <w:marBottom w:val="0"/>
      <w:divBdr>
        <w:top w:val="none" w:sz="0" w:space="0" w:color="auto"/>
        <w:left w:val="none" w:sz="0" w:space="0" w:color="auto"/>
        <w:bottom w:val="none" w:sz="0" w:space="0" w:color="auto"/>
        <w:right w:val="none" w:sz="0" w:space="0" w:color="auto"/>
      </w:divBdr>
      <w:divsChild>
        <w:div w:id="1495755137">
          <w:marLeft w:val="0"/>
          <w:marRight w:val="0"/>
          <w:marTop w:val="0"/>
          <w:marBottom w:val="0"/>
          <w:divBdr>
            <w:top w:val="none" w:sz="0" w:space="0" w:color="auto"/>
            <w:left w:val="none" w:sz="0" w:space="0" w:color="auto"/>
            <w:bottom w:val="none" w:sz="0" w:space="0" w:color="auto"/>
            <w:right w:val="none" w:sz="0" w:space="0" w:color="auto"/>
          </w:divBdr>
          <w:divsChild>
            <w:div w:id="191307153">
              <w:marLeft w:val="-225"/>
              <w:marRight w:val="-225"/>
              <w:marTop w:val="0"/>
              <w:marBottom w:val="0"/>
              <w:divBdr>
                <w:top w:val="none" w:sz="0" w:space="0" w:color="auto"/>
                <w:left w:val="none" w:sz="0" w:space="0" w:color="auto"/>
                <w:bottom w:val="none" w:sz="0" w:space="0" w:color="auto"/>
                <w:right w:val="none" w:sz="0" w:space="0" w:color="auto"/>
              </w:divBdr>
              <w:divsChild>
                <w:div w:id="1122842561">
                  <w:marLeft w:val="0"/>
                  <w:marRight w:val="0"/>
                  <w:marTop w:val="0"/>
                  <w:marBottom w:val="0"/>
                  <w:divBdr>
                    <w:top w:val="none" w:sz="0" w:space="0" w:color="auto"/>
                    <w:left w:val="none" w:sz="0" w:space="0" w:color="auto"/>
                    <w:bottom w:val="none" w:sz="0" w:space="0" w:color="auto"/>
                    <w:right w:val="none" w:sz="0" w:space="0" w:color="auto"/>
                  </w:divBdr>
                  <w:divsChild>
                    <w:div w:id="791368711">
                      <w:marLeft w:val="0"/>
                      <w:marRight w:val="0"/>
                      <w:marTop w:val="0"/>
                      <w:marBottom w:val="0"/>
                      <w:divBdr>
                        <w:top w:val="none" w:sz="0" w:space="0" w:color="auto"/>
                        <w:left w:val="none" w:sz="0" w:space="0" w:color="auto"/>
                        <w:bottom w:val="none" w:sz="0" w:space="0" w:color="auto"/>
                        <w:right w:val="none" w:sz="0" w:space="0" w:color="auto"/>
                      </w:divBdr>
                      <w:divsChild>
                        <w:div w:id="1518695417">
                          <w:marLeft w:val="0"/>
                          <w:marRight w:val="0"/>
                          <w:marTop w:val="0"/>
                          <w:marBottom w:val="0"/>
                          <w:divBdr>
                            <w:top w:val="none" w:sz="0" w:space="0" w:color="auto"/>
                            <w:left w:val="none" w:sz="0" w:space="0" w:color="auto"/>
                            <w:bottom w:val="none" w:sz="0" w:space="0" w:color="auto"/>
                            <w:right w:val="none" w:sz="0" w:space="0" w:color="auto"/>
                          </w:divBdr>
                          <w:divsChild>
                            <w:div w:id="16518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03182">
      <w:bodyDiv w:val="1"/>
      <w:marLeft w:val="0"/>
      <w:marRight w:val="0"/>
      <w:marTop w:val="0"/>
      <w:marBottom w:val="0"/>
      <w:divBdr>
        <w:top w:val="none" w:sz="0" w:space="0" w:color="auto"/>
        <w:left w:val="none" w:sz="0" w:space="0" w:color="auto"/>
        <w:bottom w:val="none" w:sz="0" w:space="0" w:color="auto"/>
        <w:right w:val="none" w:sz="0" w:space="0" w:color="auto"/>
      </w:divBdr>
    </w:div>
    <w:div w:id="539979671">
      <w:bodyDiv w:val="1"/>
      <w:marLeft w:val="0"/>
      <w:marRight w:val="0"/>
      <w:marTop w:val="0"/>
      <w:marBottom w:val="0"/>
      <w:divBdr>
        <w:top w:val="none" w:sz="0" w:space="0" w:color="auto"/>
        <w:left w:val="none" w:sz="0" w:space="0" w:color="auto"/>
        <w:bottom w:val="none" w:sz="0" w:space="0" w:color="auto"/>
        <w:right w:val="none" w:sz="0" w:space="0" w:color="auto"/>
      </w:divBdr>
      <w:divsChild>
        <w:div w:id="845091498">
          <w:marLeft w:val="0"/>
          <w:marRight w:val="0"/>
          <w:marTop w:val="0"/>
          <w:marBottom w:val="0"/>
          <w:divBdr>
            <w:top w:val="none" w:sz="0" w:space="0" w:color="auto"/>
            <w:left w:val="none" w:sz="0" w:space="0" w:color="auto"/>
            <w:bottom w:val="none" w:sz="0" w:space="0" w:color="auto"/>
            <w:right w:val="none" w:sz="0" w:space="0" w:color="auto"/>
          </w:divBdr>
          <w:divsChild>
            <w:div w:id="26873268">
              <w:marLeft w:val="0"/>
              <w:marRight w:val="0"/>
              <w:marTop w:val="0"/>
              <w:marBottom w:val="0"/>
              <w:divBdr>
                <w:top w:val="none" w:sz="0" w:space="0" w:color="auto"/>
                <w:left w:val="none" w:sz="0" w:space="0" w:color="auto"/>
                <w:bottom w:val="none" w:sz="0" w:space="0" w:color="auto"/>
                <w:right w:val="none" w:sz="0" w:space="0" w:color="auto"/>
              </w:divBdr>
              <w:divsChild>
                <w:div w:id="1199778662">
                  <w:marLeft w:val="0"/>
                  <w:marRight w:val="0"/>
                  <w:marTop w:val="0"/>
                  <w:marBottom w:val="0"/>
                  <w:divBdr>
                    <w:top w:val="none" w:sz="0" w:space="0" w:color="auto"/>
                    <w:left w:val="none" w:sz="0" w:space="0" w:color="auto"/>
                    <w:bottom w:val="none" w:sz="0" w:space="0" w:color="auto"/>
                    <w:right w:val="none" w:sz="0" w:space="0" w:color="auto"/>
                  </w:divBdr>
                  <w:divsChild>
                    <w:div w:id="265963717">
                      <w:marLeft w:val="0"/>
                      <w:marRight w:val="0"/>
                      <w:marTop w:val="0"/>
                      <w:marBottom w:val="0"/>
                      <w:divBdr>
                        <w:top w:val="none" w:sz="0" w:space="0" w:color="auto"/>
                        <w:left w:val="none" w:sz="0" w:space="0" w:color="auto"/>
                        <w:bottom w:val="none" w:sz="0" w:space="0" w:color="auto"/>
                        <w:right w:val="none" w:sz="0" w:space="0" w:color="auto"/>
                      </w:divBdr>
                      <w:divsChild>
                        <w:div w:id="681855782">
                          <w:marLeft w:val="0"/>
                          <w:marRight w:val="0"/>
                          <w:marTop w:val="0"/>
                          <w:marBottom w:val="0"/>
                          <w:divBdr>
                            <w:top w:val="none" w:sz="0" w:space="0" w:color="auto"/>
                            <w:left w:val="none" w:sz="0" w:space="0" w:color="auto"/>
                            <w:bottom w:val="none" w:sz="0" w:space="0" w:color="auto"/>
                            <w:right w:val="none" w:sz="0" w:space="0" w:color="auto"/>
                          </w:divBdr>
                          <w:divsChild>
                            <w:div w:id="420760525">
                              <w:marLeft w:val="0"/>
                              <w:marRight w:val="0"/>
                              <w:marTop w:val="0"/>
                              <w:marBottom w:val="0"/>
                              <w:divBdr>
                                <w:top w:val="none" w:sz="0" w:space="0" w:color="auto"/>
                                <w:left w:val="none" w:sz="0" w:space="0" w:color="auto"/>
                                <w:bottom w:val="none" w:sz="0" w:space="0" w:color="auto"/>
                                <w:right w:val="none" w:sz="0" w:space="0" w:color="auto"/>
                              </w:divBdr>
                              <w:divsChild>
                                <w:div w:id="655305915">
                                  <w:marLeft w:val="0"/>
                                  <w:marRight w:val="0"/>
                                  <w:marTop w:val="0"/>
                                  <w:marBottom w:val="0"/>
                                  <w:divBdr>
                                    <w:top w:val="none" w:sz="0" w:space="0" w:color="auto"/>
                                    <w:left w:val="none" w:sz="0" w:space="0" w:color="auto"/>
                                    <w:bottom w:val="none" w:sz="0" w:space="0" w:color="auto"/>
                                    <w:right w:val="none" w:sz="0" w:space="0" w:color="auto"/>
                                  </w:divBdr>
                                  <w:divsChild>
                                    <w:div w:id="492260598">
                                      <w:marLeft w:val="0"/>
                                      <w:marRight w:val="0"/>
                                      <w:marTop w:val="0"/>
                                      <w:marBottom w:val="0"/>
                                      <w:divBdr>
                                        <w:top w:val="none" w:sz="0" w:space="0" w:color="auto"/>
                                        <w:left w:val="none" w:sz="0" w:space="0" w:color="auto"/>
                                        <w:bottom w:val="none" w:sz="0" w:space="0" w:color="auto"/>
                                        <w:right w:val="none" w:sz="0" w:space="0" w:color="auto"/>
                                      </w:divBdr>
                                      <w:divsChild>
                                        <w:div w:id="1127814410">
                                          <w:marLeft w:val="0"/>
                                          <w:marRight w:val="0"/>
                                          <w:marTop w:val="0"/>
                                          <w:marBottom w:val="0"/>
                                          <w:divBdr>
                                            <w:top w:val="none" w:sz="0" w:space="0" w:color="auto"/>
                                            <w:left w:val="none" w:sz="0" w:space="0" w:color="auto"/>
                                            <w:bottom w:val="none" w:sz="0" w:space="0" w:color="auto"/>
                                            <w:right w:val="none" w:sz="0" w:space="0" w:color="auto"/>
                                          </w:divBdr>
                                          <w:divsChild>
                                            <w:div w:id="19420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733394">
      <w:bodyDiv w:val="1"/>
      <w:marLeft w:val="0"/>
      <w:marRight w:val="0"/>
      <w:marTop w:val="0"/>
      <w:marBottom w:val="0"/>
      <w:divBdr>
        <w:top w:val="none" w:sz="0" w:space="0" w:color="auto"/>
        <w:left w:val="none" w:sz="0" w:space="0" w:color="auto"/>
        <w:bottom w:val="none" w:sz="0" w:space="0" w:color="auto"/>
        <w:right w:val="none" w:sz="0" w:space="0" w:color="auto"/>
      </w:divBdr>
      <w:divsChild>
        <w:div w:id="1442530873">
          <w:marLeft w:val="0"/>
          <w:marRight w:val="0"/>
          <w:marTop w:val="0"/>
          <w:marBottom w:val="0"/>
          <w:divBdr>
            <w:top w:val="none" w:sz="0" w:space="0" w:color="auto"/>
            <w:left w:val="none" w:sz="0" w:space="0" w:color="auto"/>
            <w:bottom w:val="none" w:sz="0" w:space="0" w:color="auto"/>
            <w:right w:val="none" w:sz="0" w:space="0" w:color="auto"/>
          </w:divBdr>
          <w:divsChild>
            <w:div w:id="415594533">
              <w:marLeft w:val="0"/>
              <w:marRight w:val="0"/>
              <w:marTop w:val="0"/>
              <w:marBottom w:val="0"/>
              <w:divBdr>
                <w:top w:val="none" w:sz="0" w:space="0" w:color="auto"/>
                <w:left w:val="none" w:sz="0" w:space="0" w:color="auto"/>
                <w:bottom w:val="none" w:sz="0" w:space="0" w:color="auto"/>
                <w:right w:val="none" w:sz="0" w:space="0" w:color="auto"/>
              </w:divBdr>
              <w:divsChild>
                <w:div w:id="1853952469">
                  <w:marLeft w:val="0"/>
                  <w:marRight w:val="0"/>
                  <w:marTop w:val="0"/>
                  <w:marBottom w:val="0"/>
                  <w:divBdr>
                    <w:top w:val="none" w:sz="0" w:space="0" w:color="auto"/>
                    <w:left w:val="none" w:sz="0" w:space="0" w:color="auto"/>
                    <w:bottom w:val="none" w:sz="0" w:space="0" w:color="auto"/>
                    <w:right w:val="none" w:sz="0" w:space="0" w:color="auto"/>
                  </w:divBdr>
                  <w:divsChild>
                    <w:div w:id="1948193206">
                      <w:marLeft w:val="0"/>
                      <w:marRight w:val="0"/>
                      <w:marTop w:val="0"/>
                      <w:marBottom w:val="0"/>
                      <w:divBdr>
                        <w:top w:val="none" w:sz="0" w:space="0" w:color="auto"/>
                        <w:left w:val="none" w:sz="0" w:space="0" w:color="auto"/>
                        <w:bottom w:val="none" w:sz="0" w:space="0" w:color="auto"/>
                        <w:right w:val="none" w:sz="0" w:space="0" w:color="auto"/>
                      </w:divBdr>
                      <w:divsChild>
                        <w:div w:id="1752386144">
                          <w:marLeft w:val="0"/>
                          <w:marRight w:val="0"/>
                          <w:marTop w:val="0"/>
                          <w:marBottom w:val="0"/>
                          <w:divBdr>
                            <w:top w:val="none" w:sz="0" w:space="0" w:color="auto"/>
                            <w:left w:val="none" w:sz="0" w:space="0" w:color="auto"/>
                            <w:bottom w:val="none" w:sz="0" w:space="0" w:color="auto"/>
                            <w:right w:val="none" w:sz="0" w:space="0" w:color="auto"/>
                          </w:divBdr>
                          <w:divsChild>
                            <w:div w:id="1988126640">
                              <w:marLeft w:val="0"/>
                              <w:marRight w:val="0"/>
                              <w:marTop w:val="0"/>
                              <w:marBottom w:val="0"/>
                              <w:divBdr>
                                <w:top w:val="none" w:sz="0" w:space="0" w:color="auto"/>
                                <w:left w:val="none" w:sz="0" w:space="0" w:color="auto"/>
                                <w:bottom w:val="none" w:sz="0" w:space="0" w:color="auto"/>
                                <w:right w:val="none" w:sz="0" w:space="0" w:color="auto"/>
                              </w:divBdr>
                              <w:divsChild>
                                <w:div w:id="535898218">
                                  <w:marLeft w:val="0"/>
                                  <w:marRight w:val="0"/>
                                  <w:marTop w:val="0"/>
                                  <w:marBottom w:val="0"/>
                                  <w:divBdr>
                                    <w:top w:val="none" w:sz="0" w:space="0" w:color="auto"/>
                                    <w:left w:val="none" w:sz="0" w:space="0" w:color="auto"/>
                                    <w:bottom w:val="none" w:sz="0" w:space="0" w:color="auto"/>
                                    <w:right w:val="none" w:sz="0" w:space="0" w:color="auto"/>
                                  </w:divBdr>
                                  <w:divsChild>
                                    <w:div w:id="774058775">
                                      <w:marLeft w:val="0"/>
                                      <w:marRight w:val="0"/>
                                      <w:marTop w:val="0"/>
                                      <w:marBottom w:val="0"/>
                                      <w:divBdr>
                                        <w:top w:val="none" w:sz="0" w:space="0" w:color="auto"/>
                                        <w:left w:val="none" w:sz="0" w:space="0" w:color="auto"/>
                                        <w:bottom w:val="none" w:sz="0" w:space="0" w:color="auto"/>
                                        <w:right w:val="none" w:sz="0" w:space="0" w:color="auto"/>
                                      </w:divBdr>
                                      <w:divsChild>
                                        <w:div w:id="643655398">
                                          <w:marLeft w:val="0"/>
                                          <w:marRight w:val="0"/>
                                          <w:marTop w:val="0"/>
                                          <w:marBottom w:val="0"/>
                                          <w:divBdr>
                                            <w:top w:val="none" w:sz="0" w:space="0" w:color="auto"/>
                                            <w:left w:val="none" w:sz="0" w:space="0" w:color="auto"/>
                                            <w:bottom w:val="none" w:sz="0" w:space="0" w:color="auto"/>
                                            <w:right w:val="none" w:sz="0" w:space="0" w:color="auto"/>
                                          </w:divBdr>
                                          <w:divsChild>
                                            <w:div w:id="616715618">
                                              <w:marLeft w:val="0"/>
                                              <w:marRight w:val="0"/>
                                              <w:marTop w:val="0"/>
                                              <w:marBottom w:val="0"/>
                                              <w:divBdr>
                                                <w:top w:val="none" w:sz="0" w:space="0" w:color="auto"/>
                                                <w:left w:val="none" w:sz="0" w:space="0" w:color="auto"/>
                                                <w:bottom w:val="none" w:sz="0" w:space="0" w:color="auto"/>
                                                <w:right w:val="none" w:sz="0" w:space="0" w:color="auto"/>
                                              </w:divBdr>
                                              <w:divsChild>
                                                <w:div w:id="11605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190785">
      <w:bodyDiv w:val="1"/>
      <w:marLeft w:val="0"/>
      <w:marRight w:val="0"/>
      <w:marTop w:val="0"/>
      <w:marBottom w:val="0"/>
      <w:divBdr>
        <w:top w:val="none" w:sz="0" w:space="0" w:color="auto"/>
        <w:left w:val="none" w:sz="0" w:space="0" w:color="auto"/>
        <w:bottom w:val="none" w:sz="0" w:space="0" w:color="auto"/>
        <w:right w:val="none" w:sz="0" w:space="0" w:color="auto"/>
      </w:divBdr>
      <w:divsChild>
        <w:div w:id="1636330188">
          <w:marLeft w:val="0"/>
          <w:marRight w:val="0"/>
          <w:marTop w:val="0"/>
          <w:marBottom w:val="0"/>
          <w:divBdr>
            <w:top w:val="none" w:sz="0" w:space="0" w:color="auto"/>
            <w:left w:val="none" w:sz="0" w:space="0" w:color="auto"/>
            <w:bottom w:val="none" w:sz="0" w:space="0" w:color="auto"/>
            <w:right w:val="none" w:sz="0" w:space="0" w:color="auto"/>
          </w:divBdr>
          <w:divsChild>
            <w:div w:id="1428844070">
              <w:marLeft w:val="0"/>
              <w:marRight w:val="0"/>
              <w:marTop w:val="0"/>
              <w:marBottom w:val="0"/>
              <w:divBdr>
                <w:top w:val="none" w:sz="0" w:space="0" w:color="auto"/>
                <w:left w:val="none" w:sz="0" w:space="0" w:color="auto"/>
                <w:bottom w:val="none" w:sz="0" w:space="0" w:color="auto"/>
                <w:right w:val="none" w:sz="0" w:space="0" w:color="auto"/>
              </w:divBdr>
              <w:divsChild>
                <w:div w:id="4367527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42610500">
      <w:bodyDiv w:val="1"/>
      <w:marLeft w:val="0"/>
      <w:marRight w:val="0"/>
      <w:marTop w:val="0"/>
      <w:marBottom w:val="0"/>
      <w:divBdr>
        <w:top w:val="none" w:sz="0" w:space="0" w:color="auto"/>
        <w:left w:val="none" w:sz="0" w:space="0" w:color="auto"/>
        <w:bottom w:val="none" w:sz="0" w:space="0" w:color="auto"/>
        <w:right w:val="none" w:sz="0" w:space="0" w:color="auto"/>
      </w:divBdr>
      <w:divsChild>
        <w:div w:id="1735814483">
          <w:marLeft w:val="0"/>
          <w:marRight w:val="0"/>
          <w:marTop w:val="0"/>
          <w:marBottom w:val="0"/>
          <w:divBdr>
            <w:top w:val="none" w:sz="0" w:space="0" w:color="auto"/>
            <w:left w:val="none" w:sz="0" w:space="0" w:color="auto"/>
            <w:bottom w:val="none" w:sz="0" w:space="0" w:color="auto"/>
            <w:right w:val="none" w:sz="0" w:space="0" w:color="auto"/>
          </w:divBdr>
          <w:divsChild>
            <w:div w:id="1270940451">
              <w:marLeft w:val="0"/>
              <w:marRight w:val="0"/>
              <w:marTop w:val="0"/>
              <w:marBottom w:val="0"/>
              <w:divBdr>
                <w:top w:val="none" w:sz="0" w:space="0" w:color="auto"/>
                <w:left w:val="none" w:sz="0" w:space="0" w:color="auto"/>
                <w:bottom w:val="none" w:sz="0" w:space="0" w:color="auto"/>
                <w:right w:val="none" w:sz="0" w:space="0" w:color="auto"/>
              </w:divBdr>
              <w:divsChild>
                <w:div w:id="1926720992">
                  <w:marLeft w:val="0"/>
                  <w:marRight w:val="0"/>
                  <w:marTop w:val="0"/>
                  <w:marBottom w:val="0"/>
                  <w:divBdr>
                    <w:top w:val="none" w:sz="0" w:space="0" w:color="auto"/>
                    <w:left w:val="none" w:sz="0" w:space="0" w:color="auto"/>
                    <w:bottom w:val="none" w:sz="0" w:space="0" w:color="auto"/>
                    <w:right w:val="none" w:sz="0" w:space="0" w:color="auto"/>
                  </w:divBdr>
                  <w:divsChild>
                    <w:div w:id="533467337">
                      <w:marLeft w:val="150"/>
                      <w:marRight w:val="150"/>
                      <w:marTop w:val="0"/>
                      <w:marBottom w:val="0"/>
                      <w:divBdr>
                        <w:top w:val="none" w:sz="0" w:space="0" w:color="auto"/>
                        <w:left w:val="none" w:sz="0" w:space="0" w:color="auto"/>
                        <w:bottom w:val="none" w:sz="0" w:space="0" w:color="auto"/>
                        <w:right w:val="none" w:sz="0" w:space="0" w:color="auto"/>
                      </w:divBdr>
                      <w:divsChild>
                        <w:div w:id="1177228997">
                          <w:marLeft w:val="0"/>
                          <w:marRight w:val="0"/>
                          <w:marTop w:val="0"/>
                          <w:marBottom w:val="0"/>
                          <w:divBdr>
                            <w:top w:val="none" w:sz="0" w:space="0" w:color="auto"/>
                            <w:left w:val="none" w:sz="0" w:space="0" w:color="auto"/>
                            <w:bottom w:val="none" w:sz="0" w:space="0" w:color="auto"/>
                            <w:right w:val="none" w:sz="0" w:space="0" w:color="auto"/>
                          </w:divBdr>
                          <w:divsChild>
                            <w:div w:id="1722245622">
                              <w:marLeft w:val="0"/>
                              <w:marRight w:val="0"/>
                              <w:marTop w:val="0"/>
                              <w:marBottom w:val="0"/>
                              <w:divBdr>
                                <w:top w:val="none" w:sz="0" w:space="0" w:color="auto"/>
                                <w:left w:val="none" w:sz="0" w:space="0" w:color="auto"/>
                                <w:bottom w:val="none" w:sz="0" w:space="0" w:color="auto"/>
                                <w:right w:val="none" w:sz="0" w:space="0" w:color="auto"/>
                              </w:divBdr>
                              <w:divsChild>
                                <w:div w:id="1806850961">
                                  <w:marLeft w:val="0"/>
                                  <w:marRight w:val="0"/>
                                  <w:marTop w:val="0"/>
                                  <w:marBottom w:val="0"/>
                                  <w:divBdr>
                                    <w:top w:val="none" w:sz="0" w:space="0" w:color="auto"/>
                                    <w:left w:val="none" w:sz="0" w:space="0" w:color="auto"/>
                                    <w:bottom w:val="none" w:sz="0" w:space="0" w:color="auto"/>
                                    <w:right w:val="none" w:sz="0" w:space="0" w:color="auto"/>
                                  </w:divBdr>
                                  <w:divsChild>
                                    <w:div w:id="1444424239">
                                      <w:marLeft w:val="0"/>
                                      <w:marRight w:val="0"/>
                                      <w:marTop w:val="0"/>
                                      <w:marBottom w:val="0"/>
                                      <w:divBdr>
                                        <w:top w:val="none" w:sz="0" w:space="0" w:color="auto"/>
                                        <w:left w:val="none" w:sz="0" w:space="0" w:color="auto"/>
                                        <w:bottom w:val="none" w:sz="0" w:space="0" w:color="auto"/>
                                        <w:right w:val="none" w:sz="0" w:space="0" w:color="auto"/>
                                      </w:divBdr>
                                      <w:divsChild>
                                        <w:div w:id="2077392670">
                                          <w:marLeft w:val="0"/>
                                          <w:marRight w:val="0"/>
                                          <w:marTop w:val="0"/>
                                          <w:marBottom w:val="0"/>
                                          <w:divBdr>
                                            <w:top w:val="none" w:sz="0" w:space="0" w:color="auto"/>
                                            <w:left w:val="none" w:sz="0" w:space="0" w:color="auto"/>
                                            <w:bottom w:val="none" w:sz="0" w:space="0" w:color="auto"/>
                                            <w:right w:val="none" w:sz="0" w:space="0" w:color="auto"/>
                                          </w:divBdr>
                                          <w:divsChild>
                                            <w:div w:id="1752116077">
                                              <w:marLeft w:val="0"/>
                                              <w:marRight w:val="0"/>
                                              <w:marTop w:val="0"/>
                                              <w:marBottom w:val="0"/>
                                              <w:divBdr>
                                                <w:top w:val="none" w:sz="0" w:space="0" w:color="auto"/>
                                                <w:left w:val="none" w:sz="0" w:space="0" w:color="auto"/>
                                                <w:bottom w:val="none" w:sz="0" w:space="0" w:color="auto"/>
                                                <w:right w:val="none" w:sz="0" w:space="0" w:color="auto"/>
                                              </w:divBdr>
                                              <w:divsChild>
                                                <w:div w:id="329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096619">
      <w:bodyDiv w:val="1"/>
      <w:marLeft w:val="0"/>
      <w:marRight w:val="0"/>
      <w:marTop w:val="0"/>
      <w:marBottom w:val="0"/>
      <w:divBdr>
        <w:top w:val="none" w:sz="0" w:space="0" w:color="auto"/>
        <w:left w:val="none" w:sz="0" w:space="0" w:color="auto"/>
        <w:bottom w:val="none" w:sz="0" w:space="0" w:color="auto"/>
        <w:right w:val="none" w:sz="0" w:space="0" w:color="auto"/>
      </w:divBdr>
      <w:divsChild>
        <w:div w:id="1706834039">
          <w:marLeft w:val="0"/>
          <w:marRight w:val="0"/>
          <w:marTop w:val="0"/>
          <w:marBottom w:val="0"/>
          <w:divBdr>
            <w:top w:val="none" w:sz="0" w:space="0" w:color="auto"/>
            <w:left w:val="none" w:sz="0" w:space="0" w:color="auto"/>
            <w:bottom w:val="none" w:sz="0" w:space="0" w:color="auto"/>
            <w:right w:val="none" w:sz="0" w:space="0" w:color="auto"/>
          </w:divBdr>
          <w:divsChild>
            <w:div w:id="1560558659">
              <w:marLeft w:val="-225"/>
              <w:marRight w:val="-225"/>
              <w:marTop w:val="0"/>
              <w:marBottom w:val="0"/>
              <w:divBdr>
                <w:top w:val="none" w:sz="0" w:space="0" w:color="auto"/>
                <w:left w:val="none" w:sz="0" w:space="0" w:color="auto"/>
                <w:bottom w:val="none" w:sz="0" w:space="0" w:color="auto"/>
                <w:right w:val="none" w:sz="0" w:space="0" w:color="auto"/>
              </w:divBdr>
              <w:divsChild>
                <w:div w:id="1378628571">
                  <w:marLeft w:val="0"/>
                  <w:marRight w:val="0"/>
                  <w:marTop w:val="0"/>
                  <w:marBottom w:val="0"/>
                  <w:divBdr>
                    <w:top w:val="none" w:sz="0" w:space="0" w:color="auto"/>
                    <w:left w:val="none" w:sz="0" w:space="0" w:color="auto"/>
                    <w:bottom w:val="none" w:sz="0" w:space="0" w:color="auto"/>
                    <w:right w:val="none" w:sz="0" w:space="0" w:color="auto"/>
                  </w:divBdr>
                  <w:divsChild>
                    <w:div w:id="1447968888">
                      <w:marLeft w:val="0"/>
                      <w:marRight w:val="0"/>
                      <w:marTop w:val="0"/>
                      <w:marBottom w:val="0"/>
                      <w:divBdr>
                        <w:top w:val="none" w:sz="0" w:space="0" w:color="auto"/>
                        <w:left w:val="none" w:sz="0" w:space="0" w:color="auto"/>
                        <w:bottom w:val="none" w:sz="0" w:space="0" w:color="auto"/>
                        <w:right w:val="none" w:sz="0" w:space="0" w:color="auto"/>
                      </w:divBdr>
                      <w:divsChild>
                        <w:div w:id="548688046">
                          <w:marLeft w:val="0"/>
                          <w:marRight w:val="0"/>
                          <w:marTop w:val="0"/>
                          <w:marBottom w:val="0"/>
                          <w:divBdr>
                            <w:top w:val="none" w:sz="0" w:space="0" w:color="auto"/>
                            <w:left w:val="none" w:sz="0" w:space="0" w:color="auto"/>
                            <w:bottom w:val="none" w:sz="0" w:space="0" w:color="auto"/>
                            <w:right w:val="none" w:sz="0" w:space="0" w:color="auto"/>
                          </w:divBdr>
                          <w:divsChild>
                            <w:div w:id="1548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3066">
      <w:bodyDiv w:val="1"/>
      <w:marLeft w:val="0"/>
      <w:marRight w:val="0"/>
      <w:marTop w:val="0"/>
      <w:marBottom w:val="0"/>
      <w:divBdr>
        <w:top w:val="none" w:sz="0" w:space="0" w:color="auto"/>
        <w:left w:val="none" w:sz="0" w:space="0" w:color="auto"/>
        <w:bottom w:val="none" w:sz="0" w:space="0" w:color="auto"/>
        <w:right w:val="none" w:sz="0" w:space="0" w:color="auto"/>
      </w:divBdr>
      <w:divsChild>
        <w:div w:id="798455985">
          <w:marLeft w:val="0"/>
          <w:marRight w:val="0"/>
          <w:marTop w:val="0"/>
          <w:marBottom w:val="0"/>
          <w:divBdr>
            <w:top w:val="none" w:sz="0" w:space="0" w:color="auto"/>
            <w:left w:val="none" w:sz="0" w:space="0" w:color="auto"/>
            <w:bottom w:val="none" w:sz="0" w:space="0" w:color="auto"/>
            <w:right w:val="none" w:sz="0" w:space="0" w:color="auto"/>
          </w:divBdr>
          <w:divsChild>
            <w:div w:id="1614744251">
              <w:marLeft w:val="0"/>
              <w:marRight w:val="0"/>
              <w:marTop w:val="0"/>
              <w:marBottom w:val="0"/>
              <w:divBdr>
                <w:top w:val="none" w:sz="0" w:space="0" w:color="auto"/>
                <w:left w:val="none" w:sz="0" w:space="0" w:color="auto"/>
                <w:bottom w:val="none" w:sz="0" w:space="0" w:color="auto"/>
                <w:right w:val="none" w:sz="0" w:space="0" w:color="auto"/>
              </w:divBdr>
              <w:divsChild>
                <w:div w:id="167793866">
                  <w:marLeft w:val="0"/>
                  <w:marRight w:val="0"/>
                  <w:marTop w:val="0"/>
                  <w:marBottom w:val="0"/>
                  <w:divBdr>
                    <w:top w:val="none" w:sz="0" w:space="0" w:color="auto"/>
                    <w:left w:val="none" w:sz="0" w:space="0" w:color="auto"/>
                    <w:bottom w:val="none" w:sz="0" w:space="0" w:color="auto"/>
                    <w:right w:val="none" w:sz="0" w:space="0" w:color="auto"/>
                  </w:divBdr>
                  <w:divsChild>
                    <w:div w:id="1881235943">
                      <w:marLeft w:val="0"/>
                      <w:marRight w:val="0"/>
                      <w:marTop w:val="0"/>
                      <w:marBottom w:val="0"/>
                      <w:divBdr>
                        <w:top w:val="none" w:sz="0" w:space="0" w:color="auto"/>
                        <w:left w:val="none" w:sz="0" w:space="0" w:color="auto"/>
                        <w:bottom w:val="none" w:sz="0" w:space="0" w:color="auto"/>
                        <w:right w:val="none" w:sz="0" w:space="0" w:color="auto"/>
                      </w:divBdr>
                      <w:divsChild>
                        <w:div w:id="420569505">
                          <w:marLeft w:val="-225"/>
                          <w:marRight w:val="-225"/>
                          <w:marTop w:val="0"/>
                          <w:marBottom w:val="0"/>
                          <w:divBdr>
                            <w:top w:val="none" w:sz="0" w:space="0" w:color="auto"/>
                            <w:left w:val="none" w:sz="0" w:space="0" w:color="auto"/>
                            <w:bottom w:val="none" w:sz="0" w:space="0" w:color="auto"/>
                            <w:right w:val="none" w:sz="0" w:space="0" w:color="auto"/>
                          </w:divBdr>
                          <w:divsChild>
                            <w:div w:id="1637758957">
                              <w:marLeft w:val="0"/>
                              <w:marRight w:val="0"/>
                              <w:marTop w:val="0"/>
                              <w:marBottom w:val="0"/>
                              <w:divBdr>
                                <w:top w:val="none" w:sz="0" w:space="0" w:color="auto"/>
                                <w:left w:val="none" w:sz="0" w:space="0" w:color="auto"/>
                                <w:bottom w:val="none" w:sz="0" w:space="0" w:color="auto"/>
                                <w:right w:val="none" w:sz="0" w:space="0" w:color="auto"/>
                              </w:divBdr>
                              <w:divsChild>
                                <w:div w:id="1583030737">
                                  <w:marLeft w:val="0"/>
                                  <w:marRight w:val="0"/>
                                  <w:marTop w:val="0"/>
                                  <w:marBottom w:val="0"/>
                                  <w:divBdr>
                                    <w:top w:val="none" w:sz="0" w:space="0" w:color="auto"/>
                                    <w:left w:val="none" w:sz="0" w:space="0" w:color="auto"/>
                                    <w:bottom w:val="none" w:sz="0" w:space="0" w:color="auto"/>
                                    <w:right w:val="none" w:sz="0" w:space="0" w:color="auto"/>
                                  </w:divBdr>
                                  <w:divsChild>
                                    <w:div w:id="515653198">
                                      <w:marLeft w:val="0"/>
                                      <w:marRight w:val="0"/>
                                      <w:marTop w:val="0"/>
                                      <w:marBottom w:val="0"/>
                                      <w:divBdr>
                                        <w:top w:val="none" w:sz="0" w:space="0" w:color="auto"/>
                                        <w:left w:val="none" w:sz="0" w:space="0" w:color="auto"/>
                                        <w:bottom w:val="none" w:sz="0" w:space="0" w:color="auto"/>
                                        <w:right w:val="none" w:sz="0" w:space="0" w:color="auto"/>
                                      </w:divBdr>
                                      <w:divsChild>
                                        <w:div w:id="20144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029969">
      <w:bodyDiv w:val="1"/>
      <w:marLeft w:val="0"/>
      <w:marRight w:val="0"/>
      <w:marTop w:val="0"/>
      <w:marBottom w:val="0"/>
      <w:divBdr>
        <w:top w:val="none" w:sz="0" w:space="0" w:color="auto"/>
        <w:left w:val="none" w:sz="0" w:space="0" w:color="auto"/>
        <w:bottom w:val="none" w:sz="0" w:space="0" w:color="auto"/>
        <w:right w:val="none" w:sz="0" w:space="0" w:color="auto"/>
      </w:divBdr>
      <w:divsChild>
        <w:div w:id="1842550607">
          <w:marLeft w:val="0"/>
          <w:marRight w:val="0"/>
          <w:marTop w:val="0"/>
          <w:marBottom w:val="0"/>
          <w:divBdr>
            <w:top w:val="none" w:sz="0" w:space="0" w:color="auto"/>
            <w:left w:val="none" w:sz="0" w:space="0" w:color="auto"/>
            <w:bottom w:val="none" w:sz="0" w:space="0" w:color="auto"/>
            <w:right w:val="none" w:sz="0" w:space="0" w:color="auto"/>
          </w:divBdr>
          <w:divsChild>
            <w:div w:id="878199145">
              <w:marLeft w:val="0"/>
              <w:marRight w:val="0"/>
              <w:marTop w:val="0"/>
              <w:marBottom w:val="0"/>
              <w:divBdr>
                <w:top w:val="none" w:sz="0" w:space="0" w:color="auto"/>
                <w:left w:val="none" w:sz="0" w:space="0" w:color="auto"/>
                <w:bottom w:val="none" w:sz="0" w:space="0" w:color="auto"/>
                <w:right w:val="none" w:sz="0" w:space="0" w:color="auto"/>
              </w:divBdr>
              <w:divsChild>
                <w:div w:id="779105752">
                  <w:marLeft w:val="0"/>
                  <w:marRight w:val="0"/>
                  <w:marTop w:val="0"/>
                  <w:marBottom w:val="0"/>
                  <w:divBdr>
                    <w:top w:val="none" w:sz="0" w:space="0" w:color="auto"/>
                    <w:left w:val="none" w:sz="0" w:space="0" w:color="auto"/>
                    <w:bottom w:val="none" w:sz="0" w:space="0" w:color="auto"/>
                    <w:right w:val="none" w:sz="0" w:space="0" w:color="auto"/>
                  </w:divBdr>
                  <w:divsChild>
                    <w:div w:id="1572886312">
                      <w:marLeft w:val="0"/>
                      <w:marRight w:val="0"/>
                      <w:marTop w:val="0"/>
                      <w:marBottom w:val="0"/>
                      <w:divBdr>
                        <w:top w:val="none" w:sz="0" w:space="0" w:color="auto"/>
                        <w:left w:val="none" w:sz="0" w:space="0" w:color="auto"/>
                        <w:bottom w:val="none" w:sz="0" w:space="0" w:color="auto"/>
                        <w:right w:val="none" w:sz="0" w:space="0" w:color="auto"/>
                      </w:divBdr>
                      <w:divsChild>
                        <w:div w:id="1313487752">
                          <w:marLeft w:val="0"/>
                          <w:marRight w:val="0"/>
                          <w:marTop w:val="0"/>
                          <w:marBottom w:val="0"/>
                          <w:divBdr>
                            <w:top w:val="none" w:sz="0" w:space="0" w:color="auto"/>
                            <w:left w:val="none" w:sz="0" w:space="0" w:color="auto"/>
                            <w:bottom w:val="none" w:sz="0" w:space="0" w:color="auto"/>
                            <w:right w:val="none" w:sz="0" w:space="0" w:color="auto"/>
                          </w:divBdr>
                          <w:divsChild>
                            <w:div w:id="20545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645829">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2">
          <w:marLeft w:val="0"/>
          <w:marRight w:val="0"/>
          <w:marTop w:val="240"/>
          <w:marBottom w:val="480"/>
          <w:divBdr>
            <w:top w:val="none" w:sz="0" w:space="0" w:color="auto"/>
            <w:left w:val="none" w:sz="0" w:space="0" w:color="auto"/>
            <w:bottom w:val="none" w:sz="0" w:space="0" w:color="auto"/>
            <w:right w:val="none" w:sz="0" w:space="0" w:color="auto"/>
          </w:divBdr>
          <w:divsChild>
            <w:div w:id="1862664248">
              <w:marLeft w:val="0"/>
              <w:marRight w:val="0"/>
              <w:marTop w:val="0"/>
              <w:marBottom w:val="0"/>
              <w:divBdr>
                <w:top w:val="none" w:sz="0" w:space="0" w:color="auto"/>
                <w:left w:val="none" w:sz="0" w:space="0" w:color="auto"/>
                <w:bottom w:val="none" w:sz="0" w:space="0" w:color="auto"/>
                <w:right w:val="none" w:sz="0" w:space="0" w:color="auto"/>
              </w:divBdr>
              <w:divsChild>
                <w:div w:id="1266688135">
                  <w:marLeft w:val="0"/>
                  <w:marRight w:val="0"/>
                  <w:marTop w:val="0"/>
                  <w:marBottom w:val="0"/>
                  <w:divBdr>
                    <w:top w:val="none" w:sz="0" w:space="0" w:color="auto"/>
                    <w:left w:val="none" w:sz="0" w:space="0" w:color="auto"/>
                    <w:bottom w:val="none" w:sz="0" w:space="0" w:color="auto"/>
                    <w:right w:val="none" w:sz="0" w:space="0" w:color="auto"/>
                  </w:divBdr>
                  <w:divsChild>
                    <w:div w:id="952441893">
                      <w:marLeft w:val="0"/>
                      <w:marRight w:val="0"/>
                      <w:marTop w:val="0"/>
                      <w:marBottom w:val="0"/>
                      <w:divBdr>
                        <w:top w:val="none" w:sz="0" w:space="0" w:color="auto"/>
                        <w:left w:val="none" w:sz="0" w:space="0" w:color="auto"/>
                        <w:bottom w:val="none" w:sz="0" w:space="0" w:color="auto"/>
                        <w:right w:val="none" w:sz="0" w:space="0" w:color="auto"/>
                      </w:divBdr>
                      <w:divsChild>
                        <w:div w:id="4763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97762">
      <w:bodyDiv w:val="1"/>
      <w:marLeft w:val="0"/>
      <w:marRight w:val="0"/>
      <w:marTop w:val="0"/>
      <w:marBottom w:val="0"/>
      <w:divBdr>
        <w:top w:val="none" w:sz="0" w:space="0" w:color="auto"/>
        <w:left w:val="none" w:sz="0" w:space="0" w:color="auto"/>
        <w:bottom w:val="none" w:sz="0" w:space="0" w:color="auto"/>
        <w:right w:val="none" w:sz="0" w:space="0" w:color="auto"/>
      </w:divBdr>
      <w:divsChild>
        <w:div w:id="901134786">
          <w:marLeft w:val="0"/>
          <w:marRight w:val="0"/>
          <w:marTop w:val="0"/>
          <w:marBottom w:val="300"/>
          <w:divBdr>
            <w:top w:val="none" w:sz="0" w:space="0" w:color="auto"/>
            <w:left w:val="none" w:sz="0" w:space="0" w:color="auto"/>
            <w:bottom w:val="none" w:sz="0" w:space="0" w:color="auto"/>
            <w:right w:val="none" w:sz="0" w:space="0" w:color="auto"/>
          </w:divBdr>
          <w:divsChild>
            <w:div w:id="277876171">
              <w:marLeft w:val="0"/>
              <w:marRight w:val="0"/>
              <w:marTop w:val="0"/>
              <w:marBottom w:val="0"/>
              <w:divBdr>
                <w:top w:val="none" w:sz="0" w:space="0" w:color="auto"/>
                <w:left w:val="none" w:sz="0" w:space="0" w:color="auto"/>
                <w:bottom w:val="none" w:sz="0" w:space="0" w:color="auto"/>
                <w:right w:val="none" w:sz="0" w:space="0" w:color="auto"/>
              </w:divBdr>
              <w:divsChild>
                <w:div w:id="2042053153">
                  <w:marLeft w:val="0"/>
                  <w:marRight w:val="0"/>
                  <w:marTop w:val="210"/>
                  <w:marBottom w:val="0"/>
                  <w:divBdr>
                    <w:top w:val="single" w:sz="48" w:space="0" w:color="18414C"/>
                    <w:left w:val="single" w:sz="2" w:space="21" w:color="18414C"/>
                    <w:bottom w:val="single" w:sz="48" w:space="0" w:color="18414C"/>
                    <w:right w:val="single" w:sz="2" w:space="21" w:color="18414C"/>
                  </w:divBdr>
                  <w:divsChild>
                    <w:div w:id="163398987">
                      <w:marLeft w:val="0"/>
                      <w:marRight w:val="0"/>
                      <w:marTop w:val="0"/>
                      <w:marBottom w:val="0"/>
                      <w:divBdr>
                        <w:top w:val="none" w:sz="0" w:space="0" w:color="auto"/>
                        <w:left w:val="none" w:sz="0" w:space="0" w:color="auto"/>
                        <w:bottom w:val="none" w:sz="0" w:space="0" w:color="auto"/>
                        <w:right w:val="none" w:sz="0" w:space="0" w:color="auto"/>
                      </w:divBdr>
                      <w:divsChild>
                        <w:div w:id="14043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91089">
      <w:bodyDiv w:val="1"/>
      <w:marLeft w:val="0"/>
      <w:marRight w:val="0"/>
      <w:marTop w:val="0"/>
      <w:marBottom w:val="0"/>
      <w:divBdr>
        <w:top w:val="none" w:sz="0" w:space="0" w:color="auto"/>
        <w:left w:val="none" w:sz="0" w:space="0" w:color="auto"/>
        <w:bottom w:val="none" w:sz="0" w:space="0" w:color="auto"/>
        <w:right w:val="none" w:sz="0" w:space="0" w:color="auto"/>
      </w:divBdr>
    </w:div>
    <w:div w:id="1433865624">
      <w:bodyDiv w:val="1"/>
      <w:marLeft w:val="0"/>
      <w:marRight w:val="0"/>
      <w:marTop w:val="0"/>
      <w:marBottom w:val="0"/>
      <w:divBdr>
        <w:top w:val="none" w:sz="0" w:space="0" w:color="auto"/>
        <w:left w:val="none" w:sz="0" w:space="0" w:color="auto"/>
        <w:bottom w:val="none" w:sz="0" w:space="0" w:color="auto"/>
        <w:right w:val="none" w:sz="0" w:space="0" w:color="auto"/>
      </w:divBdr>
      <w:divsChild>
        <w:div w:id="700588844">
          <w:marLeft w:val="0"/>
          <w:marRight w:val="0"/>
          <w:marTop w:val="240"/>
          <w:marBottom w:val="480"/>
          <w:divBdr>
            <w:top w:val="none" w:sz="0" w:space="0" w:color="auto"/>
            <w:left w:val="none" w:sz="0" w:space="0" w:color="auto"/>
            <w:bottom w:val="none" w:sz="0" w:space="0" w:color="auto"/>
            <w:right w:val="none" w:sz="0" w:space="0" w:color="auto"/>
          </w:divBdr>
          <w:divsChild>
            <w:div w:id="342972316">
              <w:marLeft w:val="0"/>
              <w:marRight w:val="0"/>
              <w:marTop w:val="0"/>
              <w:marBottom w:val="0"/>
              <w:divBdr>
                <w:top w:val="none" w:sz="0" w:space="0" w:color="auto"/>
                <w:left w:val="none" w:sz="0" w:space="0" w:color="auto"/>
                <w:bottom w:val="none" w:sz="0" w:space="0" w:color="auto"/>
                <w:right w:val="none" w:sz="0" w:space="0" w:color="auto"/>
              </w:divBdr>
              <w:divsChild>
                <w:div w:id="579411887">
                  <w:marLeft w:val="0"/>
                  <w:marRight w:val="0"/>
                  <w:marTop w:val="0"/>
                  <w:marBottom w:val="0"/>
                  <w:divBdr>
                    <w:top w:val="none" w:sz="0" w:space="0" w:color="auto"/>
                    <w:left w:val="none" w:sz="0" w:space="0" w:color="auto"/>
                    <w:bottom w:val="none" w:sz="0" w:space="0" w:color="auto"/>
                    <w:right w:val="none" w:sz="0" w:space="0" w:color="auto"/>
                  </w:divBdr>
                  <w:divsChild>
                    <w:div w:id="962617125">
                      <w:marLeft w:val="0"/>
                      <w:marRight w:val="0"/>
                      <w:marTop w:val="0"/>
                      <w:marBottom w:val="0"/>
                      <w:divBdr>
                        <w:top w:val="none" w:sz="0" w:space="0" w:color="auto"/>
                        <w:left w:val="none" w:sz="0" w:space="0" w:color="auto"/>
                        <w:bottom w:val="none" w:sz="0" w:space="0" w:color="auto"/>
                        <w:right w:val="none" w:sz="0" w:space="0" w:color="auto"/>
                      </w:divBdr>
                      <w:divsChild>
                        <w:div w:id="13264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605919">
      <w:bodyDiv w:val="1"/>
      <w:marLeft w:val="0"/>
      <w:marRight w:val="0"/>
      <w:marTop w:val="0"/>
      <w:marBottom w:val="0"/>
      <w:divBdr>
        <w:top w:val="none" w:sz="0" w:space="0" w:color="auto"/>
        <w:left w:val="none" w:sz="0" w:space="0" w:color="auto"/>
        <w:bottom w:val="none" w:sz="0" w:space="0" w:color="auto"/>
        <w:right w:val="none" w:sz="0" w:space="0" w:color="auto"/>
      </w:divBdr>
      <w:divsChild>
        <w:div w:id="916666111">
          <w:marLeft w:val="0"/>
          <w:marRight w:val="0"/>
          <w:marTop w:val="0"/>
          <w:marBottom w:val="0"/>
          <w:divBdr>
            <w:top w:val="none" w:sz="0" w:space="0" w:color="auto"/>
            <w:left w:val="none" w:sz="0" w:space="0" w:color="auto"/>
            <w:bottom w:val="none" w:sz="0" w:space="0" w:color="auto"/>
            <w:right w:val="none" w:sz="0" w:space="0" w:color="auto"/>
          </w:divBdr>
          <w:divsChild>
            <w:div w:id="1821726250">
              <w:marLeft w:val="-225"/>
              <w:marRight w:val="-225"/>
              <w:marTop w:val="0"/>
              <w:marBottom w:val="0"/>
              <w:divBdr>
                <w:top w:val="none" w:sz="0" w:space="0" w:color="auto"/>
                <w:left w:val="none" w:sz="0" w:space="0" w:color="auto"/>
                <w:bottom w:val="none" w:sz="0" w:space="0" w:color="auto"/>
                <w:right w:val="none" w:sz="0" w:space="0" w:color="auto"/>
              </w:divBdr>
              <w:divsChild>
                <w:div w:id="286205917">
                  <w:marLeft w:val="0"/>
                  <w:marRight w:val="0"/>
                  <w:marTop w:val="0"/>
                  <w:marBottom w:val="0"/>
                  <w:divBdr>
                    <w:top w:val="none" w:sz="0" w:space="0" w:color="auto"/>
                    <w:left w:val="none" w:sz="0" w:space="0" w:color="auto"/>
                    <w:bottom w:val="none" w:sz="0" w:space="0" w:color="auto"/>
                    <w:right w:val="none" w:sz="0" w:space="0" w:color="auto"/>
                  </w:divBdr>
                  <w:divsChild>
                    <w:div w:id="1647200221">
                      <w:marLeft w:val="0"/>
                      <w:marRight w:val="0"/>
                      <w:marTop w:val="0"/>
                      <w:marBottom w:val="0"/>
                      <w:divBdr>
                        <w:top w:val="none" w:sz="0" w:space="0" w:color="auto"/>
                        <w:left w:val="none" w:sz="0" w:space="0" w:color="auto"/>
                        <w:bottom w:val="none" w:sz="0" w:space="0" w:color="auto"/>
                        <w:right w:val="none" w:sz="0" w:space="0" w:color="auto"/>
                      </w:divBdr>
                      <w:divsChild>
                        <w:div w:id="765657971">
                          <w:marLeft w:val="0"/>
                          <w:marRight w:val="0"/>
                          <w:marTop w:val="0"/>
                          <w:marBottom w:val="0"/>
                          <w:divBdr>
                            <w:top w:val="none" w:sz="0" w:space="0" w:color="auto"/>
                            <w:left w:val="none" w:sz="0" w:space="0" w:color="auto"/>
                            <w:bottom w:val="none" w:sz="0" w:space="0" w:color="auto"/>
                            <w:right w:val="none" w:sz="0" w:space="0" w:color="auto"/>
                          </w:divBdr>
                          <w:divsChild>
                            <w:div w:id="1284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595789">
      <w:bodyDiv w:val="1"/>
      <w:marLeft w:val="0"/>
      <w:marRight w:val="0"/>
      <w:marTop w:val="0"/>
      <w:marBottom w:val="0"/>
      <w:divBdr>
        <w:top w:val="none" w:sz="0" w:space="0" w:color="auto"/>
        <w:left w:val="none" w:sz="0" w:space="0" w:color="auto"/>
        <w:bottom w:val="none" w:sz="0" w:space="0" w:color="auto"/>
        <w:right w:val="none" w:sz="0" w:space="0" w:color="auto"/>
      </w:divBdr>
      <w:divsChild>
        <w:div w:id="1092966762">
          <w:marLeft w:val="0"/>
          <w:marRight w:val="0"/>
          <w:marTop w:val="0"/>
          <w:marBottom w:val="0"/>
          <w:divBdr>
            <w:top w:val="none" w:sz="0" w:space="0" w:color="auto"/>
            <w:left w:val="none" w:sz="0" w:space="0" w:color="auto"/>
            <w:bottom w:val="none" w:sz="0" w:space="0" w:color="auto"/>
            <w:right w:val="none" w:sz="0" w:space="0" w:color="auto"/>
          </w:divBdr>
          <w:divsChild>
            <w:div w:id="591548617">
              <w:marLeft w:val="0"/>
              <w:marRight w:val="0"/>
              <w:marTop w:val="0"/>
              <w:marBottom w:val="0"/>
              <w:divBdr>
                <w:top w:val="none" w:sz="0" w:space="0" w:color="auto"/>
                <w:left w:val="none" w:sz="0" w:space="0" w:color="auto"/>
                <w:bottom w:val="none" w:sz="0" w:space="0" w:color="auto"/>
                <w:right w:val="none" w:sz="0" w:space="0" w:color="auto"/>
              </w:divBdr>
              <w:divsChild>
                <w:div w:id="2120833044">
                  <w:marLeft w:val="0"/>
                  <w:marRight w:val="0"/>
                  <w:marTop w:val="0"/>
                  <w:marBottom w:val="0"/>
                  <w:divBdr>
                    <w:top w:val="none" w:sz="0" w:space="0" w:color="auto"/>
                    <w:left w:val="none" w:sz="0" w:space="0" w:color="auto"/>
                    <w:bottom w:val="none" w:sz="0" w:space="0" w:color="auto"/>
                    <w:right w:val="none" w:sz="0" w:space="0" w:color="auto"/>
                  </w:divBdr>
                  <w:divsChild>
                    <w:div w:id="67776562">
                      <w:marLeft w:val="0"/>
                      <w:marRight w:val="0"/>
                      <w:marTop w:val="0"/>
                      <w:marBottom w:val="0"/>
                      <w:divBdr>
                        <w:top w:val="none" w:sz="0" w:space="0" w:color="auto"/>
                        <w:left w:val="none" w:sz="0" w:space="0" w:color="auto"/>
                        <w:bottom w:val="none" w:sz="0" w:space="0" w:color="auto"/>
                        <w:right w:val="none" w:sz="0" w:space="0" w:color="auto"/>
                      </w:divBdr>
                      <w:divsChild>
                        <w:div w:id="1723670987">
                          <w:marLeft w:val="0"/>
                          <w:marRight w:val="0"/>
                          <w:marTop w:val="0"/>
                          <w:marBottom w:val="0"/>
                          <w:divBdr>
                            <w:top w:val="none" w:sz="0" w:space="0" w:color="auto"/>
                            <w:left w:val="none" w:sz="0" w:space="0" w:color="auto"/>
                            <w:bottom w:val="none" w:sz="0" w:space="0" w:color="auto"/>
                            <w:right w:val="none" w:sz="0" w:space="0" w:color="auto"/>
                          </w:divBdr>
                          <w:divsChild>
                            <w:div w:id="1788743006">
                              <w:marLeft w:val="0"/>
                              <w:marRight w:val="0"/>
                              <w:marTop w:val="0"/>
                              <w:marBottom w:val="0"/>
                              <w:divBdr>
                                <w:top w:val="none" w:sz="0" w:space="0" w:color="auto"/>
                                <w:left w:val="none" w:sz="0" w:space="0" w:color="auto"/>
                                <w:bottom w:val="none" w:sz="0" w:space="0" w:color="auto"/>
                                <w:right w:val="none" w:sz="0" w:space="0" w:color="auto"/>
                              </w:divBdr>
                              <w:divsChild>
                                <w:div w:id="1131821847">
                                  <w:marLeft w:val="0"/>
                                  <w:marRight w:val="0"/>
                                  <w:marTop w:val="0"/>
                                  <w:marBottom w:val="0"/>
                                  <w:divBdr>
                                    <w:top w:val="none" w:sz="0" w:space="0" w:color="auto"/>
                                    <w:left w:val="none" w:sz="0" w:space="0" w:color="auto"/>
                                    <w:bottom w:val="none" w:sz="0" w:space="0" w:color="auto"/>
                                    <w:right w:val="none" w:sz="0" w:space="0" w:color="auto"/>
                                  </w:divBdr>
                                  <w:divsChild>
                                    <w:div w:id="7987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356692">
      <w:bodyDiv w:val="1"/>
      <w:marLeft w:val="0"/>
      <w:marRight w:val="0"/>
      <w:marTop w:val="0"/>
      <w:marBottom w:val="0"/>
      <w:divBdr>
        <w:top w:val="none" w:sz="0" w:space="0" w:color="auto"/>
        <w:left w:val="none" w:sz="0" w:space="0" w:color="auto"/>
        <w:bottom w:val="none" w:sz="0" w:space="0" w:color="auto"/>
        <w:right w:val="none" w:sz="0" w:space="0" w:color="auto"/>
      </w:divBdr>
    </w:div>
    <w:div w:id="1637252949">
      <w:bodyDiv w:val="1"/>
      <w:marLeft w:val="0"/>
      <w:marRight w:val="0"/>
      <w:marTop w:val="0"/>
      <w:marBottom w:val="0"/>
      <w:divBdr>
        <w:top w:val="none" w:sz="0" w:space="0" w:color="auto"/>
        <w:left w:val="none" w:sz="0" w:space="0" w:color="auto"/>
        <w:bottom w:val="none" w:sz="0" w:space="0" w:color="auto"/>
        <w:right w:val="none" w:sz="0" w:space="0" w:color="auto"/>
      </w:divBdr>
      <w:divsChild>
        <w:div w:id="1596397005">
          <w:marLeft w:val="0"/>
          <w:marRight w:val="0"/>
          <w:marTop w:val="0"/>
          <w:marBottom w:val="0"/>
          <w:divBdr>
            <w:top w:val="none" w:sz="0" w:space="0" w:color="auto"/>
            <w:left w:val="none" w:sz="0" w:space="0" w:color="auto"/>
            <w:bottom w:val="none" w:sz="0" w:space="0" w:color="auto"/>
            <w:right w:val="none" w:sz="0" w:space="0" w:color="auto"/>
          </w:divBdr>
          <w:divsChild>
            <w:div w:id="107821850">
              <w:marLeft w:val="0"/>
              <w:marRight w:val="0"/>
              <w:marTop w:val="0"/>
              <w:marBottom w:val="0"/>
              <w:divBdr>
                <w:top w:val="none" w:sz="0" w:space="0" w:color="auto"/>
                <w:left w:val="none" w:sz="0" w:space="0" w:color="auto"/>
                <w:bottom w:val="none" w:sz="0" w:space="0" w:color="auto"/>
                <w:right w:val="none" w:sz="0" w:space="0" w:color="auto"/>
              </w:divBdr>
              <w:divsChild>
                <w:div w:id="1977566910">
                  <w:marLeft w:val="0"/>
                  <w:marRight w:val="0"/>
                  <w:marTop w:val="0"/>
                  <w:marBottom w:val="0"/>
                  <w:divBdr>
                    <w:top w:val="none" w:sz="0" w:space="0" w:color="auto"/>
                    <w:left w:val="none" w:sz="0" w:space="0" w:color="auto"/>
                    <w:bottom w:val="none" w:sz="0" w:space="0" w:color="auto"/>
                    <w:right w:val="none" w:sz="0" w:space="0" w:color="auto"/>
                  </w:divBdr>
                  <w:divsChild>
                    <w:div w:id="1586960405">
                      <w:marLeft w:val="0"/>
                      <w:marRight w:val="0"/>
                      <w:marTop w:val="0"/>
                      <w:marBottom w:val="0"/>
                      <w:divBdr>
                        <w:top w:val="none" w:sz="0" w:space="0" w:color="auto"/>
                        <w:left w:val="none" w:sz="0" w:space="0" w:color="auto"/>
                        <w:bottom w:val="none" w:sz="0" w:space="0" w:color="auto"/>
                        <w:right w:val="none" w:sz="0" w:space="0" w:color="auto"/>
                      </w:divBdr>
                      <w:divsChild>
                        <w:div w:id="1013411213">
                          <w:marLeft w:val="0"/>
                          <w:marRight w:val="0"/>
                          <w:marTop w:val="0"/>
                          <w:marBottom w:val="0"/>
                          <w:divBdr>
                            <w:top w:val="none" w:sz="0" w:space="0" w:color="auto"/>
                            <w:left w:val="none" w:sz="0" w:space="0" w:color="auto"/>
                            <w:bottom w:val="none" w:sz="0" w:space="0" w:color="auto"/>
                            <w:right w:val="none" w:sz="0" w:space="0" w:color="auto"/>
                          </w:divBdr>
                          <w:divsChild>
                            <w:div w:id="1868063349">
                              <w:marLeft w:val="0"/>
                              <w:marRight w:val="0"/>
                              <w:marTop w:val="0"/>
                              <w:marBottom w:val="0"/>
                              <w:divBdr>
                                <w:top w:val="none" w:sz="0" w:space="0" w:color="auto"/>
                                <w:left w:val="none" w:sz="0" w:space="0" w:color="auto"/>
                                <w:bottom w:val="none" w:sz="0" w:space="0" w:color="auto"/>
                                <w:right w:val="none" w:sz="0" w:space="0" w:color="auto"/>
                              </w:divBdr>
                              <w:divsChild>
                                <w:div w:id="395325623">
                                  <w:marLeft w:val="0"/>
                                  <w:marRight w:val="0"/>
                                  <w:marTop w:val="0"/>
                                  <w:marBottom w:val="0"/>
                                  <w:divBdr>
                                    <w:top w:val="none" w:sz="0" w:space="0" w:color="auto"/>
                                    <w:left w:val="none" w:sz="0" w:space="0" w:color="auto"/>
                                    <w:bottom w:val="none" w:sz="0" w:space="0" w:color="auto"/>
                                    <w:right w:val="none" w:sz="0" w:space="0" w:color="auto"/>
                                  </w:divBdr>
                                  <w:divsChild>
                                    <w:div w:id="1116867365">
                                      <w:marLeft w:val="0"/>
                                      <w:marRight w:val="0"/>
                                      <w:marTop w:val="0"/>
                                      <w:marBottom w:val="0"/>
                                      <w:divBdr>
                                        <w:top w:val="single" w:sz="2" w:space="0" w:color="EAE9E9"/>
                                        <w:left w:val="none" w:sz="0" w:space="0" w:color="EAE9E9"/>
                                        <w:bottom w:val="single" w:sz="2" w:space="15" w:color="EAE9E9"/>
                                        <w:right w:val="none" w:sz="0" w:space="0" w:color="EAE9E9"/>
                                      </w:divBdr>
                                      <w:divsChild>
                                        <w:div w:id="759522529">
                                          <w:marLeft w:val="0"/>
                                          <w:marRight w:val="0"/>
                                          <w:marTop w:val="0"/>
                                          <w:marBottom w:val="0"/>
                                          <w:divBdr>
                                            <w:top w:val="none" w:sz="0" w:space="0" w:color="auto"/>
                                            <w:left w:val="none" w:sz="0" w:space="0" w:color="auto"/>
                                            <w:bottom w:val="none" w:sz="0" w:space="0" w:color="auto"/>
                                            <w:right w:val="none" w:sz="0" w:space="0" w:color="auto"/>
                                          </w:divBdr>
                                          <w:divsChild>
                                            <w:div w:id="1513494310">
                                              <w:marLeft w:val="0"/>
                                              <w:marRight w:val="0"/>
                                              <w:marTop w:val="0"/>
                                              <w:marBottom w:val="0"/>
                                              <w:divBdr>
                                                <w:top w:val="none" w:sz="0" w:space="0" w:color="auto"/>
                                                <w:left w:val="none" w:sz="0" w:space="0" w:color="auto"/>
                                                <w:bottom w:val="none" w:sz="0" w:space="0" w:color="auto"/>
                                                <w:right w:val="none" w:sz="0" w:space="0" w:color="auto"/>
                                              </w:divBdr>
                                              <w:divsChild>
                                                <w:div w:id="3987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132623">
      <w:bodyDiv w:val="1"/>
      <w:marLeft w:val="0"/>
      <w:marRight w:val="0"/>
      <w:marTop w:val="0"/>
      <w:marBottom w:val="0"/>
      <w:divBdr>
        <w:top w:val="none" w:sz="0" w:space="0" w:color="auto"/>
        <w:left w:val="none" w:sz="0" w:space="0" w:color="auto"/>
        <w:bottom w:val="none" w:sz="0" w:space="0" w:color="auto"/>
        <w:right w:val="none" w:sz="0" w:space="0" w:color="auto"/>
      </w:divBdr>
    </w:div>
    <w:div w:id="1768385604">
      <w:bodyDiv w:val="1"/>
      <w:marLeft w:val="0"/>
      <w:marRight w:val="0"/>
      <w:marTop w:val="0"/>
      <w:marBottom w:val="0"/>
      <w:divBdr>
        <w:top w:val="none" w:sz="0" w:space="0" w:color="auto"/>
        <w:left w:val="none" w:sz="0" w:space="0" w:color="auto"/>
        <w:bottom w:val="none" w:sz="0" w:space="0" w:color="auto"/>
        <w:right w:val="none" w:sz="0" w:space="0" w:color="auto"/>
      </w:divBdr>
    </w:div>
    <w:div w:id="1809854259">
      <w:bodyDiv w:val="1"/>
      <w:marLeft w:val="0"/>
      <w:marRight w:val="0"/>
      <w:marTop w:val="0"/>
      <w:marBottom w:val="0"/>
      <w:divBdr>
        <w:top w:val="none" w:sz="0" w:space="0" w:color="auto"/>
        <w:left w:val="none" w:sz="0" w:space="0" w:color="auto"/>
        <w:bottom w:val="none" w:sz="0" w:space="0" w:color="auto"/>
        <w:right w:val="none" w:sz="0" w:space="0" w:color="auto"/>
      </w:divBdr>
      <w:divsChild>
        <w:div w:id="271909537">
          <w:marLeft w:val="0"/>
          <w:marRight w:val="0"/>
          <w:marTop w:val="0"/>
          <w:marBottom w:val="0"/>
          <w:divBdr>
            <w:top w:val="none" w:sz="0" w:space="0" w:color="auto"/>
            <w:left w:val="none" w:sz="0" w:space="0" w:color="auto"/>
            <w:bottom w:val="none" w:sz="0" w:space="0" w:color="auto"/>
            <w:right w:val="none" w:sz="0" w:space="0" w:color="auto"/>
          </w:divBdr>
          <w:divsChild>
            <w:div w:id="1557544501">
              <w:marLeft w:val="0"/>
              <w:marRight w:val="0"/>
              <w:marTop w:val="0"/>
              <w:marBottom w:val="0"/>
              <w:divBdr>
                <w:top w:val="none" w:sz="0" w:space="0" w:color="auto"/>
                <w:left w:val="none" w:sz="0" w:space="0" w:color="auto"/>
                <w:bottom w:val="none" w:sz="0" w:space="0" w:color="auto"/>
                <w:right w:val="none" w:sz="0" w:space="0" w:color="auto"/>
              </w:divBdr>
              <w:divsChild>
                <w:div w:id="1864123346">
                  <w:marLeft w:val="0"/>
                  <w:marRight w:val="0"/>
                  <w:marTop w:val="0"/>
                  <w:marBottom w:val="0"/>
                  <w:divBdr>
                    <w:top w:val="none" w:sz="0" w:space="0" w:color="auto"/>
                    <w:left w:val="none" w:sz="0" w:space="0" w:color="auto"/>
                    <w:bottom w:val="none" w:sz="0" w:space="0" w:color="auto"/>
                    <w:right w:val="none" w:sz="0" w:space="0" w:color="auto"/>
                  </w:divBdr>
                  <w:divsChild>
                    <w:div w:id="830945123">
                      <w:marLeft w:val="0"/>
                      <w:marRight w:val="0"/>
                      <w:marTop w:val="0"/>
                      <w:marBottom w:val="0"/>
                      <w:divBdr>
                        <w:top w:val="none" w:sz="0" w:space="0" w:color="auto"/>
                        <w:left w:val="none" w:sz="0" w:space="0" w:color="auto"/>
                        <w:bottom w:val="none" w:sz="0" w:space="0" w:color="auto"/>
                        <w:right w:val="none" w:sz="0" w:space="0" w:color="auto"/>
                      </w:divBdr>
                      <w:divsChild>
                        <w:div w:id="606887010">
                          <w:marLeft w:val="0"/>
                          <w:marRight w:val="0"/>
                          <w:marTop w:val="0"/>
                          <w:marBottom w:val="0"/>
                          <w:divBdr>
                            <w:top w:val="none" w:sz="0" w:space="0" w:color="auto"/>
                            <w:left w:val="none" w:sz="0" w:space="0" w:color="auto"/>
                            <w:bottom w:val="none" w:sz="0" w:space="0" w:color="auto"/>
                            <w:right w:val="none" w:sz="0" w:space="0" w:color="auto"/>
                          </w:divBdr>
                          <w:divsChild>
                            <w:div w:id="801926142">
                              <w:marLeft w:val="0"/>
                              <w:marRight w:val="0"/>
                              <w:marTop w:val="0"/>
                              <w:marBottom w:val="0"/>
                              <w:divBdr>
                                <w:top w:val="none" w:sz="0" w:space="0" w:color="auto"/>
                                <w:left w:val="none" w:sz="0" w:space="0" w:color="auto"/>
                                <w:bottom w:val="none" w:sz="0" w:space="0" w:color="auto"/>
                                <w:right w:val="none" w:sz="0" w:space="0" w:color="auto"/>
                              </w:divBdr>
                              <w:divsChild>
                                <w:div w:id="150996503">
                                  <w:marLeft w:val="0"/>
                                  <w:marRight w:val="0"/>
                                  <w:marTop w:val="0"/>
                                  <w:marBottom w:val="0"/>
                                  <w:divBdr>
                                    <w:top w:val="none" w:sz="0" w:space="0" w:color="auto"/>
                                    <w:left w:val="none" w:sz="0" w:space="0" w:color="auto"/>
                                    <w:bottom w:val="none" w:sz="0" w:space="0" w:color="auto"/>
                                    <w:right w:val="none" w:sz="0" w:space="0" w:color="auto"/>
                                  </w:divBdr>
                                  <w:divsChild>
                                    <w:div w:id="1591306835">
                                      <w:marLeft w:val="0"/>
                                      <w:marRight w:val="0"/>
                                      <w:marTop w:val="0"/>
                                      <w:marBottom w:val="0"/>
                                      <w:divBdr>
                                        <w:top w:val="none" w:sz="0" w:space="0" w:color="auto"/>
                                        <w:left w:val="none" w:sz="0" w:space="0" w:color="auto"/>
                                        <w:bottom w:val="none" w:sz="0" w:space="0" w:color="auto"/>
                                        <w:right w:val="none" w:sz="0" w:space="0" w:color="auto"/>
                                      </w:divBdr>
                                      <w:divsChild>
                                        <w:div w:id="1507286038">
                                          <w:marLeft w:val="0"/>
                                          <w:marRight w:val="0"/>
                                          <w:marTop w:val="0"/>
                                          <w:marBottom w:val="0"/>
                                          <w:divBdr>
                                            <w:top w:val="none" w:sz="0" w:space="0" w:color="auto"/>
                                            <w:left w:val="none" w:sz="0" w:space="0" w:color="auto"/>
                                            <w:bottom w:val="none" w:sz="0" w:space="0" w:color="auto"/>
                                            <w:right w:val="none" w:sz="0" w:space="0" w:color="auto"/>
                                          </w:divBdr>
                                          <w:divsChild>
                                            <w:div w:id="4136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8218">
      <w:bodyDiv w:val="1"/>
      <w:marLeft w:val="0"/>
      <w:marRight w:val="0"/>
      <w:marTop w:val="0"/>
      <w:marBottom w:val="0"/>
      <w:divBdr>
        <w:top w:val="none" w:sz="0" w:space="0" w:color="auto"/>
        <w:left w:val="none" w:sz="0" w:space="0" w:color="auto"/>
        <w:bottom w:val="none" w:sz="0" w:space="0" w:color="auto"/>
        <w:right w:val="none" w:sz="0" w:space="0" w:color="auto"/>
      </w:divBdr>
      <w:divsChild>
        <w:div w:id="91512408">
          <w:marLeft w:val="0"/>
          <w:marRight w:val="0"/>
          <w:marTop w:val="0"/>
          <w:marBottom w:val="0"/>
          <w:divBdr>
            <w:top w:val="none" w:sz="0" w:space="0" w:color="auto"/>
            <w:left w:val="none" w:sz="0" w:space="0" w:color="auto"/>
            <w:bottom w:val="none" w:sz="0" w:space="0" w:color="auto"/>
            <w:right w:val="none" w:sz="0" w:space="0" w:color="auto"/>
          </w:divBdr>
          <w:divsChild>
            <w:div w:id="857281841">
              <w:marLeft w:val="0"/>
              <w:marRight w:val="0"/>
              <w:marTop w:val="0"/>
              <w:marBottom w:val="0"/>
              <w:divBdr>
                <w:top w:val="none" w:sz="0" w:space="0" w:color="auto"/>
                <w:left w:val="none" w:sz="0" w:space="0" w:color="auto"/>
                <w:bottom w:val="none" w:sz="0" w:space="0" w:color="auto"/>
                <w:right w:val="none" w:sz="0" w:space="0" w:color="auto"/>
              </w:divBdr>
              <w:divsChild>
                <w:div w:id="11195717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31086987">
      <w:bodyDiv w:val="1"/>
      <w:marLeft w:val="0"/>
      <w:marRight w:val="0"/>
      <w:marTop w:val="0"/>
      <w:marBottom w:val="0"/>
      <w:divBdr>
        <w:top w:val="none" w:sz="0" w:space="0" w:color="auto"/>
        <w:left w:val="none" w:sz="0" w:space="0" w:color="auto"/>
        <w:bottom w:val="none" w:sz="0" w:space="0" w:color="auto"/>
        <w:right w:val="none" w:sz="0" w:space="0" w:color="auto"/>
      </w:divBdr>
    </w:div>
    <w:div w:id="2034764731">
      <w:bodyDiv w:val="1"/>
      <w:marLeft w:val="0"/>
      <w:marRight w:val="0"/>
      <w:marTop w:val="0"/>
      <w:marBottom w:val="0"/>
      <w:divBdr>
        <w:top w:val="none" w:sz="0" w:space="0" w:color="auto"/>
        <w:left w:val="none" w:sz="0" w:space="0" w:color="auto"/>
        <w:bottom w:val="none" w:sz="0" w:space="0" w:color="auto"/>
        <w:right w:val="none" w:sz="0" w:space="0" w:color="auto"/>
      </w:divBdr>
      <w:divsChild>
        <w:div w:id="637954345">
          <w:marLeft w:val="0"/>
          <w:marRight w:val="0"/>
          <w:marTop w:val="0"/>
          <w:marBottom w:val="0"/>
          <w:divBdr>
            <w:top w:val="none" w:sz="0" w:space="0" w:color="auto"/>
            <w:left w:val="none" w:sz="0" w:space="0" w:color="auto"/>
            <w:bottom w:val="none" w:sz="0" w:space="0" w:color="auto"/>
            <w:right w:val="none" w:sz="0" w:space="0" w:color="auto"/>
          </w:divBdr>
          <w:divsChild>
            <w:div w:id="2061400927">
              <w:marLeft w:val="0"/>
              <w:marRight w:val="0"/>
              <w:marTop w:val="0"/>
              <w:marBottom w:val="0"/>
              <w:divBdr>
                <w:top w:val="none" w:sz="0" w:space="0" w:color="auto"/>
                <w:left w:val="none" w:sz="0" w:space="0" w:color="auto"/>
                <w:bottom w:val="none" w:sz="0" w:space="0" w:color="auto"/>
                <w:right w:val="none" w:sz="0" w:space="0" w:color="auto"/>
              </w:divBdr>
              <w:divsChild>
                <w:div w:id="1253124742">
                  <w:marLeft w:val="0"/>
                  <w:marRight w:val="0"/>
                  <w:marTop w:val="0"/>
                  <w:marBottom w:val="0"/>
                  <w:divBdr>
                    <w:top w:val="none" w:sz="0" w:space="0" w:color="auto"/>
                    <w:left w:val="none" w:sz="0" w:space="0" w:color="auto"/>
                    <w:bottom w:val="none" w:sz="0" w:space="0" w:color="auto"/>
                    <w:right w:val="none" w:sz="0" w:space="0" w:color="auto"/>
                  </w:divBdr>
                  <w:divsChild>
                    <w:div w:id="255286814">
                      <w:marLeft w:val="150"/>
                      <w:marRight w:val="150"/>
                      <w:marTop w:val="0"/>
                      <w:marBottom w:val="0"/>
                      <w:divBdr>
                        <w:top w:val="none" w:sz="0" w:space="0" w:color="auto"/>
                        <w:left w:val="none" w:sz="0" w:space="0" w:color="auto"/>
                        <w:bottom w:val="none" w:sz="0" w:space="0" w:color="auto"/>
                        <w:right w:val="none" w:sz="0" w:space="0" w:color="auto"/>
                      </w:divBdr>
                      <w:divsChild>
                        <w:div w:id="1897232693">
                          <w:marLeft w:val="0"/>
                          <w:marRight w:val="0"/>
                          <w:marTop w:val="0"/>
                          <w:marBottom w:val="0"/>
                          <w:divBdr>
                            <w:top w:val="none" w:sz="0" w:space="0" w:color="auto"/>
                            <w:left w:val="none" w:sz="0" w:space="0" w:color="auto"/>
                            <w:bottom w:val="none" w:sz="0" w:space="0" w:color="auto"/>
                            <w:right w:val="none" w:sz="0" w:space="0" w:color="auto"/>
                          </w:divBdr>
                          <w:divsChild>
                            <w:div w:id="826677563">
                              <w:marLeft w:val="0"/>
                              <w:marRight w:val="0"/>
                              <w:marTop w:val="0"/>
                              <w:marBottom w:val="0"/>
                              <w:divBdr>
                                <w:top w:val="none" w:sz="0" w:space="0" w:color="auto"/>
                                <w:left w:val="none" w:sz="0" w:space="0" w:color="auto"/>
                                <w:bottom w:val="none" w:sz="0" w:space="0" w:color="auto"/>
                                <w:right w:val="none" w:sz="0" w:space="0" w:color="auto"/>
                              </w:divBdr>
                              <w:divsChild>
                                <w:div w:id="1249466419">
                                  <w:marLeft w:val="0"/>
                                  <w:marRight w:val="0"/>
                                  <w:marTop w:val="0"/>
                                  <w:marBottom w:val="0"/>
                                  <w:divBdr>
                                    <w:top w:val="none" w:sz="0" w:space="0" w:color="auto"/>
                                    <w:left w:val="none" w:sz="0" w:space="0" w:color="auto"/>
                                    <w:bottom w:val="none" w:sz="0" w:space="0" w:color="auto"/>
                                    <w:right w:val="none" w:sz="0" w:space="0" w:color="auto"/>
                                  </w:divBdr>
                                  <w:divsChild>
                                    <w:div w:id="98138936">
                                      <w:marLeft w:val="0"/>
                                      <w:marRight w:val="0"/>
                                      <w:marTop w:val="0"/>
                                      <w:marBottom w:val="0"/>
                                      <w:divBdr>
                                        <w:top w:val="none" w:sz="0" w:space="0" w:color="auto"/>
                                        <w:left w:val="none" w:sz="0" w:space="0" w:color="auto"/>
                                        <w:bottom w:val="none" w:sz="0" w:space="0" w:color="auto"/>
                                        <w:right w:val="none" w:sz="0" w:space="0" w:color="auto"/>
                                      </w:divBdr>
                                      <w:divsChild>
                                        <w:div w:id="357969493">
                                          <w:marLeft w:val="0"/>
                                          <w:marRight w:val="0"/>
                                          <w:marTop w:val="0"/>
                                          <w:marBottom w:val="0"/>
                                          <w:divBdr>
                                            <w:top w:val="none" w:sz="0" w:space="0" w:color="auto"/>
                                            <w:left w:val="none" w:sz="0" w:space="0" w:color="auto"/>
                                            <w:bottom w:val="none" w:sz="0" w:space="0" w:color="auto"/>
                                            <w:right w:val="none" w:sz="0" w:space="0" w:color="auto"/>
                                          </w:divBdr>
                                          <w:divsChild>
                                            <w:div w:id="1331955693">
                                              <w:marLeft w:val="0"/>
                                              <w:marRight w:val="0"/>
                                              <w:marTop w:val="0"/>
                                              <w:marBottom w:val="0"/>
                                              <w:divBdr>
                                                <w:top w:val="none" w:sz="0" w:space="0" w:color="auto"/>
                                                <w:left w:val="none" w:sz="0" w:space="0" w:color="auto"/>
                                                <w:bottom w:val="none" w:sz="0" w:space="0" w:color="auto"/>
                                                <w:right w:val="none" w:sz="0" w:space="0" w:color="auto"/>
                                              </w:divBdr>
                                              <w:divsChild>
                                                <w:div w:id="13153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nowyournosie.nal.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hmrc.gov.au/restructure/changes" TargetMode="External"/><Relationship Id="rId13" Type="http://schemas.openxmlformats.org/officeDocument/2006/relationships/hyperlink" Target="http://www.farmerhealth.org.au/page/about-us" TargetMode="External"/><Relationship Id="rId3" Type="http://schemas.openxmlformats.org/officeDocument/2006/relationships/hyperlink" Target="https://hearsmart.org/what-we-do/know-your-noise/" TargetMode="External"/><Relationship Id="rId7" Type="http://schemas.openxmlformats.org/officeDocument/2006/relationships/hyperlink" Target="http://medicarestatistics.humanservices.gov.au/statistics/mbs_item.jsphttp:/medicarestatistics.humanservices.gov.au/statistics/mbs_item.jsp" TargetMode="External"/><Relationship Id="rId12" Type="http://schemas.openxmlformats.org/officeDocument/2006/relationships/hyperlink" Target="http://www.hearingservices.gov.au/wps/portal/hso/site/about/whoarewe/research/completed-reasearch-projects/!ut/p/a1/tVJNc4JADP0rvXDc2YigeNzxg6JVp1NbgYsT1iBYYRHXWv-967QeS-uhueVN5uUl7_GYhzwu8SPfoM5VibtrH3dWk2e30wrAnnhv8xEIMXt9Go8cG-bAlzzmsSx1pTMeZQf1IFWpqdQW" TargetMode="External"/><Relationship Id="rId17" Type="http://schemas.openxmlformats.org/officeDocument/2006/relationships/hyperlink" Target="http://www.hearingservices.gov.au/wps/portal/hso/site/about/legislation/contracts/service-provider-contract-2015-18/!ut/p/a1/tVJNU8IwEP0rXnrMZBvo1zHDlwWBcURpe2HSNKXR0pQ2oPx7U0cdL4Ic3Fs2b96-3fdwgiOcVOwot0xLVbGyeyfuZnbvuHYIZOY_LcdA6eLxbjruE1gCXuMEJ7zStS5wXLT" TargetMode="External"/><Relationship Id="rId2" Type="http://schemas.openxmlformats.org/officeDocument/2006/relationships/hyperlink" Target="http://www.deafeducation.vic.edu.au/Documents/Resources/FactSheets/UniNBHearScreen.pdf" TargetMode="External"/><Relationship Id="rId16" Type="http://schemas.openxmlformats.org/officeDocument/2006/relationships/hyperlink" Target="https://relayservice.gov.au/about/features-of-the-service/" TargetMode="External"/><Relationship Id="rId1" Type="http://schemas.openxmlformats.org/officeDocument/2006/relationships/hyperlink" Target="https://www.hearing.com.au/australian-hearing-annual-reports/" TargetMode="External"/><Relationship Id="rId6" Type="http://schemas.openxmlformats.org/officeDocument/2006/relationships/hyperlink" Target="http://www.mbsonline.gov.au/internet/mbsonline/publishing.nsf/Content/connectinghealthservices-Program+Overview" TargetMode="External"/><Relationship Id="rId11" Type="http://schemas.openxmlformats.org/officeDocument/2006/relationships/hyperlink" Target="https://www.safeworkaustralia.gov.au/law-and-regulation/law-your-state" TargetMode="External"/><Relationship Id="rId5" Type="http://schemas.openxmlformats.org/officeDocument/2006/relationships/hyperlink" Target="http://www.mbsonline.gov.au/internet/mbsonline/publishing.nsf/Content/Diagnostic-Audiology-Services-under-Medicare" TargetMode="External"/><Relationship Id="rId15" Type="http://schemas.openxmlformats.org/officeDocument/2006/relationships/hyperlink" Target="https://relayservice.gov.au/about/about-the-organisation/" TargetMode="External"/><Relationship Id="rId10" Type="http://schemas.openxmlformats.org/officeDocument/2006/relationships/hyperlink" Target="https://www.safeworkaustralia.gov.au/noise" TargetMode="External"/><Relationship Id="rId4" Type="http://schemas.openxmlformats.org/officeDocument/2006/relationships/hyperlink" Target="http://www.health.gov.au/internet/main/publishing.nsf/content/mha.htm" TargetMode="External"/><Relationship Id="rId9" Type="http://schemas.openxmlformats.org/officeDocument/2006/relationships/hyperlink" Target="https://www.nhmrc.gov.au/grants-funding/research-funding-statistics-and-data" TargetMode="External"/><Relationship Id="rId14" Type="http://schemas.openxmlformats.org/officeDocument/2006/relationships/hyperlink" Target="http://www.nabs.org.au/about-na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0679-7047-49A0-BA6C-7E810C271402}">
  <ds:schemaRefs>
    <ds:schemaRef ds:uri="http://schemas.microsoft.com/sharepoint/v3/contenttype/forms"/>
  </ds:schemaRefs>
</ds:datastoreItem>
</file>

<file path=customXml/itemProps2.xml><?xml version="1.0" encoding="utf-8"?>
<ds:datastoreItem xmlns:ds="http://schemas.openxmlformats.org/officeDocument/2006/customXml" ds:itemID="{CFEF0336-36A0-4FEB-B7FB-9B9FABABD01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80489C-473A-43B8-BCFA-B80E71DA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E5B1AD-8058-4DA9-9242-60C6C6BD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5241</Words>
  <Characters>32342</Characters>
  <Application>Microsoft Office Word</Application>
  <DocSecurity>0</DocSecurity>
  <Lines>577</Lines>
  <Paragraphs>233</Paragraphs>
  <ScaleCrop>false</ScaleCrop>
  <HeadingPairs>
    <vt:vector size="2" baseType="variant">
      <vt:variant>
        <vt:lpstr>Title</vt:lpstr>
      </vt:variant>
      <vt:variant>
        <vt:i4>1</vt:i4>
      </vt:variant>
    </vt:vector>
  </HeadingPairs>
  <TitlesOfParts>
    <vt:vector size="1" baseType="lpstr">
      <vt:lpstr>Supplementary Information -  Australian Government response to the Standing Committee on Health, Aged Care and Sport report: Still waiting to be heard… Report on the Inquiry into the Hearing Health and Wellbeing of Australia</vt:lpstr>
    </vt:vector>
  </TitlesOfParts>
  <Company>Dept Health And Ageing</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  Australian Government response to the Standing Committee on Health, Aged Care and Sport report: Still waiting to be heard… Report on the Inquiry into the Hearing Health and Wellbeing of Australia</dc:title>
  <dc:subject>Government Response </dc:subject>
  <dc:creator>Department of health</dc:creator>
  <cp:keywords>Government response; Hearing Health; Aged care;Aged care workforce; Standing Committee on Health</cp:keywords>
  <cp:lastModifiedBy>Maschke, Elvia</cp:lastModifiedBy>
  <cp:revision>9</cp:revision>
  <cp:lastPrinted>2018-05-09T06:20:00Z</cp:lastPrinted>
  <dcterms:created xsi:type="dcterms:W3CDTF">2019-06-13T10:08:00Z</dcterms:created>
  <dcterms:modified xsi:type="dcterms:W3CDTF">2019-06-13T10:23:00Z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