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08" w:type="dxa"/>
        <w:tblInd w:w="-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</w:tblCellMar>
        <w:tblLook w:val="04A0" w:firstRow="1" w:lastRow="0" w:firstColumn="1" w:lastColumn="0" w:noHBand="0" w:noVBand="1"/>
        <w:tblCaption w:val="Aus Gov and ATAGI header"/>
      </w:tblPr>
      <w:tblGrid>
        <w:gridCol w:w="3579"/>
        <w:gridCol w:w="6429"/>
      </w:tblGrid>
      <w:tr w:rsidR="00B573A2" w:rsidRPr="0024014B" w14:paraId="5C1FF93D" w14:textId="77777777" w:rsidTr="00E80039">
        <w:trPr>
          <w:trHeight w:val="1831"/>
          <w:tblHeader/>
        </w:trPr>
        <w:tc>
          <w:tcPr>
            <w:tcW w:w="3579" w:type="dxa"/>
            <w:shd w:val="clear" w:color="auto" w:fill="55259E"/>
            <w:vAlign w:val="center"/>
          </w:tcPr>
          <w:p w14:paraId="1950A45F" w14:textId="1C55C742" w:rsidR="00B573A2" w:rsidRPr="0024014B" w:rsidRDefault="00AB5C77" w:rsidP="005F7EEC">
            <w:pPr>
              <w:rPr>
                <w:rFonts w:eastAsia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0E72688" wp14:editId="053ACA20">
                  <wp:extent cx="1394460" cy="1089660"/>
                  <wp:effectExtent l="0" t="0" r="0" b="0"/>
                  <wp:docPr id="4513893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3893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shd w:val="clear" w:color="auto" w:fill="55259E"/>
            <w:vAlign w:val="center"/>
          </w:tcPr>
          <w:p w14:paraId="45BE9C44" w14:textId="77777777" w:rsidR="00B573A2" w:rsidRPr="0024014B" w:rsidRDefault="00B573A2" w:rsidP="005F7EEC">
            <w:pPr>
              <w:keepNext/>
              <w:keepLines/>
              <w:spacing w:before="120"/>
              <w:jc w:val="right"/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</w:pPr>
            <w:r w:rsidRPr="0024014B"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  <w:t xml:space="preserve">AUSTRALIAN TECHNICAL ADVISORY </w:t>
            </w:r>
          </w:p>
          <w:p w14:paraId="3C7DA8AE" w14:textId="77777777" w:rsidR="00B573A2" w:rsidRPr="0024014B" w:rsidRDefault="00B573A2" w:rsidP="005F7EEC">
            <w:pPr>
              <w:keepNext/>
              <w:keepLines/>
              <w:spacing w:before="120"/>
              <w:jc w:val="right"/>
              <w:rPr>
                <w:rFonts w:eastAsia="Times New Roman"/>
                <w:b/>
                <w:caps/>
                <w:color w:val="FFFFFF"/>
                <w:kern w:val="20"/>
                <w:sz w:val="28"/>
                <w:szCs w:val="48"/>
              </w:rPr>
            </w:pPr>
            <w:r w:rsidRPr="0024014B"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  <w:t>GROUP ON IMMUNISATION (ATAGI)</w:t>
            </w:r>
          </w:p>
          <w:p w14:paraId="3BBCFC18" w14:textId="3DFEE26B" w:rsidR="00B573A2" w:rsidRPr="0024014B" w:rsidRDefault="00AE564D" w:rsidP="005F7EEC">
            <w:pPr>
              <w:keepNext/>
              <w:keepLines/>
              <w:spacing w:before="120"/>
              <w:jc w:val="right"/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</w:pPr>
            <w:r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  <w:t xml:space="preserve">INTERIM </w:t>
            </w:r>
            <w:r w:rsidR="00B573A2" w:rsidRPr="0024014B">
              <w:rPr>
                <w:rFonts w:eastAsia="Times New Roman"/>
                <w:caps/>
                <w:color w:val="FFFFFF"/>
                <w:kern w:val="20"/>
                <w:sz w:val="28"/>
                <w:szCs w:val="48"/>
              </w:rPr>
              <w:t>CLINICAL ADVICE</w:t>
            </w:r>
          </w:p>
        </w:tc>
      </w:tr>
      <w:tr w:rsidR="00B573A2" w:rsidRPr="0024014B" w14:paraId="3B5FADFF" w14:textId="77777777" w:rsidTr="00E80039">
        <w:tc>
          <w:tcPr>
            <w:tcW w:w="3579" w:type="dxa"/>
            <w:shd w:val="clear" w:color="auto" w:fill="55259E"/>
          </w:tcPr>
          <w:p w14:paraId="51A96ECD" w14:textId="77777777" w:rsidR="00B573A2" w:rsidRPr="0024014B" w:rsidRDefault="00B573A2" w:rsidP="005F7EEC">
            <w:pPr>
              <w:rPr>
                <w:rFonts w:eastAsia="Times New Roman"/>
                <w:szCs w:val="20"/>
              </w:rPr>
            </w:pPr>
          </w:p>
        </w:tc>
        <w:tc>
          <w:tcPr>
            <w:tcW w:w="6429" w:type="dxa"/>
            <w:shd w:val="clear" w:color="auto" w:fill="55259E"/>
            <w:vAlign w:val="center"/>
          </w:tcPr>
          <w:p w14:paraId="6C0C9FE9" w14:textId="3A6ABA6C" w:rsidR="00B573A2" w:rsidRPr="0024014B" w:rsidRDefault="00B573A2" w:rsidP="005F7EEC">
            <w:pPr>
              <w:spacing w:after="120"/>
              <w:jc w:val="right"/>
              <w:rPr>
                <w:rFonts w:eastAsia="Times New Roman"/>
                <w:b/>
                <w:bCs/>
                <w:color w:val="FFFFFF"/>
                <w:szCs w:val="20"/>
              </w:rPr>
            </w:pPr>
            <w:r w:rsidRPr="0024014B">
              <w:rPr>
                <w:rFonts w:eastAsia="Times New Roman"/>
                <w:b/>
                <w:bCs/>
                <w:color w:val="FFFFFF"/>
                <w:szCs w:val="20"/>
              </w:rPr>
              <w:t xml:space="preserve">Issue date:  </w:t>
            </w:r>
            <w:r w:rsidR="009A2EDF">
              <w:rPr>
                <w:rFonts w:eastAsia="Times New Roman"/>
                <w:b/>
                <w:bCs/>
                <w:color w:val="FFFFFF"/>
                <w:szCs w:val="20"/>
              </w:rPr>
              <w:t xml:space="preserve">05 </w:t>
            </w:r>
            <w:r w:rsidR="00F81B00" w:rsidRPr="00F81B00">
              <w:rPr>
                <w:rFonts w:eastAsia="Times New Roman"/>
                <w:b/>
                <w:bCs/>
                <w:color w:val="FFFFFF" w:themeColor="background1"/>
                <w:szCs w:val="20"/>
              </w:rPr>
              <w:t>November</w:t>
            </w:r>
            <w:r w:rsidRPr="0024014B">
              <w:rPr>
                <w:rFonts w:eastAsia="Times New Roman"/>
                <w:b/>
                <w:bCs/>
                <w:color w:val="FFFFFF"/>
                <w:szCs w:val="20"/>
              </w:rPr>
              <w:t xml:space="preserve"> 2026</w:t>
            </w:r>
          </w:p>
        </w:tc>
      </w:tr>
    </w:tbl>
    <w:p w14:paraId="60A2EF52" w14:textId="37E5C96B" w:rsidR="00B573A2" w:rsidRPr="0024014B" w:rsidRDefault="00AE564D" w:rsidP="606D04C8">
      <w:pPr>
        <w:pBdr>
          <w:left w:val="single" w:sz="48" w:space="31" w:color="57259F"/>
        </w:pBdr>
        <w:spacing w:before="120" w:after="120" w:line="240" w:lineRule="auto"/>
        <w:ind w:left="284"/>
        <w:outlineLvl w:val="0"/>
        <w:rPr>
          <w:rFonts w:eastAsia="Times New Roman" w:cs="Arial"/>
          <w:caps/>
          <w:color w:val="000000"/>
          <w:kern w:val="0"/>
          <w:sz w:val="28"/>
          <w:szCs w:val="28"/>
          <w14:ligatures w14:val="none"/>
        </w:rPr>
      </w:pPr>
      <w:r>
        <w:rPr>
          <w:rFonts w:eastAsia="Times New Roman" w:cs="Arial"/>
          <w:caps/>
          <w:color w:val="000000"/>
          <w:kern w:val="0"/>
          <w:sz w:val="28"/>
          <w:szCs w:val="28"/>
          <w14:ligatures w14:val="none"/>
        </w:rPr>
        <w:t xml:space="preserve">INTERIM </w:t>
      </w:r>
      <w:r w:rsidR="00B573A2" w:rsidRPr="606D04C8">
        <w:rPr>
          <w:rFonts w:eastAsia="Times New Roman" w:cs="Arial"/>
          <w:caps/>
          <w:color w:val="000000"/>
          <w:kern w:val="0"/>
          <w:sz w:val="28"/>
          <w:szCs w:val="28"/>
          <w14:ligatures w14:val="none"/>
        </w:rPr>
        <w:t xml:space="preserve">ATAGI Advice on the </w:t>
      </w:r>
      <w:r w:rsidR="69C5D0E1" w:rsidRPr="606D04C8">
        <w:rPr>
          <w:rFonts w:eastAsia="Times New Roman" w:cs="Arial"/>
          <w:caps/>
          <w:color w:val="000000" w:themeColor="text1"/>
          <w:sz w:val="28"/>
          <w:szCs w:val="28"/>
        </w:rPr>
        <w:t>Administration</w:t>
      </w:r>
      <w:r w:rsidR="00B573A2" w:rsidRPr="606D04C8">
        <w:rPr>
          <w:rFonts w:eastAsia="Times New Roman" w:cs="Arial"/>
          <w:caps/>
          <w:color w:val="000000" w:themeColor="text1"/>
          <w:sz w:val="28"/>
          <w:szCs w:val="28"/>
        </w:rPr>
        <w:t xml:space="preserve"> of rsv</w:t>
      </w:r>
      <w:r w:rsidR="00693C72" w:rsidRPr="606D04C8">
        <w:rPr>
          <w:rFonts w:eastAsia="Times New Roman" w:cs="Arial"/>
          <w:caps/>
          <w:color w:val="000000" w:themeColor="text1"/>
          <w:sz w:val="28"/>
          <w:szCs w:val="28"/>
        </w:rPr>
        <w:t>-Specific</w:t>
      </w:r>
      <w:r w:rsidR="003846B7" w:rsidRPr="606D04C8">
        <w:rPr>
          <w:rFonts w:eastAsia="Times New Roman" w:cs="Arial"/>
          <w:caps/>
          <w:color w:val="000000" w:themeColor="text1"/>
          <w:sz w:val="28"/>
          <w:szCs w:val="28"/>
        </w:rPr>
        <w:t xml:space="preserve"> </w:t>
      </w:r>
      <w:r w:rsidR="00B573A2" w:rsidRPr="606D04C8">
        <w:rPr>
          <w:rFonts w:eastAsia="Times New Roman" w:cs="Arial"/>
          <w:caps/>
          <w:color w:val="000000" w:themeColor="text1"/>
          <w:sz w:val="28"/>
          <w:szCs w:val="28"/>
        </w:rPr>
        <w:t>monoclonal antibodies to aboriginal and tor</w:t>
      </w:r>
      <w:r w:rsidR="00693C72" w:rsidRPr="606D04C8">
        <w:rPr>
          <w:rFonts w:eastAsia="Times New Roman" w:cs="Arial"/>
          <w:caps/>
          <w:color w:val="000000" w:themeColor="text1"/>
          <w:sz w:val="28"/>
          <w:szCs w:val="28"/>
        </w:rPr>
        <w:t>r</w:t>
      </w:r>
      <w:r w:rsidR="00B573A2" w:rsidRPr="606D04C8">
        <w:rPr>
          <w:rFonts w:eastAsia="Times New Roman" w:cs="Arial"/>
          <w:caps/>
          <w:color w:val="000000" w:themeColor="text1"/>
          <w:sz w:val="28"/>
          <w:szCs w:val="28"/>
        </w:rPr>
        <w:t>es strait islander infants</w:t>
      </w:r>
      <w:r w:rsidR="00693C72" w:rsidRPr="606D04C8">
        <w:rPr>
          <w:rFonts w:eastAsia="Times New Roman" w:cs="Arial"/>
          <w:caps/>
          <w:color w:val="000000" w:themeColor="text1"/>
          <w:sz w:val="28"/>
          <w:szCs w:val="28"/>
        </w:rPr>
        <w:t xml:space="preserve"> &amp; children</w:t>
      </w:r>
    </w:p>
    <w:p w14:paraId="29973323" w14:textId="489E0778" w:rsidR="00B573A2" w:rsidRPr="0074599B" w:rsidRDefault="00B573A2" w:rsidP="0074599B">
      <w:pPr>
        <w:spacing w:after="120" w:line="240" w:lineRule="auto"/>
        <w:rPr>
          <w:rFonts w:eastAsia="Times New Roman" w:cs="Arial"/>
          <w:i/>
          <w:kern w:val="0"/>
          <w:szCs w:val="20"/>
          <w:lang w:val="en"/>
          <w14:ligatures w14:val="none"/>
        </w:rPr>
      </w:pPr>
      <w:r w:rsidRPr="0024014B">
        <w:rPr>
          <w:rFonts w:eastAsia="Times New Roman" w:cs="Arial"/>
          <w:i/>
          <w:kern w:val="0"/>
          <w:szCs w:val="20"/>
          <w:lang w:val="en"/>
          <w14:ligatures w14:val="none"/>
        </w:rPr>
        <w:t xml:space="preserve">It is important to read this statement in conjunction with the </w:t>
      </w:r>
      <w:r>
        <w:rPr>
          <w:rFonts w:eastAsia="Times New Roman" w:cs="Arial"/>
          <w:i/>
          <w:kern w:val="0"/>
          <w:szCs w:val="20"/>
          <w:lang w:val="en"/>
          <w14:ligatures w14:val="none"/>
        </w:rPr>
        <w:t>RSV chapter</w:t>
      </w:r>
      <w:r w:rsidRPr="0024014B">
        <w:rPr>
          <w:rFonts w:eastAsia="Times New Roman" w:cs="Arial"/>
          <w:i/>
          <w:kern w:val="0"/>
          <w:szCs w:val="20"/>
          <w:lang w:val="en"/>
          <w14:ligatures w14:val="none"/>
        </w:rPr>
        <w:t xml:space="preserve"> of the </w:t>
      </w:r>
      <w:hyperlink r:id="rId12">
        <w:r w:rsidRPr="0024014B">
          <w:rPr>
            <w:rFonts w:eastAsia="Times New Roman" w:cs="Arial"/>
            <w:i/>
            <w:color w:val="0000FF"/>
            <w:kern w:val="0"/>
            <w:szCs w:val="20"/>
            <w:u w:val="single"/>
            <w14:ligatures w14:val="none"/>
          </w:rPr>
          <w:t>Australian Immunisation Handbook</w:t>
        </w:r>
      </w:hyperlink>
      <w:r w:rsidRPr="0024014B">
        <w:rPr>
          <w:rFonts w:eastAsia="Times New Roman" w:cs="Arial"/>
          <w:i/>
          <w:kern w:val="0"/>
          <w:szCs w:val="20"/>
          <w:lang w:val="en"/>
          <w14:ligatures w14:val="none"/>
        </w:rPr>
        <w:t>, available at immunisationhandbook.health.gov.au</w:t>
      </w:r>
    </w:p>
    <w:p w14:paraId="28918ACD" w14:textId="1533B7D4" w:rsidR="00B573A2" w:rsidRPr="00FA7FDC" w:rsidRDefault="00B573A2" w:rsidP="00B573A2">
      <w:pPr>
        <w:spacing w:before="120" w:after="100" w:line="271" w:lineRule="auto"/>
        <w:outlineLvl w:val="1"/>
        <w:rPr>
          <w:rFonts w:eastAsia="Times New Roman" w:cs="Arial"/>
          <w:b/>
          <w:color w:val="57259F"/>
          <w:kern w:val="0"/>
          <w:sz w:val="25"/>
          <w:szCs w:val="28"/>
          <w14:ligatures w14:val="none"/>
        </w:rPr>
      </w:pPr>
      <w:r>
        <w:rPr>
          <w:rFonts w:eastAsia="Times New Roman" w:cs="Arial"/>
          <w:b/>
          <w:color w:val="57259F"/>
          <w:kern w:val="0"/>
          <w:sz w:val="25"/>
          <w:szCs w:val="28"/>
          <w14:ligatures w14:val="none"/>
        </w:rPr>
        <w:t>Overview</w:t>
      </w:r>
    </w:p>
    <w:p w14:paraId="378639BA" w14:textId="082FF92D" w:rsidR="00467472" w:rsidRPr="000E002C" w:rsidRDefault="00B573A2" w:rsidP="00E657E4">
      <w:pPr>
        <w:spacing w:after="0" w:line="240" w:lineRule="auto"/>
        <w:rPr>
          <w:color w:val="000000" w:themeColor="text1"/>
        </w:rPr>
      </w:pPr>
      <w:r w:rsidRPr="000E002C">
        <w:rPr>
          <w:color w:val="000000" w:themeColor="text1"/>
        </w:rPr>
        <w:t>The Australian Technical Advisory Group on Immunisation (ATAGI) has evaluat</w:t>
      </w:r>
      <w:r w:rsidR="0F7238F5" w:rsidRPr="000E002C">
        <w:rPr>
          <w:color w:val="000000" w:themeColor="text1"/>
        </w:rPr>
        <w:t xml:space="preserve">ed emerging evidence </w:t>
      </w:r>
      <w:r w:rsidRPr="000E002C">
        <w:rPr>
          <w:color w:val="000000" w:themeColor="text1"/>
        </w:rPr>
        <w:t xml:space="preserve">on the </w:t>
      </w:r>
      <w:r w:rsidR="7FA27A9E" w:rsidRPr="000E002C">
        <w:rPr>
          <w:color w:val="000000" w:themeColor="text1"/>
        </w:rPr>
        <w:t>use</w:t>
      </w:r>
      <w:r w:rsidRPr="000E002C">
        <w:rPr>
          <w:color w:val="000000" w:themeColor="text1"/>
        </w:rPr>
        <w:t xml:space="preserve"> of RSV</w:t>
      </w:r>
      <w:r w:rsidR="004B59AD" w:rsidRPr="000E002C">
        <w:rPr>
          <w:color w:val="000000" w:themeColor="text1"/>
        </w:rPr>
        <w:t xml:space="preserve">-specific </w:t>
      </w:r>
      <w:r w:rsidRPr="000E002C">
        <w:rPr>
          <w:color w:val="000000" w:themeColor="text1"/>
        </w:rPr>
        <w:t>monoclonal antibodies for Aboriginal and Torres Strait Islander infants in their</w:t>
      </w:r>
      <w:r w:rsidR="00111821" w:rsidRPr="000E002C">
        <w:rPr>
          <w:color w:val="000000" w:themeColor="text1"/>
        </w:rPr>
        <w:t xml:space="preserve"> first and</w:t>
      </w:r>
      <w:r w:rsidRPr="000E002C">
        <w:rPr>
          <w:color w:val="000000" w:themeColor="text1"/>
        </w:rPr>
        <w:t xml:space="preserve"> </w:t>
      </w:r>
      <w:r w:rsidR="62DD8064" w:rsidRPr="000E002C">
        <w:rPr>
          <w:color w:val="000000" w:themeColor="text1"/>
        </w:rPr>
        <w:t>second</w:t>
      </w:r>
      <w:r w:rsidRPr="000E002C">
        <w:rPr>
          <w:color w:val="000000" w:themeColor="text1"/>
        </w:rPr>
        <w:t xml:space="preserve"> </w:t>
      </w:r>
      <w:r w:rsidR="451F3993" w:rsidRPr="000E002C">
        <w:rPr>
          <w:color w:val="000000" w:themeColor="text1"/>
        </w:rPr>
        <w:t xml:space="preserve">RSV </w:t>
      </w:r>
      <w:r w:rsidRPr="000E002C">
        <w:rPr>
          <w:color w:val="000000" w:themeColor="text1"/>
        </w:rPr>
        <w:t>season to</w:t>
      </w:r>
      <w:r w:rsidR="572B2352" w:rsidRPr="000E002C">
        <w:rPr>
          <w:color w:val="000000" w:themeColor="text1"/>
        </w:rPr>
        <w:t xml:space="preserve"> prevent severe RSV disease</w:t>
      </w:r>
      <w:r w:rsidR="006D4E26" w:rsidRPr="000E002C">
        <w:rPr>
          <w:color w:val="000000" w:themeColor="text1"/>
        </w:rPr>
        <w:t xml:space="preserve">. </w:t>
      </w:r>
    </w:p>
    <w:p w14:paraId="3EA1D2F6" w14:textId="77777777" w:rsidR="00E657E4" w:rsidRDefault="00E657E4" w:rsidP="00E657E4">
      <w:pPr>
        <w:spacing w:after="0" w:line="240" w:lineRule="auto"/>
        <w:rPr>
          <w:color w:val="000000" w:themeColor="text1"/>
        </w:rPr>
      </w:pPr>
    </w:p>
    <w:p w14:paraId="336153E3" w14:textId="0C51F146" w:rsidR="00467472" w:rsidRPr="000E002C" w:rsidRDefault="00177F46" w:rsidP="00E657E4">
      <w:pPr>
        <w:spacing w:after="0" w:line="240" w:lineRule="auto"/>
        <w:rPr>
          <w:color w:val="000000" w:themeColor="text1"/>
        </w:rPr>
      </w:pPr>
      <w:r w:rsidRPr="000E002C">
        <w:rPr>
          <w:color w:val="000000" w:themeColor="text1"/>
        </w:rPr>
        <w:t xml:space="preserve">Based on the </w:t>
      </w:r>
      <w:r w:rsidR="00FB4DC5" w:rsidRPr="000E002C">
        <w:rPr>
          <w:color w:val="000000" w:themeColor="text1"/>
        </w:rPr>
        <w:t xml:space="preserve">current </w:t>
      </w:r>
      <w:r w:rsidRPr="000E002C">
        <w:rPr>
          <w:color w:val="000000" w:themeColor="text1"/>
        </w:rPr>
        <w:t xml:space="preserve">available evidence, </w:t>
      </w:r>
      <w:r w:rsidR="00467472" w:rsidRPr="000E002C">
        <w:rPr>
          <w:color w:val="000000" w:themeColor="text1"/>
        </w:rPr>
        <w:t xml:space="preserve">ATAGI </w:t>
      </w:r>
      <w:r w:rsidR="00FB4DC5" w:rsidRPr="000E002C">
        <w:rPr>
          <w:color w:val="000000" w:themeColor="text1"/>
        </w:rPr>
        <w:t>has decided to publish</w:t>
      </w:r>
      <w:r w:rsidRPr="000E002C">
        <w:rPr>
          <w:color w:val="000000" w:themeColor="text1"/>
        </w:rPr>
        <w:t xml:space="preserve"> interim advice on recommendations</w:t>
      </w:r>
      <w:r w:rsidR="00467472" w:rsidRPr="000E002C">
        <w:rPr>
          <w:color w:val="000000" w:themeColor="text1"/>
        </w:rPr>
        <w:t xml:space="preserve"> for Aboriginal and Torres Strait Islander </w:t>
      </w:r>
      <w:r w:rsidR="00205F48" w:rsidRPr="000E002C">
        <w:rPr>
          <w:color w:val="000000" w:themeColor="text1"/>
        </w:rPr>
        <w:t>i</w:t>
      </w:r>
      <w:r w:rsidR="00467472" w:rsidRPr="000E002C">
        <w:rPr>
          <w:color w:val="000000" w:themeColor="text1"/>
        </w:rPr>
        <w:t>nfants and children</w:t>
      </w:r>
      <w:r w:rsidR="00FB4DC5" w:rsidRPr="000E002C">
        <w:rPr>
          <w:color w:val="000000" w:themeColor="text1"/>
        </w:rPr>
        <w:t>,</w:t>
      </w:r>
      <w:r w:rsidR="00FB229E" w:rsidRPr="000E002C">
        <w:rPr>
          <w:color w:val="000000" w:themeColor="text1"/>
        </w:rPr>
        <w:t xml:space="preserve"> </w:t>
      </w:r>
      <w:r w:rsidR="00EC5B35" w:rsidRPr="000E002C">
        <w:rPr>
          <w:color w:val="000000" w:themeColor="text1"/>
        </w:rPr>
        <w:t xml:space="preserve">in advance of </w:t>
      </w:r>
      <w:r w:rsidR="45CAAEE9" w:rsidRPr="000E002C">
        <w:rPr>
          <w:color w:val="000000" w:themeColor="text1"/>
        </w:rPr>
        <w:t>a more co</w:t>
      </w:r>
      <w:r w:rsidR="00961D8A" w:rsidRPr="000E002C">
        <w:rPr>
          <w:color w:val="000000" w:themeColor="text1"/>
        </w:rPr>
        <w:t>mprehensive</w:t>
      </w:r>
      <w:r w:rsidR="45CAAEE9" w:rsidRPr="000E002C">
        <w:rPr>
          <w:color w:val="000000" w:themeColor="text1"/>
        </w:rPr>
        <w:t xml:space="preserve"> update to RSV immunisation advice to be released</w:t>
      </w:r>
      <w:r w:rsidR="007542D4" w:rsidRPr="000E002C">
        <w:rPr>
          <w:color w:val="000000" w:themeColor="text1"/>
        </w:rPr>
        <w:t xml:space="preserve"> in 2027.</w:t>
      </w:r>
    </w:p>
    <w:p w14:paraId="28950C88" w14:textId="439A2BC1" w:rsidR="00EC5B35" w:rsidRDefault="00EC5B35" w:rsidP="00EC5B35">
      <w:pPr>
        <w:spacing w:before="120" w:after="100" w:line="271" w:lineRule="auto"/>
        <w:outlineLvl w:val="1"/>
        <w:rPr>
          <w:rFonts w:eastAsia="Times New Roman" w:cs="Arial"/>
          <w:b/>
          <w:color w:val="57259F"/>
          <w:kern w:val="0"/>
          <w:sz w:val="25"/>
          <w:szCs w:val="28"/>
          <w14:ligatures w14:val="none"/>
        </w:rPr>
      </w:pPr>
      <w:r w:rsidRPr="007542D4">
        <w:rPr>
          <w:rFonts w:eastAsia="Times New Roman" w:cs="Arial"/>
          <w:b/>
          <w:color w:val="57259F"/>
          <w:kern w:val="0"/>
          <w:sz w:val="25"/>
          <w:szCs w:val="28"/>
          <w14:ligatures w14:val="none"/>
        </w:rPr>
        <w:t>Interim Recommendations</w:t>
      </w:r>
    </w:p>
    <w:p w14:paraId="0E8A5533" w14:textId="6C2D95F6" w:rsidR="00F93E9D" w:rsidRPr="00F93E9D" w:rsidRDefault="00885614" w:rsidP="00E657E4">
      <w:pPr>
        <w:spacing w:after="120" w:line="240" w:lineRule="auto"/>
        <w:rPr>
          <w:i/>
          <w:iCs/>
        </w:rPr>
      </w:pPr>
      <w:r>
        <w:rPr>
          <w:i/>
          <w:iCs/>
        </w:rPr>
        <w:t>The i</w:t>
      </w:r>
      <w:r w:rsidR="00F93E9D" w:rsidRPr="00F93E9D">
        <w:rPr>
          <w:i/>
          <w:iCs/>
        </w:rPr>
        <w:t>nterim recommendations</w:t>
      </w:r>
      <w:r>
        <w:rPr>
          <w:i/>
          <w:iCs/>
        </w:rPr>
        <w:t xml:space="preserve"> below</w:t>
      </w:r>
      <w:r w:rsidR="00F93E9D" w:rsidRPr="00F93E9D">
        <w:rPr>
          <w:i/>
          <w:iCs/>
        </w:rPr>
        <w:t xml:space="preserve"> should be used in addition to those set out in the RSV chapter of the </w:t>
      </w:r>
      <w:hyperlink r:id="rId13" w:history="1">
        <w:r w:rsidR="00F93E9D" w:rsidRPr="00C37428">
          <w:rPr>
            <w:rStyle w:val="Hyperlink"/>
            <w:i/>
            <w:iCs/>
          </w:rPr>
          <w:t>Australian Immunisation handbook</w:t>
        </w:r>
      </w:hyperlink>
    </w:p>
    <w:p w14:paraId="3F125CF8" w14:textId="37654696" w:rsidR="00EC5B35" w:rsidRPr="00D92909" w:rsidRDefault="327048C5" w:rsidP="00E657E4">
      <w:pPr>
        <w:pStyle w:val="BulletedList"/>
        <w:spacing w:after="0"/>
        <w:rPr>
          <w:color w:val="000000" w:themeColor="text1"/>
        </w:rPr>
      </w:pPr>
      <w:r w:rsidRPr="00D92909">
        <w:rPr>
          <w:color w:val="000000" w:themeColor="text1"/>
        </w:rPr>
        <w:t xml:space="preserve">Aboriginal and Torres Strait </w:t>
      </w:r>
      <w:r w:rsidR="35A07582" w:rsidRPr="00D92909">
        <w:rPr>
          <w:color w:val="000000" w:themeColor="text1"/>
        </w:rPr>
        <w:t>I</w:t>
      </w:r>
      <w:r w:rsidRPr="00D92909">
        <w:rPr>
          <w:color w:val="000000" w:themeColor="text1"/>
        </w:rPr>
        <w:t xml:space="preserve">slander infants are recommended to receive RSV-specific monoclonal antibody </w:t>
      </w:r>
      <w:r w:rsidR="009F150F" w:rsidRPr="00D92909">
        <w:rPr>
          <w:color w:val="000000" w:themeColor="text1"/>
        </w:rPr>
        <w:t>to protect them</w:t>
      </w:r>
      <w:r w:rsidR="00AD1772" w:rsidRPr="00D92909">
        <w:rPr>
          <w:color w:val="000000" w:themeColor="text1"/>
        </w:rPr>
        <w:t xml:space="preserve"> during </w:t>
      </w:r>
      <w:r w:rsidRPr="00D92909">
        <w:rPr>
          <w:color w:val="000000" w:themeColor="text1"/>
        </w:rPr>
        <w:t>their first RSV season, regardless of maternal vaccination</w:t>
      </w:r>
      <w:r w:rsidR="00FA0476">
        <w:rPr>
          <w:color w:val="000000" w:themeColor="text1"/>
        </w:rPr>
        <w:t>.</w:t>
      </w:r>
    </w:p>
    <w:p w14:paraId="036CF99B" w14:textId="498992DC" w:rsidR="00E657E4" w:rsidRDefault="0E133C5D" w:rsidP="0E133C5D">
      <w:pPr>
        <w:pStyle w:val="BulletedList"/>
        <w:spacing w:after="0"/>
        <w:rPr>
          <w:color w:val="000000" w:themeColor="text1"/>
          <w:lang w:val="en-US"/>
        </w:rPr>
      </w:pPr>
      <w:r w:rsidRPr="0E133C5D">
        <w:rPr>
          <w:color w:val="000000" w:themeColor="text1"/>
          <w:lang w:val="en-US"/>
        </w:rPr>
        <w:t xml:space="preserve">Aboriginal and Torres Strait Islander children aged 8 months to less than 24 months are recommended to receive RSV-specific monoclonal antibody before their second RSV season, regardless of maternal vaccination or previous infant vaccination in their first RSV season. </w:t>
      </w:r>
    </w:p>
    <w:p w14:paraId="28264770" w14:textId="0C786FFD" w:rsidR="003A1297" w:rsidRPr="00E657E4" w:rsidRDefault="0E133C5D" w:rsidP="0E133C5D">
      <w:pPr>
        <w:pStyle w:val="BulletedList"/>
        <w:spacing w:after="0"/>
        <w:rPr>
          <w:color w:val="000000" w:themeColor="text1"/>
          <w:lang w:val="en-US"/>
        </w:rPr>
      </w:pPr>
      <w:r w:rsidRPr="0E133C5D">
        <w:rPr>
          <w:lang w:val="en-US"/>
        </w:rPr>
        <w:t>Providers are encouraged to provide RSV-specific monoclonal antibodies across healthcare settings to ensure access for all eligible infants and children.</w:t>
      </w:r>
    </w:p>
    <w:p w14:paraId="13F9C9D9" w14:textId="0C8D518D" w:rsidR="009C13D9" w:rsidRPr="00DC3709" w:rsidRDefault="00B573A2" w:rsidP="4F37DF29">
      <w:pPr>
        <w:spacing w:before="120" w:after="100" w:line="271" w:lineRule="auto"/>
        <w:outlineLvl w:val="1"/>
        <w:rPr>
          <w:rFonts w:eastAsia="Times New Roman" w:cs="Arial"/>
          <w:b/>
          <w:bCs/>
          <w:color w:val="57259F"/>
          <w:kern w:val="0"/>
          <w:sz w:val="25"/>
          <w:szCs w:val="25"/>
          <w14:ligatures w14:val="none"/>
        </w:rPr>
      </w:pPr>
      <w:r w:rsidRPr="4F37DF29">
        <w:rPr>
          <w:rFonts w:eastAsia="Times New Roman" w:cs="Arial"/>
          <w:b/>
          <w:bCs/>
          <w:color w:val="57259F"/>
          <w:kern w:val="0"/>
          <w:sz w:val="25"/>
          <w:szCs w:val="25"/>
          <w14:ligatures w14:val="none"/>
        </w:rPr>
        <w:t>Evidence</w:t>
      </w:r>
    </w:p>
    <w:p w14:paraId="603F795F" w14:textId="05E445F0" w:rsidR="00EF713E" w:rsidRPr="00335037" w:rsidRDefault="000D74D5" w:rsidP="00E657E4">
      <w:pPr>
        <w:pStyle w:val="BulletedList"/>
        <w:spacing w:after="0"/>
        <w:ind w:left="357" w:hanging="357"/>
        <w:rPr>
          <w:lang w:val="en-US"/>
        </w:rPr>
      </w:pPr>
      <w:r>
        <w:t>C</w:t>
      </w:r>
      <w:r w:rsidR="00935C20">
        <w:t xml:space="preserve">urrent evidence indicates that </w:t>
      </w:r>
      <w:r w:rsidR="00951BFC">
        <w:t xml:space="preserve">infant </w:t>
      </w:r>
      <w:r w:rsidR="00935C20">
        <w:t>protection from RSV</w:t>
      </w:r>
      <w:r w:rsidR="00951BFC">
        <w:t xml:space="preserve"> received through</w:t>
      </w:r>
      <w:r w:rsidR="00D93F4F">
        <w:t xml:space="preserve"> maternal </w:t>
      </w:r>
      <w:r w:rsidR="00161490">
        <w:t>vaccination</w:t>
      </w:r>
      <w:r w:rsidR="00770F51">
        <w:t xml:space="preserve"> </w:t>
      </w:r>
      <w:r w:rsidR="00935C20">
        <w:t>may wane by 5-6 months following birth</w:t>
      </w:r>
      <w:r w:rsidR="00FB4DC5">
        <w:t>.</w:t>
      </w:r>
      <w:r w:rsidR="00935C20">
        <w:t xml:space="preserve"> Aboriginal and Torres Strait Islander infants remain at high risk of hospitalisation from RSV at this </w:t>
      </w:r>
      <w:r w:rsidR="00397678">
        <w:t>age</w:t>
      </w:r>
      <w:r w:rsidR="00935C20">
        <w:t xml:space="preserve">. </w:t>
      </w:r>
      <w:r w:rsidR="00472395">
        <w:t>RSV-</w:t>
      </w:r>
      <w:r w:rsidR="5301BDFC">
        <w:t>s</w:t>
      </w:r>
      <w:r w:rsidR="00472395">
        <w:t>pecific monoclonal ant</w:t>
      </w:r>
      <w:r w:rsidR="003A0EB9">
        <w:t>ibodies will provide a benefit to infants after protection from maternal RSV antibodies has waned.</w:t>
      </w:r>
    </w:p>
    <w:p w14:paraId="246343B1" w14:textId="74323DF4" w:rsidR="00335037" w:rsidRPr="00952D1C" w:rsidRDefault="00335037" w:rsidP="00E657E4">
      <w:pPr>
        <w:pStyle w:val="BulletedList"/>
        <w:spacing w:after="0"/>
        <w:ind w:left="357" w:hanging="357"/>
      </w:pPr>
      <w:r w:rsidRPr="009C7645">
        <w:rPr>
          <w:lang w:val="en-US"/>
        </w:rPr>
        <w:t>Evidence to support the use of RSV-specific monoclonal antibodies in combination with maternal RSV vaccination in any population is limited. However, ATAGI has taken the pragmatic approach to recommend the use of RSV-specific monoclonal antibodies in certain circumstances regardless of maternal vaccination due to the level of risk of severe RSV.</w:t>
      </w:r>
    </w:p>
    <w:p w14:paraId="427881AC" w14:textId="451B5FEB" w:rsidR="007C45D3" w:rsidRPr="009C7645" w:rsidRDefault="007C45D3" w:rsidP="00E657E4">
      <w:pPr>
        <w:pStyle w:val="BulletedList"/>
        <w:spacing w:after="0"/>
        <w:ind w:left="357" w:hanging="357"/>
      </w:pPr>
      <w:r w:rsidRPr="5114217A">
        <w:rPr>
          <w:rStyle w:val="cf01"/>
          <w:rFonts w:ascii="Arial" w:hAnsi="Arial" w:cs="Arial"/>
          <w:sz w:val="20"/>
          <w:szCs w:val="20"/>
          <w:lang w:val="en-US"/>
        </w:rPr>
        <w:t>The risk of RSV hospitalisation is highest for infants &lt;6 months of age and reduces for older infants and children. However, recent data indicate that the RSV hospitalisation rate among Aboriginal and Torres Strait Islander infants aged between 6-12 months remained high at 21.86 per 1000 infants. The corresponding rate among non-indigenous infants aged 6</w:t>
      </w:r>
      <w:r w:rsidR="00D96B78">
        <w:rPr>
          <w:rStyle w:val="cf01"/>
          <w:rFonts w:ascii="Arial" w:hAnsi="Arial" w:cs="Arial"/>
          <w:sz w:val="20"/>
          <w:szCs w:val="20"/>
          <w:lang w:val="en-US"/>
        </w:rPr>
        <w:t>-12</w:t>
      </w:r>
      <w:r w:rsidRPr="5114217A">
        <w:rPr>
          <w:rStyle w:val="cf01"/>
          <w:rFonts w:ascii="Arial" w:hAnsi="Arial" w:cs="Arial"/>
          <w:sz w:val="20"/>
          <w:szCs w:val="20"/>
          <w:lang w:val="en-US"/>
        </w:rPr>
        <w:t xml:space="preserve"> months was </w:t>
      </w:r>
      <w:r w:rsidR="000547C1">
        <w:rPr>
          <w:rStyle w:val="cf01"/>
          <w:rFonts w:ascii="Arial" w:hAnsi="Arial" w:cs="Arial"/>
          <w:sz w:val="20"/>
          <w:szCs w:val="20"/>
          <w:lang w:val="en-US"/>
        </w:rPr>
        <w:t>6.13</w:t>
      </w:r>
      <w:r w:rsidRPr="5114217A">
        <w:rPr>
          <w:rStyle w:val="cf01"/>
          <w:rFonts w:ascii="Arial" w:hAnsi="Arial" w:cs="Arial"/>
          <w:sz w:val="20"/>
          <w:szCs w:val="20"/>
          <w:lang w:val="en-US"/>
        </w:rPr>
        <w:t xml:space="preserve"> per 1000. </w:t>
      </w:r>
      <w:r w:rsidR="008C266F" w:rsidRPr="5114217A">
        <w:rPr>
          <w:lang w:val="en-US"/>
        </w:rPr>
        <w:t xml:space="preserve"> </w:t>
      </w:r>
      <w:r w:rsidRPr="5114217A">
        <w:rPr>
          <w:rStyle w:val="cf01"/>
          <w:rFonts w:ascii="Arial" w:hAnsi="Arial" w:cs="Arial"/>
          <w:sz w:val="20"/>
          <w:szCs w:val="20"/>
          <w:lang w:val="en-US"/>
        </w:rPr>
        <w:t>Therefore, for an Aboriginal and Torres Strait Islander infant whose mother received a maternal RSV vaccine, the risk of hospitalisation may increase considerably following waning of maternally derived protection</w:t>
      </w:r>
      <w:r w:rsidR="00AB5388">
        <w:rPr>
          <w:rStyle w:val="cf01"/>
          <w:rFonts w:ascii="Arial" w:hAnsi="Arial" w:cs="Arial"/>
          <w:sz w:val="20"/>
          <w:szCs w:val="20"/>
          <w:lang w:val="en-US"/>
        </w:rPr>
        <w:t>.</w:t>
      </w:r>
      <w:r w:rsidR="00B65089">
        <w:rPr>
          <w:rStyle w:val="FootnoteReference"/>
          <w:lang w:val="en-US"/>
        </w:rPr>
        <w:footnoteReference w:id="1"/>
      </w:r>
      <w:r w:rsidRPr="5114217A">
        <w:rPr>
          <w:rStyle w:val="cf01"/>
          <w:rFonts w:ascii="Arial" w:hAnsi="Arial" w:cs="Arial"/>
          <w:sz w:val="20"/>
          <w:szCs w:val="20"/>
          <w:lang w:val="en-US"/>
        </w:rPr>
        <w:t> </w:t>
      </w:r>
    </w:p>
    <w:p w14:paraId="0B5904DA" w14:textId="3E5DA8A1" w:rsidR="0067207B" w:rsidRPr="00482518" w:rsidRDefault="00255653" w:rsidP="00366C6B">
      <w:pPr>
        <w:pStyle w:val="BulletedList"/>
        <w:spacing w:after="0"/>
        <w:ind w:left="357" w:hanging="357"/>
      </w:pPr>
      <w:r w:rsidRPr="009C7645">
        <w:rPr>
          <w:lang w:val="en-AU"/>
        </w:rPr>
        <w:t>Aboriginal and Torres Strait Islander children aged between 12 months to 24 months remain at elevated risk of severe RSV, having a high incidence of hospitalisation from RSV (10.81 per 1000). The incidence of hospitalisation form RSV among non-indigenous children in the same age group was 4.65 per 1000</w:t>
      </w:r>
      <w:r w:rsidR="00AB5388">
        <w:rPr>
          <w:lang w:val="en-AU"/>
        </w:rPr>
        <w:t>.</w:t>
      </w:r>
      <w:r w:rsidR="00362C0A" w:rsidRPr="00E657E4">
        <w:rPr>
          <w:vertAlign w:val="superscript"/>
          <w:lang w:val="en-AU"/>
        </w:rPr>
        <w:t>1</w:t>
      </w:r>
    </w:p>
    <w:sectPr w:rsidR="0067207B" w:rsidRPr="00482518" w:rsidSect="00401D41">
      <w:headerReference w:type="even" r:id="rId14"/>
      <w:footerReference w:type="even" r:id="rId15"/>
      <w:headerReference w:type="first" r:id="rId16"/>
      <w:footerReference w:type="first" r:id="rId17"/>
      <w:pgSz w:w="11906" w:h="16838"/>
      <w:pgMar w:top="567" w:right="1247" w:bottom="454" w:left="1247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4F71" w14:textId="77777777" w:rsidR="00661EF0" w:rsidRDefault="00661EF0" w:rsidP="00E156A5">
      <w:pPr>
        <w:spacing w:after="0" w:line="240" w:lineRule="auto"/>
      </w:pPr>
      <w:r>
        <w:separator/>
      </w:r>
    </w:p>
  </w:endnote>
  <w:endnote w:type="continuationSeparator" w:id="0">
    <w:p w14:paraId="28505567" w14:textId="77777777" w:rsidR="00661EF0" w:rsidRDefault="00661EF0" w:rsidP="00E15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897A" w14:textId="0758F0E7" w:rsidR="006B6189" w:rsidRDefault="00E156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7A1E7BFF" wp14:editId="77475D5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4735548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DCEE32" w14:textId="02AADBCB" w:rsidR="00E156A5" w:rsidRPr="00E156A5" w:rsidRDefault="00E156A5" w:rsidP="00E156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156A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A1E7BFF">
              <v:stroke joinstyle="miter"/>
              <v:path gradientshapeok="t" o:connecttype="rect"/>
            </v:shapetype>
            <v:shape id="Text Box 5" style="position:absolute;margin-left:0;margin-top:0;width:49pt;height:30.8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>
              <v:textbox style="mso-fit-shape-to-text:t" inset="0,0,0,15pt">
                <w:txbxContent>
                  <w:p w:rsidRPr="00E156A5" w:rsidR="00E156A5" w:rsidP="00E156A5" w:rsidRDefault="00E156A5" w14:paraId="3CDCEE32" w14:textId="02AADBC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E156A5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9A27" w14:textId="38694764" w:rsidR="006B6189" w:rsidRDefault="00E156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39E4896A" wp14:editId="2EABAC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07821972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37B74C" w14:textId="5A7FA929" w:rsidR="00E156A5" w:rsidRPr="00E156A5" w:rsidRDefault="00E156A5" w:rsidP="00E156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156A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9E4896A">
              <v:stroke joinstyle="miter"/>
              <v:path gradientshapeok="t" o:connecttype="rect"/>
            </v:shapetype>
            <v:shape id="Text Box 4" style="position:absolute;margin-left:0;margin-top:0;width:49pt;height:30.8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>
              <v:textbox style="mso-fit-shape-to-text:t" inset="0,0,0,15pt">
                <w:txbxContent>
                  <w:p w:rsidRPr="00E156A5" w:rsidR="00E156A5" w:rsidP="00E156A5" w:rsidRDefault="00E156A5" w14:paraId="1E37B74C" w14:textId="5A7FA92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E156A5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CD882" w14:textId="77777777" w:rsidR="00661EF0" w:rsidRDefault="00661EF0" w:rsidP="00E156A5">
      <w:pPr>
        <w:spacing w:after="0" w:line="240" w:lineRule="auto"/>
      </w:pPr>
      <w:r>
        <w:separator/>
      </w:r>
    </w:p>
  </w:footnote>
  <w:footnote w:type="continuationSeparator" w:id="0">
    <w:p w14:paraId="5859248E" w14:textId="77777777" w:rsidR="00661EF0" w:rsidRDefault="00661EF0" w:rsidP="00E156A5">
      <w:pPr>
        <w:spacing w:after="0" w:line="240" w:lineRule="auto"/>
      </w:pPr>
      <w:r>
        <w:continuationSeparator/>
      </w:r>
    </w:p>
  </w:footnote>
  <w:footnote w:id="1">
    <w:p w14:paraId="6DA5D73D" w14:textId="77777777" w:rsidR="00401D41" w:rsidRPr="00401D41" w:rsidRDefault="00B65089" w:rsidP="00E657E4">
      <w:pPr>
        <w:pStyle w:val="Bibliography"/>
        <w:spacing w:after="0" w:line="240" w:lineRule="auto"/>
        <w:ind w:left="720" w:hanging="720"/>
        <w:rPr>
          <w:noProof/>
          <w:kern w:val="0"/>
          <w:sz w:val="16"/>
          <w:szCs w:val="16"/>
          <w14:ligatures w14:val="none"/>
        </w:rPr>
      </w:pPr>
      <w:r>
        <w:rPr>
          <w:rStyle w:val="FootnoteReference"/>
        </w:rPr>
        <w:footnoteRef/>
      </w:r>
      <w:r>
        <w:fldChar w:fldCharType="begin"/>
      </w:r>
      <w:r>
        <w:instrText xml:space="preserve"> BIBLIOGRAPHY  \l 3081 </w:instrText>
      </w:r>
      <w:r>
        <w:fldChar w:fldCharType="separate"/>
      </w:r>
      <w:r w:rsidR="00401D41" w:rsidRPr="00401D41">
        <w:rPr>
          <w:noProof/>
          <w:sz w:val="16"/>
          <w:szCs w:val="16"/>
        </w:rPr>
        <w:t>Sarna, M., Blyth, C., Taye, B. W., Le, H., Richmond, P., &amp; Glass, K. (2025). Who is at risk of a respiratory syncytial virus hospitalisation? A linked, population-based birth cohort</w:t>
      </w:r>
      <w:r w:rsidR="00401D41">
        <w:rPr>
          <w:noProof/>
        </w:rPr>
        <w:t xml:space="preserve"> </w:t>
      </w:r>
      <w:r w:rsidR="00401D41" w:rsidRPr="00401D41">
        <w:rPr>
          <w:noProof/>
          <w:sz w:val="16"/>
          <w:szCs w:val="16"/>
        </w:rPr>
        <w:t xml:space="preserve">analysis in children aged less than 5 years. </w:t>
      </w:r>
      <w:r w:rsidR="00401D41" w:rsidRPr="00401D41">
        <w:rPr>
          <w:i/>
          <w:iCs/>
          <w:noProof/>
          <w:sz w:val="16"/>
          <w:szCs w:val="16"/>
        </w:rPr>
        <w:t>The Lancet Regional Health–Western Pacific</w:t>
      </w:r>
      <w:r w:rsidR="00401D41" w:rsidRPr="00401D41">
        <w:rPr>
          <w:noProof/>
          <w:sz w:val="16"/>
          <w:szCs w:val="16"/>
        </w:rPr>
        <w:t>, 61.</w:t>
      </w:r>
    </w:p>
    <w:p w14:paraId="63C5E916" w14:textId="4AA8C65D" w:rsidR="00B65089" w:rsidRDefault="00B65089" w:rsidP="00E657E4">
      <w:pPr>
        <w:pStyle w:val="FootnoteText"/>
      </w:pPr>
      <w: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B74C" w14:textId="2F54090D" w:rsidR="006B6189" w:rsidRDefault="00E156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5EC1469" wp14:editId="4CA681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3853200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95EC8" w14:textId="5885FB1E" w:rsidR="00E156A5" w:rsidRPr="00E156A5" w:rsidRDefault="00E156A5" w:rsidP="00E156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156A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5EC1469">
              <v:stroke joinstyle="miter"/>
              <v:path gradientshapeok="t" o:connecttype="rect"/>
            </v:shapetype>
            <v:shape id="Text Box 2" style="position:absolute;margin-left:0;margin-top:0;width:49pt;height:30.8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>
              <v:textbox style="mso-fit-shape-to-text:t" inset="0,15pt,0,0">
                <w:txbxContent>
                  <w:p w:rsidRPr="00E156A5" w:rsidR="00E156A5" w:rsidP="00E156A5" w:rsidRDefault="00E156A5" w14:paraId="4E095EC8" w14:textId="5885FB1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E156A5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C028" w14:textId="2E8539EF" w:rsidR="006B6189" w:rsidRDefault="00E156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42880" behindDoc="0" locked="0" layoutInCell="1" allowOverlap="1" wp14:anchorId="480C57DF" wp14:editId="4E5AD36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75267503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726B8" w14:textId="634554D5" w:rsidR="00E156A5" w:rsidRPr="00E156A5" w:rsidRDefault="00E156A5" w:rsidP="00E156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156A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80C57DF">
              <v:stroke joinstyle="miter"/>
              <v:path gradientshapeok="t" o:connecttype="rect"/>
            </v:shapetype>
            <v:shape id="Text Box 1" style="position:absolute;margin-left:0;margin-top:0;width:49pt;height:30.8pt;z-index:2516428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>
              <v:textbox style="mso-fit-shape-to-text:t" inset="0,15pt,0,0">
                <w:txbxContent>
                  <w:p w:rsidRPr="00E156A5" w:rsidR="00E156A5" w:rsidP="00E156A5" w:rsidRDefault="00E156A5" w14:paraId="6F6726B8" w14:textId="634554D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E156A5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MqvsvpR0t05mp" int2:id="RuUHSp0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D2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78292E"/>
    <w:multiLevelType w:val="hybridMultilevel"/>
    <w:tmpl w:val="F156F358"/>
    <w:lvl w:ilvl="0" w:tplc="738897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55AE"/>
    <w:multiLevelType w:val="hybridMultilevel"/>
    <w:tmpl w:val="87AEA4D8"/>
    <w:lvl w:ilvl="0" w:tplc="631455FE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49D85C1C">
      <w:numFmt w:val="bullet"/>
      <w:lvlText w:val="-"/>
      <w:lvlJc w:val="left"/>
      <w:pPr>
        <w:ind w:left="2160" w:hanging="360"/>
      </w:pPr>
      <w:rPr>
        <w:rFonts w:ascii="Arial" w:hAnsi="Arial" w:hint="default"/>
      </w:rPr>
    </w:lvl>
    <w:lvl w:ilvl="3" w:tplc="38B005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EBA8C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4A438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1F215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B8E3B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F14DC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6D739E"/>
    <w:multiLevelType w:val="hybridMultilevel"/>
    <w:tmpl w:val="2A78C9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EE7292"/>
    <w:multiLevelType w:val="hybridMultilevel"/>
    <w:tmpl w:val="C7CEAE14"/>
    <w:lvl w:ilvl="0" w:tplc="B8180FC2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  <w:i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2086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80241918">
    <w:abstractNumId w:val="2"/>
  </w:num>
  <w:num w:numId="2" w16cid:durableId="743990690">
    <w:abstractNumId w:val="5"/>
  </w:num>
  <w:num w:numId="3" w16cid:durableId="856194284">
    <w:abstractNumId w:val="0"/>
  </w:num>
  <w:num w:numId="4" w16cid:durableId="50927495">
    <w:abstractNumId w:val="1"/>
  </w:num>
  <w:num w:numId="5" w16cid:durableId="1259484632">
    <w:abstractNumId w:val="4"/>
  </w:num>
  <w:num w:numId="6" w16cid:durableId="1353651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A2"/>
    <w:rsid w:val="000060E7"/>
    <w:rsid w:val="0001457F"/>
    <w:rsid w:val="000279D8"/>
    <w:rsid w:val="0003596B"/>
    <w:rsid w:val="0003701C"/>
    <w:rsid w:val="000441CC"/>
    <w:rsid w:val="00045B62"/>
    <w:rsid w:val="00047B99"/>
    <w:rsid w:val="00054609"/>
    <w:rsid w:val="000547C1"/>
    <w:rsid w:val="00067FA6"/>
    <w:rsid w:val="0007529A"/>
    <w:rsid w:val="000A5DA4"/>
    <w:rsid w:val="000A6DF1"/>
    <w:rsid w:val="000B33F8"/>
    <w:rsid w:val="000C0E7A"/>
    <w:rsid w:val="000C0E94"/>
    <w:rsid w:val="000C71E4"/>
    <w:rsid w:val="000C74D4"/>
    <w:rsid w:val="000D33E3"/>
    <w:rsid w:val="000D74D5"/>
    <w:rsid w:val="000D7FBC"/>
    <w:rsid w:val="000E002C"/>
    <w:rsid w:val="000E3B9E"/>
    <w:rsid w:val="000E6D2D"/>
    <w:rsid w:val="000F0447"/>
    <w:rsid w:val="00105152"/>
    <w:rsid w:val="00111821"/>
    <w:rsid w:val="001160DF"/>
    <w:rsid w:val="00125B31"/>
    <w:rsid w:val="0014450F"/>
    <w:rsid w:val="001551A7"/>
    <w:rsid w:val="001611C1"/>
    <w:rsid w:val="00161490"/>
    <w:rsid w:val="00165B1F"/>
    <w:rsid w:val="00175B3D"/>
    <w:rsid w:val="00177177"/>
    <w:rsid w:val="00177F46"/>
    <w:rsid w:val="001826B4"/>
    <w:rsid w:val="00190462"/>
    <w:rsid w:val="001970BE"/>
    <w:rsid w:val="001A2EBB"/>
    <w:rsid w:val="001B1472"/>
    <w:rsid w:val="001C1E90"/>
    <w:rsid w:val="001E345B"/>
    <w:rsid w:val="001E6BC5"/>
    <w:rsid w:val="001F2DAA"/>
    <w:rsid w:val="001F7EDB"/>
    <w:rsid w:val="00205F48"/>
    <w:rsid w:val="002223AF"/>
    <w:rsid w:val="00224DAB"/>
    <w:rsid w:val="00225954"/>
    <w:rsid w:val="00237EFC"/>
    <w:rsid w:val="0024691D"/>
    <w:rsid w:val="00255653"/>
    <w:rsid w:val="00260E51"/>
    <w:rsid w:val="00267A81"/>
    <w:rsid w:val="002752F4"/>
    <w:rsid w:val="00280050"/>
    <w:rsid w:val="002E4497"/>
    <w:rsid w:val="002F2E69"/>
    <w:rsid w:val="002F3B5B"/>
    <w:rsid w:val="003277F0"/>
    <w:rsid w:val="00335037"/>
    <w:rsid w:val="00335F40"/>
    <w:rsid w:val="00336351"/>
    <w:rsid w:val="00345BB4"/>
    <w:rsid w:val="003514BF"/>
    <w:rsid w:val="00362C0A"/>
    <w:rsid w:val="00381F30"/>
    <w:rsid w:val="003846B7"/>
    <w:rsid w:val="00387808"/>
    <w:rsid w:val="00387F10"/>
    <w:rsid w:val="003901D1"/>
    <w:rsid w:val="00391ECD"/>
    <w:rsid w:val="00397678"/>
    <w:rsid w:val="003A0EB9"/>
    <w:rsid w:val="003A1297"/>
    <w:rsid w:val="003A5080"/>
    <w:rsid w:val="003B2C59"/>
    <w:rsid w:val="003D1457"/>
    <w:rsid w:val="003D16E0"/>
    <w:rsid w:val="003F04B7"/>
    <w:rsid w:val="003F1D26"/>
    <w:rsid w:val="00401D41"/>
    <w:rsid w:val="0043360A"/>
    <w:rsid w:val="00445190"/>
    <w:rsid w:val="00445FC9"/>
    <w:rsid w:val="00446C53"/>
    <w:rsid w:val="004621FD"/>
    <w:rsid w:val="00466C72"/>
    <w:rsid w:val="00467472"/>
    <w:rsid w:val="0047110D"/>
    <w:rsid w:val="00472395"/>
    <w:rsid w:val="004735CF"/>
    <w:rsid w:val="0047607E"/>
    <w:rsid w:val="00482518"/>
    <w:rsid w:val="004837A8"/>
    <w:rsid w:val="004A4D45"/>
    <w:rsid w:val="004A5DB6"/>
    <w:rsid w:val="004B40E8"/>
    <w:rsid w:val="004B50ED"/>
    <w:rsid w:val="004B59AD"/>
    <w:rsid w:val="004D1A81"/>
    <w:rsid w:val="004D3C1E"/>
    <w:rsid w:val="004E4D46"/>
    <w:rsid w:val="004E4FEA"/>
    <w:rsid w:val="00515232"/>
    <w:rsid w:val="00516643"/>
    <w:rsid w:val="00516E2A"/>
    <w:rsid w:val="00521DC5"/>
    <w:rsid w:val="00533C16"/>
    <w:rsid w:val="005657AE"/>
    <w:rsid w:val="00580710"/>
    <w:rsid w:val="005A1557"/>
    <w:rsid w:val="005A6CD8"/>
    <w:rsid w:val="005B6025"/>
    <w:rsid w:val="005C5C4F"/>
    <w:rsid w:val="005E40E6"/>
    <w:rsid w:val="005F11C4"/>
    <w:rsid w:val="005F7EEC"/>
    <w:rsid w:val="006043F8"/>
    <w:rsid w:val="006220FD"/>
    <w:rsid w:val="006240B0"/>
    <w:rsid w:val="00624366"/>
    <w:rsid w:val="00631489"/>
    <w:rsid w:val="00661EF0"/>
    <w:rsid w:val="00662717"/>
    <w:rsid w:val="00671948"/>
    <w:rsid w:val="0067207B"/>
    <w:rsid w:val="006727BB"/>
    <w:rsid w:val="00672FB7"/>
    <w:rsid w:val="0068082D"/>
    <w:rsid w:val="00682505"/>
    <w:rsid w:val="00686E81"/>
    <w:rsid w:val="00693C72"/>
    <w:rsid w:val="006A7465"/>
    <w:rsid w:val="006B6189"/>
    <w:rsid w:val="006D161E"/>
    <w:rsid w:val="006D1880"/>
    <w:rsid w:val="006D4E26"/>
    <w:rsid w:val="006E08A5"/>
    <w:rsid w:val="006F109F"/>
    <w:rsid w:val="006F3C5C"/>
    <w:rsid w:val="006F44A5"/>
    <w:rsid w:val="0072185E"/>
    <w:rsid w:val="0072285F"/>
    <w:rsid w:val="007444E3"/>
    <w:rsid w:val="0074599B"/>
    <w:rsid w:val="00746311"/>
    <w:rsid w:val="00751527"/>
    <w:rsid w:val="007542D4"/>
    <w:rsid w:val="00770F51"/>
    <w:rsid w:val="007B4993"/>
    <w:rsid w:val="007C1891"/>
    <w:rsid w:val="007C45D3"/>
    <w:rsid w:val="007E140A"/>
    <w:rsid w:val="007E5E16"/>
    <w:rsid w:val="00806E6B"/>
    <w:rsid w:val="008371E5"/>
    <w:rsid w:val="00861FB7"/>
    <w:rsid w:val="0086430A"/>
    <w:rsid w:val="00876DEA"/>
    <w:rsid w:val="0088477B"/>
    <w:rsid w:val="00885614"/>
    <w:rsid w:val="00886E41"/>
    <w:rsid w:val="008977A3"/>
    <w:rsid w:val="008A0CFB"/>
    <w:rsid w:val="008A14ED"/>
    <w:rsid w:val="008A63C3"/>
    <w:rsid w:val="008C266F"/>
    <w:rsid w:val="008C7C52"/>
    <w:rsid w:val="008F4508"/>
    <w:rsid w:val="008F54BB"/>
    <w:rsid w:val="00904DC4"/>
    <w:rsid w:val="009104E0"/>
    <w:rsid w:val="00935C20"/>
    <w:rsid w:val="00940E13"/>
    <w:rsid w:val="00946303"/>
    <w:rsid w:val="0094C88E"/>
    <w:rsid w:val="00951BFC"/>
    <w:rsid w:val="00952D1C"/>
    <w:rsid w:val="00961D8A"/>
    <w:rsid w:val="009727EB"/>
    <w:rsid w:val="00980465"/>
    <w:rsid w:val="009835E0"/>
    <w:rsid w:val="009A2EDF"/>
    <w:rsid w:val="009A62F1"/>
    <w:rsid w:val="009B5E2F"/>
    <w:rsid w:val="009B74B3"/>
    <w:rsid w:val="009C13D9"/>
    <w:rsid w:val="009C735A"/>
    <w:rsid w:val="009C7645"/>
    <w:rsid w:val="009D1544"/>
    <w:rsid w:val="009E7A38"/>
    <w:rsid w:val="009F150F"/>
    <w:rsid w:val="00A0207D"/>
    <w:rsid w:val="00A12F5D"/>
    <w:rsid w:val="00A133FF"/>
    <w:rsid w:val="00A17A5B"/>
    <w:rsid w:val="00A33D24"/>
    <w:rsid w:val="00A41A41"/>
    <w:rsid w:val="00A47D03"/>
    <w:rsid w:val="00A509DC"/>
    <w:rsid w:val="00A647C4"/>
    <w:rsid w:val="00A741F3"/>
    <w:rsid w:val="00A84182"/>
    <w:rsid w:val="00AA13F1"/>
    <w:rsid w:val="00AA6C72"/>
    <w:rsid w:val="00AA6EE9"/>
    <w:rsid w:val="00AB130F"/>
    <w:rsid w:val="00AB5388"/>
    <w:rsid w:val="00AB5C77"/>
    <w:rsid w:val="00AC161B"/>
    <w:rsid w:val="00AD1772"/>
    <w:rsid w:val="00AE564D"/>
    <w:rsid w:val="00B03882"/>
    <w:rsid w:val="00B113A4"/>
    <w:rsid w:val="00B11F91"/>
    <w:rsid w:val="00B13C0B"/>
    <w:rsid w:val="00B13EB1"/>
    <w:rsid w:val="00B248F2"/>
    <w:rsid w:val="00B24D18"/>
    <w:rsid w:val="00B3092A"/>
    <w:rsid w:val="00B353A2"/>
    <w:rsid w:val="00B4256F"/>
    <w:rsid w:val="00B5576E"/>
    <w:rsid w:val="00B573A2"/>
    <w:rsid w:val="00B63949"/>
    <w:rsid w:val="00B64625"/>
    <w:rsid w:val="00B65089"/>
    <w:rsid w:val="00B658A5"/>
    <w:rsid w:val="00B70EA3"/>
    <w:rsid w:val="00B7372B"/>
    <w:rsid w:val="00B74668"/>
    <w:rsid w:val="00B74FFF"/>
    <w:rsid w:val="00B76592"/>
    <w:rsid w:val="00B800EE"/>
    <w:rsid w:val="00B82327"/>
    <w:rsid w:val="00BA6C3A"/>
    <w:rsid w:val="00BA756A"/>
    <w:rsid w:val="00BB1BBC"/>
    <w:rsid w:val="00BC082B"/>
    <w:rsid w:val="00BD6CCA"/>
    <w:rsid w:val="00C05AEA"/>
    <w:rsid w:val="00C13CF5"/>
    <w:rsid w:val="00C146E4"/>
    <w:rsid w:val="00C229DC"/>
    <w:rsid w:val="00C25F79"/>
    <w:rsid w:val="00C37428"/>
    <w:rsid w:val="00C40458"/>
    <w:rsid w:val="00C7401C"/>
    <w:rsid w:val="00C80466"/>
    <w:rsid w:val="00C80B6A"/>
    <w:rsid w:val="00C82D51"/>
    <w:rsid w:val="00C93D4E"/>
    <w:rsid w:val="00C94056"/>
    <w:rsid w:val="00CB6094"/>
    <w:rsid w:val="00CD003B"/>
    <w:rsid w:val="00CD4EE5"/>
    <w:rsid w:val="00CD52E3"/>
    <w:rsid w:val="00CE21C8"/>
    <w:rsid w:val="00CE454D"/>
    <w:rsid w:val="00CF0805"/>
    <w:rsid w:val="00D032E0"/>
    <w:rsid w:val="00D04C9F"/>
    <w:rsid w:val="00D12B99"/>
    <w:rsid w:val="00D14167"/>
    <w:rsid w:val="00D34382"/>
    <w:rsid w:val="00D37CD4"/>
    <w:rsid w:val="00D42C4D"/>
    <w:rsid w:val="00D503E9"/>
    <w:rsid w:val="00D51F1D"/>
    <w:rsid w:val="00D6443D"/>
    <w:rsid w:val="00D74CAA"/>
    <w:rsid w:val="00D75D74"/>
    <w:rsid w:val="00D80D51"/>
    <w:rsid w:val="00D90254"/>
    <w:rsid w:val="00D91EB0"/>
    <w:rsid w:val="00D92909"/>
    <w:rsid w:val="00D92A9C"/>
    <w:rsid w:val="00D92FCE"/>
    <w:rsid w:val="00D93F4F"/>
    <w:rsid w:val="00D96B78"/>
    <w:rsid w:val="00D97A66"/>
    <w:rsid w:val="00DA0AA7"/>
    <w:rsid w:val="00DA38F2"/>
    <w:rsid w:val="00DA411E"/>
    <w:rsid w:val="00DA6104"/>
    <w:rsid w:val="00DA69A0"/>
    <w:rsid w:val="00DB1260"/>
    <w:rsid w:val="00DB63CD"/>
    <w:rsid w:val="00DC3709"/>
    <w:rsid w:val="00DC56CE"/>
    <w:rsid w:val="00DC5DEA"/>
    <w:rsid w:val="00DC63ED"/>
    <w:rsid w:val="00DD054C"/>
    <w:rsid w:val="00DE401C"/>
    <w:rsid w:val="00E0153A"/>
    <w:rsid w:val="00E050E4"/>
    <w:rsid w:val="00E156A5"/>
    <w:rsid w:val="00E173C5"/>
    <w:rsid w:val="00E205D1"/>
    <w:rsid w:val="00E2186B"/>
    <w:rsid w:val="00E27F27"/>
    <w:rsid w:val="00E4195F"/>
    <w:rsid w:val="00E47DB9"/>
    <w:rsid w:val="00E657E4"/>
    <w:rsid w:val="00E72B23"/>
    <w:rsid w:val="00E80039"/>
    <w:rsid w:val="00E91D50"/>
    <w:rsid w:val="00EA70CA"/>
    <w:rsid w:val="00EB1827"/>
    <w:rsid w:val="00EB444B"/>
    <w:rsid w:val="00EC5B35"/>
    <w:rsid w:val="00EE673E"/>
    <w:rsid w:val="00EF713E"/>
    <w:rsid w:val="00F03DC5"/>
    <w:rsid w:val="00F14D6C"/>
    <w:rsid w:val="00F256ED"/>
    <w:rsid w:val="00F702A1"/>
    <w:rsid w:val="00F728EC"/>
    <w:rsid w:val="00F746C0"/>
    <w:rsid w:val="00F81B00"/>
    <w:rsid w:val="00F91990"/>
    <w:rsid w:val="00F927FB"/>
    <w:rsid w:val="00F93E9D"/>
    <w:rsid w:val="00FA0476"/>
    <w:rsid w:val="00FB229E"/>
    <w:rsid w:val="00FB4DC5"/>
    <w:rsid w:val="00FB604E"/>
    <w:rsid w:val="00FD4F2B"/>
    <w:rsid w:val="00FE41A8"/>
    <w:rsid w:val="00FF4377"/>
    <w:rsid w:val="018EA089"/>
    <w:rsid w:val="025EBFF7"/>
    <w:rsid w:val="0922E1E9"/>
    <w:rsid w:val="09BFAAB8"/>
    <w:rsid w:val="0C871C4D"/>
    <w:rsid w:val="0E133C5D"/>
    <w:rsid w:val="0EC408BB"/>
    <w:rsid w:val="0F7238F5"/>
    <w:rsid w:val="1238FB57"/>
    <w:rsid w:val="12E7D74E"/>
    <w:rsid w:val="15316745"/>
    <w:rsid w:val="161717DA"/>
    <w:rsid w:val="164BFEBB"/>
    <w:rsid w:val="18BDFB9B"/>
    <w:rsid w:val="19470723"/>
    <w:rsid w:val="1B7E8038"/>
    <w:rsid w:val="21018A63"/>
    <w:rsid w:val="28A114E6"/>
    <w:rsid w:val="2C74F013"/>
    <w:rsid w:val="2EC10DFD"/>
    <w:rsid w:val="2F374AAF"/>
    <w:rsid w:val="2F542B9D"/>
    <w:rsid w:val="327048C5"/>
    <w:rsid w:val="3490E1EF"/>
    <w:rsid w:val="35A07582"/>
    <w:rsid w:val="377920BE"/>
    <w:rsid w:val="399567AA"/>
    <w:rsid w:val="39E6DDCA"/>
    <w:rsid w:val="3A51CEF2"/>
    <w:rsid w:val="3F4B6266"/>
    <w:rsid w:val="451F3993"/>
    <w:rsid w:val="45CAAEE9"/>
    <w:rsid w:val="4714F83A"/>
    <w:rsid w:val="478CEDC9"/>
    <w:rsid w:val="4975D940"/>
    <w:rsid w:val="4C008A38"/>
    <w:rsid w:val="4CB67490"/>
    <w:rsid w:val="4EE69E8E"/>
    <w:rsid w:val="4F37DF29"/>
    <w:rsid w:val="5114217A"/>
    <w:rsid w:val="52D134E6"/>
    <w:rsid w:val="5301BDFC"/>
    <w:rsid w:val="56885512"/>
    <w:rsid w:val="572AD6A0"/>
    <w:rsid w:val="572B2352"/>
    <w:rsid w:val="5906400E"/>
    <w:rsid w:val="5A1DD6ED"/>
    <w:rsid w:val="5A6F96C2"/>
    <w:rsid w:val="5AC28E08"/>
    <w:rsid w:val="5C484929"/>
    <w:rsid w:val="5FCB4F41"/>
    <w:rsid w:val="60163A4B"/>
    <w:rsid w:val="606D04C8"/>
    <w:rsid w:val="611F7EE6"/>
    <w:rsid w:val="613379F5"/>
    <w:rsid w:val="625EBE21"/>
    <w:rsid w:val="626DBC85"/>
    <w:rsid w:val="62DD8064"/>
    <w:rsid w:val="66D5D082"/>
    <w:rsid w:val="682B545B"/>
    <w:rsid w:val="69896E7F"/>
    <w:rsid w:val="69ACD8A3"/>
    <w:rsid w:val="69C5D0E1"/>
    <w:rsid w:val="6A528BD4"/>
    <w:rsid w:val="6EAE73EC"/>
    <w:rsid w:val="70E18030"/>
    <w:rsid w:val="71128279"/>
    <w:rsid w:val="72BE802A"/>
    <w:rsid w:val="730374BA"/>
    <w:rsid w:val="77375979"/>
    <w:rsid w:val="78C8F6DF"/>
    <w:rsid w:val="79085485"/>
    <w:rsid w:val="79F4FF33"/>
    <w:rsid w:val="7A9C7D25"/>
    <w:rsid w:val="7DE7B270"/>
    <w:rsid w:val="7FA2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EC8A4"/>
  <w15:chartTrackingRefBased/>
  <w15:docId w15:val="{9074B764-E9A9-4825-9865-29ED15B6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A2"/>
  </w:style>
  <w:style w:type="paragraph" w:styleId="Heading1">
    <w:name w:val="heading 1"/>
    <w:basedOn w:val="Normal"/>
    <w:next w:val="Normal"/>
    <w:link w:val="Heading1Char"/>
    <w:uiPriority w:val="9"/>
    <w:qFormat/>
    <w:rsid w:val="00B5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3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3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3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3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3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3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73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3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3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3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3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3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3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3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3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3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73A2"/>
    <w:pPr>
      <w:spacing w:after="0" w:line="240" w:lineRule="auto"/>
    </w:pPr>
    <w:rPr>
      <w:rFonts w:eastAsia="MS PGothic" w:cs="Arial"/>
      <w:kern w:val="0"/>
      <w:sz w:val="22"/>
      <w:szCs w:val="22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B57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573A2"/>
    <w:pPr>
      <w:spacing w:after="0" w:line="240" w:lineRule="auto"/>
    </w:pPr>
    <w:rPr>
      <w:rFonts w:eastAsia="Times New Roman" w:cs="Arial"/>
      <w:kern w:val="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73A2"/>
    <w:rPr>
      <w:rFonts w:eastAsia="Times New Roman" w:cs="Arial"/>
      <w:kern w:val="0"/>
      <w:szCs w:val="20"/>
      <w14:ligatures w14:val="none"/>
    </w:rPr>
  </w:style>
  <w:style w:type="paragraph" w:customStyle="1" w:styleId="BulletedList">
    <w:name w:val="Bulleted List"/>
    <w:basedOn w:val="Normal"/>
    <w:qFormat/>
    <w:rsid w:val="00B573A2"/>
    <w:pPr>
      <w:numPr>
        <w:numId w:val="1"/>
      </w:numPr>
      <w:spacing w:after="60" w:line="240" w:lineRule="auto"/>
    </w:pPr>
    <w:rPr>
      <w:rFonts w:eastAsia="Times New Roman" w:cs="Arial"/>
      <w:kern w:val="0"/>
      <w:szCs w:val="20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B573A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73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3A2"/>
  </w:style>
  <w:style w:type="paragraph" w:styleId="Footer">
    <w:name w:val="footer"/>
    <w:basedOn w:val="Normal"/>
    <w:link w:val="FooterChar"/>
    <w:uiPriority w:val="99"/>
    <w:unhideWhenUsed/>
    <w:rsid w:val="00B573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3A2"/>
  </w:style>
  <w:style w:type="character" w:customStyle="1" w:styleId="normaltextrun">
    <w:name w:val="normaltextrun"/>
    <w:basedOn w:val="DefaultParagraphFont"/>
    <w:rsid w:val="00B573A2"/>
  </w:style>
  <w:style w:type="table" w:customStyle="1" w:styleId="TableGrid1">
    <w:name w:val="Table Grid1"/>
    <w:basedOn w:val="TableNormal"/>
    <w:next w:val="TableGrid"/>
    <w:uiPriority w:val="39"/>
    <w:rsid w:val="00B573A2"/>
    <w:pPr>
      <w:spacing w:after="0" w:line="240" w:lineRule="auto"/>
    </w:pPr>
    <w:rPr>
      <w:rFonts w:eastAsia="MS PGothic" w:cs="Arial"/>
      <w:kern w:val="0"/>
      <w:sz w:val="22"/>
      <w:szCs w:val="22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8477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61B"/>
    <w:pPr>
      <w:spacing w:after="160"/>
    </w:pPr>
    <w:rPr>
      <w:rFonts w:eastAsiaTheme="minorHAnsi" w:cs="Times New Roman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61B"/>
    <w:rPr>
      <w:rFonts w:eastAsia="Times New Roman" w:cs="Arial"/>
      <w:b/>
      <w:bCs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3F1D26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A6104"/>
    <w:rPr>
      <w:color w:val="2B579A"/>
      <w:shd w:val="clear" w:color="auto" w:fill="E1DFDD"/>
    </w:rPr>
  </w:style>
  <w:style w:type="paragraph" w:customStyle="1" w:styleId="pf0">
    <w:name w:val="pf0"/>
    <w:basedOn w:val="Normal"/>
    <w:rsid w:val="007C45D3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lang w:eastAsia="en-AU"/>
      <w14:ligatures w14:val="none"/>
    </w:rPr>
  </w:style>
  <w:style w:type="character" w:customStyle="1" w:styleId="cf01">
    <w:name w:val="cf01"/>
    <w:basedOn w:val="DefaultParagraphFont"/>
    <w:rsid w:val="007C45D3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B6508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65089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089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B65089"/>
  </w:style>
  <w:style w:type="paragraph" w:styleId="EndnoteText">
    <w:name w:val="endnote text"/>
    <w:basedOn w:val="Normal"/>
    <w:link w:val="EndnoteTextChar"/>
    <w:uiPriority w:val="99"/>
    <w:semiHidden/>
    <w:unhideWhenUsed/>
    <w:rsid w:val="00FE41A8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41A8"/>
    <w:rPr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41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mmunisationhandbook.health.gov.au/contents/vaccine-preventable-diseases/respiratory-syncytial-virus-rs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mmunisationhandbook.health.gov.au/contents/vaccine-preventable-diseases/respiratory-syncytial-virus-rs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Sar25</b:Tag>
    <b:SourceType>JournalArticle</b:SourceType>
    <b:Guid>{8C0BB0B1-4FA5-490A-8B5A-99D72D03F54B}</b:Guid>
    <b:Author>
      <b:Author>
        <b:NameList>
          <b:Person>
            <b:Last>Sarna</b:Last>
            <b:First>M</b:First>
          </b:Person>
          <b:Person>
            <b:Last>Blyth</b:Last>
            <b:First>Chris</b:First>
          </b:Person>
          <b:Person>
            <b:Last>Taye</b:Last>
            <b:Middle>W</b:Middle>
            <b:First>B</b:First>
          </b:Person>
          <b:Person>
            <b:Last>Le</b:Last>
            <b:First>H</b:First>
          </b:Person>
          <b:Person>
            <b:Last>Richmond</b:Last>
            <b:First>P</b:First>
          </b:Person>
          <b:Person>
            <b:Last>Glass</b:Last>
            <b:First>K</b:First>
          </b:Person>
        </b:NameList>
      </b:Author>
    </b:Author>
    <b:Title>Who is at risk of a respiratory syncytial virus hospitalisation? A linked, population-based birth cohort analysis in children aged less than 5 years</b:Title>
    <b:JournalName>The Lancet Regional Health–Western Pacific</b:JournalName>
    <b:Year>2025</b:Year>
    <b:Pages>61</b:Pages>
    <b:RefOrder>1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c38f0e-ea1a-4921-a781-bef71901c203" xsi:nil="true"/>
    <lcf76f155ced4ddcb4097134ff3c332f xmlns="846013ab-a6e8-40a7-abe9-0bafd39f501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E433571F75594DABC13493BBF107D5" ma:contentTypeVersion="15" ma:contentTypeDescription="Create a new document." ma:contentTypeScope="" ma:versionID="4509bceeb20efba257cd83354e516d61">
  <xsd:schema xmlns:xsd="http://www.w3.org/2001/XMLSchema" xmlns:xs="http://www.w3.org/2001/XMLSchema" xmlns:p="http://schemas.microsoft.com/office/2006/metadata/properties" xmlns:ns2="846013ab-a6e8-40a7-abe9-0bafd39f5010" xmlns:ns3="42c38f0e-ea1a-4921-a781-bef71901c203" targetNamespace="http://schemas.microsoft.com/office/2006/metadata/properties" ma:root="true" ma:fieldsID="aecde5853c5447518efa3649d351f6ae" ns2:_="" ns3:_="">
    <xsd:import namespace="846013ab-a6e8-40a7-abe9-0bafd39f5010"/>
    <xsd:import namespace="42c38f0e-ea1a-4921-a781-bef71901c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013ab-a6e8-40a7-abe9-0bafd39f5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38f0e-ea1a-4921-a781-bef71901c2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491838-abfe-4b3e-85b8-a09ee2142802}" ma:internalName="TaxCatchAll" ma:showField="CatchAllData" ma:web="42c38f0e-ea1a-4921-a781-bef71901c2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838F03-5335-4B2F-9938-524516193A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261C36-A514-4207-AC0B-4911BEE32E9C}">
  <ds:schemaRefs>
    <ds:schemaRef ds:uri="http://schemas.microsoft.com/office/2006/metadata/properties"/>
    <ds:schemaRef ds:uri="http://schemas.microsoft.com/office/infopath/2007/PartnerControls"/>
    <ds:schemaRef ds:uri="42c38f0e-ea1a-4921-a781-bef71901c203"/>
    <ds:schemaRef ds:uri="846013ab-a6e8-40a7-abe9-0bafd39f5010"/>
  </ds:schemaRefs>
</ds:datastoreItem>
</file>

<file path=customXml/itemProps3.xml><?xml version="1.0" encoding="utf-8"?>
<ds:datastoreItem xmlns:ds="http://schemas.openxmlformats.org/officeDocument/2006/customXml" ds:itemID="{9E4293F9-9657-4AFB-AED0-C7C3F92493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88C448-5035-4BF4-8182-3629AAFE7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013ab-a6e8-40a7-abe9-0bafd39f5010"/>
    <ds:schemaRef ds:uri="42c38f0e-ea1a-4921-a781-bef71901c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d3e8b9-ffed-43a8-b7f4-cc2fa0382d36}" enabled="1" method="Privileged" siteId="{34a3929c-73cf-4954-abfe-147dc35178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3049</Characters>
  <Application>Microsoft Office Word</Application>
  <DocSecurity>0</DocSecurity>
  <Lines>70</Lines>
  <Paragraphs>51</Paragraphs>
  <ScaleCrop>false</ScaleCrop>
  <Company>Department of Health, Disability and Ageing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2026-11-04T22:27:00Z</dcterms:created>
  <dcterms:modified xsi:type="dcterms:W3CDTF">2026-11-04T22:57:00Z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6877b2de,738ba6a0,b2a523f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404453ca,7ffe0b5e,45f9ab60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2026-09-23T01:54:19Z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759d7be7-b8a3-4675-8cad-5774e5878b63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0x01010082E433571F75594DABC13493BBF107D5</vt:lpwstr>
  </property>
  <property fmtid="{D5CDD505-2E9C-101B-9397-08002B2CF9AE}" pid="17" name="MediaServiceImageTags">
    <vt:lpwstr/>
  </property>
  <property fmtid="{D5CDD505-2E9C-101B-9397-08002B2CF9AE}" pid="18" name="MSIP_Label_76a44f01-6907-4156-9b79-a71e6c56ad93_Enabled">
    <vt:lpwstr>true</vt:lpwstr>
  </property>
  <property fmtid="{D5CDD505-2E9C-101B-9397-08002B2CF9AE}" pid="19" name="MSIP_Label_76a44f01-6907-4156-9b79-a71e6c56ad93_SetDate">
    <vt:lpwstr>2026-10-02T05:34:56Z</vt:lpwstr>
  </property>
  <property fmtid="{D5CDD505-2E9C-101B-9397-08002B2CF9AE}" pid="20" name="MSIP_Label_76a44f01-6907-4156-9b79-a71e6c56ad93_Method">
    <vt:lpwstr>Privileged</vt:lpwstr>
  </property>
  <property fmtid="{D5CDD505-2E9C-101B-9397-08002B2CF9AE}" pid="21" name="MSIP_Label_76a44f01-6907-4156-9b79-a71e6c56ad93_Name">
    <vt:lpwstr>OFFICIAL</vt:lpwstr>
  </property>
  <property fmtid="{D5CDD505-2E9C-101B-9397-08002B2CF9AE}" pid="22" name="MSIP_Label_76a44f01-6907-4156-9b79-a71e6c56ad93_SiteId">
    <vt:lpwstr>a687a7bf-02db-43df-bcbb-e7a8bda611a2</vt:lpwstr>
  </property>
  <property fmtid="{D5CDD505-2E9C-101B-9397-08002B2CF9AE}" pid="23" name="MSIP_Label_76a44f01-6907-4156-9b79-a71e6c56ad93_ActionId">
    <vt:lpwstr>0d9741c0-ef3a-4944-8fd4-f24dbb69c55a</vt:lpwstr>
  </property>
  <property fmtid="{D5CDD505-2E9C-101B-9397-08002B2CF9AE}" pid="24" name="MSIP_Label_76a44f01-6907-4156-9b79-a71e6c56ad93_ContentBits">
    <vt:lpwstr>0</vt:lpwstr>
  </property>
  <property fmtid="{D5CDD505-2E9C-101B-9397-08002B2CF9AE}" pid="25" name="MSIP_Label_76a44f01-6907-4156-9b79-a71e6c56ad93_Tag">
    <vt:lpwstr>50, 0, 1, 1</vt:lpwstr>
  </property>
  <property fmtid="{D5CDD505-2E9C-101B-9397-08002B2CF9AE}" pid="26" name="docLang">
    <vt:lpwstr>en</vt:lpwstr>
  </property>
</Properties>
</file>