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2368" w14:textId="77777777" w:rsidR="00B80404" w:rsidRDefault="00F151E3" w:rsidP="00E44F56">
      <w:r>
        <w:rPr>
          <w:noProof/>
        </w:rPr>
        <w:drawing>
          <wp:anchor distT="0" distB="0" distL="114300" distR="114300" simplePos="0" relativeHeight="251658242" behindDoc="0" locked="0" layoutInCell="1" allowOverlap="1" wp14:anchorId="230EF4A9" wp14:editId="01094F8C">
            <wp:simplePos x="0" y="0"/>
            <wp:positionH relativeFrom="column">
              <wp:posOffset>-257175</wp:posOffset>
            </wp:positionH>
            <wp:positionV relativeFrom="paragraph">
              <wp:posOffset>307763</wp:posOffset>
            </wp:positionV>
            <wp:extent cx="2551181" cy="954026"/>
            <wp:effectExtent l="0" t="0" r="1905" b="0"/>
            <wp:wrapNone/>
            <wp:docPr id="1906894946" name="Picture 8" descr="Australian Government Department of Health, Disability and Ageing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94946" name="Picture 8" descr="Australian Government Department of Health, Disability and Ageing cre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1181" cy="954026"/>
                    </a:xfrm>
                    <a:prstGeom prst="rect">
                      <a:avLst/>
                    </a:prstGeom>
                  </pic:spPr>
                </pic:pic>
              </a:graphicData>
            </a:graphic>
            <wp14:sizeRelH relativeFrom="page">
              <wp14:pctWidth>0</wp14:pctWidth>
            </wp14:sizeRelH>
            <wp14:sizeRelV relativeFrom="page">
              <wp14:pctHeight>0</wp14:pctHeight>
            </wp14:sizeRelV>
          </wp:anchor>
        </w:drawing>
      </w:r>
    </w:p>
    <w:sdt>
      <w:sdtPr>
        <w:id w:val="1311518984"/>
        <w:docPartObj>
          <w:docPartGallery w:val="Cover Pages"/>
          <w:docPartUnique/>
        </w:docPartObj>
      </w:sdtPr>
      <w:sdtContent>
        <w:p w14:paraId="0872CF69" w14:textId="42AF9078" w:rsidR="00786622" w:rsidRPr="00450FEC" w:rsidRDefault="00F151E3" w:rsidP="00E44F56">
          <w:r>
            <w:rPr>
              <w:noProof/>
            </w:rPr>
            <w:drawing>
              <wp:anchor distT="0" distB="0" distL="114300" distR="114300" simplePos="0" relativeHeight="251658240" behindDoc="0" locked="0" layoutInCell="1" allowOverlap="1" wp14:anchorId="121DC287" wp14:editId="722E6ACC">
                <wp:simplePos x="0" y="0"/>
                <wp:positionH relativeFrom="column">
                  <wp:posOffset>-740410</wp:posOffset>
                </wp:positionH>
                <wp:positionV relativeFrom="paragraph">
                  <wp:posOffset>206375</wp:posOffset>
                </wp:positionV>
                <wp:extent cx="7592695" cy="9655175"/>
                <wp:effectExtent l="0" t="0" r="8255" b="3175"/>
                <wp:wrapNone/>
                <wp:docPr id="1008279949" name="Picture 3" descr="Title page: Medical Research Future Fund - Australian Medical Research and Innovation Strategy 2026-2031 and Priorities 2026-2028 consult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79949" name="Picture 3" descr="Title page: Medical Research Future Fund - Australian Medical Research and Innovation Strategy 2026-2031 and Priorities 2026-2028 consultation report"/>
                        <pic:cNvPicPr>
                          <a:picLocks noChangeAspect="1"/>
                        </pic:cNvPicPr>
                      </pic:nvPicPr>
                      <pic:blipFill rotWithShape="1">
                        <a:blip r:embed="rId12">
                          <a:extLst>
                            <a:ext uri="{28A0092B-C50C-407E-A947-70E740481C1C}">
                              <a14:useLocalDpi xmlns:a14="http://schemas.microsoft.com/office/drawing/2010/main" val="0"/>
                            </a:ext>
                          </a:extLst>
                        </a:blip>
                        <a:srcRect t="10008"/>
                        <a:stretch>
                          <a:fillRect/>
                        </a:stretch>
                      </pic:blipFill>
                      <pic:spPr bwMode="auto">
                        <a:xfrm>
                          <a:off x="0" y="0"/>
                          <a:ext cx="7592695" cy="96551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78BA71E" w14:textId="616E2F50" w:rsidR="00786622" w:rsidRPr="00450FEC" w:rsidRDefault="00786622" w:rsidP="00E44F56">
          <w:r w:rsidRPr="00450FEC">
            <w:rPr>
              <w:noProof/>
            </w:rPr>
            <mc:AlternateContent>
              <mc:Choice Requires="wps">
                <w:drawing>
                  <wp:anchor distT="0" distB="0" distL="114300" distR="114300" simplePos="0" relativeHeight="251658241" behindDoc="0" locked="1" layoutInCell="1" allowOverlap="1" wp14:anchorId="26F51D8B" wp14:editId="71C9487C">
                    <wp:simplePos x="0" y="0"/>
                    <wp:positionH relativeFrom="page">
                      <wp:posOffset>399415</wp:posOffset>
                    </wp:positionH>
                    <wp:positionV relativeFrom="page">
                      <wp:posOffset>3208020</wp:posOffset>
                    </wp:positionV>
                    <wp:extent cx="7315200" cy="6199200"/>
                    <wp:effectExtent l="0" t="0" r="0" b="1143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619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C785A9" w14:textId="6AFE45DF" w:rsidR="0052497D" w:rsidRPr="00A213AC" w:rsidRDefault="00000000" w:rsidP="00E44F56">
                                <w:pPr>
                                  <w:pStyle w:val="Title"/>
                                  <w:rPr>
                                    <w:rFonts w:asciiTheme="minorHAnsi" w:hAnsiTheme="minorHAnsi"/>
                                    <w:sz w:val="24"/>
                                    <w:szCs w:val="24"/>
                                  </w:rPr>
                                </w:pPr>
                                <w:sdt>
                                  <w:sdtPr>
                                    <w:rPr>
                                      <w:b/>
                                      <w:bCs/>
                                      <w:color w:val="FFFFFF" w:themeColor="background1"/>
                                      <w:sz w:val="40"/>
                                      <w:szCs w:val="40"/>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DD3FCA" w:rsidRPr="00A213AC">
                                      <w:rPr>
                                        <w:b/>
                                        <w:bCs/>
                                        <w:color w:val="FFFFFF" w:themeColor="background1"/>
                                        <w:sz w:val="40"/>
                                        <w:szCs w:val="40"/>
                                      </w:rPr>
                                      <w:t xml:space="preserve">Australian Medical Research and Innovation </w:t>
                                    </w:r>
                                    <w:r w:rsidR="004C525D" w:rsidRPr="00A213AC">
                                      <w:rPr>
                                        <w:b/>
                                        <w:bCs/>
                                        <w:color w:val="FFFFFF" w:themeColor="background1"/>
                                        <w:sz w:val="40"/>
                                        <w:szCs w:val="40"/>
                                      </w:rPr>
                                      <w:t>Strategy 2026-</w:t>
                                    </w:r>
                                    <w:r w:rsidR="00716CB3" w:rsidRPr="00A213AC">
                                      <w:rPr>
                                        <w:b/>
                                        <w:bCs/>
                                        <w:color w:val="FFFFFF" w:themeColor="background1"/>
                                        <w:sz w:val="40"/>
                                        <w:szCs w:val="40"/>
                                      </w:rPr>
                                      <w:t>20</w:t>
                                    </w:r>
                                    <w:r w:rsidR="004C525D" w:rsidRPr="00A213AC">
                                      <w:rPr>
                                        <w:b/>
                                        <w:bCs/>
                                        <w:color w:val="FFFFFF" w:themeColor="background1"/>
                                        <w:sz w:val="40"/>
                                        <w:szCs w:val="40"/>
                                      </w:rPr>
                                      <w:t xml:space="preserve">31 and </w:t>
                                    </w:r>
                                    <w:r w:rsidR="00DD3FCA" w:rsidRPr="00A213AC">
                                      <w:rPr>
                                        <w:b/>
                                        <w:bCs/>
                                        <w:color w:val="FFFFFF" w:themeColor="background1"/>
                                        <w:sz w:val="40"/>
                                        <w:szCs w:val="40"/>
                                      </w:rPr>
                                      <w:t>Priorit</w:t>
                                    </w:r>
                                    <w:r w:rsidR="004C525D" w:rsidRPr="00A213AC">
                                      <w:rPr>
                                        <w:b/>
                                        <w:bCs/>
                                        <w:color w:val="FFFFFF" w:themeColor="background1"/>
                                        <w:sz w:val="40"/>
                                        <w:szCs w:val="40"/>
                                      </w:rPr>
                                      <w:t>ies</w:t>
                                    </w:r>
                                    <w:r w:rsidR="00DD3FCA" w:rsidRPr="00A213AC">
                                      <w:rPr>
                                        <w:b/>
                                        <w:bCs/>
                                        <w:color w:val="FFFFFF" w:themeColor="background1"/>
                                        <w:sz w:val="40"/>
                                        <w:szCs w:val="40"/>
                                      </w:rPr>
                                      <w:t xml:space="preserve"> 2026</w:t>
                                    </w:r>
                                    <w:r w:rsidR="004C525D" w:rsidRPr="00A213AC">
                                      <w:rPr>
                                        <w:b/>
                                        <w:bCs/>
                                        <w:color w:val="FFFFFF" w:themeColor="background1"/>
                                        <w:sz w:val="40"/>
                                        <w:szCs w:val="40"/>
                                      </w:rPr>
                                      <w:t>-</w:t>
                                    </w:r>
                                    <w:r w:rsidR="00716CB3" w:rsidRPr="00A213AC">
                                      <w:rPr>
                                        <w:b/>
                                        <w:bCs/>
                                        <w:color w:val="FFFFFF" w:themeColor="background1"/>
                                        <w:sz w:val="40"/>
                                        <w:szCs w:val="40"/>
                                      </w:rPr>
                                      <w:t>20</w:t>
                                    </w:r>
                                    <w:r w:rsidR="004C525D" w:rsidRPr="00A213AC">
                                      <w:rPr>
                                        <w:b/>
                                        <w:bCs/>
                                        <w:color w:val="FFFFFF" w:themeColor="background1"/>
                                        <w:sz w:val="40"/>
                                        <w:szCs w:val="40"/>
                                      </w:rPr>
                                      <w:t>28 con</w:t>
                                    </w:r>
                                    <w:r w:rsidR="00DD3FCA" w:rsidRPr="00A213AC">
                                      <w:rPr>
                                        <w:b/>
                                        <w:bCs/>
                                        <w:color w:val="FFFFFF" w:themeColor="background1"/>
                                        <w:sz w:val="40"/>
                                        <w:szCs w:val="40"/>
                                      </w:rPr>
                                      <w:t>sultation report</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26F51D8B" id="_x0000_t202" coordsize="21600,21600" o:spt="202" path="m,l,21600r21600,l21600,xe">
                    <v:stroke joinstyle="miter"/>
                    <v:path gradientshapeok="t" o:connecttype="rect"/>
                  </v:shapetype>
                  <v:shape id="Text Box 154" o:spid="_x0000_s1026" type="#_x0000_t202" alt="&quot;&quot;" style="position:absolute;margin-left:31.45pt;margin-top:252.6pt;width:8in;height:488.15pt;z-index:251658241;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" filled="f" stroked="f" strokeweight=".5pt">
                    <v:textbox inset="126pt,0,54pt,0">
                      <w:txbxContent>
                        <w:p w14:paraId="16C785A9" w14:textId="6AFE45DF" w:rsidR="0052497D" w:rsidRPr="00A213AC" w:rsidRDefault="00000000" w:rsidP="00E44F56">
                          <w:pPr>
                            <w:pStyle w:val="Title"/>
                            <w:rPr>
                              <w:rFonts w:asciiTheme="minorHAnsi" w:hAnsiTheme="minorHAnsi"/>
                              <w:sz w:val="24"/>
                              <w:szCs w:val="24"/>
                            </w:rPr>
                          </w:pPr>
                          <w:sdt>
                            <w:sdtPr>
                              <w:rPr>
                                <w:b/>
                                <w:bCs/>
                                <w:color w:val="FFFFFF" w:themeColor="background1"/>
                                <w:sz w:val="40"/>
                                <w:szCs w:val="40"/>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DD3FCA" w:rsidRPr="00A213AC">
                                <w:rPr>
                                  <w:b/>
                                  <w:bCs/>
                                  <w:color w:val="FFFFFF" w:themeColor="background1"/>
                                  <w:sz w:val="40"/>
                                  <w:szCs w:val="40"/>
                                </w:rPr>
                                <w:t xml:space="preserve">Australian Medical Research and Innovation </w:t>
                              </w:r>
                              <w:r w:rsidR="004C525D" w:rsidRPr="00A213AC">
                                <w:rPr>
                                  <w:b/>
                                  <w:bCs/>
                                  <w:color w:val="FFFFFF" w:themeColor="background1"/>
                                  <w:sz w:val="40"/>
                                  <w:szCs w:val="40"/>
                                </w:rPr>
                                <w:t>Strategy 2026-</w:t>
                              </w:r>
                              <w:r w:rsidR="00716CB3" w:rsidRPr="00A213AC">
                                <w:rPr>
                                  <w:b/>
                                  <w:bCs/>
                                  <w:color w:val="FFFFFF" w:themeColor="background1"/>
                                  <w:sz w:val="40"/>
                                  <w:szCs w:val="40"/>
                                </w:rPr>
                                <w:t>20</w:t>
                              </w:r>
                              <w:r w:rsidR="004C525D" w:rsidRPr="00A213AC">
                                <w:rPr>
                                  <w:b/>
                                  <w:bCs/>
                                  <w:color w:val="FFFFFF" w:themeColor="background1"/>
                                  <w:sz w:val="40"/>
                                  <w:szCs w:val="40"/>
                                </w:rPr>
                                <w:t xml:space="preserve">31 and </w:t>
                              </w:r>
                              <w:r w:rsidR="00DD3FCA" w:rsidRPr="00A213AC">
                                <w:rPr>
                                  <w:b/>
                                  <w:bCs/>
                                  <w:color w:val="FFFFFF" w:themeColor="background1"/>
                                  <w:sz w:val="40"/>
                                  <w:szCs w:val="40"/>
                                </w:rPr>
                                <w:t>Priorit</w:t>
                              </w:r>
                              <w:r w:rsidR="004C525D" w:rsidRPr="00A213AC">
                                <w:rPr>
                                  <w:b/>
                                  <w:bCs/>
                                  <w:color w:val="FFFFFF" w:themeColor="background1"/>
                                  <w:sz w:val="40"/>
                                  <w:szCs w:val="40"/>
                                </w:rPr>
                                <w:t>ies</w:t>
                              </w:r>
                              <w:r w:rsidR="00DD3FCA" w:rsidRPr="00A213AC">
                                <w:rPr>
                                  <w:b/>
                                  <w:bCs/>
                                  <w:color w:val="FFFFFF" w:themeColor="background1"/>
                                  <w:sz w:val="40"/>
                                  <w:szCs w:val="40"/>
                                </w:rPr>
                                <w:t xml:space="preserve"> 2026</w:t>
                              </w:r>
                              <w:r w:rsidR="004C525D" w:rsidRPr="00A213AC">
                                <w:rPr>
                                  <w:b/>
                                  <w:bCs/>
                                  <w:color w:val="FFFFFF" w:themeColor="background1"/>
                                  <w:sz w:val="40"/>
                                  <w:szCs w:val="40"/>
                                </w:rPr>
                                <w:t>-</w:t>
                              </w:r>
                              <w:r w:rsidR="00716CB3" w:rsidRPr="00A213AC">
                                <w:rPr>
                                  <w:b/>
                                  <w:bCs/>
                                  <w:color w:val="FFFFFF" w:themeColor="background1"/>
                                  <w:sz w:val="40"/>
                                  <w:szCs w:val="40"/>
                                </w:rPr>
                                <w:t>20</w:t>
                              </w:r>
                              <w:r w:rsidR="004C525D" w:rsidRPr="00A213AC">
                                <w:rPr>
                                  <w:b/>
                                  <w:bCs/>
                                  <w:color w:val="FFFFFF" w:themeColor="background1"/>
                                  <w:sz w:val="40"/>
                                  <w:szCs w:val="40"/>
                                </w:rPr>
                                <w:t>28 con</w:t>
                              </w:r>
                              <w:r w:rsidR="00DD3FCA" w:rsidRPr="00A213AC">
                                <w:rPr>
                                  <w:b/>
                                  <w:bCs/>
                                  <w:color w:val="FFFFFF" w:themeColor="background1"/>
                                  <w:sz w:val="40"/>
                                  <w:szCs w:val="40"/>
                                </w:rPr>
                                <w:t>sultation report</w:t>
                              </w:r>
                            </w:sdtContent>
                          </w:sdt>
                        </w:p>
                      </w:txbxContent>
                    </v:textbox>
                    <w10:wrap type="square" anchorx="page" anchory="page"/>
                    <w10:anchorlock/>
                  </v:shape>
                </w:pict>
              </mc:Fallback>
            </mc:AlternateContent>
          </w:r>
          <w:r w:rsidRPr="00450FEC">
            <w:br w:type="page"/>
          </w:r>
        </w:p>
      </w:sdtContent>
    </w:sdt>
    <w:sdt>
      <w:sdtPr>
        <w:rPr>
          <w:rFonts w:asciiTheme="minorHAnsi" w:eastAsiaTheme="minorEastAsia" w:hAnsiTheme="minorHAnsi" w:cstheme="minorBidi"/>
          <w:color w:val="auto"/>
          <w:sz w:val="22"/>
          <w:szCs w:val="22"/>
          <w:lang w:val="en-AU"/>
        </w:rPr>
        <w:id w:val="346448361"/>
        <w:docPartObj>
          <w:docPartGallery w:val="Table of Contents"/>
          <w:docPartUnique/>
        </w:docPartObj>
      </w:sdtPr>
      <w:sdtEndPr>
        <w:rPr>
          <w:rFonts w:cstheme="minorHAnsi"/>
          <w:sz w:val="24"/>
          <w:szCs w:val="24"/>
        </w:rPr>
      </w:sdtEndPr>
      <w:sdtContent>
        <w:p w14:paraId="0396F7AE" w14:textId="77777777" w:rsidR="00786622" w:rsidRPr="00450FEC" w:rsidRDefault="00786622" w:rsidP="00E44F56">
          <w:pPr>
            <w:pStyle w:val="TOCHeading"/>
          </w:pPr>
          <w:r w:rsidRPr="00450FEC">
            <w:t>Table of Contents</w:t>
          </w:r>
        </w:p>
        <w:p w14:paraId="51A87027" w14:textId="77777777" w:rsidR="00786622" w:rsidRPr="00450FEC" w:rsidRDefault="00786622" w:rsidP="00E44F56"/>
        <w:p w14:paraId="36694E13" w14:textId="409FAEC7" w:rsidR="009C5AB5" w:rsidRDefault="003D4BFA">
          <w:pPr>
            <w:pStyle w:val="TOC1"/>
            <w:rPr>
              <w:rFonts w:eastAsiaTheme="minorEastAsia" w:cstheme="minorBidi"/>
              <w:spacing w:val="0"/>
              <w:kern w:val="2"/>
              <w:sz w:val="24"/>
              <w14:ligatures w14:val="standardContextual"/>
            </w:rPr>
          </w:pPr>
          <w:r>
            <w:fldChar w:fldCharType="begin"/>
          </w:r>
          <w:r w:rsidRPr="00714F6F">
            <w:instrText xml:space="preserve"> TOC \o "1-3" \h \z \u </w:instrText>
          </w:r>
          <w:r>
            <w:fldChar w:fldCharType="separate"/>
          </w:r>
          <w:hyperlink w:anchor="_Toc242788125" w:history="1">
            <w:r w:rsidR="009C5AB5" w:rsidRPr="000717CD">
              <w:rPr>
                <w:rStyle w:val="Hyperlink"/>
              </w:rPr>
              <w:t>Introduction</w:t>
            </w:r>
            <w:r w:rsidR="009C5AB5">
              <w:rPr>
                <w:webHidden/>
              </w:rPr>
              <w:tab/>
            </w:r>
            <w:r w:rsidR="009C5AB5">
              <w:rPr>
                <w:webHidden/>
              </w:rPr>
              <w:fldChar w:fldCharType="begin"/>
            </w:r>
            <w:r w:rsidR="009C5AB5">
              <w:rPr>
                <w:webHidden/>
              </w:rPr>
              <w:instrText xml:space="preserve"> PAGEREF _Toc242788125 \h </w:instrText>
            </w:r>
            <w:r w:rsidR="009C5AB5">
              <w:rPr>
                <w:webHidden/>
              </w:rPr>
            </w:r>
            <w:r w:rsidR="009C5AB5">
              <w:rPr>
                <w:webHidden/>
              </w:rPr>
              <w:fldChar w:fldCharType="separate"/>
            </w:r>
            <w:r w:rsidR="009C5AB5">
              <w:rPr>
                <w:webHidden/>
              </w:rPr>
              <w:t>3</w:t>
            </w:r>
            <w:r w:rsidR="009C5AB5">
              <w:rPr>
                <w:webHidden/>
              </w:rPr>
              <w:fldChar w:fldCharType="end"/>
            </w:r>
          </w:hyperlink>
        </w:p>
        <w:p w14:paraId="00E4F185" w14:textId="432955ED" w:rsidR="009C5AB5" w:rsidRDefault="009C5AB5">
          <w:pPr>
            <w:pStyle w:val="TOC1"/>
            <w:rPr>
              <w:rFonts w:eastAsiaTheme="minorEastAsia" w:cstheme="minorBidi"/>
              <w:spacing w:val="0"/>
              <w:kern w:val="2"/>
              <w:sz w:val="24"/>
              <w14:ligatures w14:val="standardContextual"/>
            </w:rPr>
          </w:pPr>
          <w:hyperlink w:anchor="_Toc242788126" w:history="1">
            <w:r w:rsidRPr="000717CD">
              <w:rPr>
                <w:rStyle w:val="Hyperlink"/>
              </w:rPr>
              <w:t>Consultation process</w:t>
            </w:r>
            <w:r>
              <w:rPr>
                <w:webHidden/>
              </w:rPr>
              <w:tab/>
            </w:r>
            <w:r>
              <w:rPr>
                <w:webHidden/>
              </w:rPr>
              <w:fldChar w:fldCharType="begin"/>
            </w:r>
            <w:r>
              <w:rPr>
                <w:webHidden/>
              </w:rPr>
              <w:instrText xml:space="preserve"> PAGEREF _Toc242788126 \h </w:instrText>
            </w:r>
            <w:r>
              <w:rPr>
                <w:webHidden/>
              </w:rPr>
            </w:r>
            <w:r>
              <w:rPr>
                <w:webHidden/>
              </w:rPr>
              <w:fldChar w:fldCharType="separate"/>
            </w:r>
            <w:r>
              <w:rPr>
                <w:webHidden/>
              </w:rPr>
              <w:t>3</w:t>
            </w:r>
            <w:r>
              <w:rPr>
                <w:webHidden/>
              </w:rPr>
              <w:fldChar w:fldCharType="end"/>
            </w:r>
          </w:hyperlink>
        </w:p>
        <w:p w14:paraId="6A122640" w14:textId="55605C5D" w:rsidR="009C5AB5" w:rsidRDefault="009C5AB5">
          <w:pPr>
            <w:pStyle w:val="TOC1"/>
            <w:rPr>
              <w:rFonts w:eastAsiaTheme="minorEastAsia" w:cstheme="minorBidi"/>
              <w:spacing w:val="0"/>
              <w:kern w:val="2"/>
              <w:sz w:val="24"/>
              <w14:ligatures w14:val="standardContextual"/>
            </w:rPr>
          </w:pPr>
          <w:hyperlink w:anchor="_Toc242788127" w:history="1">
            <w:r w:rsidRPr="000717CD">
              <w:rPr>
                <w:rStyle w:val="Hyperlink"/>
              </w:rPr>
              <w:t>Report structure</w:t>
            </w:r>
            <w:r>
              <w:rPr>
                <w:webHidden/>
              </w:rPr>
              <w:tab/>
            </w:r>
            <w:r>
              <w:rPr>
                <w:webHidden/>
              </w:rPr>
              <w:fldChar w:fldCharType="begin"/>
            </w:r>
            <w:r>
              <w:rPr>
                <w:webHidden/>
              </w:rPr>
              <w:instrText xml:space="preserve"> PAGEREF _Toc242788127 \h </w:instrText>
            </w:r>
            <w:r>
              <w:rPr>
                <w:webHidden/>
              </w:rPr>
            </w:r>
            <w:r>
              <w:rPr>
                <w:webHidden/>
              </w:rPr>
              <w:fldChar w:fldCharType="separate"/>
            </w:r>
            <w:r>
              <w:rPr>
                <w:webHidden/>
              </w:rPr>
              <w:t>4</w:t>
            </w:r>
            <w:r>
              <w:rPr>
                <w:webHidden/>
              </w:rPr>
              <w:fldChar w:fldCharType="end"/>
            </w:r>
          </w:hyperlink>
        </w:p>
        <w:p w14:paraId="55524229" w14:textId="41E4C349" w:rsidR="009C5AB5" w:rsidRDefault="009C5AB5">
          <w:pPr>
            <w:pStyle w:val="TOC1"/>
            <w:rPr>
              <w:rFonts w:eastAsiaTheme="minorEastAsia" w:cstheme="minorBidi"/>
              <w:spacing w:val="0"/>
              <w:kern w:val="2"/>
              <w:sz w:val="24"/>
              <w14:ligatures w14:val="standardContextual"/>
            </w:rPr>
          </w:pPr>
          <w:hyperlink w:anchor="_Toc242788128" w:history="1">
            <w:r w:rsidRPr="000717CD">
              <w:rPr>
                <w:rStyle w:val="Hyperlink"/>
              </w:rPr>
              <w:t>Public consultation metrics</w:t>
            </w:r>
            <w:r>
              <w:rPr>
                <w:webHidden/>
              </w:rPr>
              <w:tab/>
            </w:r>
            <w:r>
              <w:rPr>
                <w:webHidden/>
              </w:rPr>
              <w:fldChar w:fldCharType="begin"/>
            </w:r>
            <w:r>
              <w:rPr>
                <w:webHidden/>
              </w:rPr>
              <w:instrText xml:space="preserve"> PAGEREF _Toc242788128 \h </w:instrText>
            </w:r>
            <w:r>
              <w:rPr>
                <w:webHidden/>
              </w:rPr>
            </w:r>
            <w:r>
              <w:rPr>
                <w:webHidden/>
              </w:rPr>
              <w:fldChar w:fldCharType="separate"/>
            </w:r>
            <w:r>
              <w:rPr>
                <w:webHidden/>
              </w:rPr>
              <w:t>5</w:t>
            </w:r>
            <w:r>
              <w:rPr>
                <w:webHidden/>
              </w:rPr>
              <w:fldChar w:fldCharType="end"/>
            </w:r>
          </w:hyperlink>
        </w:p>
        <w:p w14:paraId="4FC10D30" w14:textId="157AB8B0" w:rsidR="009C5AB5" w:rsidRDefault="009C5AB5">
          <w:pPr>
            <w:pStyle w:val="TOC2"/>
            <w:rPr>
              <w:rFonts w:eastAsiaTheme="minorEastAsia" w:cstheme="minorBidi"/>
              <w:noProof/>
              <w:spacing w:val="0"/>
              <w:kern w:val="2"/>
              <w:sz w:val="24"/>
              <w14:ligatures w14:val="standardContextual"/>
            </w:rPr>
          </w:pPr>
          <w:hyperlink w:anchor="_Toc242788129" w:history="1">
            <w:r w:rsidRPr="000717CD">
              <w:rPr>
                <w:rStyle w:val="Hyperlink"/>
                <w:noProof/>
              </w:rPr>
              <w:t>Online survey</w:t>
            </w:r>
            <w:r>
              <w:rPr>
                <w:noProof/>
                <w:webHidden/>
              </w:rPr>
              <w:tab/>
            </w:r>
            <w:r>
              <w:rPr>
                <w:noProof/>
                <w:webHidden/>
              </w:rPr>
              <w:fldChar w:fldCharType="begin"/>
            </w:r>
            <w:r>
              <w:rPr>
                <w:noProof/>
                <w:webHidden/>
              </w:rPr>
              <w:instrText xml:space="preserve"> PAGEREF _Toc242788129 \h </w:instrText>
            </w:r>
            <w:r>
              <w:rPr>
                <w:noProof/>
                <w:webHidden/>
              </w:rPr>
            </w:r>
            <w:r>
              <w:rPr>
                <w:noProof/>
                <w:webHidden/>
              </w:rPr>
              <w:fldChar w:fldCharType="separate"/>
            </w:r>
            <w:r>
              <w:rPr>
                <w:noProof/>
                <w:webHidden/>
              </w:rPr>
              <w:t>5</w:t>
            </w:r>
            <w:r>
              <w:rPr>
                <w:noProof/>
                <w:webHidden/>
              </w:rPr>
              <w:fldChar w:fldCharType="end"/>
            </w:r>
          </w:hyperlink>
        </w:p>
        <w:p w14:paraId="3C23D2AA" w14:textId="04A95DAC" w:rsidR="009C5AB5" w:rsidRDefault="009C5AB5">
          <w:pPr>
            <w:pStyle w:val="TOC3"/>
            <w:rPr>
              <w:rFonts w:eastAsiaTheme="minorEastAsia" w:cstheme="minorBidi"/>
              <w:noProof/>
              <w:spacing w:val="0"/>
              <w:kern w:val="2"/>
              <w:sz w:val="24"/>
              <w14:ligatures w14:val="standardContextual"/>
            </w:rPr>
          </w:pPr>
          <w:hyperlink w:anchor="_Toc242788130" w:history="1">
            <w:r w:rsidRPr="000717CD">
              <w:rPr>
                <w:rStyle w:val="Hyperlink"/>
                <w:noProof/>
              </w:rPr>
              <w:t>Individual respondents</w:t>
            </w:r>
            <w:r>
              <w:rPr>
                <w:noProof/>
                <w:webHidden/>
              </w:rPr>
              <w:tab/>
            </w:r>
            <w:r>
              <w:rPr>
                <w:noProof/>
                <w:webHidden/>
              </w:rPr>
              <w:fldChar w:fldCharType="begin"/>
            </w:r>
            <w:r>
              <w:rPr>
                <w:noProof/>
                <w:webHidden/>
              </w:rPr>
              <w:instrText xml:space="preserve"> PAGEREF _Toc242788130 \h </w:instrText>
            </w:r>
            <w:r>
              <w:rPr>
                <w:noProof/>
                <w:webHidden/>
              </w:rPr>
            </w:r>
            <w:r>
              <w:rPr>
                <w:noProof/>
                <w:webHidden/>
              </w:rPr>
              <w:fldChar w:fldCharType="separate"/>
            </w:r>
            <w:r>
              <w:rPr>
                <w:noProof/>
                <w:webHidden/>
              </w:rPr>
              <w:t>5</w:t>
            </w:r>
            <w:r>
              <w:rPr>
                <w:noProof/>
                <w:webHidden/>
              </w:rPr>
              <w:fldChar w:fldCharType="end"/>
            </w:r>
          </w:hyperlink>
        </w:p>
        <w:p w14:paraId="455590A2" w14:textId="42E19342" w:rsidR="009C5AB5" w:rsidRDefault="009C5AB5">
          <w:pPr>
            <w:pStyle w:val="TOC3"/>
            <w:rPr>
              <w:rFonts w:eastAsiaTheme="minorEastAsia" w:cstheme="minorBidi"/>
              <w:noProof/>
              <w:spacing w:val="0"/>
              <w:kern w:val="2"/>
              <w:sz w:val="24"/>
              <w14:ligatures w14:val="standardContextual"/>
            </w:rPr>
          </w:pPr>
          <w:hyperlink w:anchor="_Toc242788131" w:history="1">
            <w:r w:rsidRPr="000717CD">
              <w:rPr>
                <w:rStyle w:val="Hyperlink"/>
                <w:noProof/>
              </w:rPr>
              <w:t>Organisational respondents</w:t>
            </w:r>
            <w:r>
              <w:rPr>
                <w:noProof/>
                <w:webHidden/>
              </w:rPr>
              <w:tab/>
            </w:r>
            <w:r>
              <w:rPr>
                <w:noProof/>
                <w:webHidden/>
              </w:rPr>
              <w:fldChar w:fldCharType="begin"/>
            </w:r>
            <w:r>
              <w:rPr>
                <w:noProof/>
                <w:webHidden/>
              </w:rPr>
              <w:instrText xml:space="preserve"> PAGEREF _Toc242788131 \h </w:instrText>
            </w:r>
            <w:r>
              <w:rPr>
                <w:noProof/>
                <w:webHidden/>
              </w:rPr>
            </w:r>
            <w:r>
              <w:rPr>
                <w:noProof/>
                <w:webHidden/>
              </w:rPr>
              <w:fldChar w:fldCharType="separate"/>
            </w:r>
            <w:r>
              <w:rPr>
                <w:noProof/>
                <w:webHidden/>
              </w:rPr>
              <w:t>6</w:t>
            </w:r>
            <w:r>
              <w:rPr>
                <w:noProof/>
                <w:webHidden/>
              </w:rPr>
              <w:fldChar w:fldCharType="end"/>
            </w:r>
          </w:hyperlink>
        </w:p>
        <w:p w14:paraId="7E9A7EA0" w14:textId="091DDA43" w:rsidR="009C5AB5" w:rsidRDefault="009C5AB5">
          <w:pPr>
            <w:pStyle w:val="TOC2"/>
            <w:rPr>
              <w:rFonts w:eastAsiaTheme="minorEastAsia" w:cstheme="minorBidi"/>
              <w:noProof/>
              <w:spacing w:val="0"/>
              <w:kern w:val="2"/>
              <w:sz w:val="24"/>
              <w14:ligatures w14:val="standardContextual"/>
            </w:rPr>
          </w:pPr>
          <w:hyperlink w:anchor="_Toc242788132" w:history="1">
            <w:r w:rsidRPr="000717CD">
              <w:rPr>
                <w:rStyle w:val="Hyperlink"/>
                <w:noProof/>
              </w:rPr>
              <w:t>National webinar</w:t>
            </w:r>
            <w:r>
              <w:rPr>
                <w:noProof/>
                <w:webHidden/>
              </w:rPr>
              <w:tab/>
            </w:r>
            <w:r>
              <w:rPr>
                <w:noProof/>
                <w:webHidden/>
              </w:rPr>
              <w:fldChar w:fldCharType="begin"/>
            </w:r>
            <w:r>
              <w:rPr>
                <w:noProof/>
                <w:webHidden/>
              </w:rPr>
              <w:instrText xml:space="preserve"> PAGEREF _Toc242788132 \h </w:instrText>
            </w:r>
            <w:r>
              <w:rPr>
                <w:noProof/>
                <w:webHidden/>
              </w:rPr>
            </w:r>
            <w:r>
              <w:rPr>
                <w:noProof/>
                <w:webHidden/>
              </w:rPr>
              <w:fldChar w:fldCharType="separate"/>
            </w:r>
            <w:r>
              <w:rPr>
                <w:noProof/>
                <w:webHidden/>
              </w:rPr>
              <w:t>6</w:t>
            </w:r>
            <w:r>
              <w:rPr>
                <w:noProof/>
                <w:webHidden/>
              </w:rPr>
              <w:fldChar w:fldCharType="end"/>
            </w:r>
          </w:hyperlink>
        </w:p>
        <w:p w14:paraId="07F8AFEC" w14:textId="29974558" w:rsidR="009C5AB5" w:rsidRDefault="009C5AB5">
          <w:pPr>
            <w:pStyle w:val="TOC1"/>
            <w:rPr>
              <w:rFonts w:eastAsiaTheme="minorEastAsia" w:cstheme="minorBidi"/>
              <w:spacing w:val="0"/>
              <w:kern w:val="2"/>
              <w:sz w:val="24"/>
              <w14:ligatures w14:val="standardContextual"/>
            </w:rPr>
          </w:pPr>
          <w:hyperlink w:anchor="_Toc242788133" w:history="1">
            <w:r w:rsidRPr="000717CD">
              <w:rPr>
                <w:rStyle w:val="Hyperlink"/>
              </w:rPr>
              <w:t>Consultation feedback</w:t>
            </w:r>
            <w:r>
              <w:rPr>
                <w:webHidden/>
              </w:rPr>
              <w:tab/>
            </w:r>
            <w:r>
              <w:rPr>
                <w:webHidden/>
              </w:rPr>
              <w:fldChar w:fldCharType="begin"/>
            </w:r>
            <w:r>
              <w:rPr>
                <w:webHidden/>
              </w:rPr>
              <w:instrText xml:space="preserve"> PAGEREF _Toc242788133 \h </w:instrText>
            </w:r>
            <w:r>
              <w:rPr>
                <w:webHidden/>
              </w:rPr>
            </w:r>
            <w:r>
              <w:rPr>
                <w:webHidden/>
              </w:rPr>
              <w:fldChar w:fldCharType="separate"/>
            </w:r>
            <w:r>
              <w:rPr>
                <w:webHidden/>
              </w:rPr>
              <w:t>6</w:t>
            </w:r>
            <w:r>
              <w:rPr>
                <w:webHidden/>
              </w:rPr>
              <w:fldChar w:fldCharType="end"/>
            </w:r>
          </w:hyperlink>
        </w:p>
        <w:p w14:paraId="6A81A482" w14:textId="1D467B92" w:rsidR="009C5AB5" w:rsidRDefault="009C5AB5">
          <w:pPr>
            <w:pStyle w:val="TOC2"/>
            <w:rPr>
              <w:rFonts w:eastAsiaTheme="minorEastAsia" w:cstheme="minorBidi"/>
              <w:noProof/>
              <w:spacing w:val="0"/>
              <w:kern w:val="2"/>
              <w:sz w:val="24"/>
              <w14:ligatures w14:val="standardContextual"/>
            </w:rPr>
          </w:pPr>
          <w:hyperlink w:anchor="_Toc242788134" w:history="1">
            <w:r w:rsidRPr="000717CD">
              <w:rPr>
                <w:rStyle w:val="Hyperlink"/>
                <w:noProof/>
              </w:rPr>
              <w:t>Online Survey Statistics</w:t>
            </w:r>
            <w:r>
              <w:rPr>
                <w:noProof/>
                <w:webHidden/>
              </w:rPr>
              <w:tab/>
            </w:r>
            <w:r>
              <w:rPr>
                <w:noProof/>
                <w:webHidden/>
              </w:rPr>
              <w:fldChar w:fldCharType="begin"/>
            </w:r>
            <w:r>
              <w:rPr>
                <w:noProof/>
                <w:webHidden/>
              </w:rPr>
              <w:instrText xml:space="preserve"> PAGEREF _Toc242788134 \h </w:instrText>
            </w:r>
            <w:r>
              <w:rPr>
                <w:noProof/>
                <w:webHidden/>
              </w:rPr>
            </w:r>
            <w:r>
              <w:rPr>
                <w:noProof/>
                <w:webHidden/>
              </w:rPr>
              <w:fldChar w:fldCharType="separate"/>
            </w:r>
            <w:r>
              <w:rPr>
                <w:noProof/>
                <w:webHidden/>
              </w:rPr>
              <w:t>6</w:t>
            </w:r>
            <w:r>
              <w:rPr>
                <w:noProof/>
                <w:webHidden/>
              </w:rPr>
              <w:fldChar w:fldCharType="end"/>
            </w:r>
          </w:hyperlink>
        </w:p>
        <w:p w14:paraId="0A90FCC6" w14:textId="635DAA28" w:rsidR="009C5AB5" w:rsidRDefault="009C5AB5">
          <w:pPr>
            <w:pStyle w:val="TOC2"/>
            <w:rPr>
              <w:rFonts w:eastAsiaTheme="minorEastAsia" w:cstheme="minorBidi"/>
              <w:noProof/>
              <w:spacing w:val="0"/>
              <w:kern w:val="2"/>
              <w:sz w:val="24"/>
              <w14:ligatures w14:val="standardContextual"/>
            </w:rPr>
          </w:pPr>
          <w:hyperlink w:anchor="_Toc242788135" w:history="1">
            <w:r w:rsidRPr="000717CD">
              <w:rPr>
                <w:rStyle w:val="Hyperlink"/>
                <w:noProof/>
              </w:rPr>
              <w:t>Key Themes from Consultation Feedback</w:t>
            </w:r>
            <w:r>
              <w:rPr>
                <w:noProof/>
                <w:webHidden/>
              </w:rPr>
              <w:tab/>
            </w:r>
            <w:r>
              <w:rPr>
                <w:noProof/>
                <w:webHidden/>
              </w:rPr>
              <w:fldChar w:fldCharType="begin"/>
            </w:r>
            <w:r>
              <w:rPr>
                <w:noProof/>
                <w:webHidden/>
              </w:rPr>
              <w:instrText xml:space="preserve"> PAGEREF _Toc242788135 \h </w:instrText>
            </w:r>
            <w:r>
              <w:rPr>
                <w:noProof/>
                <w:webHidden/>
              </w:rPr>
            </w:r>
            <w:r>
              <w:rPr>
                <w:noProof/>
                <w:webHidden/>
              </w:rPr>
              <w:fldChar w:fldCharType="separate"/>
            </w:r>
            <w:r>
              <w:rPr>
                <w:noProof/>
                <w:webHidden/>
              </w:rPr>
              <w:t>8</w:t>
            </w:r>
            <w:r>
              <w:rPr>
                <w:noProof/>
                <w:webHidden/>
              </w:rPr>
              <w:fldChar w:fldCharType="end"/>
            </w:r>
          </w:hyperlink>
        </w:p>
        <w:p w14:paraId="773E00D5" w14:textId="419C5751" w:rsidR="009C5AB5" w:rsidRDefault="009C5AB5">
          <w:pPr>
            <w:pStyle w:val="TOC1"/>
            <w:rPr>
              <w:rFonts w:eastAsiaTheme="minorEastAsia" w:cstheme="minorBidi"/>
              <w:spacing w:val="0"/>
              <w:kern w:val="2"/>
              <w:sz w:val="24"/>
              <w14:ligatures w14:val="standardContextual"/>
            </w:rPr>
          </w:pPr>
          <w:hyperlink w:anchor="_Toc242788136" w:history="1">
            <w:r w:rsidRPr="000717CD">
              <w:rPr>
                <w:rStyle w:val="Hyperlink"/>
              </w:rPr>
              <w:t>Appendix A: Targeted Roundtable Discussion Summary</w:t>
            </w:r>
            <w:r>
              <w:rPr>
                <w:webHidden/>
              </w:rPr>
              <w:tab/>
            </w:r>
            <w:r>
              <w:rPr>
                <w:webHidden/>
              </w:rPr>
              <w:fldChar w:fldCharType="begin"/>
            </w:r>
            <w:r>
              <w:rPr>
                <w:webHidden/>
              </w:rPr>
              <w:instrText xml:space="preserve"> PAGEREF _Toc242788136 \h </w:instrText>
            </w:r>
            <w:r>
              <w:rPr>
                <w:webHidden/>
              </w:rPr>
            </w:r>
            <w:r>
              <w:rPr>
                <w:webHidden/>
              </w:rPr>
              <w:fldChar w:fldCharType="separate"/>
            </w:r>
            <w:r>
              <w:rPr>
                <w:webHidden/>
              </w:rPr>
              <w:t>11</w:t>
            </w:r>
            <w:r>
              <w:rPr>
                <w:webHidden/>
              </w:rPr>
              <w:fldChar w:fldCharType="end"/>
            </w:r>
          </w:hyperlink>
        </w:p>
        <w:p w14:paraId="20B2E178" w14:textId="01F37789" w:rsidR="009C5AB5" w:rsidRDefault="009C5AB5">
          <w:pPr>
            <w:pStyle w:val="TOC1"/>
            <w:rPr>
              <w:rFonts w:eastAsiaTheme="minorEastAsia" w:cstheme="minorBidi"/>
              <w:spacing w:val="0"/>
              <w:kern w:val="2"/>
              <w:sz w:val="24"/>
              <w14:ligatures w14:val="standardContextual"/>
            </w:rPr>
          </w:pPr>
          <w:hyperlink w:anchor="_Toc242788137" w:history="1">
            <w:r w:rsidRPr="000717CD">
              <w:rPr>
                <w:rStyle w:val="Hyperlink"/>
              </w:rPr>
              <w:t>Appendix B: A comparison of the draft and final Strategy and Priorities</w:t>
            </w:r>
            <w:r>
              <w:rPr>
                <w:webHidden/>
              </w:rPr>
              <w:tab/>
            </w:r>
            <w:r>
              <w:rPr>
                <w:webHidden/>
              </w:rPr>
              <w:fldChar w:fldCharType="begin"/>
            </w:r>
            <w:r>
              <w:rPr>
                <w:webHidden/>
              </w:rPr>
              <w:instrText xml:space="preserve"> PAGEREF _Toc242788137 \h </w:instrText>
            </w:r>
            <w:r>
              <w:rPr>
                <w:webHidden/>
              </w:rPr>
            </w:r>
            <w:r>
              <w:rPr>
                <w:webHidden/>
              </w:rPr>
              <w:fldChar w:fldCharType="separate"/>
            </w:r>
            <w:r>
              <w:rPr>
                <w:webHidden/>
              </w:rPr>
              <w:t>13</w:t>
            </w:r>
            <w:r>
              <w:rPr>
                <w:webHidden/>
              </w:rPr>
              <w:fldChar w:fldCharType="end"/>
            </w:r>
          </w:hyperlink>
        </w:p>
        <w:p w14:paraId="4F134225" w14:textId="09807643" w:rsidR="008808E6" w:rsidRDefault="003D4BFA" w:rsidP="00E44F56">
          <w:pPr>
            <w:rPr>
              <w:rFonts w:eastAsiaTheme="minorEastAsia"/>
            </w:rPr>
          </w:pPr>
          <w:r>
            <w:fldChar w:fldCharType="end"/>
          </w:r>
        </w:p>
      </w:sdtContent>
    </w:sdt>
    <w:p w14:paraId="4FE2C0AA" w14:textId="7197292B" w:rsidR="000C7020" w:rsidRDefault="000C7020" w:rsidP="00E44F56">
      <w:r>
        <w:br w:type="page"/>
      </w:r>
    </w:p>
    <w:p w14:paraId="5BB56F51" w14:textId="19FD8732" w:rsidR="002F6354" w:rsidRPr="00450FEC" w:rsidRDefault="002F6354" w:rsidP="00E44F56">
      <w:pPr>
        <w:pStyle w:val="Heading1"/>
      </w:pPr>
      <w:bookmarkStart w:id="0" w:name="_Toc178076123"/>
      <w:bookmarkStart w:id="1" w:name="_Toc242788125"/>
      <w:bookmarkStart w:id="2" w:name="_Toc84925465"/>
      <w:r w:rsidRPr="00450FEC">
        <w:lastRenderedPageBreak/>
        <w:t>Introduction</w:t>
      </w:r>
      <w:bookmarkEnd w:id="0"/>
      <w:bookmarkEnd w:id="1"/>
    </w:p>
    <w:p w14:paraId="66152D96" w14:textId="096713F5" w:rsidR="0077320D" w:rsidRPr="0077320D" w:rsidRDefault="0077320D" w:rsidP="00E44F56">
      <w:r w:rsidRPr="0077320D">
        <w:t>The Australian Medical Research Advisory Board (AMRAB) is required to consult on the Australian Medical Research and Innovation Strategy</w:t>
      </w:r>
      <w:r>
        <w:t xml:space="preserve"> (the Strategy)</w:t>
      </w:r>
      <w:r w:rsidRPr="0077320D">
        <w:t xml:space="preserve"> every five years and the Australian Medical Research and Innovation Priorities</w:t>
      </w:r>
      <w:r>
        <w:t xml:space="preserve"> (The Priorities)</w:t>
      </w:r>
      <w:r w:rsidRPr="0077320D">
        <w:t xml:space="preserve"> every two years.</w:t>
      </w:r>
    </w:p>
    <w:p w14:paraId="5582CF33" w14:textId="5E129E31" w:rsidR="0077320D" w:rsidRDefault="0077320D" w:rsidP="00E44F56">
      <w:r w:rsidRPr="0077320D">
        <w:t>This report outlines the consultation process undertaken by AMRAB to inform the 2026</w:t>
      </w:r>
      <w:r w:rsidR="00716CB3">
        <w:t>-20</w:t>
      </w:r>
      <w:r w:rsidRPr="0077320D">
        <w:t>31 Strategy and 2026</w:t>
      </w:r>
      <w:r w:rsidR="00716CB3">
        <w:t>-20</w:t>
      </w:r>
      <w:r w:rsidRPr="0077320D">
        <w:t xml:space="preserve">28 Priorities, consistent with the requirements of the </w:t>
      </w:r>
      <w:r w:rsidRPr="0077320D">
        <w:rPr>
          <w:i/>
          <w:iCs/>
        </w:rPr>
        <w:t>Medical Research Future Fund Act 2015</w:t>
      </w:r>
      <w:r>
        <w:t xml:space="preserve"> (the Act)</w:t>
      </w:r>
      <w:r w:rsidRPr="0077320D">
        <w:t>.</w:t>
      </w:r>
    </w:p>
    <w:p w14:paraId="2D06455E" w14:textId="3ADFDF62" w:rsidR="00A933C3" w:rsidRPr="0077320D" w:rsidRDefault="00A933C3" w:rsidP="00E44F56">
      <w:r w:rsidRPr="00E44F56">
        <w:t xml:space="preserve">The </w:t>
      </w:r>
      <w:r w:rsidR="001E3D8C" w:rsidRPr="00E44F56">
        <w:t xml:space="preserve">process </w:t>
      </w:r>
      <w:r w:rsidRPr="00E44F56">
        <w:t xml:space="preserve">combined broad public </w:t>
      </w:r>
      <w:r w:rsidR="000C7858" w:rsidRPr="00E44F56">
        <w:t>engagement</w:t>
      </w:r>
      <w:r w:rsidRPr="00E44F56">
        <w:t xml:space="preserve"> through an online survey and a national webinar</w:t>
      </w:r>
      <w:r w:rsidR="001E3D8C" w:rsidRPr="00E44F56">
        <w:t xml:space="preserve"> and</w:t>
      </w:r>
      <w:r w:rsidRPr="00E44F56">
        <w:t xml:space="preserve"> targeted</w:t>
      </w:r>
      <w:r w:rsidR="001E3D8C" w:rsidRPr="00E44F56">
        <w:t xml:space="preserve"> discussions</w:t>
      </w:r>
      <w:r w:rsidRPr="00E44F56">
        <w:t xml:space="preserve"> involving expert</w:t>
      </w:r>
      <w:r>
        <w:t xml:space="preserve"> advisory committees and key stakeholders across the health and medical research system.</w:t>
      </w:r>
    </w:p>
    <w:p w14:paraId="2ACD5296" w14:textId="77777777" w:rsidR="0077320D" w:rsidRDefault="0077320D" w:rsidP="00D74171">
      <w:pPr>
        <w:ind w:right="-427"/>
      </w:pPr>
      <w:r w:rsidRPr="0077320D">
        <w:t>The consultation sought views on the proposed Vision, Strategic Objectives, Cross-cutting Principles and Shared Enablers for the Strategy, as well as the proposed Priorities and Priority Populations. It engaged a broad range of stakeholders across the health and medical research ecosystem, including researchers, research organisations, health services, consumers, industry, philanthropy, governments and the broader community.</w:t>
      </w:r>
    </w:p>
    <w:p w14:paraId="1FA83C49" w14:textId="4C433371" w:rsidR="00CD67F4" w:rsidRPr="0077320D" w:rsidRDefault="00CD67F4" w:rsidP="00E44F56">
      <w:r>
        <w:t xml:space="preserve">In addition, </w:t>
      </w:r>
      <w:r w:rsidRPr="00CD67F4">
        <w:t>AMRAB’s international advis</w:t>
      </w:r>
      <w:r w:rsidR="001954D2">
        <w:t>o</w:t>
      </w:r>
      <w:r w:rsidRPr="00CD67F4">
        <w:t>rs, Professor Lucy Chappell (United Kingdom) and Dr Tammy Clifford (Canada), were consulted throughout the development of the Strategy and Priorities, bringing valuable international perspectives to AMRAB’s deliberations. Drawing on their leadership of major national health and medical research systems, they provided insights into emerging global trends, research funding approaches and strategic priorities. Their expertise helped AMRAB test and refine the proposed approach, ensuring the Strategy and Priorities were informed by international best practice while remaining relevant to the Australian context.</w:t>
      </w:r>
    </w:p>
    <w:p w14:paraId="21E60CA6" w14:textId="77777777" w:rsidR="0077320D" w:rsidRPr="0077320D" w:rsidRDefault="0077320D" w:rsidP="00E44F56">
      <w:r w:rsidRPr="0077320D">
        <w:t>The consultation report provides a transparent record of the consultation process and demonstrates how stakeholder feedback was considered in developing the Strategy and Priorities. It supports accountability in AMRAB’s decision-making and helps stakeholders understand how their views shaped the final documents.</w:t>
      </w:r>
    </w:p>
    <w:p w14:paraId="11801313" w14:textId="77777777" w:rsidR="0077320D" w:rsidRPr="0077320D" w:rsidRDefault="0077320D" w:rsidP="00D74171">
      <w:pPr>
        <w:pStyle w:val="NoSpacing"/>
        <w:ind w:right="-569"/>
      </w:pPr>
      <w:r w:rsidRPr="0077320D">
        <w:t>This report summarises the feedback received, identifies who was consulted and the key themes raised, and explains how this feedback informed the final Strategy and Priorities.</w:t>
      </w:r>
    </w:p>
    <w:p w14:paraId="3444AE83" w14:textId="6EBD838F" w:rsidR="00713A48" w:rsidRPr="00450FEC" w:rsidRDefault="00713A48" w:rsidP="00E44F56">
      <w:pPr>
        <w:pStyle w:val="Heading1"/>
      </w:pPr>
      <w:bookmarkStart w:id="3" w:name="_Toc178076124"/>
      <w:bookmarkStart w:id="4" w:name="_Toc242788126"/>
      <w:r w:rsidRPr="001F476F">
        <w:t xml:space="preserve">Consultation </w:t>
      </w:r>
      <w:r w:rsidR="002C1B0F" w:rsidRPr="001F476F">
        <w:t>p</w:t>
      </w:r>
      <w:r w:rsidRPr="001F476F">
        <w:t>rocess</w:t>
      </w:r>
      <w:bookmarkEnd w:id="3"/>
      <w:bookmarkEnd w:id="4"/>
    </w:p>
    <w:p w14:paraId="524FCE43" w14:textId="54542891" w:rsidR="00A933C3" w:rsidRDefault="002F52FB" w:rsidP="00BB4F94">
      <w:pPr>
        <w:ind w:right="-285"/>
      </w:pPr>
      <w:r w:rsidRPr="002F52FB">
        <w:t>Following detailed consideration and analysis, AMRAB developed a draft Strategy and Priorities for consultation to test whether the proposed framework was robust, fit for purpose and responsive to Australia’s current and emerging health and medical research needs.</w:t>
      </w:r>
    </w:p>
    <w:p w14:paraId="33EB06E0" w14:textId="6E596A1F" w:rsidR="002F52FB" w:rsidRDefault="00A933C3" w:rsidP="00E44F56">
      <w:r>
        <w:t>C</w:t>
      </w:r>
      <w:r w:rsidR="002F52FB" w:rsidRPr="002F52FB">
        <w:t xml:space="preserve">onsultation commenced on 17 July 2026 and </w:t>
      </w:r>
      <w:r>
        <w:t>comprised two complementary approaches</w:t>
      </w:r>
      <w:r w:rsidR="002F52FB" w:rsidRPr="002F52FB">
        <w:t>:</w:t>
      </w:r>
    </w:p>
    <w:p w14:paraId="43F39701" w14:textId="1A966F3C" w:rsidR="00A933C3" w:rsidRPr="0050767E" w:rsidRDefault="00A933C3" w:rsidP="0050767E">
      <w:pPr>
        <w:pStyle w:val="NoSpacing"/>
        <w:spacing w:after="120"/>
        <w:rPr>
          <w:rStyle w:val="Emphasis"/>
        </w:rPr>
      </w:pPr>
      <w:r w:rsidRPr="0050767E">
        <w:rPr>
          <w:rStyle w:val="Emphasis"/>
        </w:rPr>
        <w:t>Public consultation</w:t>
      </w:r>
    </w:p>
    <w:p w14:paraId="7F973E75" w14:textId="100D6E85" w:rsidR="00E44959" w:rsidRPr="00E44959" w:rsidRDefault="004314DF" w:rsidP="0050767E">
      <w:pPr>
        <w:pStyle w:val="ListParagraph"/>
        <w:spacing w:after="120"/>
      </w:pPr>
      <w:r w:rsidRPr="00E44959">
        <w:t>An online consultation survey, open from 17 July 2026 to 16 August 2026, t</w:t>
      </w:r>
      <w:r w:rsidR="00B40270" w:rsidRPr="00E44959">
        <w:t xml:space="preserve">hrough the Department’s </w:t>
      </w:r>
      <w:hyperlink r:id="rId13" w:history="1">
        <w:r w:rsidR="00B40270" w:rsidRPr="00E44959">
          <w:rPr>
            <w:rStyle w:val="Hyperlink"/>
          </w:rPr>
          <w:t>Consultation Hub</w:t>
        </w:r>
      </w:hyperlink>
      <w:r w:rsidRPr="00E44959">
        <w:t>.</w:t>
      </w:r>
    </w:p>
    <w:p w14:paraId="30CB9DA4" w14:textId="77777777" w:rsidR="002F52FB" w:rsidRDefault="00CC39B0" w:rsidP="00D74171">
      <w:pPr>
        <w:pStyle w:val="ListParagraph"/>
        <w:spacing w:after="120"/>
        <w:ind w:right="-285"/>
      </w:pPr>
      <w:r w:rsidRPr="00E44959">
        <w:t>A</w:t>
      </w:r>
      <w:r w:rsidR="00B40270" w:rsidRPr="00E44959">
        <w:t xml:space="preserve"> national</w:t>
      </w:r>
      <w:r w:rsidRPr="00E44959">
        <w:t xml:space="preserve"> webinar</w:t>
      </w:r>
      <w:r w:rsidR="00E44959">
        <w:t xml:space="preserve"> on 4 August 2026</w:t>
      </w:r>
      <w:r w:rsidRPr="00E44959">
        <w:t xml:space="preserve"> </w:t>
      </w:r>
      <w:r w:rsidR="00B40270" w:rsidRPr="00E44959">
        <w:t xml:space="preserve">hosted by AMRAB </w:t>
      </w:r>
      <w:r w:rsidRPr="00E44959">
        <w:t xml:space="preserve">to explain the draft </w:t>
      </w:r>
      <w:r w:rsidR="00455066" w:rsidRPr="00E44959">
        <w:t>Strategy</w:t>
      </w:r>
      <w:r w:rsidRPr="00E44959">
        <w:t xml:space="preserve"> and </w:t>
      </w:r>
      <w:r w:rsidR="00455066" w:rsidRPr="00E44959">
        <w:t>Priorities, outline</w:t>
      </w:r>
      <w:r w:rsidRPr="00E44959">
        <w:t xml:space="preserve"> the advice being sought from the </w:t>
      </w:r>
      <w:r w:rsidR="0008389F">
        <w:t>public</w:t>
      </w:r>
      <w:r w:rsidR="00455066" w:rsidRPr="00E44959">
        <w:t>,</w:t>
      </w:r>
      <w:r w:rsidRPr="00E44959">
        <w:t xml:space="preserve"> and respond to questions.</w:t>
      </w:r>
    </w:p>
    <w:p w14:paraId="4589DD5C" w14:textId="7AE0C26E" w:rsidR="00A933C3" w:rsidRPr="0050767E" w:rsidRDefault="00A933C3" w:rsidP="0050767E">
      <w:pPr>
        <w:rPr>
          <w:rStyle w:val="Emphasis"/>
        </w:rPr>
      </w:pPr>
      <w:r w:rsidRPr="0050767E">
        <w:rPr>
          <w:rStyle w:val="Emphasis"/>
        </w:rPr>
        <w:lastRenderedPageBreak/>
        <w:t>Targeted stakeholder engagement</w:t>
      </w:r>
    </w:p>
    <w:p w14:paraId="0D12DFDD" w14:textId="475F715B" w:rsidR="00A933C3" w:rsidRDefault="00A933C3" w:rsidP="00BB4F94">
      <w:pPr>
        <w:pStyle w:val="ListParagraph"/>
        <w:spacing w:after="120"/>
        <w:ind w:right="-285"/>
      </w:pPr>
      <w:r>
        <w:t>Engagement with the</w:t>
      </w:r>
      <w:r w:rsidRPr="00A933C3">
        <w:t xml:space="preserve"> National Health and Medical Research Council (NHMRC), NHMRC Research Committee, and </w:t>
      </w:r>
      <w:r w:rsidR="00FF2F93">
        <w:t>j</w:t>
      </w:r>
      <w:r w:rsidRPr="00A933C3">
        <w:t>oint NHMRC</w:t>
      </w:r>
      <w:r>
        <w:t>-</w:t>
      </w:r>
      <w:r w:rsidRPr="00A933C3">
        <w:t>MRFF advisory committees</w:t>
      </w:r>
      <w:r w:rsidR="00FF2F93">
        <w:t>.</w:t>
      </w:r>
    </w:p>
    <w:p w14:paraId="504622A9" w14:textId="5F5E907C" w:rsidR="00BF09F2" w:rsidRDefault="00A933C3" w:rsidP="005A1B1B">
      <w:pPr>
        <w:pStyle w:val="ListParagraph"/>
        <w:keepNext/>
        <w:spacing w:after="120"/>
        <w:ind w:left="714" w:right="-285" w:hanging="357"/>
      </w:pPr>
      <w:r>
        <w:t>Discussions with stakeholders through existing meetings and established advisory board</w:t>
      </w:r>
      <w:r w:rsidR="00C20CF0">
        <w:t>s</w:t>
      </w:r>
      <w:r w:rsidR="00BF09F2">
        <w:t xml:space="preserve"> and committees</w:t>
      </w:r>
      <w:r w:rsidR="004C3600">
        <w:t xml:space="preserve"> (details below)</w:t>
      </w:r>
      <w:r w:rsidR="00BF09F2">
        <w:t>.</w:t>
      </w:r>
    </w:p>
    <w:p w14:paraId="2FC80D3F" w14:textId="274BCE6D" w:rsidR="00F73060" w:rsidRPr="00C20AB5" w:rsidRDefault="00BF09F2" w:rsidP="005A1B1B">
      <w:pPr>
        <w:pStyle w:val="ListParagraph"/>
        <w:spacing w:after="120"/>
        <w:ind w:right="-427"/>
      </w:pPr>
      <w:r>
        <w:t>Direct engagement with key advocacy groups representing particular sectors and areas of expertise</w:t>
      </w:r>
      <w:r w:rsidR="004C3600">
        <w:t xml:space="preserve"> (details below)</w:t>
      </w:r>
      <w:r w:rsidRPr="002F52FB">
        <w:t>.</w:t>
      </w:r>
    </w:p>
    <w:p w14:paraId="6E98B6C5" w14:textId="6C5E1AF9" w:rsidR="00BF09F2" w:rsidRPr="00BF09F2" w:rsidRDefault="00BF09F2" w:rsidP="00D74171">
      <w:pPr>
        <w:pStyle w:val="ListParagraph"/>
        <w:spacing w:after="120"/>
      </w:pPr>
      <w:r>
        <w:t>A targeted roundtable on 4 September 2026.</w:t>
      </w:r>
    </w:p>
    <w:p w14:paraId="72783722" w14:textId="77777777" w:rsidR="002F52FB" w:rsidRPr="002F52FB" w:rsidRDefault="002F52FB" w:rsidP="00D74171">
      <w:r w:rsidRPr="002F52FB">
        <w:t>AMRAB developed the consultation drafts following consideration of:</w:t>
      </w:r>
    </w:p>
    <w:p w14:paraId="08E81774" w14:textId="77777777" w:rsidR="002F52FB" w:rsidRPr="002F52FB" w:rsidRDefault="002F52FB" w:rsidP="00D74171">
      <w:pPr>
        <w:pStyle w:val="ListParagraph"/>
        <w:spacing w:after="120"/>
      </w:pPr>
      <w:r w:rsidRPr="002F52FB">
        <w:t>the current Strategy and Priorities</w:t>
      </w:r>
    </w:p>
    <w:p w14:paraId="4AD8799C" w14:textId="77777777" w:rsidR="002F52FB" w:rsidRPr="002F52FB" w:rsidRDefault="002F52FB" w:rsidP="00D74171">
      <w:pPr>
        <w:pStyle w:val="ListParagraph"/>
        <w:spacing w:after="120"/>
      </w:pPr>
      <w:r w:rsidRPr="002F52FB">
        <w:t>findings from a review of the health and medical research funding landscape</w:t>
      </w:r>
    </w:p>
    <w:p w14:paraId="6DBE1F8C" w14:textId="77777777" w:rsidR="002F52FB" w:rsidRPr="002F52FB" w:rsidRDefault="002F52FB" w:rsidP="00D74171">
      <w:pPr>
        <w:pStyle w:val="ListParagraph"/>
        <w:spacing w:after="120"/>
      </w:pPr>
      <w:r w:rsidRPr="002F52FB">
        <w:t>insights from consultation on the National Health and Medical Research Strategy</w:t>
      </w:r>
    </w:p>
    <w:p w14:paraId="31CD41CF" w14:textId="77777777" w:rsidR="002F52FB" w:rsidRPr="002F52FB" w:rsidRDefault="002F52FB" w:rsidP="00D74171">
      <w:pPr>
        <w:pStyle w:val="ListParagraph"/>
        <w:spacing w:after="120"/>
      </w:pPr>
      <w:r w:rsidRPr="002F52FB">
        <w:t>findings from recent reviews and consultations across the health and medical research system.</w:t>
      </w:r>
    </w:p>
    <w:p w14:paraId="6541FABB" w14:textId="01E31026" w:rsidR="0006685E" w:rsidRPr="002F52FB" w:rsidRDefault="0006685E" w:rsidP="00464ADE">
      <w:pPr>
        <w:ind w:right="-427"/>
      </w:pPr>
      <w:r w:rsidRPr="002F52FB">
        <w:t>Participants were invited to test the proposed Vision, Strategic Objectives, Cross-cutting Principles, Shared Enablers, Priorities and Priority Populations. Feedback was sought on whether the</w:t>
      </w:r>
      <w:r w:rsidR="008A4430">
        <w:t>y</w:t>
      </w:r>
      <w:r w:rsidRPr="002F52FB">
        <w:t xml:space="preserve"> would provide an effective framework for future MRFF investment and adequately reflect Australia’s current and emerging health and medical research needs.</w:t>
      </w:r>
    </w:p>
    <w:p w14:paraId="6C694DD6" w14:textId="092DDA87" w:rsidR="0006685E" w:rsidRPr="0006685E" w:rsidRDefault="003D7BD3" w:rsidP="004E7AF1">
      <w:pPr>
        <w:ind w:right="-285"/>
      </w:pPr>
      <w:r>
        <w:t xml:space="preserve">Targeted engagement </w:t>
      </w:r>
      <w:r w:rsidR="0006685E" w:rsidRPr="0006685E">
        <w:t>complement</w:t>
      </w:r>
      <w:r>
        <w:t>ed</w:t>
      </w:r>
      <w:r w:rsidR="0006685E" w:rsidRPr="0006685E">
        <w:t xml:space="preserve"> the public survey and webinar</w:t>
      </w:r>
      <w:r>
        <w:t xml:space="preserve"> by enabling more detailed discussion with stakeholders representing particular sectors and areas of expertise</w:t>
      </w:r>
      <w:r w:rsidR="0006685E" w:rsidRPr="0006685E">
        <w:t xml:space="preserve">. </w:t>
      </w:r>
      <w:r>
        <w:t xml:space="preserve">This included consumers, Aboriginal and Torres Strait Islander advocacy groups, state and territory governments, research organisations, and other sector representatives. </w:t>
      </w:r>
      <w:r w:rsidR="00FF2F93" w:rsidRPr="005A676F">
        <w:t>AMRAB</w:t>
      </w:r>
      <w:r w:rsidR="00FF2F93">
        <w:t xml:space="preserve"> also</w:t>
      </w:r>
      <w:r w:rsidR="00FF2F93" w:rsidRPr="005A676F">
        <w:t xml:space="preserve"> consulted closely with the </w:t>
      </w:r>
      <w:r w:rsidR="00FF2F93">
        <w:t>NHMRC</w:t>
      </w:r>
      <w:r w:rsidR="00FF2F93" w:rsidRPr="005A676F">
        <w:t xml:space="preserve">, NHMRC Research Committee, and the four </w:t>
      </w:r>
      <w:r w:rsidR="00FF2F93">
        <w:t>j</w:t>
      </w:r>
      <w:r w:rsidR="00FF2F93" w:rsidRPr="005A676F">
        <w:t xml:space="preserve">oint NHMRC–MRFF </w:t>
      </w:r>
      <w:r w:rsidR="00FF2F93">
        <w:t>a</w:t>
      </w:r>
      <w:r w:rsidR="00FF2F93" w:rsidRPr="005A676F">
        <w:t xml:space="preserve">dvisory </w:t>
      </w:r>
      <w:r w:rsidR="00FF2F93">
        <w:t>c</w:t>
      </w:r>
      <w:r w:rsidR="00FF2F93" w:rsidRPr="005A676F">
        <w:t>ommittees: the Consumer Advisory Group, Indigenous Advisory Group, Public Health and Health Systems Committee, and Industry, Commercialisation and Philanthropy Committee. This engagement drew on members’ specialist expertise and practical experience across the health and medical research system, enabling them to provide detailed and nuanced feedback within their respective fields. Their advice helped AMRAB test the robustness of the proposals, identify potential gaps and ensure the final Strategy and Priorities reflected diverse sector perspectives.</w:t>
      </w:r>
      <w:r w:rsidR="00FF2F93">
        <w:t xml:space="preserve"> </w:t>
      </w:r>
      <w:r>
        <w:t xml:space="preserve">One of these activities was </w:t>
      </w:r>
      <w:r w:rsidR="0006685E" w:rsidRPr="0006685E">
        <w:t xml:space="preserve">a targeted roundtable held on 4 September 2026, which is summarised in </w:t>
      </w:r>
      <w:r w:rsidR="0006685E" w:rsidRPr="0001683C">
        <w:rPr>
          <w:b/>
          <w:bCs/>
        </w:rPr>
        <w:t>Appendix A</w:t>
      </w:r>
      <w:r w:rsidR="0006685E" w:rsidRPr="0006685E">
        <w:t>.</w:t>
      </w:r>
    </w:p>
    <w:p w14:paraId="0F8E3E59" w14:textId="156F0A8E" w:rsidR="00B01007" w:rsidRPr="00450FEC" w:rsidRDefault="00B01007" w:rsidP="00E44F56">
      <w:pPr>
        <w:pStyle w:val="Heading1"/>
      </w:pPr>
      <w:bookmarkStart w:id="5" w:name="_Toc242788127"/>
      <w:r>
        <w:t>Report structure</w:t>
      </w:r>
      <w:bookmarkEnd w:id="5"/>
    </w:p>
    <w:p w14:paraId="1902398D" w14:textId="77777777" w:rsidR="00B01007" w:rsidRPr="00B01007" w:rsidRDefault="00B01007" w:rsidP="004E7AF1">
      <w:pPr>
        <w:ind w:right="-143"/>
      </w:pPr>
      <w:r w:rsidRPr="00B01007">
        <w:t>This consultation report provides a record of the input received from the consultation process described above and aggregates the key inputs from that process.</w:t>
      </w:r>
    </w:p>
    <w:p w14:paraId="05669D7C" w14:textId="77777777" w:rsidR="00B01007" w:rsidRPr="00B01007" w:rsidRDefault="00B01007" w:rsidP="004F505D">
      <w:r w:rsidRPr="00B01007">
        <w:t>The report is structured as follows:</w:t>
      </w:r>
    </w:p>
    <w:p w14:paraId="6CE5FA7F" w14:textId="27BCCED8" w:rsidR="00600C7E" w:rsidRDefault="00016658" w:rsidP="004F505D">
      <w:pPr>
        <w:pStyle w:val="ListParagraph"/>
        <w:rPr>
          <w:kern w:val="2"/>
          <w14:ligatures w14:val="standardContextual"/>
        </w:rPr>
      </w:pPr>
      <w:r>
        <w:t>Public c</w:t>
      </w:r>
      <w:r w:rsidR="00600C7E">
        <w:t>onsultation metrics – who we heard from</w:t>
      </w:r>
      <w:r w:rsidR="00494388">
        <w:t xml:space="preserve"> through public consultation</w:t>
      </w:r>
    </w:p>
    <w:p w14:paraId="3B2A048D" w14:textId="44A2D349" w:rsidR="00B01007" w:rsidRPr="00B01007" w:rsidRDefault="00B01007" w:rsidP="004F505D">
      <w:pPr>
        <w:pStyle w:val="ListParagraph"/>
      </w:pPr>
      <w:r w:rsidRPr="00B01007">
        <w:t xml:space="preserve">A summary of </w:t>
      </w:r>
      <w:r w:rsidR="00600C7E">
        <w:t xml:space="preserve">feedback including the key </w:t>
      </w:r>
      <w:r w:rsidRPr="00B01007">
        <w:t>themes identified through the consultation process</w:t>
      </w:r>
    </w:p>
    <w:p w14:paraId="6959B925" w14:textId="4A3130BB" w:rsidR="00F73060" w:rsidRPr="004B78DA" w:rsidRDefault="00CC39B0" w:rsidP="004F505D">
      <w:pPr>
        <w:pStyle w:val="ListParagraph"/>
      </w:pPr>
      <w:r w:rsidRPr="004B78DA">
        <w:lastRenderedPageBreak/>
        <w:t>Appendix A</w:t>
      </w:r>
      <w:r w:rsidR="002A615C" w:rsidRPr="004B78DA">
        <w:t xml:space="preserve"> -</w:t>
      </w:r>
      <w:r w:rsidRPr="004B78DA">
        <w:t xml:space="preserve"> </w:t>
      </w:r>
      <w:r w:rsidR="004B78DA" w:rsidRPr="004B78DA">
        <w:t>Targeted Roundtable Discussion Summary</w:t>
      </w:r>
    </w:p>
    <w:p w14:paraId="70AC9A37" w14:textId="2686F18E" w:rsidR="00E53DF7" w:rsidRPr="004B78DA" w:rsidRDefault="00E53DF7" w:rsidP="004E7AF1">
      <w:pPr>
        <w:pStyle w:val="ListParagraph"/>
        <w:spacing w:after="120"/>
      </w:pPr>
      <w:r w:rsidRPr="004B78DA">
        <w:t>A</w:t>
      </w:r>
      <w:r w:rsidR="002A615C" w:rsidRPr="004B78DA">
        <w:t>ppendix B - A</w:t>
      </w:r>
      <w:r w:rsidRPr="004B78DA">
        <w:t xml:space="preserve"> comparison of the draft and final Strategy and Priorities, including AMRAB’s comments on </w:t>
      </w:r>
      <w:r w:rsidR="002A615C" w:rsidRPr="004B78DA">
        <w:t>how the documents evolved</w:t>
      </w:r>
      <w:r w:rsidR="005C6AB7" w:rsidRPr="004B78DA">
        <w:t xml:space="preserve"> in response to </w:t>
      </w:r>
      <w:r w:rsidR="004B78DA" w:rsidRPr="004B78DA">
        <w:t>consultation</w:t>
      </w:r>
      <w:r w:rsidR="005C6AB7" w:rsidRPr="004B78DA">
        <w:t xml:space="preserve"> feedback</w:t>
      </w:r>
      <w:r w:rsidRPr="004B78DA">
        <w:t>.</w:t>
      </w:r>
    </w:p>
    <w:p w14:paraId="7090180E" w14:textId="1157F06A" w:rsidR="00B01007" w:rsidRPr="00450FEC" w:rsidRDefault="00016658" w:rsidP="00E44F56">
      <w:pPr>
        <w:pStyle w:val="Heading1"/>
      </w:pPr>
      <w:bookmarkStart w:id="6" w:name="_Toc242788128"/>
      <w:r>
        <w:t>Public c</w:t>
      </w:r>
      <w:r w:rsidR="00B01007">
        <w:t>onsultation metrics</w:t>
      </w:r>
      <w:bookmarkEnd w:id="6"/>
    </w:p>
    <w:p w14:paraId="6E7E7387" w14:textId="0088EC40" w:rsidR="00265B13" w:rsidRDefault="00494388" w:rsidP="004E7AF1">
      <w:pPr>
        <w:ind w:right="-143"/>
      </w:pPr>
      <w:r>
        <w:t>T</w:t>
      </w:r>
      <w:r w:rsidR="00265B13" w:rsidRPr="00265B13">
        <w:t>he</w:t>
      </w:r>
      <w:r w:rsidR="006A026D">
        <w:t xml:space="preserve"> public</w:t>
      </w:r>
      <w:r w:rsidR="00265B13" w:rsidRPr="00265B13">
        <w:t xml:space="preserve"> </w:t>
      </w:r>
      <w:r w:rsidR="00AB487C" w:rsidRPr="00265B13">
        <w:t>consultation</w:t>
      </w:r>
      <w:r w:rsidR="00AB487C">
        <w:t xml:space="preserve"> attracted</w:t>
      </w:r>
      <w:r w:rsidR="00265B13" w:rsidRPr="00265B13">
        <w:t xml:space="preserve"> substantial </w:t>
      </w:r>
      <w:r w:rsidR="006A026D">
        <w:t>participation</w:t>
      </w:r>
      <w:r w:rsidR="00265B13" w:rsidRPr="00265B13">
        <w:t xml:space="preserve">, </w:t>
      </w:r>
      <w:r w:rsidR="006A026D">
        <w:t>with</w:t>
      </w:r>
      <w:r w:rsidR="00265B13" w:rsidRPr="00265B13">
        <w:t xml:space="preserve"> 262 survey responses</w:t>
      </w:r>
      <w:r w:rsidR="00AD58EE">
        <w:t xml:space="preserve"> and</w:t>
      </w:r>
      <w:r w:rsidR="00265B13" w:rsidRPr="00265B13">
        <w:t xml:space="preserve"> 338 webinar attendees (</w:t>
      </w:r>
      <w:r w:rsidR="00265B13" w:rsidRPr="00265B13">
        <w:fldChar w:fldCharType="begin"/>
      </w:r>
      <w:r w:rsidR="00265B13" w:rsidRPr="00265B13">
        <w:instrText xml:space="preserve"> REF _Ref239864718 \h  \* MERGEFORMAT </w:instrText>
      </w:r>
      <w:r w:rsidR="00265B13" w:rsidRPr="00265B13">
        <w:fldChar w:fldCharType="separate"/>
      </w:r>
      <w:r w:rsidR="00265B13" w:rsidRPr="00265B13">
        <w:t>Table 1</w:t>
      </w:r>
      <w:r w:rsidR="00265B13" w:rsidRPr="00265B13">
        <w:fldChar w:fldCharType="end"/>
      </w:r>
      <w:r w:rsidR="00265B13" w:rsidRPr="00265B13">
        <w:t>).</w:t>
      </w:r>
    </w:p>
    <w:p w14:paraId="021E406F" w14:textId="28026E61" w:rsidR="00B01007" w:rsidRDefault="00B01007" w:rsidP="004F505D">
      <w:pPr>
        <w:pStyle w:val="Caption"/>
        <w:keepNext/>
      </w:pPr>
      <w:bookmarkStart w:id="7" w:name="_Ref239864718"/>
      <w:r>
        <w:t xml:space="preserve">Table </w:t>
      </w:r>
      <w:fldSimple w:instr=" SEQ Table \* ARABIC ">
        <w:r w:rsidR="0034257D">
          <w:rPr>
            <w:noProof/>
          </w:rPr>
          <w:t>1</w:t>
        </w:r>
      </w:fldSimple>
      <w:bookmarkEnd w:id="7"/>
      <w:r>
        <w:t>: Stakeholder involvement</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308"/>
        <w:gridCol w:w="989"/>
      </w:tblGrid>
      <w:tr w:rsidR="00B01007" w14:paraId="5A4097B5" w14:textId="77777777" w:rsidTr="00937AAA">
        <w:tc>
          <w:tcPr>
            <w:tcW w:w="0" w:type="auto"/>
            <w:vAlign w:val="center"/>
          </w:tcPr>
          <w:p w14:paraId="65E79274" w14:textId="23701AD5" w:rsidR="00B01007" w:rsidRPr="00382AE5" w:rsidRDefault="00B01007" w:rsidP="00E44F56">
            <w:pPr>
              <w:rPr>
                <w:b/>
                <w:bCs/>
                <w:sz w:val="22"/>
                <w:szCs w:val="22"/>
              </w:rPr>
            </w:pPr>
            <w:r w:rsidRPr="00382AE5">
              <w:rPr>
                <w:rFonts w:eastAsiaTheme="minorHAnsi"/>
                <w:b/>
                <w:bCs/>
                <w:sz w:val="22"/>
                <w:szCs w:val="22"/>
                <w:lang w:eastAsia="en-US"/>
              </w:rPr>
              <w:t>Stakeholder interaction</w:t>
            </w:r>
          </w:p>
        </w:tc>
        <w:tc>
          <w:tcPr>
            <w:tcW w:w="0" w:type="auto"/>
            <w:vAlign w:val="center"/>
          </w:tcPr>
          <w:p w14:paraId="7FEA4AB2" w14:textId="46D3322B" w:rsidR="00B01007" w:rsidRPr="00382AE5" w:rsidRDefault="00B01007" w:rsidP="00E44F56">
            <w:pPr>
              <w:rPr>
                <w:b/>
                <w:bCs/>
                <w:sz w:val="22"/>
                <w:szCs w:val="22"/>
              </w:rPr>
            </w:pPr>
            <w:r w:rsidRPr="00382AE5">
              <w:rPr>
                <w:b/>
                <w:bCs/>
                <w:sz w:val="22"/>
                <w:szCs w:val="22"/>
              </w:rPr>
              <w:t>Number</w:t>
            </w:r>
          </w:p>
        </w:tc>
      </w:tr>
      <w:tr w:rsidR="00B01007" w14:paraId="257AD7C1" w14:textId="77777777" w:rsidTr="00937AAA">
        <w:tc>
          <w:tcPr>
            <w:tcW w:w="0" w:type="auto"/>
            <w:vAlign w:val="center"/>
          </w:tcPr>
          <w:p w14:paraId="7B08DD22" w14:textId="24F198AC" w:rsidR="00B01007" w:rsidRPr="00382AE5" w:rsidRDefault="00B01007" w:rsidP="00E44F56">
            <w:pPr>
              <w:rPr>
                <w:sz w:val="22"/>
                <w:szCs w:val="22"/>
              </w:rPr>
            </w:pPr>
            <w:r w:rsidRPr="00382AE5">
              <w:rPr>
                <w:sz w:val="22"/>
                <w:szCs w:val="22"/>
              </w:rPr>
              <w:t>Stakeholder submissions – consultation hub</w:t>
            </w:r>
          </w:p>
        </w:tc>
        <w:tc>
          <w:tcPr>
            <w:tcW w:w="0" w:type="auto"/>
            <w:vAlign w:val="center"/>
          </w:tcPr>
          <w:p w14:paraId="1E184E26" w14:textId="3227D001" w:rsidR="00B01007" w:rsidRPr="00382AE5" w:rsidRDefault="00B01007" w:rsidP="00E44F56">
            <w:pPr>
              <w:rPr>
                <w:sz w:val="22"/>
                <w:szCs w:val="22"/>
              </w:rPr>
            </w:pPr>
            <w:r w:rsidRPr="00382AE5">
              <w:rPr>
                <w:sz w:val="22"/>
                <w:szCs w:val="22"/>
              </w:rPr>
              <w:t>262</w:t>
            </w:r>
          </w:p>
        </w:tc>
      </w:tr>
      <w:tr w:rsidR="00B01007" w14:paraId="15823123" w14:textId="77777777" w:rsidTr="00937AAA">
        <w:tc>
          <w:tcPr>
            <w:tcW w:w="0" w:type="auto"/>
            <w:vAlign w:val="center"/>
          </w:tcPr>
          <w:p w14:paraId="74B3D9AE" w14:textId="14CB987F" w:rsidR="00B01007" w:rsidRPr="00382AE5" w:rsidRDefault="00B01007" w:rsidP="00E44F56">
            <w:pPr>
              <w:rPr>
                <w:sz w:val="22"/>
                <w:szCs w:val="22"/>
              </w:rPr>
            </w:pPr>
            <w:r w:rsidRPr="00382AE5">
              <w:rPr>
                <w:sz w:val="22"/>
                <w:szCs w:val="22"/>
              </w:rPr>
              <w:t>Stakeholder submissions – email</w:t>
            </w:r>
          </w:p>
        </w:tc>
        <w:tc>
          <w:tcPr>
            <w:tcW w:w="0" w:type="auto"/>
            <w:vAlign w:val="center"/>
          </w:tcPr>
          <w:p w14:paraId="32B2EEDC" w14:textId="0CD29093" w:rsidR="00B01007" w:rsidRPr="00382AE5" w:rsidRDefault="001A46CE" w:rsidP="00E44F56">
            <w:pPr>
              <w:rPr>
                <w:sz w:val="22"/>
                <w:szCs w:val="22"/>
              </w:rPr>
            </w:pPr>
            <w:r w:rsidRPr="00382AE5">
              <w:rPr>
                <w:sz w:val="22"/>
                <w:szCs w:val="22"/>
              </w:rPr>
              <w:t>7</w:t>
            </w:r>
            <w:r w:rsidRPr="00382AE5">
              <w:rPr>
                <w:rStyle w:val="FootnoteReference"/>
                <w:sz w:val="22"/>
                <w:szCs w:val="22"/>
              </w:rPr>
              <w:footnoteReference w:id="2"/>
            </w:r>
          </w:p>
        </w:tc>
      </w:tr>
      <w:tr w:rsidR="00B01007" w14:paraId="6F7B5D2C" w14:textId="77777777" w:rsidTr="00937AAA">
        <w:tc>
          <w:tcPr>
            <w:tcW w:w="0" w:type="auto"/>
            <w:vAlign w:val="center"/>
          </w:tcPr>
          <w:p w14:paraId="3EA3BC92" w14:textId="7B8EB4D3" w:rsidR="00B01007" w:rsidRPr="00382AE5" w:rsidRDefault="00B01007" w:rsidP="00E44F56">
            <w:pPr>
              <w:rPr>
                <w:sz w:val="22"/>
                <w:szCs w:val="22"/>
              </w:rPr>
            </w:pPr>
            <w:r w:rsidRPr="00382AE5">
              <w:rPr>
                <w:sz w:val="22"/>
                <w:szCs w:val="22"/>
              </w:rPr>
              <w:t>Stakeholders attending public webinar</w:t>
            </w:r>
          </w:p>
        </w:tc>
        <w:tc>
          <w:tcPr>
            <w:tcW w:w="0" w:type="auto"/>
            <w:vAlign w:val="center"/>
          </w:tcPr>
          <w:p w14:paraId="2A85F100" w14:textId="3713E227" w:rsidR="00B01007" w:rsidRPr="00382AE5" w:rsidRDefault="001A46CE" w:rsidP="00E44F56">
            <w:pPr>
              <w:rPr>
                <w:sz w:val="22"/>
                <w:szCs w:val="22"/>
              </w:rPr>
            </w:pPr>
            <w:r w:rsidRPr="00382AE5">
              <w:rPr>
                <w:sz w:val="22"/>
                <w:szCs w:val="22"/>
              </w:rPr>
              <w:t>338</w:t>
            </w:r>
          </w:p>
        </w:tc>
      </w:tr>
    </w:tbl>
    <w:p w14:paraId="24C82457" w14:textId="7327AEE8" w:rsidR="001A46CE" w:rsidRPr="00DC55AF" w:rsidRDefault="004B78DA" w:rsidP="004F505D">
      <w:pPr>
        <w:pStyle w:val="Heading2"/>
        <w:spacing w:before="300"/>
      </w:pPr>
      <w:bookmarkStart w:id="8" w:name="_Toc242788129"/>
      <w:bookmarkStart w:id="9" w:name="_Toc178076125"/>
      <w:r>
        <w:t>Online</w:t>
      </w:r>
      <w:r w:rsidR="001A46CE" w:rsidRPr="001A46CE">
        <w:t xml:space="preserve"> survey</w:t>
      </w:r>
      <w:bookmarkEnd w:id="8"/>
    </w:p>
    <w:p w14:paraId="76120C6A" w14:textId="7D58C0BC" w:rsidR="001A46CE" w:rsidRPr="00450FEC" w:rsidRDefault="001A46CE" w:rsidP="00E44F56">
      <w:r w:rsidRPr="00726EA8">
        <w:t xml:space="preserve">The </w:t>
      </w:r>
      <w:r w:rsidR="00016658">
        <w:t>online survey</w:t>
      </w:r>
      <w:r w:rsidR="00016658" w:rsidRPr="00726EA8">
        <w:t xml:space="preserve"> </w:t>
      </w:r>
      <w:r w:rsidRPr="00726EA8">
        <w:t>was open from 17 July to 16 August 2026.</w:t>
      </w:r>
    </w:p>
    <w:p w14:paraId="2D73339F" w14:textId="44F7C8A9" w:rsidR="001A46CE" w:rsidRPr="00450FEC" w:rsidRDefault="001A46CE" w:rsidP="00E44F56">
      <w:r w:rsidRPr="00165646">
        <w:t xml:space="preserve">Responses received </w:t>
      </w:r>
      <w:r w:rsidR="00AD58EE">
        <w:t>included</w:t>
      </w:r>
      <w:r w:rsidRPr="00165646">
        <w:t>:</w:t>
      </w:r>
    </w:p>
    <w:p w14:paraId="37903101" w14:textId="70D9E7BD" w:rsidR="001A46CE" w:rsidRPr="00382AE5" w:rsidRDefault="001A46CE" w:rsidP="00382AE5">
      <w:pPr>
        <w:pStyle w:val="ListParagraph"/>
      </w:pPr>
      <w:r w:rsidRPr="00E44F56">
        <w:rPr>
          <w:rFonts w:eastAsiaTheme="minorEastAsia"/>
        </w:rPr>
        <w:t xml:space="preserve">149 responses (57%) provided </w:t>
      </w:r>
      <w:r w:rsidRPr="00382AE5">
        <w:t>by individuals.</w:t>
      </w:r>
    </w:p>
    <w:p w14:paraId="31B4CFD3" w14:textId="472F79C4" w:rsidR="001A46CE" w:rsidRPr="00E44F56" w:rsidRDefault="001A46CE" w:rsidP="004E7AF1">
      <w:pPr>
        <w:pStyle w:val="ListParagraph"/>
        <w:spacing w:after="120"/>
        <w:rPr>
          <w:rFonts w:eastAsiaTheme="minorEastAsia"/>
        </w:rPr>
      </w:pPr>
      <w:r w:rsidRPr="00382AE5">
        <w:t>113 responses (43%) provided o</w:t>
      </w:r>
      <w:r w:rsidRPr="00E44F56">
        <w:rPr>
          <w:rFonts w:eastAsiaTheme="minorEastAsia"/>
        </w:rPr>
        <w:t>n behalf of organisations.</w:t>
      </w:r>
    </w:p>
    <w:p w14:paraId="0095B10A" w14:textId="77777777" w:rsidR="001A46CE" w:rsidRPr="00536757" w:rsidRDefault="001A46CE" w:rsidP="00E44F56">
      <w:pPr>
        <w:pStyle w:val="Heading3"/>
      </w:pPr>
      <w:bookmarkStart w:id="10" w:name="_Toc242788130"/>
      <w:r w:rsidRPr="00536757">
        <w:t>Individual respondents</w:t>
      </w:r>
      <w:bookmarkEnd w:id="10"/>
    </w:p>
    <w:p w14:paraId="237460F3" w14:textId="60F74D2D" w:rsidR="0034558C" w:rsidRDefault="001A46CE" w:rsidP="00BB5B8F">
      <w:pPr>
        <w:ind w:right="-143"/>
      </w:pPr>
      <w:r w:rsidRPr="004D6018">
        <w:t xml:space="preserve">Individual respondents </w:t>
      </w:r>
      <w:r w:rsidRPr="00C84B80">
        <w:t>represented all Australian jurisdictions</w:t>
      </w:r>
      <w:r w:rsidRPr="004D6018">
        <w:t xml:space="preserve">, with the </w:t>
      </w:r>
      <w:r w:rsidRPr="00C84B80">
        <w:t>largest</w:t>
      </w:r>
      <w:r w:rsidRPr="004D6018">
        <w:t xml:space="preserve"> numbers from New South Wales (50) and Victoria (49), followed by South Australia (16) and Queensland (15)</w:t>
      </w:r>
      <w:r w:rsidR="0034558C">
        <w:t xml:space="preserve"> (</w:t>
      </w:r>
      <w:r w:rsidR="0034558C">
        <w:fldChar w:fldCharType="begin"/>
      </w:r>
      <w:r w:rsidR="0034558C">
        <w:instrText xml:space="preserve"> REF _Ref239868153 \h </w:instrText>
      </w:r>
      <w:r w:rsidR="0034558C">
        <w:fldChar w:fldCharType="separate"/>
      </w:r>
      <w:r w:rsidR="0034558C">
        <w:t xml:space="preserve">Figure </w:t>
      </w:r>
      <w:r w:rsidR="0034558C">
        <w:rPr>
          <w:noProof/>
        </w:rPr>
        <w:t>1</w:t>
      </w:r>
      <w:r w:rsidR="0034558C">
        <w:fldChar w:fldCharType="end"/>
      </w:r>
      <w:r w:rsidR="0034558C">
        <w:t>)</w:t>
      </w:r>
      <w:r w:rsidRPr="004D6018">
        <w:t>.</w:t>
      </w:r>
    </w:p>
    <w:p w14:paraId="09B588E1" w14:textId="6CFE700D" w:rsidR="001A46CE" w:rsidRDefault="001A46CE" w:rsidP="004E7AF1">
      <w:pPr>
        <w:spacing w:after="240"/>
        <w:ind w:right="-285"/>
      </w:pPr>
      <w:r w:rsidRPr="00C84B80">
        <w:t>Respondents</w:t>
      </w:r>
      <w:r w:rsidRPr="004D6018">
        <w:t xml:space="preserve"> included </w:t>
      </w:r>
      <w:r w:rsidR="00AD58EE" w:rsidRPr="00AD58EE">
        <w:t>researchers, research organisations, health services, consumers, industry, philanthropy, government, and the wider community</w:t>
      </w:r>
      <w:r w:rsidR="0034558C">
        <w:t xml:space="preserve"> </w:t>
      </w:r>
      <w:r w:rsidR="0034558C" w:rsidRPr="00630666">
        <w:t>(</w:t>
      </w:r>
      <w:r w:rsidR="0034558C" w:rsidRPr="00630666">
        <w:fldChar w:fldCharType="begin"/>
      </w:r>
      <w:r w:rsidR="0034558C" w:rsidRPr="00630666">
        <w:instrText xml:space="preserve"> REF _Ref239868153 \h </w:instrText>
      </w:r>
      <w:r w:rsidR="00630666">
        <w:instrText xml:space="preserve"> \* MERGEFORMAT </w:instrText>
      </w:r>
      <w:r w:rsidR="0034558C" w:rsidRPr="00630666">
        <w:fldChar w:fldCharType="separate"/>
      </w:r>
      <w:r w:rsidR="0034558C" w:rsidRPr="00C20AB5">
        <w:t xml:space="preserve">Figure </w:t>
      </w:r>
      <w:r w:rsidR="0034558C" w:rsidRPr="00C20AB5">
        <w:rPr>
          <w:noProof/>
        </w:rPr>
        <w:t>1</w:t>
      </w:r>
      <w:r w:rsidR="0034558C" w:rsidRPr="00630666">
        <w:fldChar w:fldCharType="end"/>
      </w:r>
      <w:r w:rsidR="0034558C" w:rsidRPr="00630666">
        <w:t>)</w:t>
      </w:r>
      <w:r w:rsidRPr="004D6018">
        <w:t>. Researchers and academics were the largest individual cohort (113 respondents), followed by health professionals (53 respondents).</w:t>
      </w:r>
    </w:p>
    <w:p w14:paraId="1450D4B7" w14:textId="3C31A17C" w:rsidR="001A46CE" w:rsidRDefault="0034558C" w:rsidP="00E44F56">
      <w:pPr>
        <w:rPr>
          <w:rFonts w:eastAsiaTheme="minorEastAsia"/>
        </w:rPr>
      </w:pPr>
      <w:r>
        <w:rPr>
          <w:rFonts w:eastAsiaTheme="minorEastAsia"/>
          <w:noProof/>
        </w:rPr>
        <w:drawing>
          <wp:inline distT="0" distB="0" distL="0" distR="0" wp14:anchorId="7423D7BB" wp14:editId="47969052">
            <wp:extent cx="2988000" cy="1820767"/>
            <wp:effectExtent l="0" t="0" r="0" b="0"/>
            <wp:docPr id="1954039262" name="Picture 15" descr="Figure illustrating geographic distribution of individual 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39262" name="Picture 15" descr="Figure illustrating geographic distribution of individual respondent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88000" cy="1820767"/>
                    </a:xfrm>
                    <a:prstGeom prst="rect">
                      <a:avLst/>
                    </a:prstGeom>
                    <a:noFill/>
                  </pic:spPr>
                </pic:pic>
              </a:graphicData>
            </a:graphic>
          </wp:inline>
        </w:drawing>
      </w:r>
      <w:r>
        <w:rPr>
          <w:rFonts w:eastAsiaTheme="minorEastAsia"/>
          <w:noProof/>
        </w:rPr>
        <w:drawing>
          <wp:inline distT="0" distB="0" distL="0" distR="0" wp14:anchorId="54B30FEE" wp14:editId="40E90CA3">
            <wp:extent cx="2988000" cy="1820767"/>
            <wp:effectExtent l="0" t="0" r="0" b="0"/>
            <wp:docPr id="434779848" name="Picture 14" descr="Figure illustrating work sectors of individual 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79848" name="Picture 14" descr="Figure illustrating work sectors of individual respondent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8000" cy="1820767"/>
                    </a:xfrm>
                    <a:prstGeom prst="rect">
                      <a:avLst/>
                    </a:prstGeom>
                    <a:noFill/>
                  </pic:spPr>
                </pic:pic>
              </a:graphicData>
            </a:graphic>
          </wp:inline>
        </w:drawing>
      </w:r>
    </w:p>
    <w:p w14:paraId="7BFD3F90" w14:textId="77777777" w:rsidR="001A46CE" w:rsidRDefault="001A46CE" w:rsidP="00E44F56">
      <w:pPr>
        <w:pStyle w:val="Caption"/>
      </w:pPr>
      <w:bookmarkStart w:id="11" w:name="_Ref239868153"/>
      <w:r>
        <w:t xml:space="preserve">Figure </w:t>
      </w:r>
      <w:fldSimple w:instr=" SEQ Figure \* ARABIC ">
        <w:r>
          <w:rPr>
            <w:noProof/>
          </w:rPr>
          <w:t>1</w:t>
        </w:r>
      </w:fldSimple>
      <w:bookmarkEnd w:id="11"/>
      <w:r>
        <w:t xml:space="preserve"> - </w:t>
      </w:r>
      <w:r w:rsidRPr="004D6018">
        <w:t>Geographic distribution and work sectors (individual)</w:t>
      </w:r>
    </w:p>
    <w:p w14:paraId="37C16A31" w14:textId="77777777" w:rsidR="007245D6" w:rsidRPr="00536757" w:rsidRDefault="007245D6" w:rsidP="00E44F56">
      <w:pPr>
        <w:pStyle w:val="Heading3"/>
      </w:pPr>
      <w:bookmarkStart w:id="12" w:name="_Toc242788131"/>
      <w:r>
        <w:lastRenderedPageBreak/>
        <w:t>Organisational</w:t>
      </w:r>
      <w:r w:rsidRPr="00536757">
        <w:t xml:space="preserve"> respondents</w:t>
      </w:r>
      <w:bookmarkEnd w:id="12"/>
    </w:p>
    <w:p w14:paraId="1213A1F6" w14:textId="6BC8F64D" w:rsidR="007245D6" w:rsidRPr="00DF4461" w:rsidRDefault="007245D6" w:rsidP="00BB5B8F">
      <w:pPr>
        <w:ind w:right="-427"/>
      </w:pPr>
      <w:r w:rsidRPr="00D51359">
        <w:t>Organisational respondents also represented a range of jurisdictions, with the largest identified groups from Victoria (32) and New South Wales (23), followed by the Australian Capital Territory (8), South Australia (7) and Queensland (6)</w:t>
      </w:r>
      <w:r w:rsidRPr="00DF4461">
        <w:t xml:space="preserve"> (</w:t>
      </w:r>
      <w:r w:rsidRPr="00DF4461">
        <w:fldChar w:fldCharType="begin"/>
      </w:r>
      <w:r w:rsidRPr="00DF4461">
        <w:instrText xml:space="preserve"> REF _Ref239868200 \h </w:instrText>
      </w:r>
      <w:r w:rsidR="00DF4461">
        <w:instrText xml:space="preserve"> \* MERGEFORMAT </w:instrText>
      </w:r>
      <w:r w:rsidRPr="00DF4461">
        <w:fldChar w:fldCharType="separate"/>
      </w:r>
      <w:r w:rsidRPr="00DF4461">
        <w:t xml:space="preserve">Figure </w:t>
      </w:r>
      <w:r w:rsidRPr="00DF4461">
        <w:rPr>
          <w:noProof/>
        </w:rPr>
        <w:t>2</w:t>
      </w:r>
      <w:r w:rsidRPr="00DF4461">
        <w:fldChar w:fldCharType="end"/>
      </w:r>
      <w:r w:rsidRPr="00DF4461">
        <w:t>).</w:t>
      </w:r>
    </w:p>
    <w:p w14:paraId="16390AC6" w14:textId="179DCA35" w:rsidR="007245D6" w:rsidRPr="00DF4461" w:rsidRDefault="007245D6" w:rsidP="00982E36">
      <w:pPr>
        <w:ind w:right="-427"/>
      </w:pPr>
      <w:r w:rsidRPr="001F7865">
        <w:t>Research and academic organisations were the largest organisation</w:t>
      </w:r>
      <w:r w:rsidRPr="00DF4461">
        <w:t>al cohort (65 organisations). Responses were also received from advocacy organisations (38), consumer organisations (19), health service</w:t>
      </w:r>
      <w:r w:rsidR="00EF61A8" w:rsidRPr="00DF4461">
        <w:t>s</w:t>
      </w:r>
      <w:r w:rsidRPr="00DF4461">
        <w:t xml:space="preserve"> (16), government (14), industry (13) and philanthrop</w:t>
      </w:r>
      <w:r w:rsidR="00EF61A8" w:rsidRPr="00DF4461">
        <w:t>y</w:t>
      </w:r>
      <w:r w:rsidRPr="00DF4461">
        <w:t xml:space="preserve"> (11) (</w:t>
      </w:r>
      <w:r w:rsidRPr="00DF4461">
        <w:fldChar w:fldCharType="begin"/>
      </w:r>
      <w:r w:rsidRPr="00DF4461">
        <w:instrText xml:space="preserve"> REF _Ref239868200 \h </w:instrText>
      </w:r>
      <w:r w:rsidR="00DF4461">
        <w:instrText xml:space="preserve"> \* MERGEFORMAT </w:instrText>
      </w:r>
      <w:r w:rsidRPr="00DF4461">
        <w:fldChar w:fldCharType="separate"/>
      </w:r>
      <w:r w:rsidRPr="00DF4461">
        <w:t xml:space="preserve">Figure </w:t>
      </w:r>
      <w:r w:rsidRPr="00DF4461">
        <w:rPr>
          <w:noProof/>
        </w:rPr>
        <w:t>2</w:t>
      </w:r>
      <w:r w:rsidRPr="00DF4461">
        <w:fldChar w:fldCharType="end"/>
      </w:r>
      <w:r w:rsidRPr="00DF4461">
        <w:t>).</w:t>
      </w:r>
    </w:p>
    <w:p w14:paraId="2ECFB1E4" w14:textId="2BC01142" w:rsidR="001A46CE" w:rsidRDefault="0034558C" w:rsidP="00E44F56">
      <w:pPr>
        <w:rPr>
          <w:rFonts w:eastAsiaTheme="minorEastAsia"/>
        </w:rPr>
      </w:pPr>
      <w:r>
        <w:rPr>
          <w:rFonts w:eastAsiaTheme="minorEastAsia"/>
          <w:noProof/>
        </w:rPr>
        <w:drawing>
          <wp:inline distT="0" distB="0" distL="0" distR="0" wp14:anchorId="0123C9C1" wp14:editId="3EC9059C">
            <wp:extent cx="2988000" cy="1820767"/>
            <wp:effectExtent l="0" t="0" r="0" b="0"/>
            <wp:docPr id="2146782488" name="Picture 16" descr="Figure illustrating geographic distribution of organisational 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82488" name="Picture 16" descr="Figure illustrating geographic distribution of organisational responden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88000" cy="1820767"/>
                    </a:xfrm>
                    <a:prstGeom prst="rect">
                      <a:avLst/>
                    </a:prstGeom>
                    <a:noFill/>
                  </pic:spPr>
                </pic:pic>
              </a:graphicData>
            </a:graphic>
          </wp:inline>
        </w:drawing>
      </w:r>
      <w:r>
        <w:rPr>
          <w:rFonts w:eastAsiaTheme="minorEastAsia"/>
          <w:noProof/>
        </w:rPr>
        <w:drawing>
          <wp:inline distT="0" distB="0" distL="0" distR="0" wp14:anchorId="0D1E1D30" wp14:editId="0454A84B">
            <wp:extent cx="2988000" cy="1820767"/>
            <wp:effectExtent l="0" t="0" r="0" b="0"/>
            <wp:docPr id="29139403" name="Picture 17" descr="Figure illustrating sectors of organisational respon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39403" name="Picture 17" descr="Figure illustrating sectors of organisational respondent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8000" cy="1820767"/>
                    </a:xfrm>
                    <a:prstGeom prst="rect">
                      <a:avLst/>
                    </a:prstGeom>
                    <a:noFill/>
                  </pic:spPr>
                </pic:pic>
              </a:graphicData>
            </a:graphic>
          </wp:inline>
        </w:drawing>
      </w:r>
    </w:p>
    <w:p w14:paraId="452EDB50" w14:textId="4D8A1C02" w:rsidR="004A38FD" w:rsidRDefault="001A46CE" w:rsidP="00E44F56">
      <w:pPr>
        <w:pStyle w:val="Caption"/>
      </w:pPr>
      <w:bookmarkStart w:id="13" w:name="_Ref239868200"/>
      <w:r>
        <w:t xml:space="preserve">Figure </w:t>
      </w:r>
      <w:fldSimple w:instr=" SEQ Figure \* ARABIC ">
        <w:r>
          <w:rPr>
            <w:noProof/>
          </w:rPr>
          <w:t>2</w:t>
        </w:r>
      </w:fldSimple>
      <w:bookmarkEnd w:id="13"/>
      <w:r>
        <w:t xml:space="preserve"> - </w:t>
      </w:r>
      <w:r w:rsidRPr="004D6018">
        <w:t>Geographic distribution and work sectors (</w:t>
      </w:r>
      <w:r>
        <w:t>organisation</w:t>
      </w:r>
      <w:r w:rsidRPr="004D6018">
        <w:t>)</w:t>
      </w:r>
    </w:p>
    <w:p w14:paraId="1F0D4522" w14:textId="2500033A" w:rsidR="001A46CE" w:rsidRPr="00DC55AF" w:rsidRDefault="004B78DA" w:rsidP="00E44F56">
      <w:pPr>
        <w:pStyle w:val="Heading2"/>
      </w:pPr>
      <w:bookmarkStart w:id="14" w:name="_Toc242788132"/>
      <w:r>
        <w:t>National</w:t>
      </w:r>
      <w:r w:rsidR="001A46CE" w:rsidRPr="00DC55AF">
        <w:t xml:space="preserve"> webinar</w:t>
      </w:r>
      <w:bookmarkEnd w:id="14"/>
    </w:p>
    <w:p w14:paraId="3EF32DBD" w14:textId="21D3A0A6" w:rsidR="001A46CE" w:rsidRPr="00DC55AF" w:rsidRDefault="00EF61A8" w:rsidP="00E44F56">
      <w:pPr>
        <w:rPr>
          <w:rFonts w:eastAsiaTheme="minorEastAsia"/>
        </w:rPr>
      </w:pPr>
      <w:r>
        <w:t>The</w:t>
      </w:r>
      <w:r w:rsidR="001A46CE" w:rsidRPr="006D18A7">
        <w:t xml:space="preserve"> public webinar </w:t>
      </w:r>
      <w:r>
        <w:t xml:space="preserve">on 4 August 2026 </w:t>
      </w:r>
      <w:r w:rsidR="001A46CE" w:rsidRPr="00DC55AF">
        <w:rPr>
          <w:rFonts w:eastAsiaTheme="minorEastAsia"/>
        </w:rPr>
        <w:t>attracted:</w:t>
      </w:r>
    </w:p>
    <w:p w14:paraId="122E759E" w14:textId="77777777" w:rsidR="001A46CE" w:rsidRPr="00122893" w:rsidRDefault="001A46CE" w:rsidP="00122893">
      <w:pPr>
        <w:pStyle w:val="ListParagraph"/>
      </w:pPr>
      <w:r w:rsidRPr="00E44F56">
        <w:rPr>
          <w:rFonts w:eastAsiaTheme="minorEastAsia"/>
        </w:rPr>
        <w:t xml:space="preserve">420 </w:t>
      </w:r>
      <w:r w:rsidRPr="00122893">
        <w:t>registrations</w:t>
      </w:r>
    </w:p>
    <w:p w14:paraId="1B62EC97" w14:textId="77777777" w:rsidR="001A46CE" w:rsidRPr="00122893" w:rsidRDefault="001A46CE" w:rsidP="00122893">
      <w:pPr>
        <w:pStyle w:val="ListParagraph"/>
      </w:pPr>
      <w:r w:rsidRPr="00122893">
        <w:t>338 attendees</w:t>
      </w:r>
    </w:p>
    <w:p w14:paraId="3D1B2D8E" w14:textId="77777777" w:rsidR="001A46CE" w:rsidRPr="00E44F56" w:rsidRDefault="001A46CE" w:rsidP="00122893">
      <w:pPr>
        <w:pStyle w:val="ListParagraph"/>
        <w:spacing w:after="120"/>
        <w:rPr>
          <w:rFonts w:eastAsiaTheme="minorEastAsia"/>
        </w:rPr>
      </w:pPr>
      <w:r w:rsidRPr="00122893">
        <w:t>61 questions</w:t>
      </w:r>
      <w:r w:rsidRPr="00E44F56">
        <w:rPr>
          <w:rFonts w:eastAsiaTheme="minorEastAsia"/>
        </w:rPr>
        <w:t xml:space="preserve"> submitted through the Q&amp;A function. </w:t>
      </w:r>
    </w:p>
    <w:p w14:paraId="56AF6C1D" w14:textId="77777777" w:rsidR="001A46CE" w:rsidRDefault="001A46CE" w:rsidP="00E53D47">
      <w:pPr>
        <w:ind w:right="-285"/>
      </w:pPr>
      <w:r w:rsidRPr="00893772">
        <w:t xml:space="preserve">Questions </w:t>
      </w:r>
      <w:r w:rsidRPr="00695C33">
        <w:t xml:space="preserve">submitted during the webinar </w:t>
      </w:r>
      <w:r w:rsidRPr="00893772">
        <w:t>reflected strong engagement across the research, healthcare, consumer, industry and policy sectors</w:t>
      </w:r>
      <w:r w:rsidRPr="00695C33">
        <w:t>. Recurring areas of</w:t>
      </w:r>
      <w:r w:rsidRPr="00893772">
        <w:t xml:space="preserve"> interest </w:t>
      </w:r>
      <w:r w:rsidRPr="00695C33">
        <w:t>included</w:t>
      </w:r>
      <w:r w:rsidRPr="00893772">
        <w:t xml:space="preserve"> equity, priority populations, translation, implementation, workforce capability, artificial intelligence, data infrastructure and future MRFF investment directions.</w:t>
      </w:r>
    </w:p>
    <w:p w14:paraId="6B5A88D4" w14:textId="1A7C4AEF" w:rsidR="00996BF5" w:rsidRPr="00450FEC" w:rsidRDefault="002C62BB" w:rsidP="00E44F56">
      <w:pPr>
        <w:pStyle w:val="Heading1"/>
      </w:pPr>
      <w:bookmarkStart w:id="15" w:name="_Toc242788133"/>
      <w:r w:rsidRPr="00450FEC">
        <w:t>Consultation feedback</w:t>
      </w:r>
      <w:bookmarkEnd w:id="9"/>
      <w:bookmarkEnd w:id="15"/>
    </w:p>
    <w:p w14:paraId="4FDC47B5" w14:textId="1FEF9EAA" w:rsidR="00F73060" w:rsidRDefault="00CC39B0" w:rsidP="00E53D47">
      <w:pPr>
        <w:ind w:right="-143"/>
      </w:pPr>
      <w:r w:rsidRPr="000048CB">
        <w:t xml:space="preserve">This </w:t>
      </w:r>
      <w:r w:rsidR="000048CB" w:rsidRPr="000048CB">
        <w:t>section summarises</w:t>
      </w:r>
      <w:r w:rsidRPr="000048CB">
        <w:t xml:space="preserve"> feedback received through the consultation process</w:t>
      </w:r>
      <w:r w:rsidR="000048CB" w:rsidRPr="000048CB">
        <w:t>, including survey responses, written submissions</w:t>
      </w:r>
      <w:r w:rsidR="00720DC7">
        <w:t xml:space="preserve">, </w:t>
      </w:r>
      <w:r w:rsidR="000048CB" w:rsidRPr="000048CB">
        <w:t>targeted engagement</w:t>
      </w:r>
      <w:r w:rsidRPr="000048CB">
        <w:t xml:space="preserve"> and </w:t>
      </w:r>
      <w:r w:rsidR="000048CB" w:rsidRPr="000048CB">
        <w:t xml:space="preserve">roundtable discussions. It </w:t>
      </w:r>
      <w:r w:rsidRPr="000048CB">
        <w:t xml:space="preserve">identifies the </w:t>
      </w:r>
      <w:r w:rsidR="000048CB" w:rsidRPr="000048CB">
        <w:t>main areas of support, recurring issues</w:t>
      </w:r>
      <w:r w:rsidRPr="000048CB">
        <w:t xml:space="preserve"> raised by stakeholders</w:t>
      </w:r>
      <w:r w:rsidR="000048CB" w:rsidRPr="000048CB">
        <w:t xml:space="preserve"> and opportunities to strengthen the final Strategy and Priorities.</w:t>
      </w:r>
      <w:r w:rsidR="00720DC7">
        <w:t xml:space="preserve"> While the</w:t>
      </w:r>
      <w:r w:rsidR="00AF46EE">
        <w:t>se</w:t>
      </w:r>
      <w:r w:rsidR="00720DC7">
        <w:t xml:space="preserve"> statistics </w:t>
      </w:r>
      <w:r w:rsidR="00AF46EE">
        <w:t>exclude</w:t>
      </w:r>
      <w:r w:rsidR="00720DC7">
        <w:t xml:space="preserve"> </w:t>
      </w:r>
      <w:r w:rsidR="00EF61A8">
        <w:t>email</w:t>
      </w:r>
      <w:r w:rsidR="00720DC7">
        <w:t xml:space="preserve"> submissions</w:t>
      </w:r>
      <w:r w:rsidR="00EF61A8">
        <w:t xml:space="preserve">, </w:t>
      </w:r>
      <w:r w:rsidR="00720DC7">
        <w:t>targeted engagement and roundtable discussions</w:t>
      </w:r>
      <w:r w:rsidR="00EF61A8">
        <w:t xml:space="preserve">, </w:t>
      </w:r>
      <w:r w:rsidR="00720DC7">
        <w:t>feedback</w:t>
      </w:r>
      <w:r w:rsidR="00AF46EE">
        <w:t xml:space="preserve"> from all consultation channels are reflected in the </w:t>
      </w:r>
      <w:r w:rsidR="00720DC7">
        <w:t>key themes</w:t>
      </w:r>
      <w:r w:rsidR="00AF46EE">
        <w:t xml:space="preserve"> outlined in this report</w:t>
      </w:r>
      <w:r w:rsidR="00720DC7">
        <w:t>.</w:t>
      </w:r>
    </w:p>
    <w:p w14:paraId="53D3B0F5" w14:textId="46A6957B" w:rsidR="00720DC7" w:rsidRDefault="00016658" w:rsidP="00E44F56">
      <w:pPr>
        <w:pStyle w:val="Heading2"/>
      </w:pPr>
      <w:bookmarkStart w:id="16" w:name="_Toc242788134"/>
      <w:r>
        <w:t xml:space="preserve">Online </w:t>
      </w:r>
      <w:r w:rsidR="00720DC7">
        <w:t>Survey Statistics</w:t>
      </w:r>
      <w:bookmarkEnd w:id="16"/>
    </w:p>
    <w:p w14:paraId="54A8D149" w14:textId="7FC17296" w:rsidR="00937AAA" w:rsidRDefault="00016658" w:rsidP="00E53D47">
      <w:pPr>
        <w:ind w:right="-427"/>
      </w:pPr>
      <w:r>
        <w:t xml:space="preserve">Online </w:t>
      </w:r>
      <w:r w:rsidR="00A91567">
        <w:t xml:space="preserve">survey results indicated broad support for the overall strategic direction of the draft Strategy. A majority of respondents supported the proposed Vision (71% of those who </w:t>
      </w:r>
      <w:r w:rsidR="00386590">
        <w:t>responded</w:t>
      </w:r>
      <w:r w:rsidR="00A91567">
        <w:t>), Cross-</w:t>
      </w:r>
      <w:r w:rsidR="009A32F2">
        <w:t>C</w:t>
      </w:r>
      <w:r w:rsidR="00A91567">
        <w:t>utting Principles (71%) and Shared Enablers (65%). Support for the proposed Strategic Objectives was also</w:t>
      </w:r>
      <w:r w:rsidR="00C20CF0">
        <w:t xml:space="preserve"> mostly</w:t>
      </w:r>
      <w:r w:rsidR="00A91567">
        <w:t xml:space="preserve"> positive, with 151 of 235 respondents who answered indicating support (64%)</w:t>
      </w:r>
      <w:r w:rsidR="00386590">
        <w:t xml:space="preserve"> (</w:t>
      </w:r>
      <w:r w:rsidR="00386590">
        <w:fldChar w:fldCharType="begin"/>
      </w:r>
      <w:r w:rsidR="00386590">
        <w:instrText xml:space="preserve"> REF _Ref240017773 \h </w:instrText>
      </w:r>
      <w:r w:rsidR="00386590">
        <w:fldChar w:fldCharType="separate"/>
      </w:r>
      <w:r w:rsidR="00386590">
        <w:t xml:space="preserve">Table </w:t>
      </w:r>
      <w:r w:rsidR="00386590">
        <w:rPr>
          <w:noProof/>
        </w:rPr>
        <w:t>2</w:t>
      </w:r>
      <w:r w:rsidR="00386590">
        <w:fldChar w:fldCharType="end"/>
      </w:r>
      <w:r w:rsidR="00386590">
        <w:t>)</w:t>
      </w:r>
      <w:r w:rsidR="00A91567">
        <w:t>.</w:t>
      </w:r>
    </w:p>
    <w:p w14:paraId="2645F4CF" w14:textId="3B55DBB4" w:rsidR="00386590" w:rsidRDefault="00386590" w:rsidP="00FC0D7F">
      <w:pPr>
        <w:pStyle w:val="Caption"/>
        <w:keepNext/>
        <w:keepLines/>
        <w:rPr>
          <w:szCs w:val="24"/>
        </w:rPr>
      </w:pPr>
      <w:bookmarkStart w:id="17" w:name="_Ref240017773"/>
      <w:r>
        <w:lastRenderedPageBreak/>
        <w:t xml:space="preserve">Table </w:t>
      </w:r>
      <w:fldSimple w:instr=" SEQ Table \* ARABIC ">
        <w:r w:rsidR="0034257D">
          <w:rPr>
            <w:noProof/>
          </w:rPr>
          <w:t>2</w:t>
        </w:r>
      </w:fldSimple>
      <w:bookmarkEnd w:id="17"/>
      <w:r>
        <w:t xml:space="preserve">: </w:t>
      </w:r>
      <w:r w:rsidR="00016658">
        <w:t xml:space="preserve">Online </w:t>
      </w:r>
      <w:r>
        <w:t>survey statistics – Draft MRFF Strategy</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87"/>
        <w:gridCol w:w="2343"/>
        <w:gridCol w:w="2110"/>
        <w:gridCol w:w="2726"/>
      </w:tblGrid>
      <w:tr w:rsidR="00386590" w:rsidRPr="00937AAA" w14:paraId="3FA66662" w14:textId="77777777" w:rsidTr="00937AAA">
        <w:trPr>
          <w:trHeight w:val="416"/>
        </w:trPr>
        <w:tc>
          <w:tcPr>
            <w:tcW w:w="0" w:type="auto"/>
            <w:vAlign w:val="center"/>
          </w:tcPr>
          <w:p w14:paraId="2491818D" w14:textId="48973EDB" w:rsidR="00386590" w:rsidRPr="00F64AFF" w:rsidRDefault="00386590" w:rsidP="00E44F56">
            <w:pPr>
              <w:rPr>
                <w:b/>
                <w:bCs/>
                <w:sz w:val="22"/>
                <w:szCs w:val="22"/>
              </w:rPr>
            </w:pPr>
            <w:r w:rsidRPr="00F64AFF">
              <w:rPr>
                <w:rFonts w:eastAsiaTheme="minorHAnsi"/>
                <w:b/>
                <w:bCs/>
                <w:sz w:val="22"/>
                <w:szCs w:val="22"/>
                <w:lang w:eastAsia="en-US"/>
              </w:rPr>
              <w:t>Survey Item</w:t>
            </w:r>
          </w:p>
        </w:tc>
        <w:tc>
          <w:tcPr>
            <w:tcW w:w="0" w:type="auto"/>
            <w:vAlign w:val="center"/>
          </w:tcPr>
          <w:p w14:paraId="7D23CD32" w14:textId="58B7458F" w:rsidR="00386590" w:rsidRPr="00F64AFF" w:rsidRDefault="00386590" w:rsidP="00E44F56">
            <w:pPr>
              <w:rPr>
                <w:b/>
                <w:bCs/>
                <w:sz w:val="22"/>
                <w:szCs w:val="22"/>
              </w:rPr>
            </w:pPr>
            <w:r w:rsidRPr="00F64AFF">
              <w:rPr>
                <w:b/>
                <w:bCs/>
                <w:sz w:val="22"/>
                <w:szCs w:val="22"/>
              </w:rPr>
              <w:t>Number of respondents</w:t>
            </w:r>
          </w:p>
        </w:tc>
        <w:tc>
          <w:tcPr>
            <w:tcW w:w="0" w:type="auto"/>
            <w:vAlign w:val="center"/>
          </w:tcPr>
          <w:p w14:paraId="609906AF" w14:textId="77777777" w:rsidR="006D67E4" w:rsidRDefault="00386590" w:rsidP="006D67E4">
            <w:pPr>
              <w:spacing w:after="0"/>
              <w:rPr>
                <w:b/>
                <w:bCs/>
                <w:sz w:val="22"/>
                <w:szCs w:val="22"/>
              </w:rPr>
            </w:pPr>
            <w:r w:rsidRPr="00F64AFF">
              <w:rPr>
                <w:b/>
                <w:bCs/>
                <w:sz w:val="22"/>
                <w:szCs w:val="22"/>
              </w:rPr>
              <w:t xml:space="preserve">Support </w:t>
            </w:r>
            <w:r w:rsidR="00C20CF0" w:rsidRPr="00F64AFF">
              <w:rPr>
                <w:b/>
                <w:bCs/>
                <w:sz w:val="22"/>
                <w:szCs w:val="22"/>
              </w:rPr>
              <w:t xml:space="preserve">for </w:t>
            </w:r>
            <w:r w:rsidRPr="00F64AFF">
              <w:rPr>
                <w:b/>
                <w:bCs/>
                <w:sz w:val="22"/>
                <w:szCs w:val="22"/>
              </w:rPr>
              <w:t>the draft</w:t>
            </w:r>
          </w:p>
          <w:p w14:paraId="6183E23C" w14:textId="69A2556B" w:rsidR="00AB2877" w:rsidRPr="00F64AFF" w:rsidRDefault="00AB2877" w:rsidP="00F64AFF">
            <w:pPr>
              <w:rPr>
                <w:b/>
                <w:bCs/>
                <w:sz w:val="22"/>
                <w:szCs w:val="22"/>
              </w:rPr>
            </w:pPr>
            <w:r w:rsidRPr="00F64AFF">
              <w:rPr>
                <w:b/>
                <w:bCs/>
                <w:sz w:val="22"/>
                <w:szCs w:val="22"/>
              </w:rPr>
              <w:t>(% respondents)</w:t>
            </w:r>
          </w:p>
        </w:tc>
        <w:tc>
          <w:tcPr>
            <w:tcW w:w="0" w:type="auto"/>
            <w:vAlign w:val="center"/>
          </w:tcPr>
          <w:p w14:paraId="740B9BE8" w14:textId="77777777" w:rsidR="006D67E4" w:rsidRDefault="00386590" w:rsidP="006D67E4">
            <w:pPr>
              <w:spacing w:after="0"/>
              <w:rPr>
                <w:b/>
                <w:bCs/>
                <w:sz w:val="22"/>
                <w:szCs w:val="22"/>
              </w:rPr>
            </w:pPr>
            <w:r w:rsidRPr="00F64AFF">
              <w:rPr>
                <w:b/>
                <w:bCs/>
                <w:sz w:val="22"/>
                <w:szCs w:val="22"/>
              </w:rPr>
              <w:t>Additional elements needed</w:t>
            </w:r>
          </w:p>
          <w:p w14:paraId="1B8B075E" w14:textId="7C68F8CE" w:rsidR="00AB2877" w:rsidRPr="00F64AFF" w:rsidRDefault="00AB2877" w:rsidP="00F64AFF">
            <w:pPr>
              <w:rPr>
                <w:b/>
                <w:bCs/>
                <w:sz w:val="22"/>
                <w:szCs w:val="22"/>
              </w:rPr>
            </w:pPr>
            <w:r w:rsidRPr="00F64AFF">
              <w:rPr>
                <w:b/>
                <w:bCs/>
                <w:sz w:val="22"/>
                <w:szCs w:val="22"/>
              </w:rPr>
              <w:t>(% respondents)</w:t>
            </w:r>
          </w:p>
        </w:tc>
      </w:tr>
      <w:tr w:rsidR="00386590" w:rsidRPr="00937AAA" w14:paraId="7879719B" w14:textId="77777777" w:rsidTr="00937AAA">
        <w:tc>
          <w:tcPr>
            <w:tcW w:w="0" w:type="auto"/>
            <w:vAlign w:val="center"/>
          </w:tcPr>
          <w:p w14:paraId="6DB29125" w14:textId="0146B772" w:rsidR="00386590" w:rsidRPr="00F64AFF" w:rsidRDefault="00386590" w:rsidP="00E44F56">
            <w:pPr>
              <w:rPr>
                <w:b/>
                <w:bCs/>
                <w:sz w:val="22"/>
                <w:szCs w:val="22"/>
              </w:rPr>
            </w:pPr>
            <w:r w:rsidRPr="00F64AFF">
              <w:rPr>
                <w:b/>
                <w:bCs/>
                <w:sz w:val="22"/>
                <w:szCs w:val="22"/>
              </w:rPr>
              <w:t>Vision</w:t>
            </w:r>
          </w:p>
        </w:tc>
        <w:tc>
          <w:tcPr>
            <w:tcW w:w="0" w:type="auto"/>
            <w:vAlign w:val="center"/>
          </w:tcPr>
          <w:p w14:paraId="76772695" w14:textId="70FE9A87" w:rsidR="00386590" w:rsidRPr="00F64AFF" w:rsidRDefault="00386590" w:rsidP="00E44F56">
            <w:pPr>
              <w:rPr>
                <w:sz w:val="22"/>
                <w:szCs w:val="22"/>
              </w:rPr>
            </w:pPr>
            <w:r w:rsidRPr="00F64AFF">
              <w:rPr>
                <w:sz w:val="22"/>
                <w:szCs w:val="22"/>
              </w:rPr>
              <w:t>236</w:t>
            </w:r>
          </w:p>
        </w:tc>
        <w:tc>
          <w:tcPr>
            <w:tcW w:w="0" w:type="auto"/>
            <w:vAlign w:val="center"/>
          </w:tcPr>
          <w:p w14:paraId="541022EE" w14:textId="3BC93A15" w:rsidR="00386590" w:rsidRPr="00F64AFF" w:rsidRDefault="00386590" w:rsidP="00E44F56">
            <w:pPr>
              <w:rPr>
                <w:sz w:val="22"/>
                <w:szCs w:val="22"/>
              </w:rPr>
            </w:pPr>
            <w:r w:rsidRPr="00F64AFF">
              <w:rPr>
                <w:sz w:val="22"/>
                <w:szCs w:val="22"/>
              </w:rPr>
              <w:t>71%</w:t>
            </w:r>
          </w:p>
        </w:tc>
        <w:tc>
          <w:tcPr>
            <w:tcW w:w="0" w:type="auto"/>
            <w:vAlign w:val="center"/>
          </w:tcPr>
          <w:p w14:paraId="0A18E798" w14:textId="253C2856" w:rsidR="00386590" w:rsidRPr="00F64AFF" w:rsidRDefault="00386590" w:rsidP="00E44F56">
            <w:pPr>
              <w:rPr>
                <w:sz w:val="22"/>
                <w:szCs w:val="22"/>
              </w:rPr>
            </w:pPr>
            <w:r w:rsidRPr="00F64AFF">
              <w:rPr>
                <w:sz w:val="22"/>
                <w:szCs w:val="22"/>
              </w:rPr>
              <w:t>29%</w:t>
            </w:r>
          </w:p>
        </w:tc>
      </w:tr>
      <w:tr w:rsidR="00386590" w:rsidRPr="00937AAA" w14:paraId="5839B11F" w14:textId="77777777" w:rsidTr="00937AAA">
        <w:tc>
          <w:tcPr>
            <w:tcW w:w="0" w:type="auto"/>
            <w:vAlign w:val="center"/>
          </w:tcPr>
          <w:p w14:paraId="66083AC5" w14:textId="10F84864" w:rsidR="00386590" w:rsidRPr="00F64AFF" w:rsidRDefault="00386590" w:rsidP="00E44F56">
            <w:pPr>
              <w:rPr>
                <w:b/>
                <w:bCs/>
                <w:sz w:val="22"/>
                <w:szCs w:val="22"/>
              </w:rPr>
            </w:pPr>
            <w:r w:rsidRPr="00F64AFF">
              <w:rPr>
                <w:b/>
                <w:bCs/>
                <w:sz w:val="22"/>
                <w:szCs w:val="22"/>
              </w:rPr>
              <w:t>Strategic Objectives</w:t>
            </w:r>
          </w:p>
        </w:tc>
        <w:tc>
          <w:tcPr>
            <w:tcW w:w="0" w:type="auto"/>
            <w:vAlign w:val="center"/>
          </w:tcPr>
          <w:p w14:paraId="64C39452" w14:textId="22A52296" w:rsidR="00386590" w:rsidRPr="00F64AFF" w:rsidRDefault="00386590" w:rsidP="00E44F56">
            <w:pPr>
              <w:rPr>
                <w:sz w:val="22"/>
                <w:szCs w:val="22"/>
              </w:rPr>
            </w:pPr>
            <w:r w:rsidRPr="00F64AFF">
              <w:rPr>
                <w:sz w:val="22"/>
                <w:szCs w:val="22"/>
              </w:rPr>
              <w:t>235</w:t>
            </w:r>
          </w:p>
        </w:tc>
        <w:tc>
          <w:tcPr>
            <w:tcW w:w="0" w:type="auto"/>
            <w:vAlign w:val="center"/>
          </w:tcPr>
          <w:p w14:paraId="3E1DF830" w14:textId="184E38D9" w:rsidR="00386590" w:rsidRPr="00F64AFF" w:rsidRDefault="00386590" w:rsidP="00E44F56">
            <w:pPr>
              <w:rPr>
                <w:sz w:val="22"/>
                <w:szCs w:val="22"/>
              </w:rPr>
            </w:pPr>
            <w:r w:rsidRPr="00F64AFF">
              <w:rPr>
                <w:sz w:val="22"/>
                <w:szCs w:val="22"/>
              </w:rPr>
              <w:t>64%</w:t>
            </w:r>
          </w:p>
        </w:tc>
        <w:tc>
          <w:tcPr>
            <w:tcW w:w="0" w:type="auto"/>
            <w:vAlign w:val="center"/>
          </w:tcPr>
          <w:p w14:paraId="1EC72095" w14:textId="4F6F970B" w:rsidR="00386590" w:rsidRPr="00F64AFF" w:rsidRDefault="00386590" w:rsidP="00E44F56">
            <w:pPr>
              <w:rPr>
                <w:sz w:val="22"/>
                <w:szCs w:val="22"/>
              </w:rPr>
            </w:pPr>
            <w:r w:rsidRPr="00F64AFF">
              <w:rPr>
                <w:sz w:val="22"/>
                <w:szCs w:val="22"/>
              </w:rPr>
              <w:t>36%</w:t>
            </w:r>
          </w:p>
        </w:tc>
      </w:tr>
      <w:tr w:rsidR="00386590" w:rsidRPr="00937AAA" w14:paraId="12EA047E" w14:textId="77777777" w:rsidTr="00937AAA">
        <w:tc>
          <w:tcPr>
            <w:tcW w:w="0" w:type="auto"/>
            <w:vAlign w:val="center"/>
          </w:tcPr>
          <w:p w14:paraId="384CC68F" w14:textId="1FFDCBBE" w:rsidR="00386590" w:rsidRPr="00F64AFF" w:rsidRDefault="00386590" w:rsidP="00E44F56">
            <w:pPr>
              <w:rPr>
                <w:b/>
                <w:bCs/>
                <w:sz w:val="22"/>
                <w:szCs w:val="22"/>
              </w:rPr>
            </w:pPr>
            <w:r w:rsidRPr="00F64AFF">
              <w:rPr>
                <w:b/>
                <w:bCs/>
                <w:sz w:val="22"/>
                <w:szCs w:val="22"/>
              </w:rPr>
              <w:t>Cross-cutting Principles</w:t>
            </w:r>
          </w:p>
        </w:tc>
        <w:tc>
          <w:tcPr>
            <w:tcW w:w="0" w:type="auto"/>
            <w:vAlign w:val="center"/>
          </w:tcPr>
          <w:p w14:paraId="746A1CAF" w14:textId="2205E8DB" w:rsidR="00386590" w:rsidRPr="00F64AFF" w:rsidRDefault="00386590" w:rsidP="00E44F56">
            <w:pPr>
              <w:rPr>
                <w:sz w:val="22"/>
                <w:szCs w:val="22"/>
              </w:rPr>
            </w:pPr>
            <w:r w:rsidRPr="00F64AFF">
              <w:rPr>
                <w:sz w:val="22"/>
                <w:szCs w:val="22"/>
              </w:rPr>
              <w:t>230</w:t>
            </w:r>
          </w:p>
        </w:tc>
        <w:tc>
          <w:tcPr>
            <w:tcW w:w="0" w:type="auto"/>
            <w:vAlign w:val="center"/>
          </w:tcPr>
          <w:p w14:paraId="25DB6361" w14:textId="29134229" w:rsidR="00386590" w:rsidRPr="00F64AFF" w:rsidRDefault="00386590" w:rsidP="00E44F56">
            <w:pPr>
              <w:rPr>
                <w:sz w:val="22"/>
                <w:szCs w:val="22"/>
              </w:rPr>
            </w:pPr>
            <w:r w:rsidRPr="00F64AFF">
              <w:rPr>
                <w:sz w:val="22"/>
                <w:szCs w:val="22"/>
              </w:rPr>
              <w:t>71%</w:t>
            </w:r>
          </w:p>
        </w:tc>
        <w:tc>
          <w:tcPr>
            <w:tcW w:w="0" w:type="auto"/>
            <w:vAlign w:val="center"/>
          </w:tcPr>
          <w:p w14:paraId="6C80592D" w14:textId="76DBAA24" w:rsidR="00386590" w:rsidRPr="00F64AFF" w:rsidRDefault="00386590" w:rsidP="00E44F56">
            <w:pPr>
              <w:rPr>
                <w:sz w:val="22"/>
                <w:szCs w:val="22"/>
              </w:rPr>
            </w:pPr>
            <w:r w:rsidRPr="00F64AFF">
              <w:rPr>
                <w:sz w:val="22"/>
                <w:szCs w:val="22"/>
              </w:rPr>
              <w:t>29%</w:t>
            </w:r>
          </w:p>
        </w:tc>
      </w:tr>
      <w:tr w:rsidR="00386590" w:rsidRPr="00937AAA" w14:paraId="54157611" w14:textId="77777777" w:rsidTr="00937AAA">
        <w:tc>
          <w:tcPr>
            <w:tcW w:w="0" w:type="auto"/>
            <w:vAlign w:val="center"/>
          </w:tcPr>
          <w:p w14:paraId="1136D3CC" w14:textId="667E0BD4" w:rsidR="00386590" w:rsidRPr="00F64AFF" w:rsidRDefault="00386590" w:rsidP="00E44F56">
            <w:pPr>
              <w:rPr>
                <w:b/>
                <w:bCs/>
                <w:sz w:val="22"/>
                <w:szCs w:val="22"/>
              </w:rPr>
            </w:pPr>
            <w:r w:rsidRPr="00F64AFF">
              <w:rPr>
                <w:b/>
                <w:bCs/>
                <w:sz w:val="22"/>
                <w:szCs w:val="22"/>
              </w:rPr>
              <w:t>Shared Enablers</w:t>
            </w:r>
          </w:p>
        </w:tc>
        <w:tc>
          <w:tcPr>
            <w:tcW w:w="0" w:type="auto"/>
            <w:vAlign w:val="center"/>
          </w:tcPr>
          <w:p w14:paraId="7F67FCC4" w14:textId="2DA70C27" w:rsidR="00386590" w:rsidRPr="00F64AFF" w:rsidRDefault="00386590" w:rsidP="00E44F56">
            <w:pPr>
              <w:rPr>
                <w:sz w:val="22"/>
                <w:szCs w:val="22"/>
              </w:rPr>
            </w:pPr>
            <w:r w:rsidRPr="00F64AFF">
              <w:rPr>
                <w:sz w:val="22"/>
                <w:szCs w:val="22"/>
              </w:rPr>
              <w:t>243</w:t>
            </w:r>
          </w:p>
        </w:tc>
        <w:tc>
          <w:tcPr>
            <w:tcW w:w="0" w:type="auto"/>
            <w:vAlign w:val="center"/>
          </w:tcPr>
          <w:p w14:paraId="5358EC3B" w14:textId="7F4917B6" w:rsidR="00386590" w:rsidRPr="00F64AFF" w:rsidRDefault="00386590" w:rsidP="00E44F56">
            <w:pPr>
              <w:rPr>
                <w:sz w:val="22"/>
                <w:szCs w:val="22"/>
              </w:rPr>
            </w:pPr>
            <w:r w:rsidRPr="00F64AFF">
              <w:rPr>
                <w:sz w:val="22"/>
                <w:szCs w:val="22"/>
              </w:rPr>
              <w:t>65%</w:t>
            </w:r>
          </w:p>
        </w:tc>
        <w:tc>
          <w:tcPr>
            <w:tcW w:w="0" w:type="auto"/>
            <w:vAlign w:val="center"/>
          </w:tcPr>
          <w:p w14:paraId="156B652F" w14:textId="39EC4AB7" w:rsidR="00386590" w:rsidRPr="00F64AFF" w:rsidRDefault="00386590" w:rsidP="00E44F56">
            <w:pPr>
              <w:rPr>
                <w:sz w:val="22"/>
                <w:szCs w:val="22"/>
              </w:rPr>
            </w:pPr>
            <w:r w:rsidRPr="00F64AFF">
              <w:rPr>
                <w:sz w:val="22"/>
                <w:szCs w:val="22"/>
              </w:rPr>
              <w:t>35%</w:t>
            </w:r>
          </w:p>
        </w:tc>
      </w:tr>
    </w:tbl>
    <w:p w14:paraId="556F04F4" w14:textId="05820BE5" w:rsidR="00720DC7" w:rsidRDefault="00A91567" w:rsidP="006D67E4">
      <w:pPr>
        <w:keepNext/>
        <w:keepLines/>
        <w:spacing w:before="240"/>
        <w:ind w:right="-397"/>
      </w:pPr>
      <w:r>
        <w:t>Feedback on the proposed Priorities was more mixed</w:t>
      </w:r>
      <w:r w:rsidR="00386590">
        <w:t xml:space="preserve"> (</w:t>
      </w:r>
      <w:r w:rsidR="00FE379B">
        <w:fldChar w:fldCharType="begin"/>
      </w:r>
      <w:r w:rsidR="00FE379B">
        <w:instrText xml:space="preserve"> REF _Ref240018116 \h </w:instrText>
      </w:r>
      <w:r w:rsidR="00FE379B">
        <w:fldChar w:fldCharType="separate"/>
      </w:r>
      <w:r w:rsidR="00FE379B">
        <w:t xml:space="preserve">Table </w:t>
      </w:r>
      <w:r w:rsidR="00FE379B">
        <w:rPr>
          <w:noProof/>
        </w:rPr>
        <w:t>3</w:t>
      </w:r>
      <w:r w:rsidR="00FE379B">
        <w:fldChar w:fldCharType="end"/>
      </w:r>
      <w:r w:rsidR="00386590">
        <w:t>)</w:t>
      </w:r>
      <w:r>
        <w:t>. Respondents indicated strongest support for Aboriginal and Torres Strait Islander community governed and directed research, with</w:t>
      </w:r>
      <w:r w:rsidR="003C51B5">
        <w:t xml:space="preserve"> 76%</w:t>
      </w:r>
      <w:r>
        <w:t xml:space="preserve"> respondents indicating the priority was well addressed (</w:t>
      </w:r>
      <w:r w:rsidR="003C51B5">
        <w:fldChar w:fldCharType="begin"/>
      </w:r>
      <w:r w:rsidR="003C51B5">
        <w:instrText xml:space="preserve"> REF _Ref240018116 \h </w:instrText>
      </w:r>
      <w:r w:rsidR="003C51B5">
        <w:fldChar w:fldCharType="separate"/>
      </w:r>
      <w:r w:rsidR="003C51B5">
        <w:t xml:space="preserve">Table </w:t>
      </w:r>
      <w:r w:rsidR="003C51B5">
        <w:rPr>
          <w:noProof/>
        </w:rPr>
        <w:t>3</w:t>
      </w:r>
      <w:r w:rsidR="003C51B5">
        <w:fldChar w:fldCharType="end"/>
      </w:r>
      <w:r>
        <w:t xml:space="preserve">). Environmental health, determinants of health, integrated digital health systems and multiomics-informed healthcare also received moderate levels of support. For several priorities, </w:t>
      </w:r>
      <w:r w:rsidR="003C51B5">
        <w:t>responses</w:t>
      </w:r>
      <w:r>
        <w:t xml:space="preserve"> indicated that additional elements were needed, particularly </w:t>
      </w:r>
      <w:r w:rsidR="004C3600">
        <w:t xml:space="preserve">in the areas of </w:t>
      </w:r>
      <w:r>
        <w:t xml:space="preserve">skilled and sustainable health and medical research workforce, AI in research and health systems, advanced therapeutics and emerging technology, multiomics-informed healthcare, and embedding research in the health system. </w:t>
      </w:r>
      <w:r w:rsidR="003C51B5">
        <w:t>Feedback</w:t>
      </w:r>
      <w:r>
        <w:t xml:space="preserve"> suggest</w:t>
      </w:r>
      <w:r w:rsidR="009A32F2">
        <w:t>ed that</w:t>
      </w:r>
      <w:r>
        <w:t xml:space="preserve"> stakeholders generally supported the direction of the proposed Priorities while seeking further clarity, refinement or additional emphasis in key areas.</w:t>
      </w:r>
    </w:p>
    <w:p w14:paraId="29A1471B" w14:textId="4F5C532E" w:rsidR="00A91567" w:rsidRDefault="00720DC7" w:rsidP="00BA1D3B">
      <w:pPr>
        <w:ind w:right="-283"/>
      </w:pPr>
      <w:r w:rsidRPr="00720DC7">
        <w:t>Survey feedback indicated strong support for the proposed Priority Populations</w:t>
      </w:r>
      <w:r w:rsidR="003C51B5">
        <w:t xml:space="preserve"> (71% </w:t>
      </w:r>
      <w:r w:rsidRPr="00720DC7">
        <w:t>respondents</w:t>
      </w:r>
      <w:r w:rsidR="003C51B5">
        <w:t>)</w:t>
      </w:r>
      <w:r w:rsidRPr="00720DC7">
        <w:t>. Feedback emphasised that priority populations should be used to support more equitable research design, participation, access and outcomes, while recognising intersectionality, under-served groups and place-based needs. Stakeholders also highlighted the importance of maintaining sufficient flexibility so that future MRFF investments can respond to emerging evidence and community needs.</w:t>
      </w:r>
    </w:p>
    <w:p w14:paraId="231896DC" w14:textId="67DA61EE" w:rsidR="00386590" w:rsidRDefault="00386590" w:rsidP="00E44F56">
      <w:pPr>
        <w:pStyle w:val="Caption"/>
        <w:rPr>
          <w:szCs w:val="24"/>
        </w:rPr>
      </w:pPr>
      <w:bookmarkStart w:id="18" w:name="_Ref240018116"/>
      <w:r>
        <w:t xml:space="preserve">Table </w:t>
      </w:r>
      <w:fldSimple w:instr=" SEQ Table \* ARABIC ">
        <w:r w:rsidR="0034257D">
          <w:rPr>
            <w:noProof/>
          </w:rPr>
          <w:t>3</w:t>
        </w:r>
      </w:fldSimple>
      <w:bookmarkEnd w:id="18"/>
      <w:r>
        <w:t xml:space="preserve">: </w:t>
      </w:r>
      <w:r w:rsidR="00016658">
        <w:t xml:space="preserve">Online </w:t>
      </w:r>
      <w:r>
        <w:t>survey statistics – Draft MRFF Priorities</w:t>
      </w:r>
    </w:p>
    <w:tbl>
      <w:tblPr>
        <w:tblStyle w:val="TableGrid"/>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032"/>
        <w:gridCol w:w="1466"/>
        <w:gridCol w:w="1920"/>
        <w:gridCol w:w="2048"/>
      </w:tblGrid>
      <w:tr w:rsidR="00AB2877" w:rsidRPr="00937AAA" w14:paraId="09FB8907" w14:textId="77777777" w:rsidTr="00FC0D7F">
        <w:trPr>
          <w:cantSplit/>
          <w:trHeight w:val="416"/>
          <w:tblHeader/>
        </w:trPr>
        <w:tc>
          <w:tcPr>
            <w:tcW w:w="0" w:type="auto"/>
            <w:tcBorders>
              <w:top w:val="single" w:sz="12" w:space="0" w:color="auto"/>
              <w:left w:val="single" w:sz="12" w:space="0" w:color="auto"/>
            </w:tcBorders>
            <w:vAlign w:val="center"/>
          </w:tcPr>
          <w:p w14:paraId="1B1736F1" w14:textId="3DBD3092" w:rsidR="00AB2877" w:rsidRPr="00BA1D3B" w:rsidRDefault="00AB2877" w:rsidP="00E44F56">
            <w:pPr>
              <w:rPr>
                <w:b/>
                <w:bCs/>
                <w:sz w:val="22"/>
                <w:szCs w:val="22"/>
              </w:rPr>
            </w:pPr>
            <w:r w:rsidRPr="00BA1D3B">
              <w:rPr>
                <w:rFonts w:eastAsiaTheme="minorHAnsi"/>
                <w:b/>
                <w:bCs/>
                <w:sz w:val="22"/>
                <w:szCs w:val="22"/>
                <w:lang w:eastAsia="en-US"/>
              </w:rPr>
              <w:t>Survey Item</w:t>
            </w:r>
          </w:p>
        </w:tc>
        <w:tc>
          <w:tcPr>
            <w:tcW w:w="1466" w:type="dxa"/>
            <w:tcBorders>
              <w:top w:val="single" w:sz="12" w:space="0" w:color="auto"/>
            </w:tcBorders>
            <w:vAlign w:val="center"/>
          </w:tcPr>
          <w:p w14:paraId="64A38A73" w14:textId="1DFD1E4B" w:rsidR="00AB2877" w:rsidRPr="00BA1D3B" w:rsidRDefault="00AB2877" w:rsidP="00E44F56">
            <w:pPr>
              <w:rPr>
                <w:b/>
                <w:bCs/>
                <w:sz w:val="22"/>
                <w:szCs w:val="22"/>
              </w:rPr>
            </w:pPr>
            <w:r w:rsidRPr="00BA1D3B">
              <w:rPr>
                <w:b/>
                <w:bCs/>
                <w:sz w:val="22"/>
                <w:szCs w:val="22"/>
              </w:rPr>
              <w:t>Number of respondents</w:t>
            </w:r>
          </w:p>
        </w:tc>
        <w:tc>
          <w:tcPr>
            <w:tcW w:w="1920" w:type="dxa"/>
            <w:tcBorders>
              <w:top w:val="single" w:sz="12" w:space="0" w:color="auto"/>
            </w:tcBorders>
            <w:vAlign w:val="center"/>
          </w:tcPr>
          <w:p w14:paraId="127FE124" w14:textId="0536E0C7" w:rsidR="00AB2877" w:rsidRPr="00BA1D3B" w:rsidRDefault="00AB2877" w:rsidP="00BA1D3B">
            <w:pPr>
              <w:spacing w:after="0"/>
              <w:rPr>
                <w:b/>
                <w:bCs/>
                <w:sz w:val="22"/>
                <w:szCs w:val="22"/>
              </w:rPr>
            </w:pPr>
            <w:r w:rsidRPr="00BA1D3B">
              <w:rPr>
                <w:b/>
                <w:bCs/>
                <w:sz w:val="22"/>
                <w:szCs w:val="22"/>
              </w:rPr>
              <w:t xml:space="preserve">Support </w:t>
            </w:r>
            <w:r w:rsidR="00C20CF0" w:rsidRPr="00BA1D3B">
              <w:rPr>
                <w:b/>
                <w:bCs/>
                <w:sz w:val="22"/>
                <w:szCs w:val="22"/>
              </w:rPr>
              <w:t xml:space="preserve">for </w:t>
            </w:r>
            <w:r w:rsidRPr="00BA1D3B">
              <w:rPr>
                <w:b/>
                <w:bCs/>
                <w:sz w:val="22"/>
                <w:szCs w:val="22"/>
              </w:rPr>
              <w:t>the draft</w:t>
            </w:r>
          </w:p>
          <w:p w14:paraId="710341E1" w14:textId="4EECD6E7" w:rsidR="00AB2877" w:rsidRPr="00BA1D3B" w:rsidRDefault="00AB2877" w:rsidP="00E44F56">
            <w:pPr>
              <w:rPr>
                <w:b/>
                <w:bCs/>
                <w:sz w:val="22"/>
                <w:szCs w:val="22"/>
              </w:rPr>
            </w:pPr>
            <w:r w:rsidRPr="00BA1D3B">
              <w:rPr>
                <w:b/>
                <w:bCs/>
                <w:sz w:val="22"/>
                <w:szCs w:val="22"/>
              </w:rPr>
              <w:t>(% respondents)</w:t>
            </w:r>
          </w:p>
        </w:tc>
        <w:tc>
          <w:tcPr>
            <w:tcW w:w="0" w:type="auto"/>
            <w:tcBorders>
              <w:top w:val="single" w:sz="12" w:space="0" w:color="auto"/>
              <w:right w:val="single" w:sz="12" w:space="0" w:color="auto"/>
            </w:tcBorders>
            <w:vAlign w:val="center"/>
          </w:tcPr>
          <w:p w14:paraId="6EFD37ED" w14:textId="2559DE81" w:rsidR="00AB2877" w:rsidRPr="00BA1D3B" w:rsidRDefault="00AB2877" w:rsidP="00BA1D3B">
            <w:pPr>
              <w:spacing w:after="0"/>
              <w:rPr>
                <w:b/>
                <w:bCs/>
                <w:sz w:val="22"/>
                <w:szCs w:val="22"/>
              </w:rPr>
            </w:pPr>
            <w:r w:rsidRPr="00BA1D3B">
              <w:rPr>
                <w:b/>
                <w:bCs/>
                <w:sz w:val="22"/>
                <w:szCs w:val="22"/>
              </w:rPr>
              <w:t>Additional elements needed</w:t>
            </w:r>
          </w:p>
          <w:p w14:paraId="2503485B" w14:textId="03578167" w:rsidR="00AB2877" w:rsidRPr="00BA1D3B" w:rsidRDefault="00AB2877" w:rsidP="00E44F56">
            <w:pPr>
              <w:rPr>
                <w:b/>
                <w:bCs/>
                <w:sz w:val="22"/>
                <w:szCs w:val="22"/>
              </w:rPr>
            </w:pPr>
            <w:r w:rsidRPr="00BA1D3B">
              <w:rPr>
                <w:b/>
                <w:bCs/>
                <w:sz w:val="22"/>
                <w:szCs w:val="22"/>
              </w:rPr>
              <w:t>(% respondents)</w:t>
            </w:r>
          </w:p>
        </w:tc>
      </w:tr>
      <w:tr w:rsidR="00AB2877" w:rsidRPr="00937AAA" w14:paraId="33AA797B" w14:textId="77777777" w:rsidTr="00F112F3">
        <w:trPr>
          <w:cantSplit/>
        </w:trPr>
        <w:tc>
          <w:tcPr>
            <w:tcW w:w="0" w:type="auto"/>
            <w:tcBorders>
              <w:top w:val="single" w:sz="4" w:space="0" w:color="auto"/>
              <w:left w:val="single" w:sz="12" w:space="0" w:color="auto"/>
            </w:tcBorders>
            <w:vAlign w:val="center"/>
          </w:tcPr>
          <w:p w14:paraId="2DB1615A" w14:textId="7BDB9F42" w:rsidR="00AB2877" w:rsidRPr="00BA1D3B" w:rsidRDefault="00AB2877" w:rsidP="00E44F56">
            <w:pPr>
              <w:rPr>
                <w:b/>
                <w:bCs/>
                <w:color w:val="000000"/>
                <w:sz w:val="22"/>
                <w:szCs w:val="22"/>
              </w:rPr>
            </w:pPr>
            <w:r w:rsidRPr="00BA1D3B">
              <w:rPr>
                <w:b/>
                <w:bCs/>
                <w:sz w:val="22"/>
                <w:szCs w:val="22"/>
              </w:rPr>
              <w:t>Proposed Priority</w:t>
            </w:r>
          </w:p>
        </w:tc>
        <w:tc>
          <w:tcPr>
            <w:tcW w:w="1466" w:type="dxa"/>
            <w:tcBorders>
              <w:top w:val="single" w:sz="4" w:space="0" w:color="auto"/>
            </w:tcBorders>
            <w:vAlign w:val="center"/>
          </w:tcPr>
          <w:p w14:paraId="08F0835A" w14:textId="77777777" w:rsidR="00AB2877" w:rsidRPr="00BA1D3B" w:rsidRDefault="00AB2877" w:rsidP="00E44F56">
            <w:pPr>
              <w:rPr>
                <w:sz w:val="22"/>
                <w:szCs w:val="22"/>
              </w:rPr>
            </w:pPr>
          </w:p>
        </w:tc>
        <w:tc>
          <w:tcPr>
            <w:tcW w:w="1920" w:type="dxa"/>
            <w:tcBorders>
              <w:top w:val="single" w:sz="4" w:space="0" w:color="auto"/>
            </w:tcBorders>
            <w:vAlign w:val="center"/>
          </w:tcPr>
          <w:p w14:paraId="0DEBDC61" w14:textId="77777777" w:rsidR="00AB2877" w:rsidRPr="00BA1D3B" w:rsidRDefault="00AB2877" w:rsidP="00E44F56">
            <w:pPr>
              <w:rPr>
                <w:sz w:val="22"/>
                <w:szCs w:val="22"/>
              </w:rPr>
            </w:pPr>
          </w:p>
        </w:tc>
        <w:tc>
          <w:tcPr>
            <w:tcW w:w="0" w:type="auto"/>
            <w:tcBorders>
              <w:top w:val="single" w:sz="4" w:space="0" w:color="auto"/>
              <w:right w:val="single" w:sz="12" w:space="0" w:color="auto"/>
            </w:tcBorders>
            <w:vAlign w:val="center"/>
          </w:tcPr>
          <w:p w14:paraId="2C72300F" w14:textId="77777777" w:rsidR="00AB2877" w:rsidRPr="00BA1D3B" w:rsidRDefault="00AB2877" w:rsidP="00E44F56">
            <w:pPr>
              <w:rPr>
                <w:sz w:val="22"/>
                <w:szCs w:val="22"/>
              </w:rPr>
            </w:pPr>
          </w:p>
        </w:tc>
      </w:tr>
      <w:tr w:rsidR="00AB2877" w:rsidRPr="00937AAA" w14:paraId="2FD53C71" w14:textId="77777777" w:rsidTr="00F112F3">
        <w:trPr>
          <w:cantSplit/>
        </w:trPr>
        <w:tc>
          <w:tcPr>
            <w:tcW w:w="0" w:type="auto"/>
            <w:tcBorders>
              <w:top w:val="single" w:sz="4" w:space="0" w:color="auto"/>
              <w:left w:val="single" w:sz="12" w:space="0" w:color="auto"/>
            </w:tcBorders>
            <w:vAlign w:val="center"/>
          </w:tcPr>
          <w:p w14:paraId="2190B2FB" w14:textId="179B5FB4" w:rsidR="00AB2877" w:rsidRPr="00BA1D3B" w:rsidRDefault="00AB2877" w:rsidP="00E44F56">
            <w:pPr>
              <w:rPr>
                <w:b/>
                <w:bCs/>
                <w:sz w:val="22"/>
                <w:szCs w:val="22"/>
              </w:rPr>
            </w:pPr>
            <w:r w:rsidRPr="00BA1D3B">
              <w:rPr>
                <w:sz w:val="22"/>
                <w:szCs w:val="22"/>
              </w:rPr>
              <w:t>AI in research and health systems</w:t>
            </w:r>
          </w:p>
        </w:tc>
        <w:tc>
          <w:tcPr>
            <w:tcW w:w="1466" w:type="dxa"/>
            <w:tcBorders>
              <w:top w:val="single" w:sz="4" w:space="0" w:color="auto"/>
            </w:tcBorders>
            <w:vAlign w:val="center"/>
          </w:tcPr>
          <w:p w14:paraId="472F01DA" w14:textId="200A7D5B" w:rsidR="00AB2877" w:rsidRPr="00BA1D3B" w:rsidRDefault="00AB2877" w:rsidP="00E44F56">
            <w:pPr>
              <w:rPr>
                <w:sz w:val="22"/>
                <w:szCs w:val="22"/>
              </w:rPr>
            </w:pPr>
            <w:r w:rsidRPr="00BA1D3B">
              <w:rPr>
                <w:sz w:val="22"/>
                <w:szCs w:val="22"/>
              </w:rPr>
              <w:t>214</w:t>
            </w:r>
          </w:p>
        </w:tc>
        <w:tc>
          <w:tcPr>
            <w:tcW w:w="1920" w:type="dxa"/>
            <w:tcBorders>
              <w:top w:val="single" w:sz="4" w:space="0" w:color="auto"/>
            </w:tcBorders>
            <w:vAlign w:val="center"/>
          </w:tcPr>
          <w:p w14:paraId="7166EAA6" w14:textId="07A5294E" w:rsidR="00AB2877" w:rsidRPr="00BA1D3B" w:rsidRDefault="00AB2877" w:rsidP="00E44F56">
            <w:pPr>
              <w:rPr>
                <w:sz w:val="22"/>
                <w:szCs w:val="22"/>
              </w:rPr>
            </w:pPr>
            <w:r w:rsidRPr="00BA1D3B">
              <w:rPr>
                <w:sz w:val="22"/>
                <w:szCs w:val="22"/>
              </w:rPr>
              <w:t>44%</w:t>
            </w:r>
          </w:p>
        </w:tc>
        <w:tc>
          <w:tcPr>
            <w:tcW w:w="0" w:type="auto"/>
            <w:tcBorders>
              <w:top w:val="single" w:sz="4" w:space="0" w:color="auto"/>
              <w:right w:val="single" w:sz="12" w:space="0" w:color="auto"/>
            </w:tcBorders>
            <w:vAlign w:val="center"/>
          </w:tcPr>
          <w:p w14:paraId="1444D612" w14:textId="19305F4A" w:rsidR="00AB2877" w:rsidRPr="00BA1D3B" w:rsidRDefault="00AB2877" w:rsidP="00E44F56">
            <w:pPr>
              <w:rPr>
                <w:sz w:val="22"/>
                <w:szCs w:val="22"/>
              </w:rPr>
            </w:pPr>
            <w:r w:rsidRPr="00BA1D3B">
              <w:rPr>
                <w:sz w:val="22"/>
                <w:szCs w:val="22"/>
              </w:rPr>
              <w:t>56%</w:t>
            </w:r>
          </w:p>
        </w:tc>
      </w:tr>
      <w:tr w:rsidR="00AB2877" w:rsidRPr="00937AAA" w14:paraId="5D127035" w14:textId="77777777" w:rsidTr="00F112F3">
        <w:trPr>
          <w:cantSplit/>
        </w:trPr>
        <w:tc>
          <w:tcPr>
            <w:tcW w:w="0" w:type="auto"/>
            <w:tcBorders>
              <w:left w:val="single" w:sz="12" w:space="0" w:color="auto"/>
            </w:tcBorders>
            <w:vAlign w:val="center"/>
          </w:tcPr>
          <w:p w14:paraId="227C94F8" w14:textId="7CCFB757" w:rsidR="00AB2877" w:rsidRPr="00BA1D3B" w:rsidRDefault="00AB2877" w:rsidP="00E44F56">
            <w:pPr>
              <w:rPr>
                <w:b/>
                <w:bCs/>
                <w:sz w:val="22"/>
                <w:szCs w:val="22"/>
              </w:rPr>
            </w:pPr>
            <w:r w:rsidRPr="00BA1D3B">
              <w:rPr>
                <w:sz w:val="22"/>
                <w:szCs w:val="22"/>
              </w:rPr>
              <w:t>Integrated digital health systems</w:t>
            </w:r>
          </w:p>
        </w:tc>
        <w:tc>
          <w:tcPr>
            <w:tcW w:w="1466" w:type="dxa"/>
            <w:vAlign w:val="center"/>
          </w:tcPr>
          <w:p w14:paraId="206BA05F" w14:textId="591D90FD" w:rsidR="00AB2877" w:rsidRPr="00BA1D3B" w:rsidRDefault="00AB2877" w:rsidP="00E44F56">
            <w:pPr>
              <w:rPr>
                <w:sz w:val="22"/>
                <w:szCs w:val="22"/>
              </w:rPr>
            </w:pPr>
            <w:r w:rsidRPr="00BA1D3B">
              <w:rPr>
                <w:sz w:val="22"/>
                <w:szCs w:val="22"/>
              </w:rPr>
              <w:t>212</w:t>
            </w:r>
          </w:p>
        </w:tc>
        <w:tc>
          <w:tcPr>
            <w:tcW w:w="1920" w:type="dxa"/>
            <w:vAlign w:val="center"/>
          </w:tcPr>
          <w:p w14:paraId="5BF431C7" w14:textId="4373E301" w:rsidR="00AB2877" w:rsidRPr="00BA1D3B" w:rsidRDefault="00AB2877" w:rsidP="00E44F56">
            <w:pPr>
              <w:rPr>
                <w:sz w:val="22"/>
                <w:szCs w:val="22"/>
              </w:rPr>
            </w:pPr>
            <w:r w:rsidRPr="00BA1D3B">
              <w:rPr>
                <w:sz w:val="22"/>
                <w:szCs w:val="22"/>
              </w:rPr>
              <w:t>50%</w:t>
            </w:r>
          </w:p>
        </w:tc>
        <w:tc>
          <w:tcPr>
            <w:tcW w:w="0" w:type="auto"/>
            <w:tcBorders>
              <w:right w:val="single" w:sz="12" w:space="0" w:color="auto"/>
            </w:tcBorders>
            <w:vAlign w:val="center"/>
          </w:tcPr>
          <w:p w14:paraId="42269442" w14:textId="3F9E0956" w:rsidR="00AB2877" w:rsidRPr="00BA1D3B" w:rsidRDefault="00AB2877" w:rsidP="00E44F56">
            <w:pPr>
              <w:rPr>
                <w:sz w:val="22"/>
                <w:szCs w:val="22"/>
              </w:rPr>
            </w:pPr>
            <w:r w:rsidRPr="00BA1D3B">
              <w:rPr>
                <w:sz w:val="22"/>
                <w:szCs w:val="22"/>
              </w:rPr>
              <w:t>50%</w:t>
            </w:r>
          </w:p>
        </w:tc>
      </w:tr>
      <w:tr w:rsidR="00AB2877" w:rsidRPr="00937AAA" w14:paraId="7602347A" w14:textId="77777777" w:rsidTr="00F112F3">
        <w:trPr>
          <w:cantSplit/>
        </w:trPr>
        <w:tc>
          <w:tcPr>
            <w:tcW w:w="0" w:type="auto"/>
            <w:tcBorders>
              <w:left w:val="single" w:sz="12" w:space="0" w:color="auto"/>
            </w:tcBorders>
            <w:vAlign w:val="center"/>
          </w:tcPr>
          <w:p w14:paraId="27677EFE" w14:textId="337C271F" w:rsidR="00AB2877" w:rsidRPr="00BA1D3B" w:rsidRDefault="00AB2877" w:rsidP="00E44F56">
            <w:pPr>
              <w:rPr>
                <w:b/>
                <w:bCs/>
                <w:sz w:val="22"/>
                <w:szCs w:val="22"/>
              </w:rPr>
            </w:pPr>
            <w:r w:rsidRPr="00BA1D3B">
              <w:rPr>
                <w:sz w:val="22"/>
                <w:szCs w:val="22"/>
              </w:rPr>
              <w:t>Aboriginal and Torres Strait Islander community governed and directed research</w:t>
            </w:r>
          </w:p>
        </w:tc>
        <w:tc>
          <w:tcPr>
            <w:tcW w:w="1466" w:type="dxa"/>
            <w:vAlign w:val="center"/>
          </w:tcPr>
          <w:p w14:paraId="487F92AA" w14:textId="1D2EA5EC" w:rsidR="00AB2877" w:rsidRPr="00BA1D3B" w:rsidRDefault="00AB2877" w:rsidP="00E44F56">
            <w:pPr>
              <w:rPr>
                <w:sz w:val="22"/>
                <w:szCs w:val="22"/>
              </w:rPr>
            </w:pPr>
            <w:r w:rsidRPr="00BA1D3B">
              <w:rPr>
                <w:sz w:val="22"/>
                <w:szCs w:val="22"/>
              </w:rPr>
              <w:t>201</w:t>
            </w:r>
          </w:p>
        </w:tc>
        <w:tc>
          <w:tcPr>
            <w:tcW w:w="1920" w:type="dxa"/>
            <w:vAlign w:val="center"/>
          </w:tcPr>
          <w:p w14:paraId="612A6D08" w14:textId="15953FDB" w:rsidR="00AB2877" w:rsidRPr="00BA1D3B" w:rsidRDefault="00AB2877" w:rsidP="00E44F56">
            <w:pPr>
              <w:rPr>
                <w:sz w:val="22"/>
                <w:szCs w:val="22"/>
              </w:rPr>
            </w:pPr>
            <w:r w:rsidRPr="00BA1D3B">
              <w:rPr>
                <w:sz w:val="22"/>
                <w:szCs w:val="22"/>
              </w:rPr>
              <w:t>76%</w:t>
            </w:r>
          </w:p>
        </w:tc>
        <w:tc>
          <w:tcPr>
            <w:tcW w:w="0" w:type="auto"/>
            <w:tcBorders>
              <w:right w:val="single" w:sz="12" w:space="0" w:color="auto"/>
            </w:tcBorders>
            <w:vAlign w:val="center"/>
          </w:tcPr>
          <w:p w14:paraId="33A5AD9D" w14:textId="62374E36" w:rsidR="00AB2877" w:rsidRPr="00BA1D3B" w:rsidRDefault="00AB2877" w:rsidP="00E44F56">
            <w:pPr>
              <w:rPr>
                <w:sz w:val="22"/>
                <w:szCs w:val="22"/>
              </w:rPr>
            </w:pPr>
            <w:r w:rsidRPr="00BA1D3B">
              <w:rPr>
                <w:sz w:val="22"/>
                <w:szCs w:val="22"/>
              </w:rPr>
              <w:t>24%</w:t>
            </w:r>
          </w:p>
        </w:tc>
      </w:tr>
      <w:tr w:rsidR="00AB2877" w:rsidRPr="00937AAA" w14:paraId="5FF78295" w14:textId="77777777" w:rsidTr="00F112F3">
        <w:trPr>
          <w:cantSplit/>
        </w:trPr>
        <w:tc>
          <w:tcPr>
            <w:tcW w:w="0" w:type="auto"/>
            <w:tcBorders>
              <w:left w:val="single" w:sz="12" w:space="0" w:color="auto"/>
            </w:tcBorders>
            <w:vAlign w:val="center"/>
          </w:tcPr>
          <w:p w14:paraId="56FBCE6D" w14:textId="3CF5A53B" w:rsidR="00AB2877" w:rsidRPr="00BA1D3B" w:rsidRDefault="00AB2877" w:rsidP="00E44F56">
            <w:pPr>
              <w:rPr>
                <w:b/>
                <w:bCs/>
                <w:sz w:val="22"/>
                <w:szCs w:val="22"/>
              </w:rPr>
            </w:pPr>
            <w:r w:rsidRPr="00BA1D3B">
              <w:rPr>
                <w:sz w:val="22"/>
                <w:szCs w:val="22"/>
              </w:rPr>
              <w:t>Advanced therapeutics and emerging technology</w:t>
            </w:r>
          </w:p>
        </w:tc>
        <w:tc>
          <w:tcPr>
            <w:tcW w:w="1466" w:type="dxa"/>
            <w:vAlign w:val="center"/>
          </w:tcPr>
          <w:p w14:paraId="152B15A0" w14:textId="7EC059E3" w:rsidR="00AB2877" w:rsidRPr="00BA1D3B" w:rsidRDefault="00AB2877" w:rsidP="00E44F56">
            <w:pPr>
              <w:rPr>
                <w:sz w:val="22"/>
                <w:szCs w:val="22"/>
              </w:rPr>
            </w:pPr>
            <w:r w:rsidRPr="00BA1D3B">
              <w:rPr>
                <w:sz w:val="22"/>
                <w:szCs w:val="22"/>
              </w:rPr>
              <w:t>206</w:t>
            </w:r>
          </w:p>
        </w:tc>
        <w:tc>
          <w:tcPr>
            <w:tcW w:w="1920" w:type="dxa"/>
            <w:vAlign w:val="center"/>
          </w:tcPr>
          <w:p w14:paraId="30E94F6D" w14:textId="3445455D" w:rsidR="00AB2877" w:rsidRPr="00BA1D3B" w:rsidRDefault="00AB2877" w:rsidP="00E44F56">
            <w:pPr>
              <w:rPr>
                <w:sz w:val="22"/>
                <w:szCs w:val="22"/>
              </w:rPr>
            </w:pPr>
            <w:r w:rsidRPr="00BA1D3B">
              <w:rPr>
                <w:sz w:val="22"/>
                <w:szCs w:val="22"/>
              </w:rPr>
              <w:t>48%</w:t>
            </w:r>
          </w:p>
        </w:tc>
        <w:tc>
          <w:tcPr>
            <w:tcW w:w="0" w:type="auto"/>
            <w:tcBorders>
              <w:right w:val="single" w:sz="12" w:space="0" w:color="auto"/>
            </w:tcBorders>
            <w:vAlign w:val="center"/>
          </w:tcPr>
          <w:p w14:paraId="0198DA33" w14:textId="6082C9D7" w:rsidR="00AB2877" w:rsidRPr="00BA1D3B" w:rsidRDefault="00AB2877" w:rsidP="00E44F56">
            <w:pPr>
              <w:rPr>
                <w:sz w:val="22"/>
                <w:szCs w:val="22"/>
              </w:rPr>
            </w:pPr>
            <w:r w:rsidRPr="00BA1D3B">
              <w:rPr>
                <w:sz w:val="22"/>
                <w:szCs w:val="22"/>
              </w:rPr>
              <w:t>52%</w:t>
            </w:r>
          </w:p>
        </w:tc>
      </w:tr>
      <w:tr w:rsidR="00AB2877" w:rsidRPr="00937AAA" w14:paraId="2A169556" w14:textId="77777777" w:rsidTr="00F112F3">
        <w:trPr>
          <w:cantSplit/>
        </w:trPr>
        <w:tc>
          <w:tcPr>
            <w:tcW w:w="0" w:type="auto"/>
            <w:tcBorders>
              <w:left w:val="single" w:sz="12" w:space="0" w:color="auto"/>
            </w:tcBorders>
            <w:vAlign w:val="center"/>
          </w:tcPr>
          <w:p w14:paraId="059D8338" w14:textId="36D0A186" w:rsidR="00AB2877" w:rsidRPr="00BA1D3B" w:rsidRDefault="00AB2877" w:rsidP="00E44F56">
            <w:pPr>
              <w:rPr>
                <w:b/>
                <w:bCs/>
                <w:sz w:val="22"/>
                <w:szCs w:val="22"/>
              </w:rPr>
            </w:pPr>
            <w:r w:rsidRPr="00BA1D3B">
              <w:rPr>
                <w:sz w:val="22"/>
                <w:szCs w:val="22"/>
              </w:rPr>
              <w:t>Health impacts from environmental factors, including climate change</w:t>
            </w:r>
          </w:p>
        </w:tc>
        <w:tc>
          <w:tcPr>
            <w:tcW w:w="1466" w:type="dxa"/>
            <w:vAlign w:val="center"/>
          </w:tcPr>
          <w:p w14:paraId="06BFBA83" w14:textId="2931EA69" w:rsidR="00AB2877" w:rsidRPr="00BA1D3B" w:rsidRDefault="00AB2877" w:rsidP="00E44F56">
            <w:pPr>
              <w:rPr>
                <w:sz w:val="22"/>
                <w:szCs w:val="22"/>
              </w:rPr>
            </w:pPr>
            <w:r w:rsidRPr="00BA1D3B">
              <w:rPr>
                <w:sz w:val="22"/>
                <w:szCs w:val="22"/>
              </w:rPr>
              <w:t>20</w:t>
            </w:r>
            <w:r w:rsidR="00E61DAF">
              <w:rPr>
                <w:sz w:val="22"/>
                <w:szCs w:val="22"/>
              </w:rPr>
              <w:t>1</w:t>
            </w:r>
          </w:p>
        </w:tc>
        <w:tc>
          <w:tcPr>
            <w:tcW w:w="1920" w:type="dxa"/>
            <w:vAlign w:val="center"/>
          </w:tcPr>
          <w:p w14:paraId="0462EBCA" w14:textId="7A3B1500" w:rsidR="00AB2877" w:rsidRPr="00BA1D3B" w:rsidRDefault="00AB2877" w:rsidP="00E44F56">
            <w:pPr>
              <w:rPr>
                <w:sz w:val="22"/>
                <w:szCs w:val="22"/>
              </w:rPr>
            </w:pPr>
            <w:r w:rsidRPr="00BA1D3B">
              <w:rPr>
                <w:sz w:val="22"/>
                <w:szCs w:val="22"/>
              </w:rPr>
              <w:t>6</w:t>
            </w:r>
            <w:r w:rsidR="00E61DAF">
              <w:rPr>
                <w:sz w:val="22"/>
                <w:szCs w:val="22"/>
              </w:rPr>
              <w:t>4</w:t>
            </w:r>
            <w:r w:rsidRPr="00BA1D3B">
              <w:rPr>
                <w:sz w:val="22"/>
                <w:szCs w:val="22"/>
              </w:rPr>
              <w:t>%</w:t>
            </w:r>
          </w:p>
        </w:tc>
        <w:tc>
          <w:tcPr>
            <w:tcW w:w="0" w:type="auto"/>
            <w:tcBorders>
              <w:right w:val="single" w:sz="12" w:space="0" w:color="auto"/>
            </w:tcBorders>
            <w:vAlign w:val="center"/>
          </w:tcPr>
          <w:p w14:paraId="61FC60B3" w14:textId="42A2534E" w:rsidR="00AB2877" w:rsidRPr="00BA1D3B" w:rsidRDefault="00AB2877" w:rsidP="00E44F56">
            <w:pPr>
              <w:rPr>
                <w:sz w:val="22"/>
                <w:szCs w:val="22"/>
              </w:rPr>
            </w:pPr>
            <w:r w:rsidRPr="00BA1D3B">
              <w:rPr>
                <w:sz w:val="22"/>
                <w:szCs w:val="22"/>
              </w:rPr>
              <w:t>36%</w:t>
            </w:r>
          </w:p>
        </w:tc>
      </w:tr>
      <w:tr w:rsidR="00AB2877" w:rsidRPr="00937AAA" w14:paraId="71610293" w14:textId="77777777" w:rsidTr="00F112F3">
        <w:trPr>
          <w:cantSplit/>
        </w:trPr>
        <w:tc>
          <w:tcPr>
            <w:tcW w:w="0" w:type="auto"/>
            <w:tcBorders>
              <w:left w:val="single" w:sz="12" w:space="0" w:color="auto"/>
            </w:tcBorders>
            <w:vAlign w:val="center"/>
          </w:tcPr>
          <w:p w14:paraId="75B6EEF4" w14:textId="7CD16A64" w:rsidR="00AB2877" w:rsidRPr="00BA1D3B" w:rsidRDefault="00AB2877" w:rsidP="00E44F56">
            <w:pPr>
              <w:rPr>
                <w:b/>
                <w:bCs/>
                <w:sz w:val="22"/>
                <w:szCs w:val="22"/>
              </w:rPr>
            </w:pPr>
            <w:r w:rsidRPr="00BA1D3B">
              <w:rPr>
                <w:sz w:val="22"/>
                <w:szCs w:val="22"/>
              </w:rPr>
              <w:lastRenderedPageBreak/>
              <w:t>Multiomics-informed healthcare</w:t>
            </w:r>
          </w:p>
        </w:tc>
        <w:tc>
          <w:tcPr>
            <w:tcW w:w="1466" w:type="dxa"/>
            <w:vAlign w:val="center"/>
          </w:tcPr>
          <w:p w14:paraId="05F9FB62" w14:textId="6862B8AA" w:rsidR="00AB2877" w:rsidRPr="00BA1D3B" w:rsidRDefault="00AB2877" w:rsidP="00E44F56">
            <w:pPr>
              <w:rPr>
                <w:sz w:val="22"/>
                <w:szCs w:val="22"/>
              </w:rPr>
            </w:pPr>
            <w:r w:rsidRPr="00BA1D3B">
              <w:rPr>
                <w:sz w:val="22"/>
                <w:szCs w:val="22"/>
              </w:rPr>
              <w:t>216</w:t>
            </w:r>
          </w:p>
        </w:tc>
        <w:tc>
          <w:tcPr>
            <w:tcW w:w="1920" w:type="dxa"/>
            <w:vAlign w:val="center"/>
          </w:tcPr>
          <w:p w14:paraId="622D9213" w14:textId="2E535017" w:rsidR="00AB2877" w:rsidRPr="00BA1D3B" w:rsidRDefault="00AB2877" w:rsidP="00E44F56">
            <w:pPr>
              <w:rPr>
                <w:sz w:val="22"/>
                <w:szCs w:val="22"/>
              </w:rPr>
            </w:pPr>
            <w:r w:rsidRPr="00BA1D3B">
              <w:rPr>
                <w:sz w:val="22"/>
                <w:szCs w:val="22"/>
              </w:rPr>
              <w:t>47%</w:t>
            </w:r>
          </w:p>
        </w:tc>
        <w:tc>
          <w:tcPr>
            <w:tcW w:w="0" w:type="auto"/>
            <w:tcBorders>
              <w:right w:val="single" w:sz="12" w:space="0" w:color="auto"/>
            </w:tcBorders>
            <w:vAlign w:val="center"/>
          </w:tcPr>
          <w:p w14:paraId="0949DAF1" w14:textId="4D343F46" w:rsidR="00AB2877" w:rsidRPr="00BA1D3B" w:rsidRDefault="00AB2877" w:rsidP="00E44F56">
            <w:pPr>
              <w:rPr>
                <w:sz w:val="22"/>
                <w:szCs w:val="22"/>
              </w:rPr>
            </w:pPr>
            <w:r w:rsidRPr="00BA1D3B">
              <w:rPr>
                <w:sz w:val="22"/>
                <w:szCs w:val="22"/>
              </w:rPr>
              <w:t>53%</w:t>
            </w:r>
          </w:p>
        </w:tc>
      </w:tr>
      <w:tr w:rsidR="00AB2877" w:rsidRPr="00937AAA" w14:paraId="42AF2C51" w14:textId="77777777" w:rsidTr="00F112F3">
        <w:trPr>
          <w:cantSplit/>
        </w:trPr>
        <w:tc>
          <w:tcPr>
            <w:tcW w:w="0" w:type="auto"/>
            <w:tcBorders>
              <w:left w:val="single" w:sz="12" w:space="0" w:color="auto"/>
            </w:tcBorders>
            <w:vAlign w:val="center"/>
          </w:tcPr>
          <w:p w14:paraId="35C1550C" w14:textId="08EB80EF" w:rsidR="00AB2877" w:rsidRPr="00BA1D3B" w:rsidRDefault="00AB2877" w:rsidP="00E44F56">
            <w:pPr>
              <w:rPr>
                <w:b/>
                <w:bCs/>
                <w:sz w:val="22"/>
                <w:szCs w:val="22"/>
              </w:rPr>
            </w:pPr>
            <w:r w:rsidRPr="00BA1D3B">
              <w:rPr>
                <w:sz w:val="22"/>
                <w:szCs w:val="22"/>
              </w:rPr>
              <w:t>Determinants of health</w:t>
            </w:r>
          </w:p>
        </w:tc>
        <w:tc>
          <w:tcPr>
            <w:tcW w:w="1466" w:type="dxa"/>
            <w:vAlign w:val="center"/>
          </w:tcPr>
          <w:p w14:paraId="54E88300" w14:textId="686C2DC1" w:rsidR="00AB2877" w:rsidRPr="00BA1D3B" w:rsidRDefault="00AB2877" w:rsidP="00E44F56">
            <w:pPr>
              <w:rPr>
                <w:sz w:val="22"/>
                <w:szCs w:val="22"/>
              </w:rPr>
            </w:pPr>
            <w:r w:rsidRPr="00BA1D3B">
              <w:rPr>
                <w:sz w:val="22"/>
                <w:szCs w:val="22"/>
              </w:rPr>
              <w:t>198</w:t>
            </w:r>
          </w:p>
        </w:tc>
        <w:tc>
          <w:tcPr>
            <w:tcW w:w="1920" w:type="dxa"/>
            <w:vAlign w:val="center"/>
          </w:tcPr>
          <w:p w14:paraId="76F68870" w14:textId="19243057" w:rsidR="00AB2877" w:rsidRPr="00BA1D3B" w:rsidRDefault="00AB2877" w:rsidP="00E44F56">
            <w:pPr>
              <w:rPr>
                <w:sz w:val="22"/>
                <w:szCs w:val="22"/>
              </w:rPr>
            </w:pPr>
            <w:r w:rsidRPr="00BA1D3B">
              <w:rPr>
                <w:sz w:val="22"/>
                <w:szCs w:val="22"/>
              </w:rPr>
              <w:t>54%</w:t>
            </w:r>
          </w:p>
        </w:tc>
        <w:tc>
          <w:tcPr>
            <w:tcW w:w="0" w:type="auto"/>
            <w:tcBorders>
              <w:right w:val="single" w:sz="12" w:space="0" w:color="auto"/>
            </w:tcBorders>
            <w:vAlign w:val="center"/>
          </w:tcPr>
          <w:p w14:paraId="6ADD310A" w14:textId="1C5F2A50" w:rsidR="00AB2877" w:rsidRPr="00BA1D3B" w:rsidRDefault="00AB2877" w:rsidP="00E44F56">
            <w:pPr>
              <w:rPr>
                <w:sz w:val="22"/>
                <w:szCs w:val="22"/>
              </w:rPr>
            </w:pPr>
            <w:r w:rsidRPr="00BA1D3B">
              <w:rPr>
                <w:sz w:val="22"/>
                <w:szCs w:val="22"/>
              </w:rPr>
              <w:t>46%</w:t>
            </w:r>
          </w:p>
        </w:tc>
      </w:tr>
      <w:tr w:rsidR="00AB2877" w:rsidRPr="00937AAA" w14:paraId="381078D7" w14:textId="77777777" w:rsidTr="00F112F3">
        <w:trPr>
          <w:cantSplit/>
        </w:trPr>
        <w:tc>
          <w:tcPr>
            <w:tcW w:w="0" w:type="auto"/>
            <w:tcBorders>
              <w:left w:val="single" w:sz="12" w:space="0" w:color="auto"/>
            </w:tcBorders>
            <w:vAlign w:val="center"/>
          </w:tcPr>
          <w:p w14:paraId="2ECAA919" w14:textId="4DBDF504" w:rsidR="00AB2877" w:rsidRPr="00BA1D3B" w:rsidRDefault="00AB2877" w:rsidP="00E44F56">
            <w:pPr>
              <w:rPr>
                <w:b/>
                <w:bCs/>
                <w:sz w:val="22"/>
                <w:szCs w:val="22"/>
              </w:rPr>
            </w:pPr>
            <w:r w:rsidRPr="00BA1D3B">
              <w:rPr>
                <w:sz w:val="22"/>
                <w:szCs w:val="22"/>
              </w:rPr>
              <w:t>Embedding research in the health system</w:t>
            </w:r>
          </w:p>
        </w:tc>
        <w:tc>
          <w:tcPr>
            <w:tcW w:w="1466" w:type="dxa"/>
            <w:vAlign w:val="center"/>
          </w:tcPr>
          <w:p w14:paraId="2FC5E918" w14:textId="09E6F517" w:rsidR="00AB2877" w:rsidRPr="00BA1D3B" w:rsidRDefault="00AB2877" w:rsidP="00E44F56">
            <w:pPr>
              <w:rPr>
                <w:sz w:val="22"/>
                <w:szCs w:val="22"/>
              </w:rPr>
            </w:pPr>
            <w:r w:rsidRPr="00BA1D3B">
              <w:rPr>
                <w:sz w:val="22"/>
                <w:szCs w:val="22"/>
              </w:rPr>
              <w:t>197</w:t>
            </w:r>
          </w:p>
        </w:tc>
        <w:tc>
          <w:tcPr>
            <w:tcW w:w="1920" w:type="dxa"/>
            <w:vAlign w:val="center"/>
          </w:tcPr>
          <w:p w14:paraId="568BFC5C" w14:textId="7C552567" w:rsidR="00AB2877" w:rsidRPr="00BA1D3B" w:rsidRDefault="00AB2877" w:rsidP="00E44F56">
            <w:pPr>
              <w:rPr>
                <w:sz w:val="22"/>
                <w:szCs w:val="22"/>
              </w:rPr>
            </w:pPr>
            <w:r w:rsidRPr="00BA1D3B">
              <w:rPr>
                <w:sz w:val="22"/>
                <w:szCs w:val="22"/>
              </w:rPr>
              <w:t>45%</w:t>
            </w:r>
          </w:p>
        </w:tc>
        <w:tc>
          <w:tcPr>
            <w:tcW w:w="0" w:type="auto"/>
            <w:tcBorders>
              <w:right w:val="single" w:sz="12" w:space="0" w:color="auto"/>
            </w:tcBorders>
            <w:vAlign w:val="center"/>
          </w:tcPr>
          <w:p w14:paraId="535D2991" w14:textId="6988ED81" w:rsidR="00AB2877" w:rsidRPr="00BA1D3B" w:rsidRDefault="00AB2877" w:rsidP="00E44F56">
            <w:pPr>
              <w:rPr>
                <w:sz w:val="22"/>
                <w:szCs w:val="22"/>
              </w:rPr>
            </w:pPr>
            <w:r w:rsidRPr="00BA1D3B">
              <w:rPr>
                <w:sz w:val="22"/>
                <w:szCs w:val="22"/>
              </w:rPr>
              <w:t>55%</w:t>
            </w:r>
          </w:p>
        </w:tc>
      </w:tr>
      <w:tr w:rsidR="00AB2877" w:rsidRPr="00937AAA" w14:paraId="5341D9D9" w14:textId="77777777" w:rsidTr="00F112F3">
        <w:trPr>
          <w:cantSplit/>
        </w:trPr>
        <w:tc>
          <w:tcPr>
            <w:tcW w:w="0" w:type="auto"/>
            <w:tcBorders>
              <w:left w:val="single" w:sz="12" w:space="0" w:color="auto"/>
              <w:bottom w:val="single" w:sz="6" w:space="0" w:color="auto"/>
            </w:tcBorders>
            <w:vAlign w:val="center"/>
          </w:tcPr>
          <w:p w14:paraId="6DF90A0C" w14:textId="0B6D6A08" w:rsidR="00AB2877" w:rsidRPr="00BA1D3B" w:rsidRDefault="00AB2877" w:rsidP="00E44F56">
            <w:pPr>
              <w:rPr>
                <w:b/>
                <w:bCs/>
                <w:sz w:val="22"/>
                <w:szCs w:val="22"/>
              </w:rPr>
            </w:pPr>
            <w:r w:rsidRPr="00BA1D3B">
              <w:rPr>
                <w:sz w:val="22"/>
                <w:szCs w:val="22"/>
              </w:rPr>
              <w:t>Skilled and sustainable health and medical research workforce</w:t>
            </w:r>
          </w:p>
        </w:tc>
        <w:tc>
          <w:tcPr>
            <w:tcW w:w="1466" w:type="dxa"/>
            <w:tcBorders>
              <w:bottom w:val="single" w:sz="6" w:space="0" w:color="auto"/>
            </w:tcBorders>
            <w:vAlign w:val="center"/>
          </w:tcPr>
          <w:p w14:paraId="060364C0" w14:textId="49D67614" w:rsidR="00AB2877" w:rsidRPr="00BA1D3B" w:rsidRDefault="00AB2877" w:rsidP="00E44F56">
            <w:pPr>
              <w:rPr>
                <w:sz w:val="22"/>
                <w:szCs w:val="22"/>
              </w:rPr>
            </w:pPr>
            <w:r w:rsidRPr="00BA1D3B">
              <w:rPr>
                <w:sz w:val="22"/>
                <w:szCs w:val="22"/>
              </w:rPr>
              <w:t>214</w:t>
            </w:r>
          </w:p>
        </w:tc>
        <w:tc>
          <w:tcPr>
            <w:tcW w:w="1920" w:type="dxa"/>
            <w:tcBorders>
              <w:bottom w:val="single" w:sz="6" w:space="0" w:color="auto"/>
            </w:tcBorders>
            <w:vAlign w:val="center"/>
          </w:tcPr>
          <w:p w14:paraId="4B3CCCED" w14:textId="437CBD8C" w:rsidR="00AB2877" w:rsidRPr="00BA1D3B" w:rsidRDefault="00AB2877" w:rsidP="00E44F56">
            <w:pPr>
              <w:rPr>
                <w:sz w:val="22"/>
                <w:szCs w:val="22"/>
              </w:rPr>
            </w:pPr>
            <w:r w:rsidRPr="00BA1D3B">
              <w:rPr>
                <w:sz w:val="22"/>
                <w:szCs w:val="22"/>
              </w:rPr>
              <w:t>38%</w:t>
            </w:r>
          </w:p>
        </w:tc>
        <w:tc>
          <w:tcPr>
            <w:tcW w:w="0" w:type="auto"/>
            <w:tcBorders>
              <w:bottom w:val="single" w:sz="6" w:space="0" w:color="auto"/>
              <w:right w:val="single" w:sz="12" w:space="0" w:color="auto"/>
            </w:tcBorders>
            <w:vAlign w:val="center"/>
          </w:tcPr>
          <w:p w14:paraId="768E7C42" w14:textId="23808D5C" w:rsidR="00AB2877" w:rsidRPr="00BA1D3B" w:rsidRDefault="00AB2877" w:rsidP="00E44F56">
            <w:pPr>
              <w:rPr>
                <w:sz w:val="22"/>
                <w:szCs w:val="22"/>
              </w:rPr>
            </w:pPr>
            <w:r w:rsidRPr="00BA1D3B">
              <w:rPr>
                <w:sz w:val="22"/>
                <w:szCs w:val="22"/>
              </w:rPr>
              <w:t>62%</w:t>
            </w:r>
          </w:p>
        </w:tc>
      </w:tr>
      <w:tr w:rsidR="00AB2877" w:rsidRPr="00937AAA" w14:paraId="08E6CB44" w14:textId="77777777" w:rsidTr="00F112F3">
        <w:trPr>
          <w:cantSplit/>
        </w:trPr>
        <w:tc>
          <w:tcPr>
            <w:tcW w:w="0" w:type="auto"/>
            <w:tcBorders>
              <w:top w:val="single" w:sz="6" w:space="0" w:color="auto"/>
              <w:left w:val="single" w:sz="12" w:space="0" w:color="auto"/>
              <w:bottom w:val="single" w:sz="12" w:space="0" w:color="auto"/>
            </w:tcBorders>
            <w:vAlign w:val="center"/>
          </w:tcPr>
          <w:p w14:paraId="0AA40CD8" w14:textId="2F1A2455" w:rsidR="00AB2877" w:rsidRPr="00BA1D3B" w:rsidRDefault="00AB2877" w:rsidP="00E44F56">
            <w:pPr>
              <w:rPr>
                <w:b/>
                <w:bCs/>
                <w:sz w:val="22"/>
                <w:szCs w:val="22"/>
              </w:rPr>
            </w:pPr>
            <w:r w:rsidRPr="00BA1D3B">
              <w:rPr>
                <w:b/>
                <w:bCs/>
                <w:sz w:val="22"/>
                <w:szCs w:val="22"/>
              </w:rPr>
              <w:t>Priority Populations</w:t>
            </w:r>
          </w:p>
        </w:tc>
        <w:tc>
          <w:tcPr>
            <w:tcW w:w="1466" w:type="dxa"/>
            <w:tcBorders>
              <w:top w:val="single" w:sz="6" w:space="0" w:color="auto"/>
              <w:bottom w:val="single" w:sz="12" w:space="0" w:color="auto"/>
            </w:tcBorders>
            <w:vAlign w:val="center"/>
          </w:tcPr>
          <w:p w14:paraId="528D719D" w14:textId="7D5B842B" w:rsidR="00AB2877" w:rsidRPr="00BA1D3B" w:rsidRDefault="00AB2877" w:rsidP="00E44F56">
            <w:pPr>
              <w:rPr>
                <w:sz w:val="22"/>
                <w:szCs w:val="22"/>
              </w:rPr>
            </w:pPr>
            <w:r w:rsidRPr="00BA1D3B">
              <w:rPr>
                <w:sz w:val="22"/>
                <w:szCs w:val="22"/>
              </w:rPr>
              <w:t>220</w:t>
            </w:r>
          </w:p>
        </w:tc>
        <w:tc>
          <w:tcPr>
            <w:tcW w:w="1920" w:type="dxa"/>
            <w:tcBorders>
              <w:top w:val="single" w:sz="6" w:space="0" w:color="auto"/>
              <w:bottom w:val="single" w:sz="12" w:space="0" w:color="auto"/>
            </w:tcBorders>
            <w:vAlign w:val="center"/>
          </w:tcPr>
          <w:p w14:paraId="174C8840" w14:textId="3643408C" w:rsidR="00AB2877" w:rsidRPr="00BA1D3B" w:rsidRDefault="00AB2877" w:rsidP="00E44F56">
            <w:pPr>
              <w:rPr>
                <w:sz w:val="22"/>
                <w:szCs w:val="22"/>
              </w:rPr>
            </w:pPr>
            <w:r w:rsidRPr="00BA1D3B">
              <w:rPr>
                <w:sz w:val="22"/>
                <w:szCs w:val="22"/>
              </w:rPr>
              <w:t>71%</w:t>
            </w:r>
          </w:p>
        </w:tc>
        <w:tc>
          <w:tcPr>
            <w:tcW w:w="0" w:type="auto"/>
            <w:tcBorders>
              <w:top w:val="single" w:sz="6" w:space="0" w:color="auto"/>
              <w:bottom w:val="single" w:sz="12" w:space="0" w:color="auto"/>
              <w:right w:val="single" w:sz="12" w:space="0" w:color="auto"/>
            </w:tcBorders>
            <w:vAlign w:val="center"/>
          </w:tcPr>
          <w:p w14:paraId="6E13CE86" w14:textId="1F30B2A4" w:rsidR="00AB2877" w:rsidRPr="00BA1D3B" w:rsidRDefault="00AB2877" w:rsidP="00E44F56">
            <w:pPr>
              <w:rPr>
                <w:sz w:val="22"/>
                <w:szCs w:val="22"/>
              </w:rPr>
            </w:pPr>
            <w:r w:rsidRPr="00BA1D3B">
              <w:rPr>
                <w:sz w:val="22"/>
                <w:szCs w:val="22"/>
              </w:rPr>
              <w:t>29%</w:t>
            </w:r>
          </w:p>
        </w:tc>
      </w:tr>
    </w:tbl>
    <w:p w14:paraId="4DE10ADC" w14:textId="77777777" w:rsidR="00C20CF0" w:rsidRDefault="00C20CF0" w:rsidP="00FC0D7F">
      <w:pPr>
        <w:pStyle w:val="Heading2"/>
        <w:spacing w:before="240"/>
      </w:pPr>
      <w:bookmarkStart w:id="19" w:name="_Toc240020504"/>
      <w:bookmarkStart w:id="20" w:name="_Toc242788135"/>
      <w:r>
        <w:t>Key Themes from Consultation Feedback</w:t>
      </w:r>
      <w:bookmarkEnd w:id="19"/>
      <w:bookmarkEnd w:id="20"/>
    </w:p>
    <w:p w14:paraId="0F5236DE" w14:textId="545B8F0C" w:rsidR="00543C06" w:rsidRDefault="00543C06" w:rsidP="00BA1D3B">
      <w:pPr>
        <w:keepNext/>
        <w:keepLines/>
        <w:ind w:right="-283"/>
      </w:pPr>
      <w:r>
        <w:t xml:space="preserve">A thematic analysis was conducted across all feedback received on the draft Strategy and Priorities to identify common issues, areas of support and opportunities for refinement. The </w:t>
      </w:r>
      <w:r w:rsidR="00937AAA">
        <w:t xml:space="preserve">key </w:t>
      </w:r>
      <w:r>
        <w:t>themes and subthemes below summarise the main issues raised through survey responses, written submissions, targeted engagement and roundtable discussions.</w:t>
      </w:r>
    </w:p>
    <w:p w14:paraId="539ADD2F" w14:textId="5024435C" w:rsidR="00A91567" w:rsidRDefault="00FE0B06" w:rsidP="00BA1D3B">
      <w:pPr>
        <w:pStyle w:val="Caption"/>
        <w:keepNext/>
        <w:keepLines/>
        <w:rPr>
          <w:szCs w:val="24"/>
        </w:rPr>
      </w:pPr>
      <w:r>
        <w:t xml:space="preserve">Table </w:t>
      </w:r>
      <w:fldSimple w:instr=" SEQ Table \* ARABIC ">
        <w:r w:rsidR="0034257D">
          <w:rPr>
            <w:noProof/>
          </w:rPr>
          <w:t>4</w:t>
        </w:r>
      </w:fldSimple>
      <w:r>
        <w:t>: Key themes from consultation feedback</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8"/>
        <w:gridCol w:w="6498"/>
      </w:tblGrid>
      <w:tr w:rsidR="00A00B31" w:rsidRPr="00937AAA" w14:paraId="09EA6B44" w14:textId="77777777" w:rsidTr="00FC4DF6">
        <w:trPr>
          <w:tblHeader/>
        </w:trPr>
        <w:tc>
          <w:tcPr>
            <w:tcW w:w="2972" w:type="dxa"/>
            <w:vAlign w:val="center"/>
            <w:hideMark/>
          </w:tcPr>
          <w:p w14:paraId="7BBD6E8A" w14:textId="314B2FA0" w:rsidR="00A00B31" w:rsidRPr="00EF1A84" w:rsidRDefault="00937AAA" w:rsidP="00BA1D3B">
            <w:pPr>
              <w:keepNext/>
              <w:keepLines/>
              <w:rPr>
                <w:b/>
                <w:bCs/>
                <w:sz w:val="22"/>
                <w:szCs w:val="22"/>
              </w:rPr>
            </w:pPr>
            <w:r w:rsidRPr="00EF1A84">
              <w:rPr>
                <w:b/>
                <w:bCs/>
                <w:sz w:val="22"/>
                <w:szCs w:val="22"/>
              </w:rPr>
              <w:t>Key</w:t>
            </w:r>
            <w:r w:rsidR="00A00B31" w:rsidRPr="00EF1A84">
              <w:rPr>
                <w:b/>
                <w:bCs/>
                <w:sz w:val="22"/>
                <w:szCs w:val="22"/>
              </w:rPr>
              <w:t xml:space="preserve"> theme</w:t>
            </w:r>
          </w:p>
        </w:tc>
        <w:tc>
          <w:tcPr>
            <w:tcW w:w="6514" w:type="dxa"/>
            <w:vAlign w:val="center"/>
            <w:hideMark/>
          </w:tcPr>
          <w:p w14:paraId="2D46A310" w14:textId="77777777" w:rsidR="00A00B31" w:rsidRPr="00EF1A84" w:rsidRDefault="00A00B31" w:rsidP="00BA1D3B">
            <w:pPr>
              <w:keepNext/>
              <w:keepLines/>
              <w:rPr>
                <w:b/>
                <w:bCs/>
                <w:sz w:val="22"/>
                <w:szCs w:val="22"/>
              </w:rPr>
            </w:pPr>
            <w:r w:rsidRPr="00EF1A84">
              <w:rPr>
                <w:b/>
                <w:bCs/>
                <w:sz w:val="22"/>
                <w:szCs w:val="22"/>
              </w:rPr>
              <w:t>Subtheme</w:t>
            </w:r>
          </w:p>
        </w:tc>
      </w:tr>
      <w:tr w:rsidR="00937AAA" w:rsidRPr="00937AAA" w14:paraId="5EC9660A" w14:textId="77777777" w:rsidTr="00FC4DF6">
        <w:tc>
          <w:tcPr>
            <w:tcW w:w="2972" w:type="dxa"/>
            <w:vMerge w:val="restart"/>
            <w:vAlign w:val="center"/>
            <w:hideMark/>
          </w:tcPr>
          <w:p w14:paraId="0121CA00" w14:textId="77777777" w:rsidR="00937AAA" w:rsidRPr="00EF1A84" w:rsidRDefault="00937AAA" w:rsidP="00E44F56">
            <w:pPr>
              <w:rPr>
                <w:b/>
                <w:bCs/>
                <w:sz w:val="22"/>
                <w:szCs w:val="22"/>
              </w:rPr>
            </w:pPr>
            <w:r w:rsidRPr="00EF1A84">
              <w:rPr>
                <w:b/>
                <w:bCs/>
                <w:sz w:val="22"/>
                <w:szCs w:val="22"/>
              </w:rPr>
              <w:t>Strategic clarity, scope and accountability</w:t>
            </w:r>
          </w:p>
        </w:tc>
        <w:tc>
          <w:tcPr>
            <w:tcW w:w="6514" w:type="dxa"/>
            <w:vAlign w:val="center"/>
            <w:hideMark/>
          </w:tcPr>
          <w:p w14:paraId="084F219E" w14:textId="347190FC" w:rsidR="00937AAA" w:rsidRPr="00EF1A84" w:rsidRDefault="00937AAA" w:rsidP="00E44F56">
            <w:pPr>
              <w:rPr>
                <w:sz w:val="22"/>
                <w:szCs w:val="22"/>
              </w:rPr>
            </w:pPr>
            <w:r w:rsidRPr="00EF1A84">
              <w:rPr>
                <w:sz w:val="22"/>
                <w:szCs w:val="22"/>
              </w:rPr>
              <w:t>Clarify the MRFF vision, objectives and investment logic</w:t>
            </w:r>
          </w:p>
        </w:tc>
      </w:tr>
      <w:tr w:rsidR="00937AAA" w:rsidRPr="00937AAA" w14:paraId="67CB2560" w14:textId="77777777" w:rsidTr="00FC4DF6">
        <w:tc>
          <w:tcPr>
            <w:tcW w:w="2972" w:type="dxa"/>
            <w:vMerge/>
            <w:vAlign w:val="center"/>
            <w:hideMark/>
          </w:tcPr>
          <w:p w14:paraId="6F5C8973" w14:textId="77777777" w:rsidR="00937AAA" w:rsidRPr="00EF1A84" w:rsidRDefault="00937AAA" w:rsidP="00E44F56">
            <w:pPr>
              <w:rPr>
                <w:b/>
                <w:bCs/>
                <w:sz w:val="22"/>
                <w:szCs w:val="22"/>
              </w:rPr>
            </w:pPr>
          </w:p>
        </w:tc>
        <w:tc>
          <w:tcPr>
            <w:tcW w:w="6514" w:type="dxa"/>
            <w:vAlign w:val="center"/>
            <w:hideMark/>
          </w:tcPr>
          <w:p w14:paraId="4C11F404" w14:textId="7010D122" w:rsidR="00937AAA" w:rsidRPr="00EF1A84" w:rsidRDefault="00937AAA" w:rsidP="00E44F56">
            <w:pPr>
              <w:rPr>
                <w:sz w:val="22"/>
                <w:szCs w:val="22"/>
              </w:rPr>
            </w:pPr>
            <w:r w:rsidRPr="00EF1A84">
              <w:rPr>
                <w:sz w:val="22"/>
                <w:szCs w:val="22"/>
              </w:rPr>
              <w:t>Strengthen transparency, accountability and impact measurement</w:t>
            </w:r>
          </w:p>
        </w:tc>
      </w:tr>
      <w:tr w:rsidR="00937AAA" w:rsidRPr="00937AAA" w14:paraId="2A332E43" w14:textId="77777777" w:rsidTr="00FC4DF6">
        <w:tc>
          <w:tcPr>
            <w:tcW w:w="2972" w:type="dxa"/>
            <w:vMerge/>
            <w:vAlign w:val="center"/>
            <w:hideMark/>
          </w:tcPr>
          <w:p w14:paraId="7765D19A" w14:textId="77777777" w:rsidR="00937AAA" w:rsidRPr="00EF1A84" w:rsidRDefault="00937AAA" w:rsidP="00E44F56">
            <w:pPr>
              <w:rPr>
                <w:b/>
                <w:bCs/>
                <w:sz w:val="22"/>
                <w:szCs w:val="22"/>
              </w:rPr>
            </w:pPr>
          </w:p>
        </w:tc>
        <w:tc>
          <w:tcPr>
            <w:tcW w:w="6514" w:type="dxa"/>
            <w:vAlign w:val="center"/>
            <w:hideMark/>
          </w:tcPr>
          <w:p w14:paraId="1826F935" w14:textId="7295BAA5" w:rsidR="00937AAA" w:rsidRPr="00EF1A84" w:rsidRDefault="00937AAA" w:rsidP="00E44F56">
            <w:pPr>
              <w:rPr>
                <w:sz w:val="22"/>
                <w:szCs w:val="22"/>
              </w:rPr>
            </w:pPr>
            <w:r w:rsidRPr="00EF1A84">
              <w:rPr>
                <w:sz w:val="22"/>
                <w:szCs w:val="22"/>
              </w:rPr>
              <w:t>Align investment with prevention, equity and long-term health system outcomes</w:t>
            </w:r>
          </w:p>
        </w:tc>
      </w:tr>
      <w:tr w:rsidR="00937AAA" w:rsidRPr="00937AAA" w14:paraId="1615ABD0" w14:textId="77777777" w:rsidTr="00FC4DF6">
        <w:tc>
          <w:tcPr>
            <w:tcW w:w="2972" w:type="dxa"/>
            <w:vMerge w:val="restart"/>
            <w:vAlign w:val="center"/>
            <w:hideMark/>
          </w:tcPr>
          <w:p w14:paraId="0882892D" w14:textId="77777777" w:rsidR="00937AAA" w:rsidRPr="00EF1A84" w:rsidRDefault="00937AAA" w:rsidP="00E44F56">
            <w:pPr>
              <w:rPr>
                <w:b/>
                <w:bCs/>
                <w:sz w:val="22"/>
                <w:szCs w:val="22"/>
              </w:rPr>
            </w:pPr>
            <w:r w:rsidRPr="00EF1A84">
              <w:rPr>
                <w:b/>
                <w:bCs/>
                <w:sz w:val="22"/>
                <w:szCs w:val="22"/>
              </w:rPr>
              <w:t>Funding design, assessment and resourcing</w:t>
            </w:r>
          </w:p>
        </w:tc>
        <w:tc>
          <w:tcPr>
            <w:tcW w:w="6514" w:type="dxa"/>
            <w:vAlign w:val="center"/>
            <w:hideMark/>
          </w:tcPr>
          <w:p w14:paraId="12D525BE" w14:textId="55EE3FAC" w:rsidR="00937AAA" w:rsidRPr="00EF1A84" w:rsidRDefault="00937AAA" w:rsidP="00E44F56">
            <w:pPr>
              <w:rPr>
                <w:sz w:val="22"/>
                <w:szCs w:val="22"/>
              </w:rPr>
            </w:pPr>
            <w:r w:rsidRPr="00EF1A84">
              <w:rPr>
                <w:sz w:val="22"/>
                <w:szCs w:val="22"/>
              </w:rPr>
              <w:t>Value implementation, community partnership, equity and real-world impact in assessment</w:t>
            </w:r>
          </w:p>
        </w:tc>
      </w:tr>
      <w:tr w:rsidR="00937AAA" w:rsidRPr="00937AAA" w14:paraId="6E1525D3" w14:textId="77777777" w:rsidTr="00FC4DF6">
        <w:tc>
          <w:tcPr>
            <w:tcW w:w="2972" w:type="dxa"/>
            <w:vMerge/>
            <w:vAlign w:val="center"/>
            <w:hideMark/>
          </w:tcPr>
          <w:p w14:paraId="586D1078" w14:textId="77777777" w:rsidR="00937AAA" w:rsidRPr="00EF1A84" w:rsidRDefault="00937AAA" w:rsidP="00E44F56">
            <w:pPr>
              <w:rPr>
                <w:b/>
                <w:bCs/>
                <w:sz w:val="22"/>
                <w:szCs w:val="22"/>
              </w:rPr>
            </w:pPr>
          </w:p>
        </w:tc>
        <w:tc>
          <w:tcPr>
            <w:tcW w:w="6514" w:type="dxa"/>
            <w:vAlign w:val="center"/>
            <w:hideMark/>
          </w:tcPr>
          <w:p w14:paraId="6B1DB77D" w14:textId="12EF47C2" w:rsidR="00937AAA" w:rsidRPr="00EF1A84" w:rsidRDefault="00937AAA" w:rsidP="00D367AE">
            <w:pPr>
              <w:ind w:right="57"/>
              <w:rPr>
                <w:sz w:val="22"/>
                <w:szCs w:val="22"/>
              </w:rPr>
            </w:pPr>
            <w:r w:rsidRPr="00EF1A84">
              <w:rPr>
                <w:sz w:val="22"/>
                <w:szCs w:val="22"/>
              </w:rPr>
              <w:t>Support translation, commercialisation and co-investment pathways</w:t>
            </w:r>
          </w:p>
        </w:tc>
      </w:tr>
      <w:tr w:rsidR="00937AAA" w:rsidRPr="00937AAA" w14:paraId="7A2C1101" w14:textId="77777777" w:rsidTr="00FC4DF6">
        <w:tc>
          <w:tcPr>
            <w:tcW w:w="2972" w:type="dxa"/>
            <w:vMerge/>
            <w:vAlign w:val="center"/>
            <w:hideMark/>
          </w:tcPr>
          <w:p w14:paraId="3C5913C0" w14:textId="77777777" w:rsidR="00937AAA" w:rsidRPr="00EF1A84" w:rsidRDefault="00937AAA" w:rsidP="00E44F56">
            <w:pPr>
              <w:rPr>
                <w:b/>
                <w:bCs/>
                <w:sz w:val="22"/>
                <w:szCs w:val="22"/>
              </w:rPr>
            </w:pPr>
          </w:p>
        </w:tc>
        <w:tc>
          <w:tcPr>
            <w:tcW w:w="6514" w:type="dxa"/>
            <w:vAlign w:val="center"/>
            <w:hideMark/>
          </w:tcPr>
          <w:p w14:paraId="40578F95" w14:textId="29CBFEFD" w:rsidR="00937AAA" w:rsidRPr="00EF1A84" w:rsidRDefault="00937AAA" w:rsidP="00E44F56">
            <w:pPr>
              <w:rPr>
                <w:sz w:val="22"/>
                <w:szCs w:val="22"/>
              </w:rPr>
            </w:pPr>
            <w:r w:rsidRPr="00EF1A84">
              <w:rPr>
                <w:sz w:val="22"/>
                <w:szCs w:val="22"/>
              </w:rPr>
              <w:t>Invest in infrastructure, platforms, data assets and shared capability</w:t>
            </w:r>
          </w:p>
        </w:tc>
      </w:tr>
      <w:tr w:rsidR="00937AAA" w:rsidRPr="00937AAA" w14:paraId="40B7C520" w14:textId="77777777" w:rsidTr="00FC4DF6">
        <w:tc>
          <w:tcPr>
            <w:tcW w:w="2972" w:type="dxa"/>
            <w:vMerge w:val="restart"/>
            <w:vAlign w:val="center"/>
            <w:hideMark/>
          </w:tcPr>
          <w:p w14:paraId="07955751" w14:textId="0CA2D5CD" w:rsidR="00937AAA" w:rsidRPr="00EF1A84" w:rsidRDefault="00937AAA" w:rsidP="00E44F56">
            <w:pPr>
              <w:rPr>
                <w:b/>
                <w:bCs/>
                <w:sz w:val="22"/>
                <w:szCs w:val="22"/>
              </w:rPr>
            </w:pPr>
            <w:r w:rsidRPr="00EF1A84">
              <w:rPr>
                <w:b/>
                <w:bCs/>
                <w:sz w:val="22"/>
                <w:szCs w:val="22"/>
              </w:rPr>
              <w:t>Translation, implementation and embedded research</w:t>
            </w:r>
          </w:p>
        </w:tc>
        <w:tc>
          <w:tcPr>
            <w:tcW w:w="6514" w:type="dxa"/>
            <w:vAlign w:val="center"/>
            <w:hideMark/>
          </w:tcPr>
          <w:p w14:paraId="07436CF6" w14:textId="3E603865" w:rsidR="00937AAA" w:rsidRPr="00EF1A84" w:rsidRDefault="00937AAA" w:rsidP="00E44F56">
            <w:pPr>
              <w:rPr>
                <w:sz w:val="22"/>
                <w:szCs w:val="22"/>
              </w:rPr>
            </w:pPr>
            <w:r w:rsidRPr="00EF1A84">
              <w:rPr>
                <w:sz w:val="22"/>
                <w:szCs w:val="22"/>
              </w:rPr>
              <w:t>Strengthen implementation science and evidence-to-practice capability</w:t>
            </w:r>
          </w:p>
        </w:tc>
      </w:tr>
      <w:tr w:rsidR="00937AAA" w:rsidRPr="00937AAA" w14:paraId="5420B6EF" w14:textId="77777777" w:rsidTr="00FC4DF6">
        <w:tc>
          <w:tcPr>
            <w:tcW w:w="2972" w:type="dxa"/>
            <w:vMerge/>
            <w:vAlign w:val="center"/>
            <w:hideMark/>
          </w:tcPr>
          <w:p w14:paraId="65123976" w14:textId="77777777" w:rsidR="00937AAA" w:rsidRPr="00EF1A84" w:rsidRDefault="00937AAA" w:rsidP="00E44F56">
            <w:pPr>
              <w:rPr>
                <w:b/>
                <w:bCs/>
                <w:sz w:val="22"/>
                <w:szCs w:val="22"/>
              </w:rPr>
            </w:pPr>
          </w:p>
        </w:tc>
        <w:tc>
          <w:tcPr>
            <w:tcW w:w="6514" w:type="dxa"/>
            <w:vAlign w:val="center"/>
            <w:hideMark/>
          </w:tcPr>
          <w:p w14:paraId="07333FBC" w14:textId="64B1ECEF" w:rsidR="00937AAA" w:rsidRPr="00EF1A84" w:rsidRDefault="00937AAA" w:rsidP="00E44F56">
            <w:pPr>
              <w:rPr>
                <w:sz w:val="22"/>
                <w:szCs w:val="22"/>
              </w:rPr>
            </w:pPr>
            <w:r w:rsidRPr="00EF1A84">
              <w:rPr>
                <w:sz w:val="22"/>
                <w:szCs w:val="22"/>
              </w:rPr>
              <w:t>Embed research in routine care and learning health systems</w:t>
            </w:r>
          </w:p>
        </w:tc>
      </w:tr>
      <w:tr w:rsidR="00937AAA" w:rsidRPr="00937AAA" w14:paraId="5B14396E" w14:textId="77777777" w:rsidTr="00FC4DF6">
        <w:tc>
          <w:tcPr>
            <w:tcW w:w="2972" w:type="dxa"/>
            <w:vMerge/>
            <w:vAlign w:val="center"/>
            <w:hideMark/>
          </w:tcPr>
          <w:p w14:paraId="0616CC0A" w14:textId="77777777" w:rsidR="00937AAA" w:rsidRPr="00EF1A84" w:rsidRDefault="00937AAA" w:rsidP="00E44F56">
            <w:pPr>
              <w:rPr>
                <w:b/>
                <w:bCs/>
                <w:sz w:val="22"/>
                <w:szCs w:val="22"/>
              </w:rPr>
            </w:pPr>
          </w:p>
        </w:tc>
        <w:tc>
          <w:tcPr>
            <w:tcW w:w="6514" w:type="dxa"/>
            <w:vAlign w:val="center"/>
            <w:hideMark/>
          </w:tcPr>
          <w:p w14:paraId="339E4D9C" w14:textId="34D02FFD" w:rsidR="00937AAA" w:rsidRPr="00EF1A84" w:rsidRDefault="00937AAA" w:rsidP="00E44F56">
            <w:pPr>
              <w:rPr>
                <w:sz w:val="22"/>
                <w:szCs w:val="22"/>
              </w:rPr>
            </w:pPr>
            <w:r w:rsidRPr="00EF1A84">
              <w:rPr>
                <w:sz w:val="22"/>
                <w:szCs w:val="22"/>
              </w:rPr>
              <w:t>Broaden research settings beyond hospitals to primary care, community, aged care, disability and rural services</w:t>
            </w:r>
          </w:p>
        </w:tc>
      </w:tr>
      <w:tr w:rsidR="00937AAA" w:rsidRPr="00937AAA" w14:paraId="0356552E" w14:textId="77777777" w:rsidTr="00FC4DF6">
        <w:tc>
          <w:tcPr>
            <w:tcW w:w="2972" w:type="dxa"/>
            <w:vMerge/>
            <w:vAlign w:val="center"/>
            <w:hideMark/>
          </w:tcPr>
          <w:p w14:paraId="31EC100C" w14:textId="77777777" w:rsidR="00937AAA" w:rsidRPr="00EF1A84" w:rsidRDefault="00937AAA" w:rsidP="00E44F56">
            <w:pPr>
              <w:rPr>
                <w:b/>
                <w:bCs/>
                <w:sz w:val="22"/>
                <w:szCs w:val="22"/>
              </w:rPr>
            </w:pPr>
          </w:p>
        </w:tc>
        <w:tc>
          <w:tcPr>
            <w:tcW w:w="6514" w:type="dxa"/>
            <w:vAlign w:val="center"/>
            <w:hideMark/>
          </w:tcPr>
          <w:p w14:paraId="48306317" w14:textId="418BEBB9" w:rsidR="00937AAA" w:rsidRPr="00EF1A84" w:rsidRDefault="00937AAA" w:rsidP="00E44F56">
            <w:pPr>
              <w:rPr>
                <w:sz w:val="22"/>
                <w:szCs w:val="22"/>
              </w:rPr>
            </w:pPr>
            <w:r w:rsidRPr="00EF1A84">
              <w:rPr>
                <w:sz w:val="22"/>
                <w:szCs w:val="22"/>
              </w:rPr>
              <w:t>Support models-of-care, service delivery and clinical pathway research</w:t>
            </w:r>
          </w:p>
        </w:tc>
      </w:tr>
      <w:tr w:rsidR="00937AAA" w:rsidRPr="00937AAA" w14:paraId="1D1CCC3E" w14:textId="77777777" w:rsidTr="00FC4DF6">
        <w:tc>
          <w:tcPr>
            <w:tcW w:w="2972" w:type="dxa"/>
            <w:vMerge/>
            <w:vAlign w:val="center"/>
            <w:hideMark/>
          </w:tcPr>
          <w:p w14:paraId="220E87CD" w14:textId="77777777" w:rsidR="00937AAA" w:rsidRPr="00EF1A84" w:rsidRDefault="00937AAA" w:rsidP="00E44F56">
            <w:pPr>
              <w:rPr>
                <w:b/>
                <w:bCs/>
                <w:sz w:val="22"/>
                <w:szCs w:val="22"/>
              </w:rPr>
            </w:pPr>
          </w:p>
        </w:tc>
        <w:tc>
          <w:tcPr>
            <w:tcW w:w="6514" w:type="dxa"/>
            <w:vAlign w:val="center"/>
            <w:hideMark/>
          </w:tcPr>
          <w:p w14:paraId="227C7EE5" w14:textId="1693EC8F" w:rsidR="00937AAA" w:rsidRPr="00EF1A84" w:rsidRDefault="00937AAA" w:rsidP="00E44F56">
            <w:pPr>
              <w:rPr>
                <w:sz w:val="22"/>
                <w:szCs w:val="22"/>
              </w:rPr>
            </w:pPr>
            <w:r w:rsidRPr="00EF1A84">
              <w:rPr>
                <w:sz w:val="22"/>
                <w:szCs w:val="22"/>
              </w:rPr>
              <w:t>Improve access to clinical trials and research participation</w:t>
            </w:r>
          </w:p>
        </w:tc>
      </w:tr>
      <w:tr w:rsidR="00937AAA" w:rsidRPr="00937AAA" w14:paraId="3A465D59" w14:textId="77777777" w:rsidTr="00FC4DF6">
        <w:trPr>
          <w:cantSplit/>
        </w:trPr>
        <w:tc>
          <w:tcPr>
            <w:tcW w:w="2972" w:type="dxa"/>
            <w:vMerge w:val="restart"/>
            <w:vAlign w:val="center"/>
            <w:hideMark/>
          </w:tcPr>
          <w:p w14:paraId="74D43113" w14:textId="77777777" w:rsidR="00937AAA" w:rsidRPr="00EF1A84" w:rsidRDefault="00937AAA" w:rsidP="00FC4DF6">
            <w:pPr>
              <w:keepNext/>
              <w:rPr>
                <w:b/>
                <w:bCs/>
                <w:sz w:val="22"/>
                <w:szCs w:val="22"/>
              </w:rPr>
            </w:pPr>
            <w:r w:rsidRPr="00EF1A84">
              <w:rPr>
                <w:b/>
                <w:bCs/>
                <w:sz w:val="22"/>
                <w:szCs w:val="22"/>
              </w:rPr>
              <w:lastRenderedPageBreak/>
              <w:t>Equity, determinants of health and prevention</w:t>
            </w:r>
          </w:p>
        </w:tc>
        <w:tc>
          <w:tcPr>
            <w:tcW w:w="6514" w:type="dxa"/>
            <w:vAlign w:val="center"/>
            <w:hideMark/>
          </w:tcPr>
          <w:p w14:paraId="0B6B9BD8" w14:textId="0F165EBE" w:rsidR="00937AAA" w:rsidRPr="00EF1A84" w:rsidRDefault="00937AAA" w:rsidP="00FC4DF6">
            <w:pPr>
              <w:keepNext/>
              <w:ind w:right="-123"/>
              <w:rPr>
                <w:sz w:val="22"/>
                <w:szCs w:val="22"/>
              </w:rPr>
            </w:pPr>
            <w:r w:rsidRPr="00EF1A84">
              <w:rPr>
                <w:sz w:val="22"/>
                <w:szCs w:val="22"/>
              </w:rPr>
              <w:t>Address social, commercial, structural and environmental determinants of health</w:t>
            </w:r>
          </w:p>
        </w:tc>
      </w:tr>
      <w:tr w:rsidR="00937AAA" w:rsidRPr="00937AAA" w14:paraId="16712699" w14:textId="77777777" w:rsidTr="00FC4DF6">
        <w:tc>
          <w:tcPr>
            <w:tcW w:w="2972" w:type="dxa"/>
            <w:vMerge/>
            <w:vAlign w:val="center"/>
            <w:hideMark/>
          </w:tcPr>
          <w:p w14:paraId="3877FBCB" w14:textId="77777777" w:rsidR="00937AAA" w:rsidRPr="00EF1A84" w:rsidRDefault="00937AAA" w:rsidP="00E44F56">
            <w:pPr>
              <w:rPr>
                <w:b/>
                <w:bCs/>
                <w:sz w:val="22"/>
                <w:szCs w:val="22"/>
              </w:rPr>
            </w:pPr>
          </w:p>
        </w:tc>
        <w:tc>
          <w:tcPr>
            <w:tcW w:w="6514" w:type="dxa"/>
            <w:vAlign w:val="center"/>
            <w:hideMark/>
          </w:tcPr>
          <w:p w14:paraId="6E037A21" w14:textId="12AFB464" w:rsidR="00937AAA" w:rsidRPr="00EF1A84" w:rsidRDefault="00937AAA" w:rsidP="00E44F56">
            <w:pPr>
              <w:rPr>
                <w:sz w:val="22"/>
                <w:szCs w:val="22"/>
              </w:rPr>
            </w:pPr>
            <w:r w:rsidRPr="00EF1A84">
              <w:rPr>
                <w:sz w:val="22"/>
                <w:szCs w:val="22"/>
              </w:rPr>
              <w:t>Prioritise prevention, early intervention and public health approaches</w:t>
            </w:r>
          </w:p>
        </w:tc>
      </w:tr>
      <w:tr w:rsidR="00937AAA" w:rsidRPr="00937AAA" w14:paraId="2D4D1877" w14:textId="77777777" w:rsidTr="00FC4DF6">
        <w:tc>
          <w:tcPr>
            <w:tcW w:w="2972" w:type="dxa"/>
            <w:vMerge/>
            <w:vAlign w:val="center"/>
            <w:hideMark/>
          </w:tcPr>
          <w:p w14:paraId="0DE2708F" w14:textId="77777777" w:rsidR="00937AAA" w:rsidRPr="00EF1A84" w:rsidRDefault="00937AAA" w:rsidP="00E44F56">
            <w:pPr>
              <w:rPr>
                <w:b/>
                <w:bCs/>
                <w:sz w:val="22"/>
                <w:szCs w:val="22"/>
              </w:rPr>
            </w:pPr>
          </w:p>
        </w:tc>
        <w:tc>
          <w:tcPr>
            <w:tcW w:w="6514" w:type="dxa"/>
            <w:vAlign w:val="center"/>
            <w:hideMark/>
          </w:tcPr>
          <w:p w14:paraId="4304E189" w14:textId="42C71815" w:rsidR="00937AAA" w:rsidRPr="00EF1A84" w:rsidRDefault="00937AAA" w:rsidP="00E44F56">
            <w:pPr>
              <w:rPr>
                <w:sz w:val="22"/>
                <w:szCs w:val="22"/>
              </w:rPr>
            </w:pPr>
            <w:r w:rsidRPr="00EF1A84">
              <w:rPr>
                <w:sz w:val="22"/>
                <w:szCs w:val="22"/>
              </w:rPr>
              <w:t>Embed equity across research design, access, participation and outcomes</w:t>
            </w:r>
          </w:p>
        </w:tc>
      </w:tr>
      <w:tr w:rsidR="00937AAA" w:rsidRPr="00937AAA" w14:paraId="74BB0405" w14:textId="77777777" w:rsidTr="00FC4DF6">
        <w:tc>
          <w:tcPr>
            <w:tcW w:w="2972" w:type="dxa"/>
            <w:vMerge/>
            <w:vAlign w:val="center"/>
            <w:hideMark/>
          </w:tcPr>
          <w:p w14:paraId="01B062F4" w14:textId="77777777" w:rsidR="00937AAA" w:rsidRPr="00EF1A84" w:rsidRDefault="00937AAA" w:rsidP="00E44F56">
            <w:pPr>
              <w:rPr>
                <w:b/>
                <w:bCs/>
                <w:sz w:val="22"/>
                <w:szCs w:val="22"/>
              </w:rPr>
            </w:pPr>
          </w:p>
        </w:tc>
        <w:tc>
          <w:tcPr>
            <w:tcW w:w="6514" w:type="dxa"/>
            <w:vAlign w:val="center"/>
            <w:hideMark/>
          </w:tcPr>
          <w:p w14:paraId="66D0D652" w14:textId="222B8FC5" w:rsidR="00937AAA" w:rsidRPr="00EF1A84" w:rsidRDefault="00937AAA" w:rsidP="00E44F56">
            <w:pPr>
              <w:rPr>
                <w:sz w:val="22"/>
                <w:szCs w:val="22"/>
              </w:rPr>
            </w:pPr>
            <w:r w:rsidRPr="00EF1A84">
              <w:rPr>
                <w:sz w:val="22"/>
                <w:szCs w:val="22"/>
              </w:rPr>
              <w:t>Recognise priority populations, intersectionality and under-served groups</w:t>
            </w:r>
          </w:p>
        </w:tc>
      </w:tr>
      <w:tr w:rsidR="00937AAA" w:rsidRPr="00937AAA" w14:paraId="4A11353F" w14:textId="77777777" w:rsidTr="00FC4DF6">
        <w:tc>
          <w:tcPr>
            <w:tcW w:w="2972" w:type="dxa"/>
            <w:vMerge/>
            <w:vAlign w:val="center"/>
            <w:hideMark/>
          </w:tcPr>
          <w:p w14:paraId="45962ACD" w14:textId="77777777" w:rsidR="00937AAA" w:rsidRPr="00EF1A84" w:rsidRDefault="00937AAA" w:rsidP="00E44F56">
            <w:pPr>
              <w:rPr>
                <w:b/>
                <w:bCs/>
                <w:sz w:val="22"/>
                <w:szCs w:val="22"/>
              </w:rPr>
            </w:pPr>
          </w:p>
        </w:tc>
        <w:tc>
          <w:tcPr>
            <w:tcW w:w="6514" w:type="dxa"/>
            <w:vAlign w:val="center"/>
            <w:hideMark/>
          </w:tcPr>
          <w:p w14:paraId="2CF4E566" w14:textId="6CE3652E" w:rsidR="00937AAA" w:rsidRPr="00EF1A84" w:rsidRDefault="00937AAA" w:rsidP="00E44F56">
            <w:pPr>
              <w:rPr>
                <w:sz w:val="22"/>
                <w:szCs w:val="22"/>
              </w:rPr>
            </w:pPr>
            <w:r w:rsidRPr="00EF1A84">
              <w:rPr>
                <w:sz w:val="22"/>
                <w:szCs w:val="22"/>
              </w:rPr>
              <w:t>Support rural, regional and remote health through place-based responses</w:t>
            </w:r>
          </w:p>
        </w:tc>
      </w:tr>
      <w:tr w:rsidR="00937AAA" w:rsidRPr="00937AAA" w14:paraId="6EE1A424" w14:textId="77777777" w:rsidTr="00FC4DF6">
        <w:tc>
          <w:tcPr>
            <w:tcW w:w="2972" w:type="dxa"/>
            <w:vMerge w:val="restart"/>
            <w:vAlign w:val="center"/>
            <w:hideMark/>
          </w:tcPr>
          <w:p w14:paraId="11349EC3" w14:textId="77777777" w:rsidR="00937AAA" w:rsidRPr="00EF1A84" w:rsidRDefault="00937AAA" w:rsidP="00E44F56">
            <w:pPr>
              <w:rPr>
                <w:b/>
                <w:bCs/>
                <w:sz w:val="22"/>
                <w:szCs w:val="22"/>
              </w:rPr>
            </w:pPr>
            <w:r w:rsidRPr="00EF1A84">
              <w:rPr>
                <w:b/>
                <w:bCs/>
                <w:sz w:val="22"/>
                <w:szCs w:val="22"/>
              </w:rPr>
              <w:t>Aboriginal and Torres Strait Islander community governance, sovereignty and capability</w:t>
            </w:r>
          </w:p>
        </w:tc>
        <w:tc>
          <w:tcPr>
            <w:tcW w:w="6514" w:type="dxa"/>
            <w:vAlign w:val="center"/>
            <w:hideMark/>
          </w:tcPr>
          <w:p w14:paraId="2ABB4F65" w14:textId="20238658" w:rsidR="00937AAA" w:rsidRPr="00EF1A84" w:rsidRDefault="00937AAA" w:rsidP="00E44F56">
            <w:pPr>
              <w:rPr>
                <w:sz w:val="22"/>
                <w:szCs w:val="22"/>
              </w:rPr>
            </w:pPr>
            <w:r w:rsidRPr="00EF1A84">
              <w:rPr>
                <w:sz w:val="22"/>
                <w:szCs w:val="22"/>
              </w:rPr>
              <w:t>Ensure Aboriginal and Torres Strait Islander research is community governed and directed</w:t>
            </w:r>
          </w:p>
        </w:tc>
      </w:tr>
      <w:tr w:rsidR="00937AAA" w:rsidRPr="00937AAA" w14:paraId="69860A2D" w14:textId="77777777" w:rsidTr="00FC4DF6">
        <w:tc>
          <w:tcPr>
            <w:tcW w:w="2972" w:type="dxa"/>
            <w:vMerge/>
            <w:vAlign w:val="center"/>
            <w:hideMark/>
          </w:tcPr>
          <w:p w14:paraId="6162D9BC" w14:textId="77777777" w:rsidR="00937AAA" w:rsidRPr="00EF1A84" w:rsidRDefault="00937AAA" w:rsidP="00E44F56">
            <w:pPr>
              <w:rPr>
                <w:b/>
                <w:bCs/>
                <w:sz w:val="22"/>
                <w:szCs w:val="22"/>
              </w:rPr>
            </w:pPr>
          </w:p>
        </w:tc>
        <w:tc>
          <w:tcPr>
            <w:tcW w:w="6514" w:type="dxa"/>
            <w:vAlign w:val="center"/>
            <w:hideMark/>
          </w:tcPr>
          <w:p w14:paraId="2847E76D" w14:textId="3CDE1F02" w:rsidR="00937AAA" w:rsidRPr="00EF1A84" w:rsidRDefault="00937AAA" w:rsidP="00E44F56">
            <w:pPr>
              <w:rPr>
                <w:sz w:val="22"/>
                <w:szCs w:val="22"/>
              </w:rPr>
            </w:pPr>
            <w:r w:rsidRPr="00EF1A84">
              <w:rPr>
                <w:sz w:val="22"/>
                <w:szCs w:val="22"/>
              </w:rPr>
              <w:t>Strengthen Indigenous data sovereignty, ethics and governance</w:t>
            </w:r>
          </w:p>
        </w:tc>
      </w:tr>
      <w:tr w:rsidR="00937AAA" w:rsidRPr="00937AAA" w14:paraId="691343C9" w14:textId="77777777" w:rsidTr="00FC4DF6">
        <w:tc>
          <w:tcPr>
            <w:tcW w:w="2972" w:type="dxa"/>
            <w:vMerge/>
            <w:vAlign w:val="center"/>
            <w:hideMark/>
          </w:tcPr>
          <w:p w14:paraId="5641486C" w14:textId="77777777" w:rsidR="00937AAA" w:rsidRPr="00EF1A84" w:rsidRDefault="00937AAA" w:rsidP="00E44F56">
            <w:pPr>
              <w:rPr>
                <w:b/>
                <w:bCs/>
                <w:sz w:val="22"/>
                <w:szCs w:val="22"/>
              </w:rPr>
            </w:pPr>
          </w:p>
        </w:tc>
        <w:tc>
          <w:tcPr>
            <w:tcW w:w="6514" w:type="dxa"/>
            <w:vAlign w:val="center"/>
            <w:hideMark/>
          </w:tcPr>
          <w:p w14:paraId="21843C8A" w14:textId="47D733E1" w:rsidR="00937AAA" w:rsidRPr="00EF1A84" w:rsidRDefault="00937AAA" w:rsidP="00E44F56">
            <w:pPr>
              <w:rPr>
                <w:sz w:val="22"/>
                <w:szCs w:val="22"/>
              </w:rPr>
            </w:pPr>
            <w:r w:rsidRPr="00EF1A84">
              <w:rPr>
                <w:sz w:val="22"/>
                <w:szCs w:val="22"/>
              </w:rPr>
              <w:t>Build Aboriginal and Torres Strait Islander research workforce and capability</w:t>
            </w:r>
          </w:p>
        </w:tc>
      </w:tr>
      <w:tr w:rsidR="00937AAA" w:rsidRPr="00937AAA" w14:paraId="16FFBBAB" w14:textId="77777777" w:rsidTr="00FC4DF6">
        <w:tc>
          <w:tcPr>
            <w:tcW w:w="2972" w:type="dxa"/>
            <w:vMerge/>
            <w:vAlign w:val="center"/>
            <w:hideMark/>
          </w:tcPr>
          <w:p w14:paraId="231C6511" w14:textId="77777777" w:rsidR="00937AAA" w:rsidRPr="00EF1A84" w:rsidRDefault="00937AAA" w:rsidP="00E44F56">
            <w:pPr>
              <w:rPr>
                <w:b/>
                <w:bCs/>
                <w:sz w:val="22"/>
                <w:szCs w:val="22"/>
              </w:rPr>
            </w:pPr>
          </w:p>
        </w:tc>
        <w:tc>
          <w:tcPr>
            <w:tcW w:w="6514" w:type="dxa"/>
            <w:vAlign w:val="center"/>
            <w:hideMark/>
          </w:tcPr>
          <w:p w14:paraId="135DF7FF" w14:textId="384BED4B" w:rsidR="00937AAA" w:rsidRPr="00EF1A84" w:rsidRDefault="00937AAA" w:rsidP="00E44F56">
            <w:pPr>
              <w:rPr>
                <w:sz w:val="22"/>
                <w:szCs w:val="22"/>
              </w:rPr>
            </w:pPr>
            <w:r w:rsidRPr="00EF1A84">
              <w:rPr>
                <w:sz w:val="22"/>
                <w:szCs w:val="22"/>
              </w:rPr>
              <w:t>Invest in culturally safe, place-based and community-led models</w:t>
            </w:r>
          </w:p>
        </w:tc>
      </w:tr>
      <w:tr w:rsidR="00937AAA" w:rsidRPr="00937AAA" w14:paraId="55CB6A59" w14:textId="77777777" w:rsidTr="00FC4DF6">
        <w:tc>
          <w:tcPr>
            <w:tcW w:w="2972" w:type="dxa"/>
            <w:vMerge/>
            <w:vAlign w:val="center"/>
            <w:hideMark/>
          </w:tcPr>
          <w:p w14:paraId="6BCF5447" w14:textId="77777777" w:rsidR="00937AAA" w:rsidRPr="00EF1A84" w:rsidRDefault="00937AAA" w:rsidP="00E44F56">
            <w:pPr>
              <w:rPr>
                <w:b/>
                <w:bCs/>
                <w:sz w:val="22"/>
                <w:szCs w:val="22"/>
              </w:rPr>
            </w:pPr>
          </w:p>
        </w:tc>
        <w:tc>
          <w:tcPr>
            <w:tcW w:w="6514" w:type="dxa"/>
            <w:vAlign w:val="center"/>
            <w:hideMark/>
          </w:tcPr>
          <w:p w14:paraId="0BE11ABD" w14:textId="1BA2643A" w:rsidR="00937AAA" w:rsidRPr="00EF1A84" w:rsidRDefault="00937AAA" w:rsidP="00E44F56">
            <w:pPr>
              <w:rPr>
                <w:sz w:val="22"/>
                <w:szCs w:val="22"/>
              </w:rPr>
            </w:pPr>
            <w:r w:rsidRPr="00EF1A84">
              <w:rPr>
                <w:sz w:val="22"/>
                <w:szCs w:val="22"/>
              </w:rPr>
              <w:t>Align with Closing the Gap and Aboriginal and Torres Strait Islander health strategies</w:t>
            </w:r>
          </w:p>
        </w:tc>
      </w:tr>
      <w:tr w:rsidR="00937AAA" w:rsidRPr="00937AAA" w14:paraId="4301470D" w14:textId="77777777" w:rsidTr="00FC4DF6">
        <w:tc>
          <w:tcPr>
            <w:tcW w:w="2972" w:type="dxa"/>
            <w:vMerge w:val="restart"/>
            <w:vAlign w:val="center"/>
            <w:hideMark/>
          </w:tcPr>
          <w:p w14:paraId="77BBC02E" w14:textId="77777777" w:rsidR="00937AAA" w:rsidRPr="00EF1A84" w:rsidRDefault="00937AAA" w:rsidP="00E44F56">
            <w:pPr>
              <w:rPr>
                <w:b/>
                <w:bCs/>
                <w:sz w:val="22"/>
                <w:szCs w:val="22"/>
              </w:rPr>
            </w:pPr>
            <w:r w:rsidRPr="00EF1A84">
              <w:rPr>
                <w:b/>
                <w:bCs/>
                <w:sz w:val="22"/>
                <w:szCs w:val="22"/>
              </w:rPr>
              <w:t>Data, digital health and AI governance</w:t>
            </w:r>
          </w:p>
        </w:tc>
        <w:tc>
          <w:tcPr>
            <w:tcW w:w="6514" w:type="dxa"/>
            <w:vAlign w:val="center"/>
            <w:hideMark/>
          </w:tcPr>
          <w:p w14:paraId="78C89B78" w14:textId="51EB3AD5" w:rsidR="00937AAA" w:rsidRPr="00EF1A84" w:rsidRDefault="00937AAA" w:rsidP="00E44F56">
            <w:pPr>
              <w:rPr>
                <w:sz w:val="22"/>
                <w:szCs w:val="22"/>
              </w:rPr>
            </w:pPr>
            <w:r w:rsidRPr="00EF1A84">
              <w:rPr>
                <w:sz w:val="22"/>
                <w:szCs w:val="22"/>
              </w:rPr>
              <w:t>Build interoperable, linked and secure digital health data infrastructure</w:t>
            </w:r>
          </w:p>
        </w:tc>
      </w:tr>
      <w:tr w:rsidR="00937AAA" w:rsidRPr="00937AAA" w14:paraId="2725D157" w14:textId="77777777" w:rsidTr="00FC4DF6">
        <w:tc>
          <w:tcPr>
            <w:tcW w:w="2972" w:type="dxa"/>
            <w:vMerge/>
            <w:vAlign w:val="center"/>
            <w:hideMark/>
          </w:tcPr>
          <w:p w14:paraId="230F8C53" w14:textId="77777777" w:rsidR="00937AAA" w:rsidRPr="00EF1A84" w:rsidRDefault="00937AAA" w:rsidP="00E44F56">
            <w:pPr>
              <w:rPr>
                <w:b/>
                <w:bCs/>
                <w:sz w:val="22"/>
                <w:szCs w:val="22"/>
              </w:rPr>
            </w:pPr>
          </w:p>
        </w:tc>
        <w:tc>
          <w:tcPr>
            <w:tcW w:w="6514" w:type="dxa"/>
            <w:vAlign w:val="center"/>
            <w:hideMark/>
          </w:tcPr>
          <w:p w14:paraId="26871463" w14:textId="60B4B58A" w:rsidR="00937AAA" w:rsidRPr="00EF1A84" w:rsidRDefault="00937AAA" w:rsidP="00E44F56">
            <w:pPr>
              <w:rPr>
                <w:sz w:val="22"/>
                <w:szCs w:val="22"/>
              </w:rPr>
            </w:pPr>
            <w:r w:rsidRPr="00EF1A84">
              <w:rPr>
                <w:sz w:val="22"/>
                <w:szCs w:val="22"/>
              </w:rPr>
              <w:t>Ensure responsible, ethical, safe and equitable use of AI</w:t>
            </w:r>
          </w:p>
        </w:tc>
      </w:tr>
      <w:tr w:rsidR="00937AAA" w:rsidRPr="00937AAA" w14:paraId="6E0DD16C" w14:textId="77777777" w:rsidTr="00FC4DF6">
        <w:tc>
          <w:tcPr>
            <w:tcW w:w="2972" w:type="dxa"/>
            <w:vMerge/>
            <w:vAlign w:val="center"/>
            <w:hideMark/>
          </w:tcPr>
          <w:p w14:paraId="70DCB2FF" w14:textId="77777777" w:rsidR="00937AAA" w:rsidRPr="00EF1A84" w:rsidRDefault="00937AAA" w:rsidP="00E44F56">
            <w:pPr>
              <w:rPr>
                <w:b/>
                <w:bCs/>
                <w:sz w:val="22"/>
                <w:szCs w:val="22"/>
              </w:rPr>
            </w:pPr>
          </w:p>
        </w:tc>
        <w:tc>
          <w:tcPr>
            <w:tcW w:w="6514" w:type="dxa"/>
            <w:vAlign w:val="center"/>
            <w:hideMark/>
          </w:tcPr>
          <w:p w14:paraId="5DCBC9E9" w14:textId="573A3899" w:rsidR="00937AAA" w:rsidRPr="00EF1A84" w:rsidRDefault="00937AAA" w:rsidP="00E44F56">
            <w:pPr>
              <w:rPr>
                <w:sz w:val="22"/>
                <w:szCs w:val="22"/>
              </w:rPr>
            </w:pPr>
            <w:r w:rsidRPr="00EF1A84">
              <w:rPr>
                <w:sz w:val="22"/>
                <w:szCs w:val="22"/>
              </w:rPr>
              <w:t>Address digital inclusion, literacy and workforce capability</w:t>
            </w:r>
          </w:p>
        </w:tc>
      </w:tr>
      <w:tr w:rsidR="00937AAA" w:rsidRPr="00937AAA" w14:paraId="00A84085" w14:textId="77777777" w:rsidTr="00FC4DF6">
        <w:tc>
          <w:tcPr>
            <w:tcW w:w="2972" w:type="dxa"/>
            <w:vMerge w:val="restart"/>
            <w:vAlign w:val="center"/>
            <w:hideMark/>
          </w:tcPr>
          <w:p w14:paraId="23281E03" w14:textId="77777777" w:rsidR="00937AAA" w:rsidRPr="00EF1A84" w:rsidRDefault="00937AAA" w:rsidP="00E44F56">
            <w:pPr>
              <w:rPr>
                <w:b/>
                <w:bCs/>
                <w:sz w:val="22"/>
                <w:szCs w:val="22"/>
              </w:rPr>
            </w:pPr>
            <w:r w:rsidRPr="00EF1A84">
              <w:rPr>
                <w:b/>
                <w:bCs/>
                <w:sz w:val="22"/>
                <w:szCs w:val="22"/>
              </w:rPr>
              <w:t>Emerging technologies, precision health and advanced therapeutics</w:t>
            </w:r>
          </w:p>
        </w:tc>
        <w:tc>
          <w:tcPr>
            <w:tcW w:w="6514" w:type="dxa"/>
            <w:vAlign w:val="center"/>
            <w:hideMark/>
          </w:tcPr>
          <w:p w14:paraId="551423A4" w14:textId="05D12E20" w:rsidR="00937AAA" w:rsidRPr="00EF1A84" w:rsidRDefault="00937AAA" w:rsidP="00E44F56">
            <w:pPr>
              <w:rPr>
                <w:sz w:val="22"/>
                <w:szCs w:val="22"/>
              </w:rPr>
            </w:pPr>
            <w:r w:rsidRPr="00EF1A84">
              <w:rPr>
                <w:sz w:val="22"/>
                <w:szCs w:val="22"/>
              </w:rPr>
              <w:t>Advance genomics, multiomics and precision health</w:t>
            </w:r>
          </w:p>
        </w:tc>
      </w:tr>
      <w:tr w:rsidR="00937AAA" w:rsidRPr="00937AAA" w14:paraId="12E41132" w14:textId="77777777" w:rsidTr="00FC4DF6">
        <w:tc>
          <w:tcPr>
            <w:tcW w:w="2972" w:type="dxa"/>
            <w:vMerge/>
            <w:vAlign w:val="center"/>
            <w:hideMark/>
          </w:tcPr>
          <w:p w14:paraId="51BFDE0C" w14:textId="77777777" w:rsidR="00937AAA" w:rsidRPr="00EF1A84" w:rsidRDefault="00937AAA" w:rsidP="00E44F56">
            <w:pPr>
              <w:rPr>
                <w:b/>
                <w:bCs/>
                <w:sz w:val="22"/>
                <w:szCs w:val="22"/>
              </w:rPr>
            </w:pPr>
          </w:p>
        </w:tc>
        <w:tc>
          <w:tcPr>
            <w:tcW w:w="6514" w:type="dxa"/>
            <w:vAlign w:val="center"/>
            <w:hideMark/>
          </w:tcPr>
          <w:p w14:paraId="48B640E3" w14:textId="5E36588F" w:rsidR="00937AAA" w:rsidRPr="00EF1A84" w:rsidRDefault="00937AAA" w:rsidP="00E44F56">
            <w:pPr>
              <w:rPr>
                <w:sz w:val="22"/>
                <w:szCs w:val="22"/>
              </w:rPr>
            </w:pPr>
            <w:r w:rsidRPr="00EF1A84">
              <w:rPr>
                <w:sz w:val="22"/>
                <w:szCs w:val="22"/>
              </w:rPr>
              <w:t>Strengthen regulatory, manufacturing, validation and clinical evidence pathways</w:t>
            </w:r>
          </w:p>
        </w:tc>
      </w:tr>
      <w:tr w:rsidR="00937AAA" w:rsidRPr="00937AAA" w14:paraId="4D6DEFA4" w14:textId="77777777" w:rsidTr="00FC4DF6">
        <w:tc>
          <w:tcPr>
            <w:tcW w:w="2972" w:type="dxa"/>
            <w:vMerge/>
            <w:vAlign w:val="center"/>
            <w:hideMark/>
          </w:tcPr>
          <w:p w14:paraId="52745EA4" w14:textId="77777777" w:rsidR="00937AAA" w:rsidRPr="00EF1A84" w:rsidRDefault="00937AAA" w:rsidP="00E44F56">
            <w:pPr>
              <w:rPr>
                <w:b/>
                <w:bCs/>
                <w:sz w:val="22"/>
                <w:szCs w:val="22"/>
              </w:rPr>
            </w:pPr>
          </w:p>
        </w:tc>
        <w:tc>
          <w:tcPr>
            <w:tcW w:w="6514" w:type="dxa"/>
            <w:vAlign w:val="center"/>
            <w:hideMark/>
          </w:tcPr>
          <w:p w14:paraId="555F8B40" w14:textId="51440695" w:rsidR="00937AAA" w:rsidRPr="00EF1A84" w:rsidRDefault="00937AAA" w:rsidP="00E44F56">
            <w:pPr>
              <w:rPr>
                <w:sz w:val="22"/>
                <w:szCs w:val="22"/>
              </w:rPr>
            </w:pPr>
            <w:r w:rsidRPr="00EF1A84">
              <w:rPr>
                <w:sz w:val="22"/>
                <w:szCs w:val="22"/>
              </w:rPr>
              <w:t>Address equity, access, affordability and ethical risks</w:t>
            </w:r>
          </w:p>
        </w:tc>
      </w:tr>
      <w:tr w:rsidR="00937AAA" w:rsidRPr="00937AAA" w14:paraId="201002D6" w14:textId="77777777" w:rsidTr="00FC4DF6">
        <w:tc>
          <w:tcPr>
            <w:tcW w:w="2972" w:type="dxa"/>
            <w:vMerge/>
            <w:vAlign w:val="center"/>
            <w:hideMark/>
          </w:tcPr>
          <w:p w14:paraId="0D8F34CF" w14:textId="77777777" w:rsidR="00937AAA" w:rsidRPr="00EF1A84" w:rsidRDefault="00937AAA" w:rsidP="00E44F56">
            <w:pPr>
              <w:rPr>
                <w:b/>
                <w:bCs/>
                <w:sz w:val="22"/>
                <w:szCs w:val="22"/>
              </w:rPr>
            </w:pPr>
          </w:p>
        </w:tc>
        <w:tc>
          <w:tcPr>
            <w:tcW w:w="6514" w:type="dxa"/>
            <w:vAlign w:val="center"/>
            <w:hideMark/>
          </w:tcPr>
          <w:p w14:paraId="49E98E97" w14:textId="31D6FB3F" w:rsidR="00937AAA" w:rsidRPr="00EF1A84" w:rsidRDefault="00937AAA" w:rsidP="00E44F56">
            <w:pPr>
              <w:rPr>
                <w:sz w:val="22"/>
                <w:szCs w:val="22"/>
              </w:rPr>
            </w:pPr>
            <w:r w:rsidRPr="00EF1A84">
              <w:rPr>
                <w:sz w:val="22"/>
                <w:szCs w:val="22"/>
              </w:rPr>
              <w:t>Support national platforms, biobanks and enabling infrastructure</w:t>
            </w:r>
          </w:p>
        </w:tc>
      </w:tr>
      <w:tr w:rsidR="00937AAA" w:rsidRPr="00937AAA" w14:paraId="3C18A991" w14:textId="77777777" w:rsidTr="00FC4DF6">
        <w:tc>
          <w:tcPr>
            <w:tcW w:w="2972" w:type="dxa"/>
            <w:vMerge w:val="restart"/>
            <w:vAlign w:val="center"/>
            <w:hideMark/>
          </w:tcPr>
          <w:p w14:paraId="21498643" w14:textId="77777777" w:rsidR="00937AAA" w:rsidRPr="00EF1A84" w:rsidRDefault="00937AAA" w:rsidP="00E44F56">
            <w:pPr>
              <w:rPr>
                <w:b/>
                <w:bCs/>
                <w:sz w:val="22"/>
                <w:szCs w:val="22"/>
              </w:rPr>
            </w:pPr>
            <w:r w:rsidRPr="00EF1A84">
              <w:rPr>
                <w:b/>
                <w:bCs/>
                <w:sz w:val="22"/>
                <w:szCs w:val="22"/>
              </w:rPr>
              <w:t>Environmental, climate and planetary health</w:t>
            </w:r>
          </w:p>
        </w:tc>
        <w:tc>
          <w:tcPr>
            <w:tcW w:w="6514" w:type="dxa"/>
            <w:vAlign w:val="center"/>
            <w:hideMark/>
          </w:tcPr>
          <w:p w14:paraId="1CB08CDD" w14:textId="5FE75FC6" w:rsidR="00937AAA" w:rsidRPr="00EF1A84" w:rsidRDefault="00937AAA" w:rsidP="00E44F56">
            <w:pPr>
              <w:rPr>
                <w:sz w:val="22"/>
                <w:szCs w:val="22"/>
              </w:rPr>
            </w:pPr>
            <w:r w:rsidRPr="00EF1A84">
              <w:rPr>
                <w:sz w:val="22"/>
                <w:szCs w:val="22"/>
              </w:rPr>
              <w:t>Examine climate-related health impacts and adaptation</w:t>
            </w:r>
          </w:p>
        </w:tc>
      </w:tr>
      <w:tr w:rsidR="00937AAA" w:rsidRPr="00937AAA" w14:paraId="6D706D0D" w14:textId="77777777" w:rsidTr="00FC4DF6">
        <w:tc>
          <w:tcPr>
            <w:tcW w:w="2972" w:type="dxa"/>
            <w:vMerge/>
            <w:vAlign w:val="center"/>
            <w:hideMark/>
          </w:tcPr>
          <w:p w14:paraId="192DEAC2" w14:textId="77777777" w:rsidR="00937AAA" w:rsidRPr="00EF1A84" w:rsidRDefault="00937AAA" w:rsidP="00E44F56">
            <w:pPr>
              <w:rPr>
                <w:b/>
                <w:bCs/>
                <w:sz w:val="22"/>
                <w:szCs w:val="22"/>
              </w:rPr>
            </w:pPr>
          </w:p>
        </w:tc>
        <w:tc>
          <w:tcPr>
            <w:tcW w:w="6514" w:type="dxa"/>
            <w:vAlign w:val="center"/>
            <w:hideMark/>
          </w:tcPr>
          <w:p w14:paraId="1193C81B" w14:textId="4BB3965F" w:rsidR="00937AAA" w:rsidRPr="00EF1A84" w:rsidRDefault="00937AAA" w:rsidP="00E44F56">
            <w:pPr>
              <w:rPr>
                <w:sz w:val="22"/>
                <w:szCs w:val="22"/>
              </w:rPr>
            </w:pPr>
            <w:r w:rsidRPr="00EF1A84">
              <w:rPr>
                <w:sz w:val="22"/>
                <w:szCs w:val="22"/>
              </w:rPr>
              <w:t>Address environmental exposures, pollution, disasters and occupational or community impacts</w:t>
            </w:r>
          </w:p>
        </w:tc>
      </w:tr>
      <w:tr w:rsidR="00937AAA" w:rsidRPr="00937AAA" w14:paraId="55324782" w14:textId="77777777" w:rsidTr="00FC4DF6">
        <w:tc>
          <w:tcPr>
            <w:tcW w:w="2972" w:type="dxa"/>
            <w:vMerge/>
            <w:vAlign w:val="center"/>
            <w:hideMark/>
          </w:tcPr>
          <w:p w14:paraId="0D14833D" w14:textId="77777777" w:rsidR="00937AAA" w:rsidRPr="00EF1A84" w:rsidRDefault="00937AAA" w:rsidP="00E44F56">
            <w:pPr>
              <w:rPr>
                <w:b/>
                <w:bCs/>
                <w:sz w:val="22"/>
                <w:szCs w:val="22"/>
              </w:rPr>
            </w:pPr>
          </w:p>
        </w:tc>
        <w:tc>
          <w:tcPr>
            <w:tcW w:w="6514" w:type="dxa"/>
            <w:vAlign w:val="center"/>
            <w:hideMark/>
          </w:tcPr>
          <w:p w14:paraId="66FB63D8" w14:textId="69334F85" w:rsidR="00937AAA" w:rsidRPr="00EF1A84" w:rsidRDefault="00937AAA" w:rsidP="00E44F56">
            <w:pPr>
              <w:rPr>
                <w:sz w:val="22"/>
                <w:szCs w:val="22"/>
              </w:rPr>
            </w:pPr>
            <w:r w:rsidRPr="00EF1A84">
              <w:rPr>
                <w:sz w:val="22"/>
                <w:szCs w:val="22"/>
              </w:rPr>
              <w:t>Strengthen surveillance, preparedness and resilient health systems</w:t>
            </w:r>
          </w:p>
        </w:tc>
      </w:tr>
      <w:tr w:rsidR="00937AAA" w:rsidRPr="00937AAA" w14:paraId="108411A4" w14:textId="77777777" w:rsidTr="00FC4DF6">
        <w:tc>
          <w:tcPr>
            <w:tcW w:w="2972" w:type="dxa"/>
            <w:vMerge/>
            <w:vAlign w:val="center"/>
            <w:hideMark/>
          </w:tcPr>
          <w:p w14:paraId="04EE319A" w14:textId="77777777" w:rsidR="00937AAA" w:rsidRPr="00EF1A84" w:rsidRDefault="00937AAA" w:rsidP="00E44F56">
            <w:pPr>
              <w:rPr>
                <w:b/>
                <w:bCs/>
                <w:sz w:val="22"/>
                <w:szCs w:val="22"/>
              </w:rPr>
            </w:pPr>
          </w:p>
        </w:tc>
        <w:tc>
          <w:tcPr>
            <w:tcW w:w="6514" w:type="dxa"/>
            <w:vAlign w:val="center"/>
            <w:hideMark/>
          </w:tcPr>
          <w:p w14:paraId="40F19F96" w14:textId="42DF55D2" w:rsidR="00937AAA" w:rsidRPr="00EF1A84" w:rsidRDefault="00937AAA" w:rsidP="00E44F56">
            <w:pPr>
              <w:rPr>
                <w:sz w:val="22"/>
                <w:szCs w:val="22"/>
              </w:rPr>
            </w:pPr>
            <w:r w:rsidRPr="00EF1A84">
              <w:rPr>
                <w:sz w:val="22"/>
                <w:szCs w:val="22"/>
              </w:rPr>
              <w:t>Integrate environmental determinants with prevention and equity</w:t>
            </w:r>
          </w:p>
        </w:tc>
      </w:tr>
      <w:tr w:rsidR="00937AAA" w:rsidRPr="00937AAA" w14:paraId="176348DA" w14:textId="77777777" w:rsidTr="00FC4DF6">
        <w:tc>
          <w:tcPr>
            <w:tcW w:w="2972" w:type="dxa"/>
            <w:vMerge w:val="restart"/>
            <w:vAlign w:val="center"/>
            <w:hideMark/>
          </w:tcPr>
          <w:p w14:paraId="35A57361" w14:textId="77777777" w:rsidR="00937AAA" w:rsidRPr="00EF1A84" w:rsidRDefault="00937AAA" w:rsidP="00E44F56">
            <w:pPr>
              <w:rPr>
                <w:b/>
                <w:bCs/>
                <w:sz w:val="22"/>
                <w:szCs w:val="22"/>
              </w:rPr>
            </w:pPr>
            <w:r w:rsidRPr="00EF1A84">
              <w:rPr>
                <w:b/>
                <w:bCs/>
                <w:sz w:val="22"/>
                <w:szCs w:val="22"/>
              </w:rPr>
              <w:t>Workforce sustainability, capability and career pathways</w:t>
            </w:r>
          </w:p>
        </w:tc>
        <w:tc>
          <w:tcPr>
            <w:tcW w:w="6514" w:type="dxa"/>
            <w:vAlign w:val="center"/>
            <w:hideMark/>
          </w:tcPr>
          <w:p w14:paraId="27482FEC" w14:textId="5A3EE402" w:rsidR="00937AAA" w:rsidRPr="00EF1A84" w:rsidRDefault="00937AAA" w:rsidP="00E44F56">
            <w:pPr>
              <w:rPr>
                <w:sz w:val="22"/>
                <w:szCs w:val="22"/>
              </w:rPr>
            </w:pPr>
            <w:r w:rsidRPr="00EF1A84">
              <w:rPr>
                <w:sz w:val="22"/>
                <w:szCs w:val="22"/>
              </w:rPr>
              <w:t>Support clinician-researchers and embedded research roles</w:t>
            </w:r>
          </w:p>
        </w:tc>
      </w:tr>
      <w:tr w:rsidR="00937AAA" w:rsidRPr="00937AAA" w14:paraId="6CAE53CE" w14:textId="77777777" w:rsidTr="00FC4DF6">
        <w:tc>
          <w:tcPr>
            <w:tcW w:w="2972" w:type="dxa"/>
            <w:vMerge/>
            <w:vAlign w:val="center"/>
            <w:hideMark/>
          </w:tcPr>
          <w:p w14:paraId="56EE9E0C" w14:textId="77777777" w:rsidR="00937AAA" w:rsidRPr="00EF1A84" w:rsidRDefault="00937AAA" w:rsidP="00E44F56">
            <w:pPr>
              <w:rPr>
                <w:b/>
                <w:bCs/>
                <w:sz w:val="22"/>
                <w:szCs w:val="22"/>
              </w:rPr>
            </w:pPr>
          </w:p>
        </w:tc>
        <w:tc>
          <w:tcPr>
            <w:tcW w:w="6514" w:type="dxa"/>
            <w:vAlign w:val="center"/>
            <w:hideMark/>
          </w:tcPr>
          <w:p w14:paraId="1B321DCF" w14:textId="48819B81" w:rsidR="00937AAA" w:rsidRPr="00EF1A84" w:rsidRDefault="00937AAA" w:rsidP="00E44F56">
            <w:pPr>
              <w:rPr>
                <w:sz w:val="22"/>
                <w:szCs w:val="22"/>
              </w:rPr>
            </w:pPr>
            <w:r w:rsidRPr="00EF1A84">
              <w:rPr>
                <w:sz w:val="22"/>
                <w:szCs w:val="22"/>
              </w:rPr>
              <w:t>Strengthen early- and mid-career researcher pathways</w:t>
            </w:r>
          </w:p>
        </w:tc>
      </w:tr>
      <w:tr w:rsidR="00937AAA" w:rsidRPr="00937AAA" w14:paraId="749E7D1F" w14:textId="77777777" w:rsidTr="00FC4DF6">
        <w:tc>
          <w:tcPr>
            <w:tcW w:w="2972" w:type="dxa"/>
            <w:vMerge/>
            <w:vAlign w:val="center"/>
            <w:hideMark/>
          </w:tcPr>
          <w:p w14:paraId="76D1FC38" w14:textId="77777777" w:rsidR="00937AAA" w:rsidRPr="00EF1A84" w:rsidRDefault="00937AAA" w:rsidP="00E44F56">
            <w:pPr>
              <w:rPr>
                <w:b/>
                <w:bCs/>
                <w:sz w:val="22"/>
                <w:szCs w:val="22"/>
              </w:rPr>
            </w:pPr>
          </w:p>
        </w:tc>
        <w:tc>
          <w:tcPr>
            <w:tcW w:w="6514" w:type="dxa"/>
            <w:vAlign w:val="center"/>
            <w:hideMark/>
          </w:tcPr>
          <w:p w14:paraId="70C5F03E" w14:textId="7CB64CE4" w:rsidR="00937AAA" w:rsidRPr="00EF1A84" w:rsidRDefault="00937AAA" w:rsidP="00E44F56">
            <w:pPr>
              <w:rPr>
                <w:sz w:val="22"/>
                <w:szCs w:val="22"/>
              </w:rPr>
            </w:pPr>
            <w:r w:rsidRPr="00EF1A84">
              <w:rPr>
                <w:sz w:val="22"/>
                <w:szCs w:val="22"/>
              </w:rPr>
              <w:t>Support rural, regional, multidisciplinary and under-represented researchers</w:t>
            </w:r>
          </w:p>
        </w:tc>
      </w:tr>
      <w:tr w:rsidR="00937AAA" w:rsidRPr="00937AAA" w14:paraId="2448418F" w14:textId="77777777" w:rsidTr="00FC4DF6">
        <w:tc>
          <w:tcPr>
            <w:tcW w:w="2972" w:type="dxa"/>
            <w:vMerge w:val="restart"/>
            <w:vAlign w:val="center"/>
            <w:hideMark/>
          </w:tcPr>
          <w:p w14:paraId="7F32FF2D" w14:textId="77777777" w:rsidR="00937AAA" w:rsidRPr="00EF1A84" w:rsidRDefault="00937AAA" w:rsidP="00E44F56">
            <w:pPr>
              <w:rPr>
                <w:b/>
                <w:bCs/>
                <w:sz w:val="22"/>
                <w:szCs w:val="22"/>
              </w:rPr>
            </w:pPr>
            <w:r w:rsidRPr="00EF1A84">
              <w:rPr>
                <w:b/>
                <w:bCs/>
                <w:sz w:val="22"/>
                <w:szCs w:val="22"/>
              </w:rPr>
              <w:lastRenderedPageBreak/>
              <w:t>Partnership, consumer and community leadership</w:t>
            </w:r>
          </w:p>
        </w:tc>
        <w:tc>
          <w:tcPr>
            <w:tcW w:w="6514" w:type="dxa"/>
            <w:vAlign w:val="center"/>
            <w:hideMark/>
          </w:tcPr>
          <w:p w14:paraId="6274575C" w14:textId="2E972943" w:rsidR="00937AAA" w:rsidRPr="00EF1A84" w:rsidRDefault="00937AAA" w:rsidP="00E44F56">
            <w:pPr>
              <w:rPr>
                <w:sz w:val="22"/>
                <w:szCs w:val="22"/>
              </w:rPr>
            </w:pPr>
            <w:r w:rsidRPr="00EF1A84">
              <w:rPr>
                <w:sz w:val="22"/>
                <w:szCs w:val="22"/>
              </w:rPr>
              <w:t>Embed patient, consumer and lived-experience involvement</w:t>
            </w:r>
          </w:p>
        </w:tc>
      </w:tr>
      <w:tr w:rsidR="00937AAA" w:rsidRPr="00937AAA" w14:paraId="029193D6" w14:textId="77777777" w:rsidTr="00FC4DF6">
        <w:tc>
          <w:tcPr>
            <w:tcW w:w="2972" w:type="dxa"/>
            <w:vMerge/>
            <w:vAlign w:val="center"/>
            <w:hideMark/>
          </w:tcPr>
          <w:p w14:paraId="0307DC53" w14:textId="77777777" w:rsidR="00937AAA" w:rsidRPr="00EF1A84" w:rsidRDefault="00937AAA" w:rsidP="00E44F56">
            <w:pPr>
              <w:rPr>
                <w:b/>
                <w:bCs/>
                <w:sz w:val="22"/>
                <w:szCs w:val="22"/>
              </w:rPr>
            </w:pPr>
          </w:p>
        </w:tc>
        <w:tc>
          <w:tcPr>
            <w:tcW w:w="6514" w:type="dxa"/>
            <w:vAlign w:val="center"/>
            <w:hideMark/>
          </w:tcPr>
          <w:p w14:paraId="5F9C19AB" w14:textId="19FAA05F" w:rsidR="00937AAA" w:rsidRPr="00EF1A84" w:rsidRDefault="00937AAA" w:rsidP="00E44F56">
            <w:pPr>
              <w:rPr>
                <w:sz w:val="22"/>
                <w:szCs w:val="22"/>
              </w:rPr>
            </w:pPr>
            <w:r w:rsidRPr="00EF1A84">
              <w:rPr>
                <w:sz w:val="22"/>
                <w:szCs w:val="22"/>
              </w:rPr>
              <w:t>Build partnerships across sectors, jurisdictions, industry and philanthropy</w:t>
            </w:r>
          </w:p>
        </w:tc>
      </w:tr>
    </w:tbl>
    <w:bookmarkEnd w:id="2"/>
    <w:p w14:paraId="15B14F80" w14:textId="53421CEF" w:rsidR="00C20CF0" w:rsidRDefault="00150896" w:rsidP="003E4818">
      <w:pPr>
        <w:spacing w:before="240"/>
        <w:ind w:right="-427"/>
      </w:pPr>
      <w:r w:rsidRPr="00150896">
        <w:t>A</w:t>
      </w:r>
      <w:r w:rsidR="005C6AB7">
        <w:t xml:space="preserve">MRAB </w:t>
      </w:r>
      <w:r w:rsidR="000272C1">
        <w:t xml:space="preserve">systemically reviewed </w:t>
      </w:r>
      <w:r w:rsidR="005C6AB7">
        <w:t xml:space="preserve">all </w:t>
      </w:r>
      <w:r w:rsidR="000272C1">
        <w:t xml:space="preserve">consultation </w:t>
      </w:r>
      <w:r w:rsidR="005C6AB7">
        <w:t>feedback</w:t>
      </w:r>
      <w:r w:rsidR="000272C1">
        <w:t xml:space="preserve">, considered proposed wording changes, and </w:t>
      </w:r>
      <w:r w:rsidR="000272C1" w:rsidRPr="000272C1">
        <w:t>discussed potential amendments and refinements</w:t>
      </w:r>
      <w:r w:rsidR="005C6AB7">
        <w:t xml:space="preserve"> </w:t>
      </w:r>
      <w:r w:rsidR="000272C1">
        <w:t>before</w:t>
      </w:r>
      <w:r w:rsidR="005C6AB7">
        <w:t xml:space="preserve"> finalising the </w:t>
      </w:r>
      <w:r w:rsidRPr="00150896">
        <w:t>Strategy and Priorities</w:t>
      </w:r>
      <w:r w:rsidR="000272C1">
        <w:t xml:space="preserve">. In doing so, </w:t>
      </w:r>
      <w:r w:rsidR="000272C1" w:rsidRPr="000272C1">
        <w:t>AMRAB assessed the evidence and differing stakeholder perspectives before agreeing changes to strengthen the clarity, scope and strategic intent of the final Strategy and Priorities</w:t>
      </w:r>
      <w:r w:rsidR="000272C1">
        <w:t>.</w:t>
      </w:r>
      <w:r w:rsidR="005C6AB7">
        <w:t xml:space="preserve"> </w:t>
      </w:r>
      <w:r w:rsidR="000272C1">
        <w:t>AMRAB</w:t>
      </w:r>
      <w:r w:rsidR="005C6AB7">
        <w:t xml:space="preserve"> thank</w:t>
      </w:r>
      <w:r w:rsidR="00C20AB5">
        <w:t>s</w:t>
      </w:r>
      <w:r w:rsidR="005C6AB7">
        <w:t xml:space="preserve"> all stakeholders for their valuable contributions. A comparison of the draft and final documents</w:t>
      </w:r>
      <w:r w:rsidRPr="00150896">
        <w:t xml:space="preserve"> including AMRAB’s comments on </w:t>
      </w:r>
      <w:r w:rsidR="005C6AB7">
        <w:t>how the documents evolved in response to feedback</w:t>
      </w:r>
      <w:r w:rsidRPr="00150896">
        <w:t xml:space="preserve"> is provided in </w:t>
      </w:r>
      <w:r w:rsidRPr="00150896">
        <w:rPr>
          <w:b/>
          <w:bCs/>
        </w:rPr>
        <w:t xml:space="preserve">Appendix </w:t>
      </w:r>
      <w:r w:rsidR="004B78DA">
        <w:rPr>
          <w:b/>
          <w:bCs/>
        </w:rPr>
        <w:t>B</w:t>
      </w:r>
      <w:r w:rsidRPr="00150896">
        <w:t>.</w:t>
      </w:r>
    </w:p>
    <w:p w14:paraId="183CBEBF" w14:textId="2DFD60C4" w:rsidR="00F73060" w:rsidRPr="00450FEC" w:rsidRDefault="00C20CF0" w:rsidP="003E4818">
      <w:pPr>
        <w:ind w:right="-143"/>
      </w:pPr>
      <w:r w:rsidRPr="00C20CF0">
        <w:t>While the</w:t>
      </w:r>
      <w:r>
        <w:t xml:space="preserve"> above</w:t>
      </w:r>
      <w:r w:rsidRPr="00C20CF0">
        <w:t xml:space="preserve"> key themes </w:t>
      </w:r>
      <w:r w:rsidR="00C20AB5" w:rsidRPr="00C20CF0">
        <w:t>summarise</w:t>
      </w:r>
      <w:r w:rsidR="00C20AB5">
        <w:t xml:space="preserve"> </w:t>
      </w:r>
      <w:r w:rsidRPr="00C20CF0">
        <w:t xml:space="preserve">the main issues raised through consultation, some </w:t>
      </w:r>
      <w:r w:rsidR="00EE147E">
        <w:t xml:space="preserve">include activities and policies that are already in </w:t>
      </w:r>
      <w:r w:rsidR="002B0777">
        <w:t>effect. In addition, some</w:t>
      </w:r>
      <w:r w:rsidR="00EE147E">
        <w:t xml:space="preserve"> </w:t>
      </w:r>
      <w:r w:rsidR="002B0777">
        <w:t>themes were</w:t>
      </w:r>
      <w:r w:rsidRPr="00C20CF0">
        <w:t xml:space="preserve"> </w:t>
      </w:r>
      <w:r w:rsidR="002B0777">
        <w:t>beyond</w:t>
      </w:r>
      <w:r w:rsidR="002B0777" w:rsidRPr="00C20CF0">
        <w:t xml:space="preserve"> </w:t>
      </w:r>
      <w:r w:rsidRPr="00C20CF0">
        <w:t xml:space="preserve">the scope or level of detail </w:t>
      </w:r>
      <w:r w:rsidR="002B0777">
        <w:t>required for the</w:t>
      </w:r>
      <w:r w:rsidRPr="00C20CF0">
        <w:t xml:space="preserve"> MRFF Strategy and Priorities. These matters will be considered </w:t>
      </w:r>
      <w:r w:rsidR="002B0777">
        <w:t xml:space="preserve">by AMRAB </w:t>
      </w:r>
      <w:r w:rsidRPr="00C20CF0">
        <w:t xml:space="preserve">as part of </w:t>
      </w:r>
      <w:r w:rsidR="002B0777">
        <w:t xml:space="preserve">the ongoing </w:t>
      </w:r>
      <w:r w:rsidRPr="00C20CF0">
        <w:t>implementation</w:t>
      </w:r>
      <w:r w:rsidR="002B0777">
        <w:t xml:space="preserve"> of the MRFF Strategy and Priorities</w:t>
      </w:r>
      <w:r w:rsidRPr="00C20CF0">
        <w:t xml:space="preserve">, including through future MRFF </w:t>
      </w:r>
      <w:r w:rsidR="002B0777">
        <w:t xml:space="preserve">policies and </w:t>
      </w:r>
      <w:r w:rsidRPr="00C20CF0">
        <w:t>grant opportunity design</w:t>
      </w:r>
      <w:r w:rsidR="005C6AB7">
        <w:t>.</w:t>
      </w:r>
      <w:r w:rsidR="00150896" w:rsidRPr="00150896">
        <w:br w:type="page"/>
      </w:r>
    </w:p>
    <w:p w14:paraId="4A5EEE04" w14:textId="77777777" w:rsidR="00863E8C" w:rsidRPr="00450FEC" w:rsidRDefault="00863E8C" w:rsidP="00E44F56">
      <w:pPr>
        <w:pStyle w:val="Heading1"/>
      </w:pPr>
      <w:bookmarkStart w:id="21" w:name="_Toc240020505"/>
      <w:bookmarkStart w:id="22" w:name="_Toc242788136"/>
      <w:r w:rsidRPr="00450FEC">
        <w:lastRenderedPageBreak/>
        <w:t xml:space="preserve">Appendix </w:t>
      </w:r>
      <w:r>
        <w:t>A</w:t>
      </w:r>
      <w:r w:rsidRPr="00450FEC">
        <w:t xml:space="preserve">: </w:t>
      </w:r>
      <w:r w:rsidRPr="002C5762">
        <w:t>Targeted Roundtable</w:t>
      </w:r>
      <w:r>
        <w:t xml:space="preserve"> Discussion Summary</w:t>
      </w:r>
      <w:bookmarkEnd w:id="21"/>
      <w:bookmarkEnd w:id="22"/>
    </w:p>
    <w:p w14:paraId="0AE6DA5E" w14:textId="77777777" w:rsidR="007245D6" w:rsidRDefault="007245D6" w:rsidP="00E44F56">
      <w:pPr>
        <w:rPr>
          <w:kern w:val="2"/>
          <w14:ligatures w14:val="standardContextual"/>
        </w:rPr>
      </w:pPr>
      <w:r>
        <w:t>AMRAB undertook proactive targeted engagement with key stakeholders throughout the consultation process, drawing on members’ networks, existing meetings and established expert advisory channels. A targeted roundtable was held on 4 September 2026 with representatives from NHMRC-MRFF joint advisory committees, including:</w:t>
      </w:r>
    </w:p>
    <w:p w14:paraId="46D9973E" w14:textId="77777777" w:rsidR="008D3708" w:rsidRPr="008D3708" w:rsidRDefault="008D3708" w:rsidP="0050767E">
      <w:pPr>
        <w:pStyle w:val="ListParagraph"/>
        <w:numPr>
          <w:ilvl w:val="0"/>
          <w:numId w:val="11"/>
        </w:numPr>
      </w:pPr>
      <w:hyperlink r:id="rId18" w:tooltip="Consumer Advisory Group 2024–2027" w:history="1">
        <w:r w:rsidRPr="008D3708">
          <w:rPr>
            <w:rStyle w:val="Hyperlink"/>
          </w:rPr>
          <w:t>NHMRC-MRFF Consumer Advisory Group</w:t>
        </w:r>
      </w:hyperlink>
    </w:p>
    <w:p w14:paraId="248C0236" w14:textId="77777777" w:rsidR="008D3708" w:rsidRPr="008D3708" w:rsidRDefault="008D3708" w:rsidP="0050767E">
      <w:pPr>
        <w:pStyle w:val="ListParagraph"/>
        <w:numPr>
          <w:ilvl w:val="0"/>
          <w:numId w:val="11"/>
        </w:numPr>
      </w:pPr>
      <w:hyperlink r:id="rId19" w:tooltip="Indigenous Advisory Group 2024–2027" w:history="1">
        <w:r w:rsidRPr="008D3708">
          <w:rPr>
            <w:rStyle w:val="Hyperlink"/>
          </w:rPr>
          <w:t>NHMRC-MRFF Indigenous Advisory Group</w:t>
        </w:r>
      </w:hyperlink>
    </w:p>
    <w:p w14:paraId="2A3D9F8B" w14:textId="77777777" w:rsidR="008D3708" w:rsidRPr="008D3708" w:rsidRDefault="008D3708" w:rsidP="0050767E">
      <w:pPr>
        <w:pStyle w:val="ListParagraph"/>
        <w:numPr>
          <w:ilvl w:val="0"/>
          <w:numId w:val="11"/>
        </w:numPr>
      </w:pPr>
      <w:hyperlink r:id="rId20" w:tooltip="Public Health and Health Systems Committee 2024–2027" w:history="1">
        <w:r w:rsidRPr="008D3708">
          <w:rPr>
            <w:rStyle w:val="Hyperlink"/>
          </w:rPr>
          <w:t>NHMRC-MRFF Public Health and Health Systems Committee</w:t>
        </w:r>
      </w:hyperlink>
    </w:p>
    <w:p w14:paraId="5AADE65C" w14:textId="789FA0F4" w:rsidR="008D3708" w:rsidRPr="008D3708" w:rsidRDefault="008D3708" w:rsidP="00216482">
      <w:pPr>
        <w:pStyle w:val="ListParagraph"/>
        <w:numPr>
          <w:ilvl w:val="0"/>
          <w:numId w:val="11"/>
        </w:numPr>
        <w:spacing w:after="120"/>
      </w:pPr>
      <w:hyperlink r:id="rId21" w:tooltip="Industry, Philanthropy and Commercialisation Committee 2024–2027" w:history="1">
        <w:r w:rsidRPr="008D3708">
          <w:rPr>
            <w:rStyle w:val="Hyperlink"/>
          </w:rPr>
          <w:t>NHMRC-MRFF Industry, Commercialisation and Philanthropy Committee</w:t>
        </w:r>
      </w:hyperlink>
      <w:r w:rsidR="002C5762" w:rsidRPr="008D3708">
        <w:t>.</w:t>
      </w:r>
    </w:p>
    <w:p w14:paraId="607E38B3" w14:textId="3A73C74D" w:rsidR="00E60C07" w:rsidRDefault="008D3708" w:rsidP="005E0D97">
      <w:pPr>
        <w:ind w:right="-285"/>
      </w:pPr>
      <w:r>
        <w:t>T</w:t>
      </w:r>
      <w:r w:rsidR="002C5762" w:rsidRPr="002C5762">
        <w:t>he discussion</w:t>
      </w:r>
      <w:r w:rsidR="00D34B0C">
        <w:t xml:space="preserve"> </w:t>
      </w:r>
      <w:r w:rsidR="002C5762" w:rsidRPr="002C5762">
        <w:t>sought feedback on the draft MRFF Strategy and Priorities and tested whether the proposed strategic direction aligned with issues being identified across health and medical research.</w:t>
      </w:r>
    </w:p>
    <w:p w14:paraId="19464B28" w14:textId="06B1A0E1" w:rsidR="00E60C07" w:rsidRDefault="00E60C07" w:rsidP="003E4818">
      <w:pPr>
        <w:ind w:right="-427"/>
      </w:pPr>
      <w:r w:rsidRPr="00E60C07">
        <w:t xml:space="preserve">Participants broadly supported the proposed </w:t>
      </w:r>
      <w:r w:rsidR="008A3245">
        <w:t>V</w:t>
      </w:r>
      <w:r w:rsidRPr="00E60C07">
        <w:t xml:space="preserve">ision, </w:t>
      </w:r>
      <w:r w:rsidR="008A3245">
        <w:t>S</w:t>
      </w:r>
      <w:r w:rsidRPr="00E60C07">
        <w:t xml:space="preserve">trategic </w:t>
      </w:r>
      <w:r w:rsidR="008A3245">
        <w:t>O</w:t>
      </w:r>
      <w:r w:rsidRPr="00E60C07">
        <w:t>bjectives,</w:t>
      </w:r>
      <w:r w:rsidR="008A3245">
        <w:t xml:space="preserve"> C</w:t>
      </w:r>
      <w:r w:rsidRPr="00E60C07">
        <w:t xml:space="preserve">ross-cutting </w:t>
      </w:r>
      <w:r w:rsidR="008A3245">
        <w:t>P</w:t>
      </w:r>
      <w:r w:rsidRPr="00E60C07">
        <w:t xml:space="preserve">rinciples and </w:t>
      </w:r>
      <w:r w:rsidR="008A3245">
        <w:t>P</w:t>
      </w:r>
      <w:r w:rsidRPr="00E60C07">
        <w:t>riorities. Discussion largely focused on opportunities to strengthen implementation, collaboration and impact while maintaining the strategic focus of the documents</w:t>
      </w:r>
      <w:r>
        <w:t>.</w:t>
      </w:r>
      <w:r w:rsidR="00A00B31">
        <w:t xml:space="preserve"> Key themes of the discussion are summarised below.</w:t>
      </w:r>
    </w:p>
    <w:p w14:paraId="49909BE2" w14:textId="03D821BB" w:rsidR="008A3245" w:rsidRPr="001A4435" w:rsidRDefault="008A3245" w:rsidP="00E44F56">
      <w:pPr>
        <w:rPr>
          <w:b/>
          <w:bCs/>
        </w:rPr>
      </w:pPr>
      <w:r w:rsidRPr="001A4435">
        <w:rPr>
          <w:b/>
          <w:bCs/>
        </w:rPr>
        <w:t>1. Strengthening Consumer and Community Voice</w:t>
      </w:r>
    </w:p>
    <w:p w14:paraId="4BB91ADF" w14:textId="77777777" w:rsidR="008A3245" w:rsidRDefault="008A3245" w:rsidP="005E0D97">
      <w:pPr>
        <w:ind w:right="-2"/>
      </w:pPr>
      <w:r w:rsidRPr="008A3245">
        <w:t>Participants emphasised the importance of ensuring consumers and people with lived experience have meaningful opportunities to influence research priorities. There was strong support for maintaining accessible pathways that enable community-led ideas and priorities to inform future funding decisions, particularly for individuals and groups without established links to research institutions.</w:t>
      </w:r>
    </w:p>
    <w:p w14:paraId="2CEC6190" w14:textId="04CAF7BC" w:rsidR="00863E8C" w:rsidRPr="00F35176" w:rsidRDefault="00863E8C" w:rsidP="00E44F56">
      <w:pPr>
        <w:rPr>
          <w:b/>
          <w:bCs/>
        </w:rPr>
      </w:pPr>
      <w:r w:rsidRPr="00F35176">
        <w:rPr>
          <w:b/>
          <w:bCs/>
        </w:rPr>
        <w:t xml:space="preserve">2. Aboriginal and Torres Strait Islander health </w:t>
      </w:r>
      <w:r w:rsidR="003039FB" w:rsidRPr="00F35176">
        <w:rPr>
          <w:b/>
          <w:bCs/>
        </w:rPr>
        <w:t>and wellbeing</w:t>
      </w:r>
    </w:p>
    <w:p w14:paraId="2D7FF6B5" w14:textId="798E8DCF" w:rsidR="00863E8C" w:rsidRPr="008A3245" w:rsidRDefault="00863E8C" w:rsidP="00E44F56">
      <w:r w:rsidRPr="00863E8C">
        <w:t>Participants supported the emphasis on Aboriginal and Torres Strait Islander community-governed and directed research and highlighted the importance of maintaining a strong focus on health equity. Feedback emphasised the need to support Aboriginal and Torres Strait Islander leadership across the research cycle, strengthen research capability and workforce pathways, and ensure research priorities align with community-identified needs and policies. Participants encouraged approaches that support adaptation and scaling of successful interventions across communities while maintaining local relevance.</w:t>
      </w:r>
    </w:p>
    <w:p w14:paraId="1748BAD3" w14:textId="295E9DF2" w:rsidR="008A3245" w:rsidRPr="005E0D97" w:rsidRDefault="00863E8C" w:rsidP="00E44F56">
      <w:pPr>
        <w:rPr>
          <w:b/>
          <w:bCs/>
        </w:rPr>
      </w:pPr>
      <w:r w:rsidRPr="005E0D97">
        <w:rPr>
          <w:b/>
          <w:bCs/>
        </w:rPr>
        <w:t>3</w:t>
      </w:r>
      <w:r w:rsidR="008A3245" w:rsidRPr="005E0D97">
        <w:rPr>
          <w:b/>
          <w:bCs/>
        </w:rPr>
        <w:t>. Demonstrating Research Impact and Building Public Trust</w:t>
      </w:r>
    </w:p>
    <w:p w14:paraId="5C33F403" w14:textId="77777777" w:rsidR="008A3245" w:rsidRDefault="008A3245" w:rsidP="00E44F56">
      <w:r w:rsidRPr="008A3245">
        <w:t>A consistent theme was the need to better communicate the value and outcomes of health and medical research. Participants highlighted the importance of sharing success stories, demonstrating real-world impact, and improving public understanding of how research contributes to better health outcomes. Clear communication was seen as critical to building trust and maintaining community support for research investment.</w:t>
      </w:r>
    </w:p>
    <w:p w14:paraId="4276321D" w14:textId="77777777" w:rsidR="00FE018A" w:rsidRDefault="00863E8C" w:rsidP="00E44F56">
      <w:pPr>
        <w:rPr>
          <w:b/>
          <w:bCs/>
        </w:rPr>
      </w:pPr>
      <w:r>
        <w:rPr>
          <w:b/>
          <w:bCs/>
        </w:rPr>
        <w:t xml:space="preserve">4. </w:t>
      </w:r>
      <w:r w:rsidRPr="00863E8C">
        <w:rPr>
          <w:b/>
          <w:bCs/>
        </w:rPr>
        <w:t>Embedding Research in Health Systems</w:t>
      </w:r>
    </w:p>
    <w:p w14:paraId="78EC9080" w14:textId="4B6D4DC3" w:rsidR="00863E8C" w:rsidRPr="00863E8C" w:rsidRDefault="00863E8C" w:rsidP="00E44F56">
      <w:r w:rsidRPr="00863E8C">
        <w:t>Participants emphasised the importance of creating learning health systems that integrate research into healthcare delivery and service improvement. Research capability within health services, including clinician researchers, implementation specialists</w:t>
      </w:r>
      <w:r w:rsidR="003039FB">
        <w:t xml:space="preserve">, </w:t>
      </w:r>
      <w:r w:rsidRPr="00863E8C">
        <w:t>data</w:t>
      </w:r>
      <w:r w:rsidR="003039FB">
        <w:t xml:space="preserve"> scientists and </w:t>
      </w:r>
      <w:r w:rsidR="003039FB">
        <w:lastRenderedPageBreak/>
        <w:t>experts from a diverse range of disciplines</w:t>
      </w:r>
      <w:r w:rsidRPr="00863E8C">
        <w:t>, was viewed as critical to accelerating the generation and uptake of evidence and improving health outcomes. Participants highlighted opportunities to strengthen research culture, workforce capability and collaboration across healthcare settings.</w:t>
      </w:r>
      <w:r w:rsidR="004A1E21" w:rsidRPr="004A1E21">
        <w:rPr>
          <w:rFonts w:ascii="Segoe UI" w:hAnsi="Segoe UI" w:cs="Segoe UI"/>
          <w:sz w:val="21"/>
          <w:szCs w:val="21"/>
        </w:rPr>
        <w:t xml:space="preserve"> </w:t>
      </w:r>
      <w:r w:rsidR="004A1E21" w:rsidRPr="004A1E21">
        <w:t>Participants also highlighted the importance of developing a future-ready workforce</w:t>
      </w:r>
      <w:r w:rsidR="003039FB">
        <w:t xml:space="preserve"> across a diverse expertise and </w:t>
      </w:r>
      <w:r w:rsidR="004A1E21" w:rsidRPr="004A1E21">
        <w:t>capabilities to support research excellence and translation.</w:t>
      </w:r>
    </w:p>
    <w:p w14:paraId="5024FC3E" w14:textId="2DDE13F3" w:rsidR="008A3245" w:rsidRPr="00FE018A" w:rsidRDefault="00863E8C" w:rsidP="00E44F56">
      <w:pPr>
        <w:rPr>
          <w:b/>
          <w:bCs/>
        </w:rPr>
      </w:pPr>
      <w:r w:rsidRPr="00FE018A">
        <w:rPr>
          <w:b/>
          <w:bCs/>
        </w:rPr>
        <w:t>5</w:t>
      </w:r>
      <w:r w:rsidR="008A3245" w:rsidRPr="00FE018A">
        <w:rPr>
          <w:b/>
          <w:bCs/>
        </w:rPr>
        <w:t>. Supporting the Full Research Pipeline</w:t>
      </w:r>
    </w:p>
    <w:p w14:paraId="35EDB89B" w14:textId="77777777" w:rsidR="008A3245" w:rsidRPr="008A3245" w:rsidRDefault="008A3245" w:rsidP="00E44F56">
      <w:r w:rsidRPr="008A3245">
        <w:t>Participants recognised the importance of maintaining a balanced investment approach across the entire research spectrum, from discovery research through to translation and implementation. Discussion acknowledged that some breakthroughs require sustained investment over many years, while other research can generate more immediate improvements in healthcare delivery and outcomes.</w:t>
      </w:r>
    </w:p>
    <w:p w14:paraId="7BCFE33A" w14:textId="3BB00C3F" w:rsidR="008A3245" w:rsidRPr="00FE018A" w:rsidRDefault="00863E8C" w:rsidP="00E44F56">
      <w:pPr>
        <w:rPr>
          <w:b/>
          <w:bCs/>
        </w:rPr>
      </w:pPr>
      <w:r w:rsidRPr="00FE018A">
        <w:rPr>
          <w:b/>
          <w:bCs/>
        </w:rPr>
        <w:t>6</w:t>
      </w:r>
      <w:r w:rsidR="008A3245" w:rsidRPr="00FE018A">
        <w:rPr>
          <w:b/>
          <w:bCs/>
        </w:rPr>
        <w:t>. Accelerating Translation, Implementation and Scale</w:t>
      </w:r>
    </w:p>
    <w:p w14:paraId="714D2EDD" w14:textId="77777777" w:rsidR="008A3245" w:rsidRPr="008A3245" w:rsidRDefault="008A3245" w:rsidP="00E44F56">
      <w:r w:rsidRPr="008A3245">
        <w:t>There was strong support for greater focus on translating research into practice and ensuring successful innovations are adopted more broadly. Participants highlighted the need to identify effective approaches, share lessons learned, and support implementation at scale to maximise benefits across communities and health systems.</w:t>
      </w:r>
    </w:p>
    <w:p w14:paraId="390BCBCC" w14:textId="6BD2A4DA" w:rsidR="008A3245" w:rsidRPr="00FE018A" w:rsidRDefault="00863E8C" w:rsidP="00E44F56">
      <w:pPr>
        <w:rPr>
          <w:b/>
          <w:bCs/>
        </w:rPr>
      </w:pPr>
      <w:r w:rsidRPr="00FE018A">
        <w:rPr>
          <w:b/>
          <w:bCs/>
        </w:rPr>
        <w:t>7</w:t>
      </w:r>
      <w:r w:rsidR="008A3245" w:rsidRPr="00FE018A">
        <w:rPr>
          <w:b/>
          <w:bCs/>
        </w:rPr>
        <w:t>. Fostering Collaboration and National Coordination</w:t>
      </w:r>
    </w:p>
    <w:p w14:paraId="471BC156" w14:textId="04CC0321" w:rsidR="004B78DA" w:rsidRDefault="00863E8C" w:rsidP="00FE018A">
      <w:r w:rsidRPr="00863E8C">
        <w:t>Participants emphasised the value of stronger coordination across the Australian research funding ecosystem, including the MRFF, NHMRC and ARC. Greater alignment was seen as an opportunity to reduce duplication, support multidisciplinary collaboration and promote coordinated national approaches to common challenges. Effective partnerships between consumers, researchers, funders, industry and health service providers were identified as important enablers of research translation, implementation and impact</w:t>
      </w:r>
      <w:r w:rsidR="008A3245" w:rsidRPr="008A3245">
        <w:t>.</w:t>
      </w:r>
    </w:p>
    <w:p w14:paraId="69157812" w14:textId="77777777" w:rsidR="00863E8C" w:rsidRPr="00863E8C" w:rsidRDefault="00863E8C" w:rsidP="00E44F56">
      <w:pPr>
        <w:sectPr w:rsidR="00863E8C" w:rsidRPr="00863E8C" w:rsidSect="00532D59">
          <w:headerReference w:type="even" r:id="rId22"/>
          <w:footerReference w:type="even" r:id="rId23"/>
          <w:footerReference w:type="default" r:id="rId24"/>
          <w:footerReference w:type="first" r:id="rId25"/>
          <w:pgSz w:w="11906" w:h="16838"/>
          <w:pgMar w:top="851" w:right="1276" w:bottom="851" w:left="1134" w:header="709" w:footer="420" w:gutter="0"/>
          <w:cols w:space="708"/>
          <w:titlePg/>
          <w:docGrid w:linePitch="360"/>
        </w:sectPr>
      </w:pPr>
    </w:p>
    <w:p w14:paraId="6C219854" w14:textId="55BBF763" w:rsidR="00F73060" w:rsidRDefault="00F73060" w:rsidP="00E44F56">
      <w:pPr>
        <w:pStyle w:val="Heading1"/>
      </w:pPr>
      <w:bookmarkStart w:id="23" w:name="_Toc242788137"/>
      <w:r w:rsidRPr="00450FEC">
        <w:lastRenderedPageBreak/>
        <w:t xml:space="preserve">Appendix </w:t>
      </w:r>
      <w:r w:rsidR="004B78DA">
        <w:t>B</w:t>
      </w:r>
      <w:r w:rsidRPr="00450FEC">
        <w:t xml:space="preserve">: </w:t>
      </w:r>
      <w:r w:rsidR="004B78DA" w:rsidRPr="004B78DA">
        <w:t>A comparison of the draft and final Strategy and Priorities</w:t>
      </w:r>
      <w:bookmarkEnd w:id="23"/>
      <w:r w:rsidR="0034257D">
        <w:t xml:space="preserve"> </w:t>
      </w:r>
      <w:r w:rsidR="00126011" w:rsidRPr="00450FEC">
        <w:t xml:space="preserve"> </w:t>
      </w:r>
    </w:p>
    <w:p w14:paraId="6DDF611E" w14:textId="4D7DD826" w:rsidR="0034257D" w:rsidRPr="0034257D" w:rsidRDefault="0034257D" w:rsidP="00E44F56">
      <w:pPr>
        <w:pStyle w:val="Caption"/>
      </w:pPr>
      <w:r>
        <w:t xml:space="preserve">Table </w:t>
      </w:r>
      <w:fldSimple w:instr=" SEQ Table \* ARABIC ">
        <w:r>
          <w:rPr>
            <w:noProof/>
          </w:rPr>
          <w:t>5</w:t>
        </w:r>
      </w:fldSimple>
      <w:r>
        <w:t xml:space="preserve">: </w:t>
      </w:r>
      <w:r w:rsidRPr="004B78DA">
        <w:t xml:space="preserve">A comparison of the draft and final Strategy and Priorities, including </w:t>
      </w:r>
      <w:r w:rsidR="008C7F40">
        <w:t>changes and comment</w:t>
      </w:r>
      <w:r w:rsidRPr="004B78DA">
        <w:t>s on how the documents evolved in response to consultation feedback</w:t>
      </w:r>
    </w:p>
    <w:tbl>
      <w:tblPr>
        <w:tblStyle w:val="TableGrid"/>
        <w:tblW w:w="0" w:type="auto"/>
        <w:tblLook w:val="04A0" w:firstRow="1" w:lastRow="0" w:firstColumn="1" w:lastColumn="0" w:noHBand="0" w:noVBand="1"/>
      </w:tblPr>
      <w:tblGrid>
        <w:gridCol w:w="2263"/>
        <w:gridCol w:w="4244"/>
        <w:gridCol w:w="4482"/>
        <w:gridCol w:w="4137"/>
      </w:tblGrid>
      <w:tr w:rsidR="008C7F40" w:rsidRPr="00F65772" w14:paraId="424AF038" w14:textId="3C9621B5" w:rsidTr="002723CA">
        <w:trPr>
          <w:tblHeader/>
        </w:trPr>
        <w:tc>
          <w:tcPr>
            <w:tcW w:w="2263" w:type="dxa"/>
            <w:vAlign w:val="center"/>
          </w:tcPr>
          <w:p w14:paraId="25779D04" w14:textId="53217F31" w:rsidR="008C7F40" w:rsidRPr="002723CA" w:rsidRDefault="008C7F40" w:rsidP="002723CA">
            <w:pPr>
              <w:spacing w:after="0"/>
              <w:rPr>
                <w:b/>
                <w:bCs/>
                <w:sz w:val="24"/>
                <w:szCs w:val="24"/>
              </w:rPr>
            </w:pPr>
            <w:r w:rsidRPr="002723CA">
              <w:rPr>
                <w:rFonts w:eastAsiaTheme="minorHAnsi"/>
                <w:b/>
                <w:bCs/>
                <w:sz w:val="24"/>
                <w:szCs w:val="24"/>
                <w:lang w:eastAsia="en-US"/>
              </w:rPr>
              <w:t xml:space="preserve">Document section </w:t>
            </w:r>
          </w:p>
        </w:tc>
        <w:tc>
          <w:tcPr>
            <w:tcW w:w="4244" w:type="dxa"/>
            <w:vAlign w:val="center"/>
          </w:tcPr>
          <w:p w14:paraId="78CF655C" w14:textId="0DF09F5A" w:rsidR="008C7F40" w:rsidRPr="00F65772" w:rsidRDefault="008C7F40" w:rsidP="002723CA">
            <w:pPr>
              <w:spacing w:after="0"/>
              <w:rPr>
                <w:b/>
                <w:bCs/>
                <w:sz w:val="24"/>
                <w:szCs w:val="24"/>
              </w:rPr>
            </w:pPr>
            <w:r w:rsidRPr="00F65772">
              <w:rPr>
                <w:b/>
                <w:bCs/>
                <w:sz w:val="24"/>
                <w:szCs w:val="24"/>
              </w:rPr>
              <w:t>Draft version</w:t>
            </w:r>
          </w:p>
        </w:tc>
        <w:tc>
          <w:tcPr>
            <w:tcW w:w="0" w:type="auto"/>
            <w:vAlign w:val="center"/>
          </w:tcPr>
          <w:p w14:paraId="4770827E" w14:textId="368B69DF" w:rsidR="008C7F40" w:rsidRPr="00F65772" w:rsidRDefault="008C7F40" w:rsidP="002723CA">
            <w:pPr>
              <w:spacing w:after="0"/>
              <w:rPr>
                <w:b/>
                <w:bCs/>
                <w:sz w:val="24"/>
                <w:szCs w:val="24"/>
              </w:rPr>
            </w:pPr>
            <w:r w:rsidRPr="00F65772">
              <w:rPr>
                <w:b/>
                <w:bCs/>
                <w:sz w:val="24"/>
                <w:szCs w:val="24"/>
              </w:rPr>
              <w:t>Final version</w:t>
            </w:r>
          </w:p>
        </w:tc>
        <w:tc>
          <w:tcPr>
            <w:tcW w:w="0" w:type="auto"/>
            <w:vAlign w:val="center"/>
          </w:tcPr>
          <w:p w14:paraId="6697EB0D" w14:textId="0D140FBF" w:rsidR="008C7F40" w:rsidRPr="00F65772" w:rsidRDefault="008C7F40" w:rsidP="002723CA">
            <w:pPr>
              <w:spacing w:after="0"/>
              <w:rPr>
                <w:b/>
                <w:bCs/>
                <w:sz w:val="24"/>
                <w:szCs w:val="24"/>
              </w:rPr>
            </w:pPr>
            <w:r w:rsidRPr="00F65772">
              <w:rPr>
                <w:b/>
                <w:bCs/>
                <w:sz w:val="24"/>
                <w:szCs w:val="24"/>
              </w:rPr>
              <w:t>Changes and response to consultation feedback</w:t>
            </w:r>
          </w:p>
        </w:tc>
      </w:tr>
      <w:tr w:rsidR="008C7F40" w:rsidRPr="00F65772" w14:paraId="453C6C4E" w14:textId="6D214ACE" w:rsidTr="003E7F34">
        <w:tc>
          <w:tcPr>
            <w:tcW w:w="0" w:type="auto"/>
            <w:gridSpan w:val="4"/>
            <w:vAlign w:val="center"/>
          </w:tcPr>
          <w:p w14:paraId="313FAF0F" w14:textId="7C1D40FF" w:rsidR="008C7F40" w:rsidRPr="002723CA" w:rsidRDefault="00E95310" w:rsidP="002723CA">
            <w:pPr>
              <w:spacing w:after="0"/>
              <w:jc w:val="center"/>
              <w:rPr>
                <w:b/>
                <w:bCs/>
                <w:sz w:val="24"/>
                <w:szCs w:val="24"/>
              </w:rPr>
            </w:pPr>
            <w:r w:rsidRPr="002723CA">
              <w:rPr>
                <w:b/>
                <w:bCs/>
                <w:sz w:val="24"/>
                <w:szCs w:val="24"/>
              </w:rPr>
              <w:t xml:space="preserve">MRFF </w:t>
            </w:r>
            <w:r w:rsidR="008C7F40" w:rsidRPr="002723CA">
              <w:rPr>
                <w:b/>
                <w:bCs/>
                <w:sz w:val="24"/>
                <w:szCs w:val="24"/>
              </w:rPr>
              <w:t>Strategy</w:t>
            </w:r>
          </w:p>
        </w:tc>
      </w:tr>
      <w:tr w:rsidR="008C7F40" w:rsidRPr="003E7F34" w14:paraId="6AE012B7" w14:textId="732B8D6A" w:rsidTr="002723CA">
        <w:tc>
          <w:tcPr>
            <w:tcW w:w="2263" w:type="dxa"/>
          </w:tcPr>
          <w:p w14:paraId="3A13D217" w14:textId="41EC0C6A" w:rsidR="008C7F40" w:rsidRPr="00083ACA" w:rsidRDefault="008C7F40" w:rsidP="002723CA">
            <w:pPr>
              <w:spacing w:after="0"/>
              <w:rPr>
                <w:b/>
                <w:bCs/>
                <w:sz w:val="22"/>
                <w:szCs w:val="22"/>
              </w:rPr>
            </w:pPr>
            <w:r w:rsidRPr="00083ACA">
              <w:rPr>
                <w:b/>
                <w:bCs/>
                <w:sz w:val="22"/>
                <w:szCs w:val="22"/>
              </w:rPr>
              <w:t>Statement of intent</w:t>
            </w:r>
          </w:p>
        </w:tc>
        <w:tc>
          <w:tcPr>
            <w:tcW w:w="4244" w:type="dxa"/>
          </w:tcPr>
          <w:p w14:paraId="256F8975" w14:textId="3572AB2F" w:rsidR="008C7F40" w:rsidRPr="00083ACA" w:rsidRDefault="008C7F40" w:rsidP="002723CA">
            <w:pPr>
              <w:spacing w:after="0"/>
              <w:rPr>
                <w:sz w:val="22"/>
                <w:szCs w:val="22"/>
              </w:rPr>
            </w:pPr>
            <w:r w:rsidRPr="00083ACA">
              <w:rPr>
                <w:sz w:val="22"/>
                <w:szCs w:val="22"/>
              </w:rPr>
              <w:t>A coordinated approach will span prevention, AI, digital health, precision medicine, advanced therapeutics, climate resilience, and mental health. This will enable learning health systems that respond and adapt to population health needs. The approach is designed to complement funding from the National Health and Medical Research Council (NHMRC) and other funders.</w:t>
            </w:r>
          </w:p>
        </w:tc>
        <w:tc>
          <w:tcPr>
            <w:tcW w:w="0" w:type="auto"/>
          </w:tcPr>
          <w:p w14:paraId="42F923D2" w14:textId="17C5ADFD" w:rsidR="008C7F40" w:rsidRPr="00083ACA" w:rsidRDefault="008C7F40" w:rsidP="002723CA">
            <w:pPr>
              <w:spacing w:after="0"/>
              <w:rPr>
                <w:sz w:val="22"/>
                <w:szCs w:val="22"/>
              </w:rPr>
            </w:pPr>
            <w:r w:rsidRPr="00083ACA">
              <w:rPr>
                <w:sz w:val="22"/>
                <w:szCs w:val="22"/>
              </w:rPr>
              <w:t>This coordinated approach is designed to complement funding from the National Health and Medical Research Council (NHMRC) and other funders.</w:t>
            </w:r>
          </w:p>
        </w:tc>
        <w:tc>
          <w:tcPr>
            <w:tcW w:w="0" w:type="auto"/>
          </w:tcPr>
          <w:p w14:paraId="68DD19D6" w14:textId="3817947C" w:rsidR="008C7F40" w:rsidRPr="00083ACA" w:rsidRDefault="008C7F40" w:rsidP="002723CA">
            <w:pPr>
              <w:spacing w:after="0"/>
              <w:rPr>
                <w:kern w:val="2"/>
                <w:sz w:val="22"/>
                <w:szCs w:val="22"/>
                <w14:ligatures w14:val="standardContextual"/>
              </w:rPr>
            </w:pPr>
            <w:r w:rsidRPr="00083ACA">
              <w:rPr>
                <w:sz w:val="22"/>
                <w:szCs w:val="22"/>
              </w:rPr>
              <w:t>References to specific areas, including prevention, AI, digital health, precision medicine, advanced therapeutics, climate resilience and mental health, were removed to maintain flexibility for future priority-setting and ensure the Strategy can respond to emerging health and medical research needs.</w:t>
            </w:r>
          </w:p>
        </w:tc>
      </w:tr>
      <w:tr w:rsidR="008C7F40" w:rsidRPr="003E7F34" w14:paraId="7E808CA6" w14:textId="05350A2D" w:rsidTr="002723CA">
        <w:tc>
          <w:tcPr>
            <w:tcW w:w="2263" w:type="dxa"/>
          </w:tcPr>
          <w:p w14:paraId="313AF81C" w14:textId="2CE2EF56" w:rsidR="008C7F40" w:rsidRPr="00083ACA" w:rsidRDefault="008C7F40" w:rsidP="002723CA">
            <w:pPr>
              <w:spacing w:after="0"/>
              <w:rPr>
                <w:b/>
                <w:bCs/>
                <w:sz w:val="22"/>
                <w:szCs w:val="22"/>
              </w:rPr>
            </w:pPr>
            <w:r w:rsidRPr="00083ACA">
              <w:rPr>
                <w:b/>
                <w:bCs/>
                <w:sz w:val="22"/>
                <w:szCs w:val="22"/>
              </w:rPr>
              <w:t>Strategic Objectives</w:t>
            </w:r>
          </w:p>
        </w:tc>
        <w:tc>
          <w:tcPr>
            <w:tcW w:w="4244" w:type="dxa"/>
          </w:tcPr>
          <w:p w14:paraId="3CC4CA6D" w14:textId="77777777" w:rsidR="008C7F40" w:rsidRPr="00083ACA" w:rsidRDefault="008C7F40" w:rsidP="00E14FDB">
            <w:pPr>
              <w:pStyle w:val="ListParagraph"/>
              <w:ind w:left="183" w:hanging="183"/>
              <w:rPr>
                <w:sz w:val="22"/>
                <w:szCs w:val="22"/>
              </w:rPr>
            </w:pPr>
            <w:r w:rsidRPr="00083ACA">
              <w:rPr>
                <w:sz w:val="22"/>
                <w:szCs w:val="22"/>
              </w:rPr>
              <w:t>A research-rich, data-enabled learning health system that continuously improves quality, efficiency, cultural safety, and equity</w:t>
            </w:r>
          </w:p>
          <w:p w14:paraId="3E4D06F0" w14:textId="598ACC19" w:rsidR="008C7F40" w:rsidRPr="00083ACA" w:rsidRDefault="008C7F40" w:rsidP="00E14FDB">
            <w:pPr>
              <w:pStyle w:val="ListParagraph"/>
              <w:ind w:left="183" w:hanging="183"/>
              <w:rPr>
                <w:sz w:val="22"/>
                <w:szCs w:val="22"/>
              </w:rPr>
            </w:pPr>
            <w:r w:rsidRPr="00083ACA">
              <w:rPr>
                <w:sz w:val="22"/>
                <w:szCs w:val="22"/>
              </w:rPr>
              <w:t>End-to-end translation of discoveries and innovation into real-world impact - building sovereign capability and delivering measurable health and economic benefits</w:t>
            </w:r>
          </w:p>
        </w:tc>
        <w:tc>
          <w:tcPr>
            <w:tcW w:w="0" w:type="auto"/>
          </w:tcPr>
          <w:p w14:paraId="1A18AC16" w14:textId="77777777" w:rsidR="008C7F40" w:rsidRPr="00083ACA" w:rsidRDefault="008C7F40" w:rsidP="00E14FDB">
            <w:pPr>
              <w:pStyle w:val="ListParagraph"/>
              <w:ind w:left="183" w:hanging="183"/>
              <w:rPr>
                <w:sz w:val="22"/>
                <w:szCs w:val="22"/>
              </w:rPr>
            </w:pPr>
            <w:r w:rsidRPr="00083ACA">
              <w:rPr>
                <w:sz w:val="22"/>
                <w:szCs w:val="22"/>
              </w:rPr>
              <w:t>A research-rich, data-enabled learning health system that continuously improves quality, efficiency, productivity, cultural safety, and equity</w:t>
            </w:r>
          </w:p>
          <w:p w14:paraId="2C100AF1" w14:textId="51A3F5C7" w:rsidR="008C7F40" w:rsidRPr="00083ACA" w:rsidRDefault="008C7F40" w:rsidP="00E14FDB">
            <w:pPr>
              <w:pStyle w:val="ListParagraph"/>
              <w:ind w:left="183" w:hanging="183"/>
              <w:rPr>
                <w:sz w:val="22"/>
                <w:szCs w:val="22"/>
              </w:rPr>
            </w:pPr>
            <w:r w:rsidRPr="00083ACA">
              <w:rPr>
                <w:sz w:val="22"/>
                <w:szCs w:val="22"/>
              </w:rPr>
              <w:t>End-to-end translation of discoveries and innovation into real-world impact - building sovereign capability and delivering measurable health, productivity and economic benefits</w:t>
            </w:r>
          </w:p>
        </w:tc>
        <w:tc>
          <w:tcPr>
            <w:tcW w:w="0" w:type="auto"/>
          </w:tcPr>
          <w:p w14:paraId="5ED4153F" w14:textId="43FC10A6" w:rsidR="008C7F40" w:rsidRPr="00083ACA" w:rsidRDefault="001548D1" w:rsidP="00083ACA">
            <w:pPr>
              <w:rPr>
                <w:sz w:val="22"/>
                <w:szCs w:val="22"/>
              </w:rPr>
            </w:pPr>
            <w:r w:rsidRPr="00083ACA">
              <w:rPr>
                <w:sz w:val="22"/>
                <w:szCs w:val="22"/>
              </w:rPr>
              <w:t>“Productivity” was added to strengthen recognition of the role of health and medical research and to clarify that the benefits of health and medical research include improvements in health system performance alongside health outcomes.</w:t>
            </w:r>
          </w:p>
        </w:tc>
      </w:tr>
      <w:tr w:rsidR="00E255B5" w:rsidRPr="003E7F34" w14:paraId="05952B23" w14:textId="77777777" w:rsidTr="00F848D6">
        <w:trPr>
          <w:cantSplit/>
        </w:trPr>
        <w:tc>
          <w:tcPr>
            <w:tcW w:w="2263" w:type="dxa"/>
          </w:tcPr>
          <w:p w14:paraId="0AF5CBB2" w14:textId="77777777" w:rsidR="00E255B5" w:rsidRPr="00083ACA" w:rsidRDefault="00E255B5" w:rsidP="002723CA">
            <w:pPr>
              <w:spacing w:after="0"/>
              <w:rPr>
                <w:b/>
                <w:bCs/>
                <w:sz w:val="22"/>
                <w:szCs w:val="22"/>
              </w:rPr>
            </w:pPr>
            <w:r w:rsidRPr="00083ACA">
              <w:rPr>
                <w:b/>
                <w:bCs/>
                <w:sz w:val="22"/>
                <w:szCs w:val="22"/>
              </w:rPr>
              <w:lastRenderedPageBreak/>
              <w:t xml:space="preserve">Cross-cutting Principles: </w:t>
            </w:r>
          </w:p>
          <w:p w14:paraId="174EF280" w14:textId="3FC88727" w:rsidR="00E255B5" w:rsidRPr="00083ACA" w:rsidRDefault="00E255B5" w:rsidP="002723CA">
            <w:pPr>
              <w:spacing w:after="0"/>
              <w:rPr>
                <w:b/>
                <w:bCs/>
                <w:sz w:val="22"/>
                <w:szCs w:val="22"/>
              </w:rPr>
            </w:pPr>
            <w:r w:rsidRPr="00083ACA">
              <w:rPr>
                <w:b/>
                <w:bCs/>
                <w:sz w:val="22"/>
                <w:szCs w:val="22"/>
              </w:rPr>
              <w:t>Translation and Implementation</w:t>
            </w:r>
          </w:p>
        </w:tc>
        <w:tc>
          <w:tcPr>
            <w:tcW w:w="4244" w:type="dxa"/>
          </w:tcPr>
          <w:p w14:paraId="4AB9CD53" w14:textId="19285E2F" w:rsidR="00E255B5" w:rsidRPr="00083ACA" w:rsidRDefault="00E255B5" w:rsidP="002723CA">
            <w:pPr>
              <w:spacing w:after="0"/>
              <w:rPr>
                <w:sz w:val="22"/>
                <w:szCs w:val="22"/>
              </w:rPr>
            </w:pPr>
            <w:r w:rsidRPr="00083ACA">
              <w:rPr>
                <w:sz w:val="22"/>
                <w:szCs w:val="22"/>
              </w:rPr>
              <w:t>Appropriate translation and implementation planning, including clear pathways, are crucial to: …</w:t>
            </w:r>
          </w:p>
        </w:tc>
        <w:tc>
          <w:tcPr>
            <w:tcW w:w="0" w:type="auto"/>
          </w:tcPr>
          <w:p w14:paraId="5506C52A" w14:textId="3EA348B0" w:rsidR="00E255B5" w:rsidRPr="00083ACA" w:rsidRDefault="00E255B5" w:rsidP="002723CA">
            <w:pPr>
              <w:spacing w:after="0"/>
              <w:rPr>
                <w:sz w:val="22"/>
                <w:szCs w:val="22"/>
              </w:rPr>
            </w:pPr>
            <w:r w:rsidRPr="00083ACA">
              <w:rPr>
                <w:sz w:val="22"/>
                <w:szCs w:val="22"/>
              </w:rPr>
              <w:t>Appropriate translation and implementation planning, including clear pathways through early validation, regulatory readiness, implementation research, scale-up, and commercial and non-commercial routes to impact, are crucial to: …</w:t>
            </w:r>
          </w:p>
        </w:tc>
        <w:tc>
          <w:tcPr>
            <w:tcW w:w="0" w:type="auto"/>
          </w:tcPr>
          <w:p w14:paraId="7FC6B831" w14:textId="7834CFC4" w:rsidR="00E255B5" w:rsidRPr="00083ACA" w:rsidRDefault="00E255B5" w:rsidP="002723CA">
            <w:pPr>
              <w:spacing w:after="0"/>
              <w:rPr>
                <w:sz w:val="22"/>
                <w:szCs w:val="22"/>
              </w:rPr>
            </w:pPr>
            <w:r w:rsidRPr="00083ACA">
              <w:rPr>
                <w:sz w:val="22"/>
                <w:szCs w:val="22"/>
              </w:rPr>
              <w:t xml:space="preserve">Translation pathways were expanded to include early validation, regulatory readiness, implementation research, scale-up, and commercial and non-commercial routes to impact. This </w:t>
            </w:r>
            <w:r w:rsidR="00F51354" w:rsidRPr="00083ACA">
              <w:rPr>
                <w:sz w:val="22"/>
                <w:szCs w:val="22"/>
              </w:rPr>
              <w:t>responses to consultation</w:t>
            </w:r>
            <w:r w:rsidRPr="00083ACA">
              <w:rPr>
                <w:sz w:val="22"/>
                <w:szCs w:val="22"/>
              </w:rPr>
              <w:t xml:space="preserve"> feedback </w:t>
            </w:r>
            <w:r w:rsidR="00F51354" w:rsidRPr="00083ACA">
              <w:rPr>
                <w:sz w:val="22"/>
                <w:szCs w:val="22"/>
              </w:rPr>
              <w:t>on</w:t>
            </w:r>
            <w:r w:rsidRPr="00083ACA">
              <w:rPr>
                <w:sz w:val="22"/>
                <w:szCs w:val="22"/>
              </w:rPr>
              <w:t xml:space="preserve"> translation, </w:t>
            </w:r>
            <w:r w:rsidR="00F51354" w:rsidRPr="00083ACA">
              <w:rPr>
                <w:sz w:val="22"/>
                <w:szCs w:val="22"/>
              </w:rPr>
              <w:t xml:space="preserve">implementation and </w:t>
            </w:r>
            <w:r w:rsidRPr="00083ACA">
              <w:rPr>
                <w:sz w:val="22"/>
                <w:szCs w:val="22"/>
              </w:rPr>
              <w:t>commercialisation pathways</w:t>
            </w:r>
            <w:r w:rsidR="00F51354" w:rsidRPr="00083ACA">
              <w:rPr>
                <w:sz w:val="22"/>
                <w:szCs w:val="22"/>
              </w:rPr>
              <w:t xml:space="preserve"> to real-word impact.</w:t>
            </w:r>
          </w:p>
        </w:tc>
      </w:tr>
      <w:tr w:rsidR="003E7F34" w:rsidRPr="00F848D6" w14:paraId="7CB9C09B" w14:textId="093FF4DF" w:rsidTr="003E7F34">
        <w:tc>
          <w:tcPr>
            <w:tcW w:w="0" w:type="auto"/>
            <w:gridSpan w:val="4"/>
          </w:tcPr>
          <w:p w14:paraId="75A1C076" w14:textId="585354B9" w:rsidR="003E7F34" w:rsidRPr="00F848D6" w:rsidRDefault="003E7F34" w:rsidP="00F848D6">
            <w:pPr>
              <w:spacing w:after="0"/>
              <w:jc w:val="center"/>
              <w:rPr>
                <w:b/>
                <w:bCs/>
                <w:sz w:val="24"/>
                <w:szCs w:val="24"/>
              </w:rPr>
            </w:pPr>
            <w:r w:rsidRPr="00F848D6">
              <w:rPr>
                <w:b/>
                <w:bCs/>
                <w:sz w:val="24"/>
                <w:szCs w:val="24"/>
              </w:rPr>
              <w:t>MRFF Priorities</w:t>
            </w:r>
          </w:p>
        </w:tc>
      </w:tr>
      <w:tr w:rsidR="00E255B5" w:rsidRPr="003E7F34" w14:paraId="406DE28E" w14:textId="59616A93" w:rsidTr="002723CA">
        <w:tc>
          <w:tcPr>
            <w:tcW w:w="2263" w:type="dxa"/>
          </w:tcPr>
          <w:p w14:paraId="7D1EF87C" w14:textId="08680484" w:rsidR="00E255B5" w:rsidRPr="00083ACA" w:rsidRDefault="00E255B5" w:rsidP="002723CA">
            <w:pPr>
              <w:spacing w:after="0"/>
              <w:rPr>
                <w:b/>
                <w:bCs/>
                <w:sz w:val="22"/>
                <w:szCs w:val="22"/>
              </w:rPr>
            </w:pPr>
            <w:r w:rsidRPr="00083ACA">
              <w:rPr>
                <w:b/>
                <w:bCs/>
                <w:sz w:val="22"/>
                <w:szCs w:val="22"/>
              </w:rPr>
              <w:t>AI in research and health systems</w:t>
            </w:r>
          </w:p>
        </w:tc>
        <w:tc>
          <w:tcPr>
            <w:tcW w:w="4244" w:type="dxa"/>
          </w:tcPr>
          <w:p w14:paraId="1A08A52F" w14:textId="4E9299D2" w:rsidR="00E255B5" w:rsidRPr="00083ACA" w:rsidRDefault="00E255B5" w:rsidP="002723CA">
            <w:pPr>
              <w:spacing w:after="0"/>
              <w:rPr>
                <w:sz w:val="22"/>
                <w:szCs w:val="22"/>
              </w:rPr>
            </w:pPr>
            <w:r w:rsidRPr="00083ACA">
              <w:rPr>
                <w:sz w:val="22"/>
                <w:szCs w:val="22"/>
              </w:rPr>
              <w:t>The establishment … transparency at every stage of research.</w:t>
            </w:r>
          </w:p>
          <w:p w14:paraId="282FA8C1" w14:textId="79B48392" w:rsidR="00E255B5" w:rsidRPr="00083ACA" w:rsidRDefault="00E255B5" w:rsidP="002723CA">
            <w:pPr>
              <w:spacing w:after="0"/>
              <w:rPr>
                <w:sz w:val="22"/>
                <w:szCs w:val="22"/>
              </w:rPr>
            </w:pPr>
            <w:r w:rsidRPr="00083ACA">
              <w:rPr>
                <w:sz w:val="22"/>
                <w:szCs w:val="22"/>
              </w:rPr>
              <w:t>Building Australia’s sovereign AI …</w:t>
            </w:r>
          </w:p>
        </w:tc>
        <w:tc>
          <w:tcPr>
            <w:tcW w:w="0" w:type="auto"/>
          </w:tcPr>
          <w:p w14:paraId="329B91EE" w14:textId="26295EDC" w:rsidR="00E255B5" w:rsidRPr="00083ACA" w:rsidRDefault="00E255B5" w:rsidP="002723CA">
            <w:pPr>
              <w:spacing w:after="0"/>
              <w:rPr>
                <w:sz w:val="22"/>
                <w:szCs w:val="22"/>
              </w:rPr>
            </w:pPr>
            <w:r w:rsidRPr="00083ACA">
              <w:rPr>
                <w:sz w:val="22"/>
                <w:szCs w:val="22"/>
              </w:rPr>
              <w:t>The establishment … transparency at every stage of research. [added: This includes strong AI governance that spans the full lifecycle of research from data and model validation through to deployment and monitoring.]</w:t>
            </w:r>
          </w:p>
          <w:p w14:paraId="4769C9C2" w14:textId="1737E2ED" w:rsidR="00E255B5" w:rsidRPr="00083ACA" w:rsidRDefault="00E255B5" w:rsidP="002723CA">
            <w:pPr>
              <w:spacing w:after="0"/>
              <w:rPr>
                <w:sz w:val="22"/>
                <w:szCs w:val="22"/>
              </w:rPr>
            </w:pPr>
            <w:r w:rsidRPr="00083ACA">
              <w:rPr>
                <w:sz w:val="22"/>
                <w:szCs w:val="22"/>
              </w:rPr>
              <w:t>Building Australia’s sovereign AI …</w:t>
            </w:r>
          </w:p>
        </w:tc>
        <w:tc>
          <w:tcPr>
            <w:tcW w:w="0" w:type="auto"/>
          </w:tcPr>
          <w:p w14:paraId="09425F0D" w14:textId="1CEA75E5" w:rsidR="00E255B5" w:rsidRPr="00083ACA" w:rsidRDefault="00E255B5" w:rsidP="002723CA">
            <w:pPr>
              <w:spacing w:after="0"/>
              <w:rPr>
                <w:sz w:val="22"/>
                <w:szCs w:val="22"/>
              </w:rPr>
            </w:pPr>
            <w:r w:rsidRPr="00083ACA">
              <w:rPr>
                <w:sz w:val="22"/>
                <w:szCs w:val="22"/>
              </w:rPr>
              <w:t>Wording was added to clarify that AI governance should apply across the full research lifecycle. This responds to feedback about responsible, ethical, safe and equitable use of AI by making governance expectations more explicit.</w:t>
            </w:r>
          </w:p>
        </w:tc>
      </w:tr>
      <w:tr w:rsidR="00E255B5" w:rsidRPr="003E7F34" w14:paraId="116F6965" w14:textId="77777777" w:rsidTr="002723CA">
        <w:tc>
          <w:tcPr>
            <w:tcW w:w="2263" w:type="dxa"/>
          </w:tcPr>
          <w:p w14:paraId="1232DBD4" w14:textId="283FB71A" w:rsidR="00E255B5" w:rsidRPr="00083ACA" w:rsidRDefault="00E255B5" w:rsidP="002723CA">
            <w:pPr>
              <w:spacing w:after="0"/>
              <w:rPr>
                <w:b/>
                <w:bCs/>
                <w:sz w:val="22"/>
                <w:szCs w:val="22"/>
              </w:rPr>
            </w:pPr>
            <w:r w:rsidRPr="00083ACA">
              <w:rPr>
                <w:b/>
                <w:bCs/>
                <w:sz w:val="22"/>
                <w:szCs w:val="22"/>
              </w:rPr>
              <w:t>Integrated Digital Health Systems</w:t>
            </w:r>
          </w:p>
        </w:tc>
        <w:tc>
          <w:tcPr>
            <w:tcW w:w="4244" w:type="dxa"/>
          </w:tcPr>
          <w:p w14:paraId="4428107C" w14:textId="2F6029F4" w:rsidR="00E255B5" w:rsidRPr="00083ACA" w:rsidRDefault="00E255B5" w:rsidP="002723CA">
            <w:pPr>
              <w:spacing w:after="0"/>
              <w:rPr>
                <w:sz w:val="22"/>
                <w:szCs w:val="22"/>
              </w:rPr>
            </w:pPr>
            <w:r w:rsidRPr="00083ACA">
              <w:rPr>
                <w:sz w:val="22"/>
                <w:szCs w:val="22"/>
              </w:rPr>
              <w:t>Investment in research-informed digital health innovations will advance prevention, early intervention, translation and adoption, and improve access to high-quality health care. It will also provide data for future health care research.</w:t>
            </w:r>
          </w:p>
        </w:tc>
        <w:tc>
          <w:tcPr>
            <w:tcW w:w="0" w:type="auto"/>
          </w:tcPr>
          <w:p w14:paraId="500D2EED" w14:textId="17363063" w:rsidR="00E255B5" w:rsidRPr="00083ACA" w:rsidRDefault="00E255B5" w:rsidP="002723CA">
            <w:pPr>
              <w:spacing w:after="0"/>
              <w:rPr>
                <w:sz w:val="22"/>
                <w:szCs w:val="22"/>
              </w:rPr>
            </w:pPr>
            <w:r w:rsidRPr="00083ACA">
              <w:rPr>
                <w:sz w:val="22"/>
                <w:szCs w:val="22"/>
              </w:rPr>
              <w:t>Investment in research-informed digital health innovations will advance prevention, early intervention, translation and adoption, and improve access to high-quality health care, especially in rural and remote settings. It will also strengthen digital literacy, data science and implementation capabilities and provide data for future research.</w:t>
            </w:r>
          </w:p>
        </w:tc>
        <w:tc>
          <w:tcPr>
            <w:tcW w:w="0" w:type="auto"/>
          </w:tcPr>
          <w:p w14:paraId="24CE17AF" w14:textId="18752DB2" w:rsidR="00E255B5" w:rsidRPr="00083ACA" w:rsidRDefault="00E255B5" w:rsidP="002723CA">
            <w:pPr>
              <w:spacing w:after="0"/>
              <w:rPr>
                <w:sz w:val="22"/>
                <w:szCs w:val="22"/>
              </w:rPr>
            </w:pPr>
            <w:r w:rsidRPr="00083ACA">
              <w:rPr>
                <w:sz w:val="22"/>
                <w:szCs w:val="22"/>
              </w:rPr>
              <w:t xml:space="preserve">Wording was added on rural and remote access, digital literacy, data science and implementation capability. This responds to consultation feedback on digital inclusion, workforce capability and implementation science. These changes strengthen the Priority’s focus on equitable access to digital health innovation and the capabilities needed to support its effective adoption and use. </w:t>
            </w:r>
          </w:p>
        </w:tc>
      </w:tr>
      <w:tr w:rsidR="00E255B5" w:rsidRPr="003E7F34" w14:paraId="310F7CC7" w14:textId="77777777" w:rsidTr="002723CA">
        <w:tc>
          <w:tcPr>
            <w:tcW w:w="2263" w:type="dxa"/>
          </w:tcPr>
          <w:p w14:paraId="7DE64792" w14:textId="21BD8D9B" w:rsidR="00E255B5" w:rsidRPr="00083ACA" w:rsidRDefault="00E255B5" w:rsidP="002723CA">
            <w:pPr>
              <w:spacing w:after="0"/>
              <w:rPr>
                <w:b/>
                <w:bCs/>
                <w:sz w:val="22"/>
                <w:szCs w:val="22"/>
              </w:rPr>
            </w:pPr>
            <w:r w:rsidRPr="00083ACA">
              <w:rPr>
                <w:b/>
                <w:bCs/>
                <w:sz w:val="22"/>
                <w:szCs w:val="22"/>
              </w:rPr>
              <w:lastRenderedPageBreak/>
              <w:t>Aboriginal and Torres Strait Islander community governed and directed research</w:t>
            </w:r>
          </w:p>
        </w:tc>
        <w:tc>
          <w:tcPr>
            <w:tcW w:w="4244" w:type="dxa"/>
          </w:tcPr>
          <w:p w14:paraId="0654A1D5" w14:textId="457F0EEC" w:rsidR="00E255B5" w:rsidRPr="00722F7E" w:rsidRDefault="00E255B5" w:rsidP="002723CA">
            <w:pPr>
              <w:spacing w:after="0"/>
              <w:rPr>
                <w:strike/>
                <w:sz w:val="22"/>
                <w:szCs w:val="22"/>
              </w:rPr>
            </w:pPr>
            <w:r w:rsidRPr="00083ACA">
              <w:rPr>
                <w:sz w:val="22"/>
                <w:szCs w:val="22"/>
              </w:rPr>
              <w:t>Invest in Aboriginal and Torres Strait Islander researchers … innovative solutions. Additionally, this …</w:t>
            </w:r>
          </w:p>
        </w:tc>
        <w:tc>
          <w:tcPr>
            <w:tcW w:w="0" w:type="auto"/>
          </w:tcPr>
          <w:p w14:paraId="77D10A2B" w14:textId="0BD25F00" w:rsidR="00E255B5" w:rsidRPr="00083ACA" w:rsidRDefault="00E255B5" w:rsidP="002723CA">
            <w:pPr>
              <w:spacing w:after="0"/>
              <w:rPr>
                <w:sz w:val="22"/>
                <w:szCs w:val="22"/>
              </w:rPr>
            </w:pPr>
            <w:r w:rsidRPr="00083ACA">
              <w:rPr>
                <w:sz w:val="22"/>
                <w:szCs w:val="22"/>
              </w:rPr>
              <w:t>Invest in Aboriginal and Torres Strait Islander researchers … innovative solutions. [added: This includes replicating, adapting and accelerating effective interventions that will improve health and wellbeing.] Additionally, this …</w:t>
            </w:r>
          </w:p>
        </w:tc>
        <w:tc>
          <w:tcPr>
            <w:tcW w:w="0" w:type="auto"/>
          </w:tcPr>
          <w:p w14:paraId="298010C1" w14:textId="565CAEF8" w:rsidR="00E255B5" w:rsidRPr="00083ACA" w:rsidRDefault="00E255B5" w:rsidP="002723CA">
            <w:pPr>
              <w:spacing w:after="0"/>
              <w:rPr>
                <w:sz w:val="22"/>
                <w:szCs w:val="22"/>
              </w:rPr>
            </w:pPr>
            <w:r w:rsidRPr="00083ACA">
              <w:rPr>
                <w:sz w:val="22"/>
                <w:szCs w:val="22"/>
              </w:rPr>
              <w:t>Wording was added to emphasise replicating, adapting and accelerating effective interventions. This responds to feedback on supporting community-governed and community-led approaches, including the adaptation and scaling of successful interventions while maintaining local relevance.</w:t>
            </w:r>
          </w:p>
        </w:tc>
      </w:tr>
      <w:tr w:rsidR="003E7F34" w:rsidRPr="003E7F34" w14:paraId="1EE9CCC7" w14:textId="77777777" w:rsidTr="002723CA">
        <w:tc>
          <w:tcPr>
            <w:tcW w:w="2263" w:type="dxa"/>
            <w:vMerge w:val="restart"/>
          </w:tcPr>
          <w:p w14:paraId="04F8129B" w14:textId="13C7CF78" w:rsidR="003E7F34" w:rsidRPr="00083ACA" w:rsidRDefault="003E7F34" w:rsidP="002723CA">
            <w:pPr>
              <w:spacing w:after="0"/>
              <w:rPr>
                <w:b/>
                <w:bCs/>
                <w:sz w:val="22"/>
                <w:szCs w:val="22"/>
              </w:rPr>
            </w:pPr>
            <w:r w:rsidRPr="00083ACA">
              <w:rPr>
                <w:b/>
                <w:bCs/>
                <w:sz w:val="22"/>
                <w:szCs w:val="22"/>
              </w:rPr>
              <w:t>Advanced Therapeutics and Emerging Technology</w:t>
            </w:r>
          </w:p>
        </w:tc>
        <w:tc>
          <w:tcPr>
            <w:tcW w:w="4244" w:type="dxa"/>
          </w:tcPr>
          <w:p w14:paraId="3BEE7E87" w14:textId="736EF639" w:rsidR="003E7F34" w:rsidRPr="00083ACA" w:rsidRDefault="003E7F34" w:rsidP="002723CA">
            <w:pPr>
              <w:spacing w:after="0"/>
              <w:rPr>
                <w:sz w:val="22"/>
                <w:szCs w:val="22"/>
              </w:rPr>
            </w:pPr>
            <w:r w:rsidRPr="00083ACA">
              <w:rPr>
                <w:sz w:val="22"/>
                <w:szCs w:val="22"/>
              </w:rPr>
              <w:t>Health technology development and commercialisation have the potential to advance Australia’s biomedical industry, generate jobs, build domestic workforce and infrastructure capabilities, attract and retain expert talent, diversify the economy, and deliver improved health outcomes.</w:t>
            </w:r>
          </w:p>
        </w:tc>
        <w:tc>
          <w:tcPr>
            <w:tcW w:w="0" w:type="auto"/>
          </w:tcPr>
          <w:p w14:paraId="4778E00D" w14:textId="02E8DB6D" w:rsidR="003E7F34" w:rsidRPr="00083ACA" w:rsidRDefault="003E7F34" w:rsidP="002723CA">
            <w:pPr>
              <w:spacing w:after="0"/>
              <w:rPr>
                <w:sz w:val="22"/>
                <w:szCs w:val="22"/>
              </w:rPr>
            </w:pPr>
            <w:r w:rsidRPr="00083ACA">
              <w:rPr>
                <w:sz w:val="22"/>
                <w:szCs w:val="22"/>
              </w:rPr>
              <w:t>Health technology development, assessment and commercialisation have the potential to advance Australia’s biomedical industry, generate jobs, and build domestic workforce and infrastructure capabilities. This will attract and retain expert talent, diversify the economy, increase productivity, and deliver improved health outcomes.</w:t>
            </w:r>
          </w:p>
        </w:tc>
        <w:tc>
          <w:tcPr>
            <w:tcW w:w="0" w:type="auto"/>
          </w:tcPr>
          <w:p w14:paraId="033838DB" w14:textId="1BCDED04" w:rsidR="003E7F34" w:rsidRPr="00083ACA" w:rsidRDefault="003E7F34" w:rsidP="002723CA">
            <w:pPr>
              <w:spacing w:after="0"/>
              <w:rPr>
                <w:sz w:val="22"/>
                <w:szCs w:val="22"/>
              </w:rPr>
            </w:pPr>
            <w:r w:rsidRPr="00083ACA">
              <w:rPr>
                <w:sz w:val="22"/>
                <w:szCs w:val="22"/>
              </w:rPr>
              <w:t>Wording was added to recognise health technology assessment and productivity. This provides clearer alignment with feedback on translation, implementation and real-world impact by highlighting factors that support the adoption and effective use of innovation within the health system.</w:t>
            </w:r>
          </w:p>
        </w:tc>
      </w:tr>
      <w:tr w:rsidR="003E7F34" w:rsidRPr="003E7F34" w14:paraId="66780062" w14:textId="77777777" w:rsidTr="002723CA">
        <w:tc>
          <w:tcPr>
            <w:tcW w:w="2263" w:type="dxa"/>
            <w:vMerge/>
          </w:tcPr>
          <w:p w14:paraId="6E8F795A" w14:textId="77777777" w:rsidR="003E7F34" w:rsidRPr="00083ACA" w:rsidRDefault="003E7F34" w:rsidP="002723CA">
            <w:pPr>
              <w:spacing w:after="0"/>
              <w:rPr>
                <w:b/>
                <w:bCs/>
                <w:sz w:val="22"/>
                <w:szCs w:val="22"/>
              </w:rPr>
            </w:pPr>
          </w:p>
        </w:tc>
        <w:tc>
          <w:tcPr>
            <w:tcW w:w="4244" w:type="dxa"/>
          </w:tcPr>
          <w:p w14:paraId="112F6C82" w14:textId="24B3931C" w:rsidR="003E7F34" w:rsidRPr="00083ACA" w:rsidRDefault="003E7F34" w:rsidP="002723CA">
            <w:pPr>
              <w:spacing w:after="0"/>
              <w:rPr>
                <w:sz w:val="22"/>
                <w:szCs w:val="22"/>
              </w:rPr>
            </w:pPr>
            <w:r w:rsidRPr="00083ACA">
              <w:rPr>
                <w:sz w:val="22"/>
                <w:szCs w:val="22"/>
              </w:rPr>
              <w:t>This will accelerate regulatory readiness (including health technology assessment), implementation, early market development and scale-up of advanced therapeutics and health technologies.</w:t>
            </w:r>
          </w:p>
        </w:tc>
        <w:tc>
          <w:tcPr>
            <w:tcW w:w="0" w:type="auto"/>
          </w:tcPr>
          <w:p w14:paraId="63625F9C" w14:textId="181F550B" w:rsidR="003E7F34" w:rsidRPr="00083ACA" w:rsidRDefault="003E7F34" w:rsidP="002723CA">
            <w:pPr>
              <w:spacing w:after="0"/>
              <w:rPr>
                <w:sz w:val="22"/>
                <w:szCs w:val="22"/>
              </w:rPr>
            </w:pPr>
            <w:r w:rsidRPr="00083ACA">
              <w:rPr>
                <w:sz w:val="22"/>
                <w:szCs w:val="22"/>
              </w:rPr>
              <w:t>This will accelerate regulatory readiness (including health technology assessment and cost-effectiveness evaluation), manufacturing capability, implementation, early market development and scale-up of advanced therapeutics and health technologies.</w:t>
            </w:r>
          </w:p>
        </w:tc>
        <w:tc>
          <w:tcPr>
            <w:tcW w:w="0" w:type="auto"/>
          </w:tcPr>
          <w:p w14:paraId="4FFAE034" w14:textId="12EBEF14" w:rsidR="003E7F34" w:rsidRPr="00083ACA" w:rsidRDefault="003E7F34" w:rsidP="002723CA">
            <w:pPr>
              <w:spacing w:after="0"/>
              <w:rPr>
                <w:sz w:val="22"/>
                <w:szCs w:val="22"/>
              </w:rPr>
            </w:pPr>
            <w:r w:rsidRPr="00083ACA">
              <w:rPr>
                <w:sz w:val="22"/>
                <w:szCs w:val="22"/>
              </w:rPr>
              <w:t>Wording was added on cost-effectiveness evaluation and manufacturing capability to strengthen pathways from innovation to implementation and adoption. This reflects consultation feedback on supporting translation, commercialisation and the capabilities needed to realise the benefits of emerging technologies.</w:t>
            </w:r>
          </w:p>
        </w:tc>
      </w:tr>
      <w:tr w:rsidR="003E7F34" w:rsidRPr="003E7F34" w14:paraId="78B4C6F9" w14:textId="77777777" w:rsidTr="00AF1DCC">
        <w:trPr>
          <w:cantSplit/>
        </w:trPr>
        <w:tc>
          <w:tcPr>
            <w:tcW w:w="2263" w:type="dxa"/>
            <w:vMerge/>
          </w:tcPr>
          <w:p w14:paraId="1A311835" w14:textId="77777777" w:rsidR="003E7F34" w:rsidRPr="00083ACA" w:rsidRDefault="003E7F34" w:rsidP="002723CA">
            <w:pPr>
              <w:spacing w:after="0"/>
              <w:rPr>
                <w:b/>
                <w:bCs/>
                <w:sz w:val="22"/>
                <w:szCs w:val="22"/>
              </w:rPr>
            </w:pPr>
          </w:p>
        </w:tc>
        <w:tc>
          <w:tcPr>
            <w:tcW w:w="4244" w:type="dxa"/>
          </w:tcPr>
          <w:p w14:paraId="687A75C1" w14:textId="4A423D9C" w:rsidR="003E7F34" w:rsidRPr="00083ACA" w:rsidRDefault="003E7F34" w:rsidP="002723CA">
            <w:pPr>
              <w:spacing w:after="0"/>
              <w:rPr>
                <w:sz w:val="22"/>
                <w:szCs w:val="22"/>
              </w:rPr>
            </w:pPr>
            <w:r w:rsidRPr="00083ACA">
              <w:rPr>
                <w:sz w:val="22"/>
                <w:szCs w:val="22"/>
              </w:rPr>
              <w:t>De-risking innovation and enabling Australian discoveries to be translated into scalable products and services will strengthen sovereign capability, deliver economic benefits, and improve health system outcomes.</w:t>
            </w:r>
          </w:p>
        </w:tc>
        <w:tc>
          <w:tcPr>
            <w:tcW w:w="0" w:type="auto"/>
          </w:tcPr>
          <w:p w14:paraId="3D045869" w14:textId="6A426CF3" w:rsidR="003E7F34" w:rsidRPr="00083ACA" w:rsidRDefault="003E7F34" w:rsidP="002723CA">
            <w:pPr>
              <w:spacing w:after="0"/>
              <w:rPr>
                <w:sz w:val="22"/>
                <w:szCs w:val="22"/>
              </w:rPr>
            </w:pPr>
            <w:r w:rsidRPr="00083ACA">
              <w:rPr>
                <w:sz w:val="22"/>
                <w:szCs w:val="22"/>
              </w:rPr>
              <w:t>De-risking innovation and enabling Australian discoveries to be translated into scalable products and services will strengthen sovereign capability, deliver economic benefits, and improve productivity and health system performance and outcomes.</w:t>
            </w:r>
          </w:p>
        </w:tc>
        <w:tc>
          <w:tcPr>
            <w:tcW w:w="0" w:type="auto"/>
          </w:tcPr>
          <w:p w14:paraId="6AC0922D" w14:textId="7075AA5D" w:rsidR="003E7F34" w:rsidRPr="00083ACA" w:rsidRDefault="003E7F34" w:rsidP="002723CA">
            <w:pPr>
              <w:spacing w:after="0"/>
              <w:rPr>
                <w:sz w:val="22"/>
                <w:szCs w:val="22"/>
              </w:rPr>
            </w:pPr>
            <w:r w:rsidRPr="00083ACA">
              <w:rPr>
                <w:sz w:val="22"/>
                <w:szCs w:val="22"/>
              </w:rPr>
              <w:t>Wording was added to make productivity and health system performance more explicit. This reflects consultation feedback on implementation, real-world impact and the role of research in improving health system outcomes.</w:t>
            </w:r>
          </w:p>
        </w:tc>
      </w:tr>
      <w:tr w:rsidR="003E7F34" w:rsidRPr="003E7F34" w14:paraId="35AE578B" w14:textId="77777777" w:rsidTr="002723CA">
        <w:tc>
          <w:tcPr>
            <w:tcW w:w="2263" w:type="dxa"/>
            <w:vMerge w:val="restart"/>
          </w:tcPr>
          <w:p w14:paraId="0645377F" w14:textId="462FC58E" w:rsidR="003E7F34" w:rsidRPr="00083ACA" w:rsidRDefault="003E7F34" w:rsidP="002723CA">
            <w:pPr>
              <w:spacing w:after="0"/>
              <w:rPr>
                <w:b/>
                <w:bCs/>
                <w:sz w:val="22"/>
                <w:szCs w:val="22"/>
              </w:rPr>
            </w:pPr>
            <w:r w:rsidRPr="00083ACA">
              <w:rPr>
                <w:b/>
                <w:bCs/>
                <w:sz w:val="22"/>
                <w:szCs w:val="22"/>
              </w:rPr>
              <w:t>Health Impacts from Environmental Factors, including Climate Change</w:t>
            </w:r>
          </w:p>
        </w:tc>
        <w:tc>
          <w:tcPr>
            <w:tcW w:w="4244" w:type="dxa"/>
          </w:tcPr>
          <w:p w14:paraId="286EC380" w14:textId="31BABE44" w:rsidR="003E7F34" w:rsidRPr="00083ACA" w:rsidRDefault="003E7F34" w:rsidP="002723CA">
            <w:pPr>
              <w:spacing w:after="0"/>
              <w:rPr>
                <w:sz w:val="22"/>
                <w:szCs w:val="22"/>
              </w:rPr>
            </w:pPr>
            <w:r w:rsidRPr="00083ACA">
              <w:rPr>
                <w:sz w:val="22"/>
                <w:szCs w:val="22"/>
              </w:rPr>
              <w:t>A climate-resilient health system that is prepared for and responsive to the health impacts of environmental factors, including climate change.</w:t>
            </w:r>
          </w:p>
        </w:tc>
        <w:tc>
          <w:tcPr>
            <w:tcW w:w="0" w:type="auto"/>
          </w:tcPr>
          <w:p w14:paraId="3C4EE077" w14:textId="6421FCD6" w:rsidR="003E7F34" w:rsidRPr="00083ACA" w:rsidRDefault="003E7F34" w:rsidP="002723CA">
            <w:pPr>
              <w:spacing w:after="0"/>
              <w:rPr>
                <w:sz w:val="22"/>
                <w:szCs w:val="22"/>
              </w:rPr>
            </w:pPr>
            <w:r w:rsidRPr="00083ACA">
              <w:rPr>
                <w:sz w:val="22"/>
                <w:szCs w:val="22"/>
              </w:rPr>
              <w:t>A climate-resilient health system that is prepared for and responsive to pandemics and the health impacts of environmental factors, including climate change.</w:t>
            </w:r>
          </w:p>
        </w:tc>
        <w:tc>
          <w:tcPr>
            <w:tcW w:w="0" w:type="auto"/>
            <w:vAlign w:val="center"/>
          </w:tcPr>
          <w:p w14:paraId="3905FC57" w14:textId="25C594DC" w:rsidR="003E7F34" w:rsidRPr="00083ACA" w:rsidRDefault="003E7F34" w:rsidP="002723CA">
            <w:pPr>
              <w:spacing w:after="0"/>
              <w:rPr>
                <w:sz w:val="22"/>
                <w:szCs w:val="22"/>
              </w:rPr>
            </w:pPr>
            <w:r w:rsidRPr="00083ACA">
              <w:rPr>
                <w:sz w:val="22"/>
                <w:szCs w:val="22"/>
              </w:rPr>
              <w:t>Wording was added to include pandemic preparedness, responding to consultation feedback on environmental health, preparedness and resilient health systems in response to emerging health threats.</w:t>
            </w:r>
          </w:p>
        </w:tc>
      </w:tr>
      <w:tr w:rsidR="003E7F34" w:rsidRPr="003E7F34" w14:paraId="06FCDF85" w14:textId="77777777" w:rsidTr="00AF1DCC">
        <w:tc>
          <w:tcPr>
            <w:tcW w:w="2263" w:type="dxa"/>
            <w:vMerge/>
          </w:tcPr>
          <w:p w14:paraId="3D769D4B" w14:textId="77777777" w:rsidR="003E7F34" w:rsidRPr="00083ACA" w:rsidRDefault="003E7F34" w:rsidP="002723CA">
            <w:pPr>
              <w:spacing w:after="0"/>
              <w:rPr>
                <w:b/>
                <w:bCs/>
                <w:sz w:val="22"/>
                <w:szCs w:val="22"/>
              </w:rPr>
            </w:pPr>
          </w:p>
        </w:tc>
        <w:tc>
          <w:tcPr>
            <w:tcW w:w="4244" w:type="dxa"/>
          </w:tcPr>
          <w:p w14:paraId="0A7D2D33" w14:textId="2E17943C" w:rsidR="003E7F34" w:rsidRPr="00083ACA" w:rsidRDefault="003E7F34" w:rsidP="002723CA">
            <w:pPr>
              <w:spacing w:after="0"/>
              <w:rPr>
                <w:sz w:val="22"/>
                <w:szCs w:val="22"/>
              </w:rPr>
            </w:pPr>
            <w:r w:rsidRPr="00083ACA">
              <w:rPr>
                <w:sz w:val="22"/>
                <w:szCs w:val="22"/>
              </w:rPr>
              <w:t>Human-caused environmental change, amplifies chronic disease, mental health conditions, antimicrobial resistance, zoonotic spillover, habitat destruction, food insecurity, and infectious disease risks, disproportionately impacting vulnerable communities and at-risk populations.</w:t>
            </w:r>
          </w:p>
        </w:tc>
        <w:tc>
          <w:tcPr>
            <w:tcW w:w="0" w:type="auto"/>
          </w:tcPr>
          <w:p w14:paraId="7F3BC707" w14:textId="599E8DFF" w:rsidR="003E7F34" w:rsidRPr="00083ACA" w:rsidRDefault="003E7F34" w:rsidP="002723CA">
            <w:pPr>
              <w:spacing w:after="0"/>
              <w:rPr>
                <w:sz w:val="22"/>
                <w:szCs w:val="22"/>
              </w:rPr>
            </w:pPr>
            <w:r w:rsidRPr="00083ACA">
              <w:rPr>
                <w:sz w:val="22"/>
                <w:szCs w:val="22"/>
              </w:rPr>
              <w:t>Pandemics and human-caused environmental change, amplify chronic disease, mental health conditions, antimicrobial resistance, zoonotic spillover, habitat destruction, food insecurity, and infectious disease risks, disproportionately impacting vulnerable communities and at-risk populations.</w:t>
            </w:r>
          </w:p>
        </w:tc>
        <w:tc>
          <w:tcPr>
            <w:tcW w:w="0" w:type="auto"/>
          </w:tcPr>
          <w:p w14:paraId="334F5F04" w14:textId="4F884CA3" w:rsidR="003E7F34" w:rsidRPr="00083ACA" w:rsidRDefault="003E7F34" w:rsidP="00AF1DCC">
            <w:pPr>
              <w:spacing w:after="0"/>
              <w:rPr>
                <w:sz w:val="22"/>
                <w:szCs w:val="22"/>
              </w:rPr>
            </w:pPr>
            <w:r w:rsidRPr="00083ACA">
              <w:rPr>
                <w:sz w:val="22"/>
                <w:szCs w:val="22"/>
              </w:rPr>
              <w:t>Wording was added to acknowledge pandemics alongside environmental change, reflecting consultation feedback on preparedness and resilient health systems in response to emerging health threats.</w:t>
            </w:r>
          </w:p>
        </w:tc>
      </w:tr>
      <w:tr w:rsidR="003E7F34" w:rsidRPr="003E7F34" w14:paraId="5768D910" w14:textId="77777777" w:rsidTr="002723CA">
        <w:tc>
          <w:tcPr>
            <w:tcW w:w="2263" w:type="dxa"/>
            <w:vMerge/>
          </w:tcPr>
          <w:p w14:paraId="02942DF0" w14:textId="77777777" w:rsidR="003E7F34" w:rsidRPr="00083ACA" w:rsidRDefault="003E7F34" w:rsidP="002723CA">
            <w:pPr>
              <w:spacing w:after="0"/>
              <w:rPr>
                <w:b/>
                <w:bCs/>
                <w:sz w:val="22"/>
                <w:szCs w:val="22"/>
              </w:rPr>
            </w:pPr>
          </w:p>
        </w:tc>
        <w:tc>
          <w:tcPr>
            <w:tcW w:w="4244" w:type="dxa"/>
          </w:tcPr>
          <w:p w14:paraId="09B30F0E" w14:textId="6C5C1DC1" w:rsidR="003E7F34" w:rsidRPr="00083ACA" w:rsidRDefault="003E7F34" w:rsidP="002723CA">
            <w:pPr>
              <w:spacing w:after="0"/>
              <w:rPr>
                <w:sz w:val="22"/>
                <w:szCs w:val="22"/>
              </w:rPr>
            </w:pPr>
            <w:r w:rsidRPr="00083ACA">
              <w:rPr>
                <w:sz w:val="22"/>
                <w:szCs w:val="22"/>
              </w:rPr>
              <w:t>Coordinated research investment into understanding, preventing, and addressing the health impacts of environmental factors, such as pollution and climate change, will translate evidence into practical interventions and support robust surveillance and monitoring systems.</w:t>
            </w:r>
          </w:p>
        </w:tc>
        <w:tc>
          <w:tcPr>
            <w:tcW w:w="0" w:type="auto"/>
          </w:tcPr>
          <w:p w14:paraId="35554EC7" w14:textId="24EE5CAB" w:rsidR="003E7F34" w:rsidRPr="00083ACA" w:rsidRDefault="003E7F34" w:rsidP="002723CA">
            <w:pPr>
              <w:spacing w:after="0"/>
              <w:rPr>
                <w:sz w:val="22"/>
                <w:szCs w:val="22"/>
              </w:rPr>
            </w:pPr>
            <w:r w:rsidRPr="00083ACA">
              <w:rPr>
                <w:sz w:val="22"/>
                <w:szCs w:val="22"/>
              </w:rPr>
              <w:t>Coordinated research investment into understanding, preventing, and addressing pandemics and the health impacts of environmental factors, such as pollution and climate change, will translate evidence into practical interventions and support robust surveillance and monitoring systems.</w:t>
            </w:r>
          </w:p>
        </w:tc>
        <w:tc>
          <w:tcPr>
            <w:tcW w:w="0" w:type="auto"/>
          </w:tcPr>
          <w:p w14:paraId="24BBE5BA" w14:textId="5E3B2328" w:rsidR="003E7F34" w:rsidRPr="00083ACA" w:rsidRDefault="003E7F34" w:rsidP="002723CA">
            <w:pPr>
              <w:spacing w:after="0"/>
              <w:rPr>
                <w:sz w:val="22"/>
                <w:szCs w:val="22"/>
              </w:rPr>
            </w:pPr>
            <w:r w:rsidRPr="00083ACA">
              <w:rPr>
                <w:sz w:val="22"/>
                <w:szCs w:val="22"/>
              </w:rPr>
              <w:t>Wording was added to include pandemics, reflecting consultation feedback on strengthening surveillance, preparedness and resilient health systems in response to emerging health threats.</w:t>
            </w:r>
          </w:p>
        </w:tc>
      </w:tr>
      <w:tr w:rsidR="003E7F34" w:rsidRPr="003E7F34" w14:paraId="543D8C31" w14:textId="77777777" w:rsidTr="00AF1DCC">
        <w:trPr>
          <w:cantSplit/>
        </w:trPr>
        <w:tc>
          <w:tcPr>
            <w:tcW w:w="2263" w:type="dxa"/>
            <w:vMerge/>
          </w:tcPr>
          <w:p w14:paraId="7C29BF82" w14:textId="77777777" w:rsidR="003E7F34" w:rsidRPr="00083ACA" w:rsidRDefault="003E7F34" w:rsidP="002723CA">
            <w:pPr>
              <w:spacing w:after="0"/>
              <w:rPr>
                <w:b/>
                <w:bCs/>
                <w:sz w:val="22"/>
                <w:szCs w:val="22"/>
              </w:rPr>
            </w:pPr>
          </w:p>
        </w:tc>
        <w:tc>
          <w:tcPr>
            <w:tcW w:w="4244" w:type="dxa"/>
          </w:tcPr>
          <w:p w14:paraId="68A4E026" w14:textId="58382265" w:rsidR="003E7F34" w:rsidRPr="00083ACA" w:rsidRDefault="003E7F34" w:rsidP="002723CA">
            <w:pPr>
              <w:spacing w:after="0"/>
              <w:rPr>
                <w:sz w:val="22"/>
                <w:szCs w:val="22"/>
              </w:rPr>
            </w:pPr>
            <w:r w:rsidRPr="00083ACA">
              <w:rPr>
                <w:sz w:val="22"/>
                <w:szCs w:val="22"/>
              </w:rPr>
              <w:t>Invest in multidisciplinary and cross-sectoral research and partnerships to understand and address global health and biosecurity issues, including surveillance, preparedness, prevention, response and countermeasures through a One Health approach.</w:t>
            </w:r>
          </w:p>
        </w:tc>
        <w:tc>
          <w:tcPr>
            <w:tcW w:w="0" w:type="auto"/>
          </w:tcPr>
          <w:p w14:paraId="183810D0" w14:textId="7C8C5A6C" w:rsidR="003E7F34" w:rsidRPr="00083ACA" w:rsidRDefault="003E7F34" w:rsidP="002723CA">
            <w:pPr>
              <w:spacing w:after="0"/>
              <w:rPr>
                <w:sz w:val="22"/>
                <w:szCs w:val="22"/>
              </w:rPr>
            </w:pPr>
            <w:r w:rsidRPr="00083ACA">
              <w:rPr>
                <w:sz w:val="22"/>
                <w:szCs w:val="22"/>
              </w:rPr>
              <w:t>Invest in cross-disciplinary and -sectoral research and partnerships to understand and address global health and biosecurity issues, including surveillance, pandemic preparedness, prevention, response and countermeasures through a One Health approach.</w:t>
            </w:r>
          </w:p>
        </w:tc>
        <w:tc>
          <w:tcPr>
            <w:tcW w:w="0" w:type="auto"/>
          </w:tcPr>
          <w:p w14:paraId="39E9AA78" w14:textId="6DCA9231" w:rsidR="003E7F34" w:rsidRPr="00083ACA" w:rsidRDefault="003E7F34" w:rsidP="002723CA">
            <w:pPr>
              <w:spacing w:after="0"/>
              <w:rPr>
                <w:sz w:val="22"/>
                <w:szCs w:val="22"/>
              </w:rPr>
            </w:pPr>
            <w:r w:rsidRPr="00083ACA">
              <w:rPr>
                <w:sz w:val="22"/>
                <w:szCs w:val="22"/>
              </w:rPr>
              <w:t>Wording was added to explicitly include pandemic preparedness, reflecting consultation feedback on strengthening surveillance, preparedness and resilient health systems in response to emerging health threats.</w:t>
            </w:r>
          </w:p>
        </w:tc>
      </w:tr>
      <w:tr w:rsidR="003E7F34" w:rsidRPr="003E7F34" w14:paraId="16A237A7" w14:textId="77777777" w:rsidTr="002723CA">
        <w:tc>
          <w:tcPr>
            <w:tcW w:w="2263" w:type="dxa"/>
            <w:vMerge/>
          </w:tcPr>
          <w:p w14:paraId="4EA22873" w14:textId="77777777" w:rsidR="003E7F34" w:rsidRPr="00083ACA" w:rsidRDefault="003E7F34" w:rsidP="002723CA">
            <w:pPr>
              <w:spacing w:after="0"/>
              <w:rPr>
                <w:b/>
                <w:bCs/>
                <w:sz w:val="22"/>
                <w:szCs w:val="22"/>
              </w:rPr>
            </w:pPr>
          </w:p>
        </w:tc>
        <w:tc>
          <w:tcPr>
            <w:tcW w:w="4244" w:type="dxa"/>
          </w:tcPr>
          <w:p w14:paraId="3DF6B24C" w14:textId="683DC088" w:rsidR="003E7F34" w:rsidRPr="00083ACA" w:rsidRDefault="003E7F34" w:rsidP="002723CA">
            <w:pPr>
              <w:spacing w:after="0"/>
              <w:rPr>
                <w:sz w:val="22"/>
                <w:szCs w:val="22"/>
              </w:rPr>
            </w:pPr>
            <w:r w:rsidRPr="00083ACA">
              <w:rPr>
                <w:sz w:val="22"/>
                <w:szCs w:val="22"/>
              </w:rPr>
              <w:t>Invest in interdisciplinary, cross-sectoral research to address health challenges resulting from environmental factors, including pollution and climate-related risks.</w:t>
            </w:r>
          </w:p>
        </w:tc>
        <w:tc>
          <w:tcPr>
            <w:tcW w:w="0" w:type="auto"/>
          </w:tcPr>
          <w:p w14:paraId="3C22E460" w14:textId="24100A75" w:rsidR="003E7F34" w:rsidRPr="00083ACA" w:rsidRDefault="003E7F34" w:rsidP="002723CA">
            <w:pPr>
              <w:spacing w:after="0"/>
              <w:rPr>
                <w:sz w:val="22"/>
                <w:szCs w:val="22"/>
              </w:rPr>
            </w:pPr>
            <w:r w:rsidRPr="00083ACA">
              <w:rPr>
                <w:sz w:val="22"/>
                <w:szCs w:val="22"/>
              </w:rPr>
              <w:t>Invest in cross-disciplinary and -sectoral research to address health challenges resulting from pandemics and environmental factors, including pollution and climate-related risks.</w:t>
            </w:r>
          </w:p>
        </w:tc>
        <w:tc>
          <w:tcPr>
            <w:tcW w:w="0" w:type="auto"/>
          </w:tcPr>
          <w:p w14:paraId="21A01DC1" w14:textId="090990F6" w:rsidR="003E7F34" w:rsidRPr="00083ACA" w:rsidRDefault="003E7F34" w:rsidP="002723CA">
            <w:pPr>
              <w:spacing w:after="0"/>
              <w:rPr>
                <w:sz w:val="22"/>
                <w:szCs w:val="22"/>
              </w:rPr>
            </w:pPr>
            <w:r w:rsidRPr="00083ACA">
              <w:rPr>
                <w:sz w:val="22"/>
                <w:szCs w:val="22"/>
              </w:rPr>
              <w:t>Wording was added to include pandemics, reflecting consultation feedback on strengthening surveillance, preparedness and resilient health systems in response to emerging health threats.</w:t>
            </w:r>
          </w:p>
        </w:tc>
      </w:tr>
      <w:tr w:rsidR="003E7F34" w:rsidRPr="003E7F34" w14:paraId="7859A605" w14:textId="77777777" w:rsidTr="002723CA">
        <w:tc>
          <w:tcPr>
            <w:tcW w:w="2263" w:type="dxa"/>
            <w:vMerge/>
          </w:tcPr>
          <w:p w14:paraId="2992E057" w14:textId="77777777" w:rsidR="003E7F34" w:rsidRPr="00083ACA" w:rsidRDefault="003E7F34" w:rsidP="002723CA">
            <w:pPr>
              <w:spacing w:after="0"/>
              <w:rPr>
                <w:b/>
                <w:bCs/>
                <w:sz w:val="22"/>
                <w:szCs w:val="22"/>
              </w:rPr>
            </w:pPr>
          </w:p>
        </w:tc>
        <w:tc>
          <w:tcPr>
            <w:tcW w:w="4244" w:type="dxa"/>
          </w:tcPr>
          <w:p w14:paraId="02B520C2" w14:textId="22431118" w:rsidR="003E7F34" w:rsidRPr="00083ACA" w:rsidRDefault="003E7F34" w:rsidP="002723CA">
            <w:pPr>
              <w:spacing w:after="0"/>
              <w:rPr>
                <w:sz w:val="22"/>
                <w:szCs w:val="22"/>
              </w:rPr>
            </w:pPr>
            <w:r w:rsidRPr="00083ACA">
              <w:rPr>
                <w:sz w:val="22"/>
                <w:szCs w:val="22"/>
              </w:rPr>
              <w:t>This will build the evidence needed to inform effective interventions, strengthen surveillance and prevention efforts, enable climate-resilient health care, and improve health outcomes for and with communities disproportionately affected by environmental change.</w:t>
            </w:r>
          </w:p>
        </w:tc>
        <w:tc>
          <w:tcPr>
            <w:tcW w:w="0" w:type="auto"/>
          </w:tcPr>
          <w:p w14:paraId="79B659F6" w14:textId="01F38231" w:rsidR="003E7F34" w:rsidRPr="00083ACA" w:rsidRDefault="003E7F34" w:rsidP="002723CA">
            <w:pPr>
              <w:spacing w:after="0"/>
              <w:rPr>
                <w:sz w:val="22"/>
                <w:szCs w:val="22"/>
              </w:rPr>
            </w:pPr>
            <w:r w:rsidRPr="00083ACA">
              <w:rPr>
                <w:sz w:val="22"/>
                <w:szCs w:val="22"/>
              </w:rPr>
              <w:t>This will build the evidence needed to inform more effective interventions, surveillance, prevention efforts and climate-resilient health care through equitable, place-based co-design and evaluation.</w:t>
            </w:r>
          </w:p>
        </w:tc>
        <w:tc>
          <w:tcPr>
            <w:tcW w:w="0" w:type="auto"/>
          </w:tcPr>
          <w:p w14:paraId="63A62801" w14:textId="63E16719" w:rsidR="003E7F34" w:rsidRPr="00083ACA" w:rsidRDefault="003E7F34" w:rsidP="002723CA">
            <w:pPr>
              <w:spacing w:after="0"/>
              <w:rPr>
                <w:sz w:val="22"/>
                <w:szCs w:val="22"/>
              </w:rPr>
            </w:pPr>
            <w:r w:rsidRPr="00083ACA">
              <w:rPr>
                <w:sz w:val="22"/>
                <w:szCs w:val="22"/>
              </w:rPr>
              <w:t>Wording was revised to emphasise equitable, place-based co-design and evaluation. This responds to feedback highlighting the importance of prevention, equity and community-centred approaches.</w:t>
            </w:r>
          </w:p>
        </w:tc>
      </w:tr>
      <w:tr w:rsidR="00E255B5" w:rsidRPr="003E7F34" w14:paraId="57867A8E" w14:textId="77777777" w:rsidTr="002723CA">
        <w:tc>
          <w:tcPr>
            <w:tcW w:w="2263" w:type="dxa"/>
          </w:tcPr>
          <w:p w14:paraId="39203980" w14:textId="5D188E79" w:rsidR="00E255B5" w:rsidRPr="00083ACA" w:rsidRDefault="00E255B5" w:rsidP="002723CA">
            <w:pPr>
              <w:spacing w:after="0"/>
              <w:rPr>
                <w:b/>
                <w:bCs/>
                <w:sz w:val="22"/>
                <w:szCs w:val="22"/>
              </w:rPr>
            </w:pPr>
            <w:r w:rsidRPr="00083ACA">
              <w:rPr>
                <w:b/>
                <w:bCs/>
                <w:sz w:val="22"/>
                <w:szCs w:val="22"/>
              </w:rPr>
              <w:t>Multiomics-Informed Healthcare</w:t>
            </w:r>
          </w:p>
        </w:tc>
        <w:tc>
          <w:tcPr>
            <w:tcW w:w="4244" w:type="dxa"/>
          </w:tcPr>
          <w:p w14:paraId="244ABEEA" w14:textId="121E9F96" w:rsidR="00E255B5" w:rsidRPr="00083ACA" w:rsidRDefault="00E255B5" w:rsidP="002723CA">
            <w:pPr>
              <w:spacing w:after="0"/>
              <w:rPr>
                <w:sz w:val="22"/>
                <w:szCs w:val="22"/>
              </w:rPr>
            </w:pPr>
            <w:r w:rsidRPr="00083ACA">
              <w:rPr>
                <w:sz w:val="22"/>
                <w:szCs w:val="22"/>
              </w:rPr>
              <w:t>This supports the delivery of preventive, diagnostics, monitoring, and therapeutic approaches that are acceptable, accessible and tailored to diverse populations.</w:t>
            </w:r>
          </w:p>
        </w:tc>
        <w:tc>
          <w:tcPr>
            <w:tcW w:w="0" w:type="auto"/>
          </w:tcPr>
          <w:p w14:paraId="628AE18F" w14:textId="3BDCF8FC" w:rsidR="00E255B5" w:rsidRPr="00083ACA" w:rsidRDefault="00E255B5" w:rsidP="002723CA">
            <w:pPr>
              <w:spacing w:after="0"/>
              <w:rPr>
                <w:sz w:val="22"/>
                <w:szCs w:val="22"/>
              </w:rPr>
            </w:pPr>
            <w:r w:rsidRPr="00083ACA">
              <w:rPr>
                <w:sz w:val="22"/>
                <w:szCs w:val="22"/>
              </w:rPr>
              <w:t>This supports the delivery of preventive, diagnostics, monitoring, and therapeutic approaches that are acceptable, equitable, accessible and tailored to diverse populations.</w:t>
            </w:r>
          </w:p>
        </w:tc>
        <w:tc>
          <w:tcPr>
            <w:tcW w:w="0" w:type="auto"/>
          </w:tcPr>
          <w:p w14:paraId="04FC20E4" w14:textId="45399B66" w:rsidR="00E255B5" w:rsidRPr="00083ACA" w:rsidRDefault="00E255B5" w:rsidP="002723CA">
            <w:pPr>
              <w:spacing w:after="0"/>
              <w:rPr>
                <w:sz w:val="22"/>
                <w:szCs w:val="22"/>
              </w:rPr>
            </w:pPr>
            <w:r w:rsidRPr="00083ACA">
              <w:rPr>
                <w:sz w:val="22"/>
                <w:szCs w:val="22"/>
              </w:rPr>
              <w:t>An explicit reference to equitable access was added. This responds to consultation feedback highlighting the importance of equity, access, affordability and ethical considerations in multiomics and precision health technologies.</w:t>
            </w:r>
          </w:p>
        </w:tc>
      </w:tr>
      <w:tr w:rsidR="003E7F34" w:rsidRPr="003E7F34" w14:paraId="6199B4A3" w14:textId="77777777" w:rsidTr="00AF1DCC">
        <w:trPr>
          <w:cantSplit/>
        </w:trPr>
        <w:tc>
          <w:tcPr>
            <w:tcW w:w="2263" w:type="dxa"/>
            <w:vMerge w:val="restart"/>
          </w:tcPr>
          <w:p w14:paraId="0D2B2197" w14:textId="60B3BC49" w:rsidR="003E7F34" w:rsidRPr="00083ACA" w:rsidRDefault="003E7F34" w:rsidP="002723CA">
            <w:pPr>
              <w:spacing w:after="0"/>
              <w:rPr>
                <w:b/>
                <w:bCs/>
                <w:sz w:val="22"/>
                <w:szCs w:val="22"/>
              </w:rPr>
            </w:pPr>
            <w:r w:rsidRPr="00083ACA">
              <w:rPr>
                <w:b/>
                <w:bCs/>
                <w:sz w:val="22"/>
                <w:szCs w:val="22"/>
              </w:rPr>
              <w:lastRenderedPageBreak/>
              <w:t>Embedding research in the health system</w:t>
            </w:r>
          </w:p>
        </w:tc>
        <w:tc>
          <w:tcPr>
            <w:tcW w:w="4244" w:type="dxa"/>
          </w:tcPr>
          <w:p w14:paraId="4AB460FE" w14:textId="6A4B2C03" w:rsidR="003E7F34" w:rsidRPr="00083ACA" w:rsidRDefault="003E7F34" w:rsidP="002723CA">
            <w:pPr>
              <w:spacing w:after="0"/>
              <w:rPr>
                <w:sz w:val="22"/>
                <w:szCs w:val="22"/>
              </w:rPr>
            </w:pPr>
            <w:r w:rsidRPr="00083ACA">
              <w:rPr>
                <w:sz w:val="22"/>
                <w:szCs w:val="22"/>
              </w:rPr>
              <w:t>Co-locating and co-producing research within health systems - supported by a hybrid workforce of clinician-scientists, health service leaders and researchers - will break down barriers between evidence generation, implementation, uptake and scale.</w:t>
            </w:r>
          </w:p>
        </w:tc>
        <w:tc>
          <w:tcPr>
            <w:tcW w:w="0" w:type="auto"/>
          </w:tcPr>
          <w:p w14:paraId="04F9C087" w14:textId="60E453B8" w:rsidR="003E7F34" w:rsidRPr="00083ACA" w:rsidRDefault="003E7F34" w:rsidP="002723CA">
            <w:pPr>
              <w:spacing w:after="0"/>
              <w:rPr>
                <w:sz w:val="22"/>
                <w:szCs w:val="22"/>
              </w:rPr>
            </w:pPr>
            <w:r w:rsidRPr="00083ACA">
              <w:rPr>
                <w:sz w:val="22"/>
                <w:szCs w:val="22"/>
              </w:rPr>
              <w:t>Co-locating and co-producing research within health systems - supported by a hybrid workforce of clinician-scientists, health service leaders and researchers from a diverse range of disciplines - will break down barriers between evidence generation, implementation, uptake and scale.</w:t>
            </w:r>
          </w:p>
        </w:tc>
        <w:tc>
          <w:tcPr>
            <w:tcW w:w="0" w:type="auto"/>
          </w:tcPr>
          <w:p w14:paraId="7C5B9CC2" w14:textId="4FC38C0C" w:rsidR="003E7F34" w:rsidRPr="00083ACA" w:rsidRDefault="003E7F34" w:rsidP="002723CA">
            <w:pPr>
              <w:spacing w:after="0"/>
              <w:rPr>
                <w:sz w:val="22"/>
                <w:szCs w:val="22"/>
              </w:rPr>
            </w:pPr>
            <w:r w:rsidRPr="00083ACA">
              <w:rPr>
                <w:sz w:val="22"/>
                <w:szCs w:val="22"/>
              </w:rPr>
              <w:t>Wording was expanded to include researchers from a diverse range of disciplines, recognising feedback that embedded research requires broad capability across the health and medical research ecosystem.</w:t>
            </w:r>
          </w:p>
        </w:tc>
      </w:tr>
      <w:tr w:rsidR="003E7F34" w:rsidRPr="003E7F34" w14:paraId="7586AF3C" w14:textId="77777777" w:rsidTr="002723CA">
        <w:tc>
          <w:tcPr>
            <w:tcW w:w="2263" w:type="dxa"/>
            <w:vMerge/>
          </w:tcPr>
          <w:p w14:paraId="6F8BE3DE" w14:textId="77777777" w:rsidR="003E7F34" w:rsidRPr="00083ACA" w:rsidRDefault="003E7F34" w:rsidP="002723CA">
            <w:pPr>
              <w:spacing w:after="0"/>
              <w:rPr>
                <w:b/>
                <w:bCs/>
                <w:sz w:val="22"/>
                <w:szCs w:val="22"/>
              </w:rPr>
            </w:pPr>
          </w:p>
        </w:tc>
        <w:tc>
          <w:tcPr>
            <w:tcW w:w="4244" w:type="dxa"/>
          </w:tcPr>
          <w:p w14:paraId="64B19DBA" w14:textId="4AFD7F8A" w:rsidR="003E7F34" w:rsidRPr="00083ACA" w:rsidRDefault="003E7F34" w:rsidP="002723CA">
            <w:pPr>
              <w:spacing w:after="0"/>
              <w:rPr>
                <w:sz w:val="22"/>
                <w:szCs w:val="22"/>
              </w:rPr>
            </w:pPr>
            <w:r w:rsidRPr="00083ACA">
              <w:rPr>
                <w:sz w:val="22"/>
                <w:szCs w:val="22"/>
              </w:rPr>
              <w:t>Research that is co-produced and implemented with researchers, clinician-scientists, health services, consumers and community, and that is responsive to the needs and experiences of diverse population groups, will improve relevance, uptake, equity, and impact.</w:t>
            </w:r>
          </w:p>
        </w:tc>
        <w:tc>
          <w:tcPr>
            <w:tcW w:w="0" w:type="auto"/>
          </w:tcPr>
          <w:p w14:paraId="0CFCDFEF" w14:textId="7A12BCF4" w:rsidR="003E7F34" w:rsidRPr="00083ACA" w:rsidRDefault="003E7F34" w:rsidP="002723CA">
            <w:pPr>
              <w:spacing w:after="0"/>
              <w:rPr>
                <w:sz w:val="22"/>
                <w:szCs w:val="22"/>
              </w:rPr>
            </w:pPr>
            <w:r w:rsidRPr="00083ACA">
              <w:rPr>
                <w:sz w:val="22"/>
                <w:szCs w:val="22"/>
              </w:rPr>
              <w:t>Research that is co-produced and implemented with researchers from a diverse range of disciplines, clinician-scientists, health services, consumers and community, and that is responsive to the needs and experiences of diverse population groups, will improve relevance, uptake, equity, and impact.</w:t>
            </w:r>
          </w:p>
        </w:tc>
        <w:tc>
          <w:tcPr>
            <w:tcW w:w="0" w:type="auto"/>
          </w:tcPr>
          <w:p w14:paraId="5C2794DC" w14:textId="74507028" w:rsidR="003E7F34" w:rsidRPr="00083ACA" w:rsidRDefault="003E7F34" w:rsidP="002723CA">
            <w:pPr>
              <w:spacing w:after="0"/>
              <w:rPr>
                <w:sz w:val="22"/>
                <w:szCs w:val="22"/>
              </w:rPr>
            </w:pPr>
            <w:r w:rsidRPr="00083ACA">
              <w:rPr>
                <w:sz w:val="22"/>
                <w:szCs w:val="22"/>
              </w:rPr>
              <w:t>Wording was expanded to include researchers from a diverse range of disciplines, recognising feedback on multidisciplinary capability and the importance of embedding research across health and care settings.</w:t>
            </w:r>
          </w:p>
        </w:tc>
      </w:tr>
      <w:tr w:rsidR="00E255B5" w:rsidRPr="003E7F34" w14:paraId="1E056B72" w14:textId="77777777" w:rsidTr="002723CA">
        <w:tc>
          <w:tcPr>
            <w:tcW w:w="2263" w:type="dxa"/>
          </w:tcPr>
          <w:p w14:paraId="6AE8738C" w14:textId="50F7AFD5" w:rsidR="00E255B5" w:rsidRPr="00083ACA" w:rsidRDefault="00E255B5" w:rsidP="002723CA">
            <w:pPr>
              <w:spacing w:after="0"/>
              <w:rPr>
                <w:b/>
                <w:bCs/>
                <w:sz w:val="22"/>
                <w:szCs w:val="22"/>
              </w:rPr>
            </w:pPr>
            <w:r w:rsidRPr="00083ACA">
              <w:rPr>
                <w:b/>
                <w:bCs/>
                <w:sz w:val="22"/>
                <w:szCs w:val="22"/>
              </w:rPr>
              <w:t>Skilled and sustainable health and medical research workforce</w:t>
            </w:r>
          </w:p>
        </w:tc>
        <w:tc>
          <w:tcPr>
            <w:tcW w:w="4244" w:type="dxa"/>
          </w:tcPr>
          <w:p w14:paraId="72A5BE3D" w14:textId="492159CB" w:rsidR="00E255B5" w:rsidRPr="00083ACA" w:rsidRDefault="00E255B5" w:rsidP="002723CA">
            <w:pPr>
              <w:spacing w:after="0"/>
              <w:rPr>
                <w:sz w:val="22"/>
                <w:szCs w:val="22"/>
              </w:rPr>
            </w:pPr>
            <w:r w:rsidRPr="00083ACA">
              <w:rPr>
                <w:sz w:val="22"/>
                <w:szCs w:val="22"/>
              </w:rPr>
              <w:t>Invest in high-quality research that creates career opportunities for researchers across diverse career stages, pathways and expertise.</w:t>
            </w:r>
          </w:p>
        </w:tc>
        <w:tc>
          <w:tcPr>
            <w:tcW w:w="0" w:type="auto"/>
          </w:tcPr>
          <w:p w14:paraId="5B801814" w14:textId="1F7E8B4D" w:rsidR="00E255B5" w:rsidRPr="00083ACA" w:rsidRDefault="00E255B5" w:rsidP="002723CA">
            <w:pPr>
              <w:spacing w:after="0"/>
              <w:rPr>
                <w:sz w:val="22"/>
                <w:szCs w:val="22"/>
              </w:rPr>
            </w:pPr>
            <w:r w:rsidRPr="00083ACA">
              <w:rPr>
                <w:sz w:val="22"/>
                <w:szCs w:val="22"/>
              </w:rPr>
              <w:t>Invest in high-quality research that creates career opportunities for researchers across diverse career stages, pathways, expertise and locations.</w:t>
            </w:r>
          </w:p>
        </w:tc>
        <w:tc>
          <w:tcPr>
            <w:tcW w:w="0" w:type="auto"/>
          </w:tcPr>
          <w:p w14:paraId="5C28A316" w14:textId="152F12B1" w:rsidR="00E255B5" w:rsidRPr="00083ACA" w:rsidRDefault="00E255B5" w:rsidP="002723CA">
            <w:pPr>
              <w:spacing w:after="0"/>
              <w:rPr>
                <w:sz w:val="22"/>
                <w:szCs w:val="22"/>
              </w:rPr>
            </w:pPr>
            <w:r w:rsidRPr="00083ACA">
              <w:rPr>
                <w:sz w:val="22"/>
                <w:szCs w:val="22"/>
              </w:rPr>
              <w:t>Wording was expanded to explicitly mention researchers across locations. This responds to feedback on supporting researchers across regional, rural and remote settings and under-represented researchers.</w:t>
            </w:r>
          </w:p>
        </w:tc>
      </w:tr>
      <w:tr w:rsidR="00E14FDB" w:rsidRPr="003E7F34" w14:paraId="6328C3BF" w14:textId="77777777" w:rsidTr="00A51F3B">
        <w:tc>
          <w:tcPr>
            <w:tcW w:w="15126" w:type="dxa"/>
            <w:gridSpan w:val="4"/>
          </w:tcPr>
          <w:p w14:paraId="5603999B" w14:textId="64352061" w:rsidR="00E14FDB" w:rsidRPr="00083ACA" w:rsidRDefault="00E14FDB" w:rsidP="00E14FDB">
            <w:pPr>
              <w:keepNext/>
              <w:spacing w:after="0"/>
              <w:jc w:val="center"/>
              <w:rPr>
                <w:sz w:val="22"/>
                <w:szCs w:val="22"/>
              </w:rPr>
            </w:pPr>
            <w:r w:rsidRPr="00E14FDB">
              <w:rPr>
                <w:b/>
                <w:bCs/>
                <w:sz w:val="24"/>
                <w:szCs w:val="24"/>
              </w:rPr>
              <w:lastRenderedPageBreak/>
              <w:t>Priority populations</w:t>
            </w:r>
          </w:p>
        </w:tc>
      </w:tr>
      <w:tr w:rsidR="00E14FDB" w:rsidRPr="003E7F34" w14:paraId="0E560901" w14:textId="77777777" w:rsidTr="00E14FDB">
        <w:trPr>
          <w:cantSplit/>
        </w:trPr>
        <w:tc>
          <w:tcPr>
            <w:tcW w:w="2263" w:type="dxa"/>
          </w:tcPr>
          <w:p w14:paraId="09DB3CF9" w14:textId="42C4AB93" w:rsidR="00E14FDB" w:rsidRPr="00083ACA" w:rsidRDefault="00E14FDB" w:rsidP="002723CA">
            <w:pPr>
              <w:spacing w:after="0"/>
              <w:rPr>
                <w:b/>
                <w:bCs/>
                <w:sz w:val="22"/>
                <w:szCs w:val="22"/>
              </w:rPr>
            </w:pPr>
            <w:r w:rsidRPr="00E14FDB">
              <w:rPr>
                <w:b/>
                <w:bCs/>
                <w:sz w:val="22"/>
                <w:szCs w:val="22"/>
              </w:rPr>
              <w:t>Priority populations</w:t>
            </w:r>
          </w:p>
        </w:tc>
        <w:tc>
          <w:tcPr>
            <w:tcW w:w="4244" w:type="dxa"/>
          </w:tcPr>
          <w:p w14:paraId="47DA832A" w14:textId="77777777" w:rsidR="00E14FDB" w:rsidRPr="00E14FDB" w:rsidRDefault="00E14FDB" w:rsidP="00E14FDB">
            <w:pPr>
              <w:spacing w:after="0"/>
              <w:rPr>
                <w:sz w:val="22"/>
                <w:szCs w:val="22"/>
              </w:rPr>
            </w:pPr>
            <w:r w:rsidRPr="00E14FDB">
              <w:rPr>
                <w:sz w:val="22"/>
                <w:szCs w:val="22"/>
              </w:rPr>
              <w:t>MRFF Priority Populations includes:</w:t>
            </w:r>
          </w:p>
          <w:p w14:paraId="24E6CF0E" w14:textId="77777777" w:rsidR="00E14FDB" w:rsidRPr="00E14FDB" w:rsidRDefault="00E14FDB" w:rsidP="00E14FDB">
            <w:pPr>
              <w:spacing w:after="0"/>
              <w:rPr>
                <w:sz w:val="22"/>
                <w:szCs w:val="22"/>
              </w:rPr>
            </w:pPr>
            <w:r w:rsidRPr="00E14FDB">
              <w:rPr>
                <w:sz w:val="22"/>
                <w:szCs w:val="22"/>
              </w:rPr>
              <w:t>…</w:t>
            </w:r>
          </w:p>
          <w:p w14:paraId="45A21C09" w14:textId="08C93C21" w:rsidR="00E14FDB" w:rsidRPr="00E14FDB" w:rsidRDefault="00E14FDB" w:rsidP="00E14FDB">
            <w:pPr>
              <w:pStyle w:val="ListParagraph"/>
              <w:ind w:left="183" w:hanging="183"/>
              <w:rPr>
                <w:sz w:val="22"/>
                <w:szCs w:val="22"/>
              </w:rPr>
            </w:pPr>
            <w:r w:rsidRPr="00E14FDB">
              <w:rPr>
                <w:sz w:val="22"/>
                <w:szCs w:val="22"/>
              </w:rPr>
              <w:t>older people experiencing diseases of ageing (e.g. cognitive decline and dementia) </w:t>
            </w:r>
          </w:p>
          <w:p w14:paraId="3ABEE3CA" w14:textId="4A6B92BD" w:rsidR="00E14FDB" w:rsidRPr="00E14FDB" w:rsidRDefault="00E14FDB" w:rsidP="00E14FDB">
            <w:pPr>
              <w:pStyle w:val="ListParagraph"/>
              <w:ind w:left="183" w:hanging="183"/>
              <w:rPr>
                <w:sz w:val="22"/>
                <w:szCs w:val="22"/>
              </w:rPr>
            </w:pPr>
            <w:r w:rsidRPr="00E14FDB">
              <w:rPr>
                <w:sz w:val="22"/>
                <w:szCs w:val="22"/>
              </w:rPr>
              <w:t>people with rare or currently untreatable diseases/conditions.</w:t>
            </w:r>
          </w:p>
        </w:tc>
        <w:tc>
          <w:tcPr>
            <w:tcW w:w="0" w:type="auto"/>
          </w:tcPr>
          <w:p w14:paraId="36EFAEC1" w14:textId="77777777" w:rsidR="00E14FDB" w:rsidRPr="00E14FDB" w:rsidRDefault="00E14FDB" w:rsidP="00E14FDB">
            <w:pPr>
              <w:spacing w:after="0"/>
              <w:rPr>
                <w:sz w:val="22"/>
                <w:szCs w:val="22"/>
              </w:rPr>
            </w:pPr>
            <w:r w:rsidRPr="00E14FDB">
              <w:rPr>
                <w:sz w:val="22"/>
                <w:szCs w:val="22"/>
              </w:rPr>
              <w:t>MRFF Priority Populations includes:</w:t>
            </w:r>
          </w:p>
          <w:p w14:paraId="240FE57A" w14:textId="77777777" w:rsidR="00E14FDB" w:rsidRPr="00E14FDB" w:rsidRDefault="00E14FDB" w:rsidP="00E14FDB">
            <w:pPr>
              <w:spacing w:after="0"/>
              <w:rPr>
                <w:sz w:val="22"/>
                <w:szCs w:val="22"/>
              </w:rPr>
            </w:pPr>
            <w:r w:rsidRPr="00E14FDB">
              <w:rPr>
                <w:sz w:val="22"/>
                <w:szCs w:val="22"/>
              </w:rPr>
              <w:t>…</w:t>
            </w:r>
          </w:p>
          <w:p w14:paraId="10E3381D" w14:textId="3F4E26EA" w:rsidR="00E14FDB" w:rsidRPr="00E14FDB" w:rsidRDefault="00E14FDB" w:rsidP="00E14FDB">
            <w:pPr>
              <w:pStyle w:val="ListParagraph"/>
              <w:ind w:left="183" w:hanging="183"/>
              <w:rPr>
                <w:sz w:val="22"/>
                <w:szCs w:val="22"/>
              </w:rPr>
            </w:pPr>
            <w:r w:rsidRPr="00E14FDB">
              <w:rPr>
                <w:sz w:val="22"/>
                <w:szCs w:val="22"/>
              </w:rPr>
              <w:t>older people experiencing diseases of ageing (e.g. cognitive decline and dementia) </w:t>
            </w:r>
          </w:p>
          <w:p w14:paraId="77EC6C40" w14:textId="570C01E7" w:rsidR="00E14FDB" w:rsidRPr="00E14FDB" w:rsidRDefault="00E14FDB" w:rsidP="00E14FDB">
            <w:pPr>
              <w:pStyle w:val="ListParagraph"/>
              <w:ind w:left="183" w:hanging="183"/>
              <w:rPr>
                <w:sz w:val="22"/>
                <w:szCs w:val="22"/>
              </w:rPr>
            </w:pPr>
            <w:r w:rsidRPr="00E14FDB">
              <w:rPr>
                <w:sz w:val="22"/>
                <w:szCs w:val="22"/>
              </w:rPr>
              <w:t>women and girls</w:t>
            </w:r>
          </w:p>
          <w:p w14:paraId="48359339" w14:textId="7BD1616C" w:rsidR="00E14FDB" w:rsidRPr="00E14FDB" w:rsidRDefault="00E14FDB" w:rsidP="00E14FDB">
            <w:pPr>
              <w:pStyle w:val="ListParagraph"/>
              <w:ind w:left="183" w:hanging="183"/>
              <w:rPr>
                <w:sz w:val="22"/>
                <w:szCs w:val="22"/>
              </w:rPr>
            </w:pPr>
            <w:r w:rsidRPr="00E14FDB">
              <w:rPr>
                <w:sz w:val="22"/>
                <w:szCs w:val="22"/>
              </w:rPr>
              <w:t>people with rare or currently untreatable diseases/conditions.</w:t>
            </w:r>
          </w:p>
        </w:tc>
        <w:tc>
          <w:tcPr>
            <w:tcW w:w="0" w:type="auto"/>
          </w:tcPr>
          <w:p w14:paraId="4A5DDF8D" w14:textId="50E17781" w:rsidR="00E14FDB" w:rsidRPr="00E14FDB" w:rsidRDefault="00E14FDB" w:rsidP="002723CA">
            <w:pPr>
              <w:spacing w:after="0"/>
              <w:rPr>
                <w:sz w:val="22"/>
                <w:szCs w:val="22"/>
              </w:rPr>
            </w:pPr>
            <w:r w:rsidRPr="00E14FDB">
              <w:rPr>
                <w:sz w:val="22"/>
                <w:szCs w:val="22"/>
              </w:rPr>
              <w:t>Women and girls were added as a priority population in response to feedback.</w:t>
            </w:r>
          </w:p>
        </w:tc>
      </w:tr>
    </w:tbl>
    <w:p w14:paraId="1677B65E" w14:textId="77777777" w:rsidR="004B78DA" w:rsidRPr="00450FEC" w:rsidRDefault="004B78DA" w:rsidP="00E44F56"/>
    <w:sectPr w:rsidR="004B78DA" w:rsidRPr="00450FEC" w:rsidSect="004B78DA">
      <w:pgSz w:w="16838" w:h="11906" w:orient="landscape"/>
      <w:pgMar w:top="1134" w:right="851" w:bottom="1276" w:left="851" w:header="709"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1EC0F" w14:textId="77777777" w:rsidR="002D4315" w:rsidRDefault="002D4315" w:rsidP="00E44F56">
      <w:r>
        <w:separator/>
      </w:r>
    </w:p>
  </w:endnote>
  <w:endnote w:type="continuationSeparator" w:id="0">
    <w:p w14:paraId="5C10459A" w14:textId="77777777" w:rsidR="002D4315" w:rsidRDefault="002D4315" w:rsidP="00E44F56">
      <w:r>
        <w:continuationSeparator/>
      </w:r>
    </w:p>
  </w:endnote>
  <w:endnote w:type="continuationNotice" w:id="1">
    <w:p w14:paraId="16F44A77" w14:textId="77777777" w:rsidR="002D4315" w:rsidRDefault="002D4315" w:rsidP="00E44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5ECD6" w14:textId="7FFAA79E" w:rsidR="004C525D" w:rsidRDefault="004C525D" w:rsidP="00E44F56">
    <w:pPr>
      <w:pStyle w:val="Footer"/>
    </w:pPr>
    <w:r>
      <w:rPr>
        <w:noProof/>
      </w:rPr>
      <mc:AlternateContent>
        <mc:Choice Requires="wps">
          <w:drawing>
            <wp:anchor distT="0" distB="0" distL="0" distR="0" simplePos="0" relativeHeight="251658244" behindDoc="0" locked="0" layoutInCell="1" allowOverlap="1" wp14:anchorId="4DFD506F" wp14:editId="1CF18349">
              <wp:simplePos x="635" y="635"/>
              <wp:positionH relativeFrom="page">
                <wp:align>center</wp:align>
              </wp:positionH>
              <wp:positionV relativeFrom="page">
                <wp:align>bottom</wp:align>
              </wp:positionV>
              <wp:extent cx="622300" cy="404495"/>
              <wp:effectExtent l="0" t="0" r="6350" b="0"/>
              <wp:wrapNone/>
              <wp:docPr id="17899760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D54F449" w14:textId="3F2C879C" w:rsidR="004C525D" w:rsidRPr="004C525D" w:rsidRDefault="004C525D" w:rsidP="00E44F56">
                          <w:pPr>
                            <w:rPr>
                              <w:rFonts w:eastAsia="Aptos"/>
                              <w:noProof/>
                            </w:rPr>
                          </w:pPr>
                          <w:r w:rsidRPr="004C525D">
                            <w:rPr>
                              <w:rFonts w:eastAsia="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FD506F" id="_x0000_t202" coordsize="21600,21600" o:spt="202" path="m,l,21600r21600,l21600,xe">
              <v:stroke joinstyle="miter"/>
              <v:path gradientshapeok="t" o:connecttype="rect"/>
            </v:shapetype>
            <v:shape id="Text Box 6" o:spid="_x0000_s1028" type="#_x0000_t202" alt="OFFICIAL" style="position:absolute;margin-left:0;margin-top:0;width:49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QDAIAABwEAAAOAAAAZHJzL2Uyb0RvYy54bWysU8Fu2zAMvQ/YPwi6L3aytF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zzlFJIXm+X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v88lUAwCAAAcBAAA&#10;DgAAAAAAAAAAAAAAAAAuAgAAZHJzL2Uyb0RvYy54bWxQSwECLQAUAAYACAAAACEAVqe4ytoAAAAD&#10;AQAADwAAAAAAAAAAAAAAAABmBAAAZHJzL2Rvd25yZXYueG1sUEsFBgAAAAAEAAQA8wAAAG0FAAAA&#10;AA==&#10;" filled="f" stroked="f">
              <v:textbox style="mso-fit-shape-to-text:t" inset="0,0,0,15pt">
                <w:txbxContent>
                  <w:p w14:paraId="7D54F449" w14:textId="3F2C879C" w:rsidR="004C525D" w:rsidRPr="004C525D" w:rsidRDefault="004C525D" w:rsidP="00E44F56">
                    <w:pPr>
                      <w:rPr>
                        <w:rFonts w:eastAsia="Aptos"/>
                        <w:noProof/>
                      </w:rPr>
                    </w:pPr>
                    <w:r w:rsidRPr="004C525D">
                      <w:rPr>
                        <w:rFonts w:eastAsia="Aptos"/>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E193" w14:textId="29D9739E" w:rsidR="0052497D" w:rsidRDefault="00000000" w:rsidP="00E06683">
    <w:pPr>
      <w:pStyle w:val="Footer"/>
      <w:jc w:val="right"/>
    </w:pPr>
    <w:sdt>
      <w:sdtPr>
        <w:id w:val="770043100"/>
        <w:docPartObj>
          <w:docPartGallery w:val="Page Numbers (Bottom of Page)"/>
          <w:docPartUnique/>
        </w:docPartObj>
      </w:sdtPr>
      <w:sdtContent>
        <w:sdt>
          <w:sdtPr>
            <w:id w:val="692577757"/>
            <w:docPartObj>
              <w:docPartGallery w:val="Page Numbers (Top of Page)"/>
              <w:docPartUnique/>
            </w:docPartObj>
          </w:sdtPr>
          <w:sdtContent>
            <w:r w:rsidR="00A07E98">
              <w:t xml:space="preserve">Page </w:t>
            </w:r>
            <w:r w:rsidR="00A07E98" w:rsidRPr="003466A9">
              <w:rPr>
                <w:b/>
                <w:bCs/>
              </w:rPr>
              <w:fldChar w:fldCharType="begin"/>
            </w:r>
            <w:r w:rsidR="00A07E98" w:rsidRPr="003466A9">
              <w:rPr>
                <w:b/>
                <w:bCs/>
              </w:rPr>
              <w:instrText xml:space="preserve"> PAGE </w:instrText>
            </w:r>
            <w:r w:rsidR="00A07E98" w:rsidRPr="003466A9">
              <w:rPr>
                <w:b/>
                <w:bCs/>
              </w:rPr>
              <w:fldChar w:fldCharType="separate"/>
            </w:r>
            <w:r w:rsidR="00A07E98" w:rsidRPr="003466A9">
              <w:rPr>
                <w:b/>
                <w:bCs/>
                <w:noProof/>
              </w:rPr>
              <w:t>2</w:t>
            </w:r>
            <w:r w:rsidR="00A07E98" w:rsidRPr="003466A9">
              <w:rPr>
                <w:b/>
                <w:bCs/>
              </w:rPr>
              <w:fldChar w:fldCharType="end"/>
            </w:r>
            <w:r w:rsidR="00A07E98">
              <w:t xml:space="preserve"> of </w:t>
            </w:r>
            <w:r w:rsidR="00A07E98" w:rsidRPr="003466A9">
              <w:rPr>
                <w:b/>
                <w:bCs/>
              </w:rPr>
              <w:fldChar w:fldCharType="begin"/>
            </w:r>
            <w:r w:rsidR="00A07E98" w:rsidRPr="003466A9">
              <w:rPr>
                <w:b/>
                <w:bCs/>
              </w:rPr>
              <w:instrText xml:space="preserve"> NUMPAGES  </w:instrText>
            </w:r>
            <w:r w:rsidR="00A07E98" w:rsidRPr="003466A9">
              <w:rPr>
                <w:b/>
                <w:bCs/>
              </w:rPr>
              <w:fldChar w:fldCharType="separate"/>
            </w:r>
            <w:r w:rsidR="00A07E98" w:rsidRPr="003466A9">
              <w:rPr>
                <w:b/>
                <w:bCs/>
                <w:noProof/>
              </w:rPr>
              <w:t>2</w:t>
            </w:r>
            <w:r w:rsidR="00A07E98" w:rsidRPr="003466A9">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4163" w14:textId="53079DE1" w:rsidR="0032733B" w:rsidRDefault="004C525D" w:rsidP="00E44F56">
    <w:pPr>
      <w:pStyle w:val="Footer"/>
    </w:pPr>
    <w:r>
      <w:rPr>
        <w:noProof/>
      </w:rPr>
      <mc:AlternateContent>
        <mc:Choice Requires="wps">
          <w:drawing>
            <wp:anchor distT="0" distB="0" distL="0" distR="0" simplePos="0" relativeHeight="251658243" behindDoc="0" locked="0" layoutInCell="1" allowOverlap="1" wp14:anchorId="66409B06" wp14:editId="1EF42386">
              <wp:simplePos x="723900" y="10081260"/>
              <wp:positionH relativeFrom="page">
                <wp:align>center</wp:align>
              </wp:positionH>
              <wp:positionV relativeFrom="page">
                <wp:align>bottom</wp:align>
              </wp:positionV>
              <wp:extent cx="622300" cy="404495"/>
              <wp:effectExtent l="0" t="0" r="6350" b="0"/>
              <wp:wrapNone/>
              <wp:docPr id="12166536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9F9C1B5" w14:textId="3D8919BE" w:rsidR="004C525D" w:rsidRPr="004C525D" w:rsidRDefault="004C525D" w:rsidP="00E44F56">
                          <w:pPr>
                            <w:rPr>
                              <w:rFonts w:eastAsia="Aptos"/>
                              <w:noProof/>
                            </w:rPr>
                          </w:pPr>
                          <w:r w:rsidRPr="004C525D">
                            <w:rPr>
                              <w:rFonts w:eastAsia="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409B06" id="_x0000_t202" coordsize="21600,21600" o:spt="202" path="m,l,21600r21600,l21600,xe">
              <v:stroke joinstyle="miter"/>
              <v:path gradientshapeok="t" o:connecttype="rect"/>
            </v:shapetype>
            <v:shape id="Text Box 5" o:spid="_x0000_s1029" type="#_x0000_t202" alt="OFFICIAL" style="position:absolute;margin-left:0;margin-top:0;width:49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39F9C1B5" w14:textId="3D8919BE" w:rsidR="004C525D" w:rsidRPr="004C525D" w:rsidRDefault="004C525D" w:rsidP="00E44F56">
                    <w:pPr>
                      <w:rPr>
                        <w:rFonts w:eastAsia="Aptos"/>
                        <w:noProof/>
                      </w:rPr>
                    </w:pPr>
                    <w:r w:rsidRPr="004C525D">
                      <w:rPr>
                        <w:rFonts w:eastAsia="Aptos"/>
                        <w:noProof/>
                      </w:rPr>
                      <w:t>OFFICIAL</w:t>
                    </w:r>
                  </w:p>
                </w:txbxContent>
              </v:textbox>
              <w10:wrap anchorx="page" anchory="page"/>
            </v:shape>
          </w:pict>
        </mc:Fallback>
      </mc:AlternateContent>
    </w:r>
    <w:sdt>
      <w:sdtPr>
        <w:id w:val="-1343931745"/>
        <w:docPartObj>
          <w:docPartGallery w:val="Page Numbers (Bottom of Page)"/>
          <w:docPartUnique/>
        </w:docPartObj>
      </w:sdtPr>
      <w:sdtContent>
        <w:sdt>
          <w:sdtPr>
            <w:id w:val="801108440"/>
            <w:docPartObj>
              <w:docPartGallery w:val="Page Numbers (Top of Page)"/>
              <w:docPartUnique/>
            </w:docPartObj>
          </w:sdtPr>
          <w:sdtContent>
            <w:r w:rsidR="0032733B">
              <w:t xml:space="preserve">Page </w:t>
            </w:r>
            <w:r w:rsidR="0032733B">
              <w:fldChar w:fldCharType="begin"/>
            </w:r>
            <w:r w:rsidR="0032733B">
              <w:instrText xml:space="preserve"> PAGE </w:instrText>
            </w:r>
            <w:r w:rsidR="0032733B">
              <w:fldChar w:fldCharType="separate"/>
            </w:r>
            <w:r w:rsidR="0032733B">
              <w:t>17</w:t>
            </w:r>
            <w:r w:rsidR="0032733B">
              <w:fldChar w:fldCharType="end"/>
            </w:r>
            <w:r w:rsidR="0032733B">
              <w:t xml:space="preserve"> of </w:t>
            </w:r>
            <w:fldSimple w:instr=" NUMPAGES  ">
              <w:r w:rsidR="0032733B">
                <w:t>31</w:t>
              </w:r>
            </w:fldSimple>
          </w:sdtContent>
        </w:sdt>
      </w:sdtContent>
    </w:sdt>
  </w:p>
  <w:p w14:paraId="0D9EB43C" w14:textId="77777777" w:rsidR="0032733B" w:rsidRDefault="0032733B" w:rsidP="00E44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2F9BE" w14:textId="77777777" w:rsidR="002D4315" w:rsidRDefault="002D4315" w:rsidP="00E44F56">
      <w:r>
        <w:separator/>
      </w:r>
    </w:p>
  </w:footnote>
  <w:footnote w:type="continuationSeparator" w:id="0">
    <w:p w14:paraId="392155DC" w14:textId="77777777" w:rsidR="002D4315" w:rsidRDefault="002D4315" w:rsidP="00E44F56">
      <w:r>
        <w:continuationSeparator/>
      </w:r>
    </w:p>
  </w:footnote>
  <w:footnote w:type="continuationNotice" w:id="1">
    <w:p w14:paraId="25EAA0BE" w14:textId="77777777" w:rsidR="002D4315" w:rsidRDefault="002D4315" w:rsidP="00E44F56"/>
  </w:footnote>
  <w:footnote w:id="2">
    <w:p w14:paraId="050102A4" w14:textId="286DB5C7" w:rsidR="001A46CE" w:rsidRDefault="001A46CE" w:rsidP="00982E36">
      <w:pPr>
        <w:pStyle w:val="FootnoteText"/>
        <w:ind w:right="-285"/>
      </w:pPr>
      <w:r>
        <w:rPr>
          <w:rStyle w:val="FootnoteReference"/>
        </w:rPr>
        <w:footnoteRef/>
      </w:r>
      <w:r>
        <w:t xml:space="preserve"> </w:t>
      </w:r>
      <w:r w:rsidR="00630666">
        <w:t>S</w:t>
      </w:r>
      <w:r w:rsidRPr="001A46CE">
        <w:t xml:space="preserve">ome submissions were </w:t>
      </w:r>
      <w:r w:rsidR="00630666">
        <w:t>received by email</w:t>
      </w:r>
      <w:r w:rsidR="00630666" w:rsidRPr="001A46CE">
        <w:t xml:space="preserve"> </w:t>
      </w:r>
      <w:r w:rsidRPr="001A46CE">
        <w:t xml:space="preserve">after the formal consultation period </w:t>
      </w:r>
      <w:r w:rsidR="00630666">
        <w:t xml:space="preserve">closed and </w:t>
      </w:r>
      <w:r w:rsidRPr="001A46CE">
        <w:t xml:space="preserve">are </w:t>
      </w:r>
      <w:r w:rsidR="00630666">
        <w:t xml:space="preserve">therefore </w:t>
      </w:r>
      <w:r w:rsidRPr="001A46CE">
        <w:t xml:space="preserve">not </w:t>
      </w:r>
      <w:r w:rsidR="00630666">
        <w:t>reflected</w:t>
      </w:r>
      <w:r w:rsidR="00630666" w:rsidRPr="001A46CE">
        <w:t xml:space="preserve"> </w:t>
      </w:r>
      <w:r w:rsidRPr="001A46CE">
        <w:t>in the figures below</w:t>
      </w:r>
      <w:r w:rsidR="00630666">
        <w:t>. However</w:t>
      </w:r>
      <w:r w:rsidRPr="001A46CE">
        <w:t xml:space="preserve">, the broad themes </w:t>
      </w:r>
      <w:r w:rsidR="00630666">
        <w:t>raised in this feedback are</w:t>
      </w:r>
      <w:r w:rsidRPr="001A46CE">
        <w:t xml:space="preserve"> captured in this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A9F7" w14:textId="1CCAF3C9" w:rsidR="004C525D" w:rsidRDefault="004C525D" w:rsidP="00E44F56">
    <w:pPr>
      <w:pStyle w:val="Header"/>
    </w:pPr>
    <w:r>
      <w:rPr>
        <w:noProof/>
      </w:rPr>
      <mc:AlternateContent>
        <mc:Choice Requires="wps">
          <w:drawing>
            <wp:anchor distT="0" distB="0" distL="0" distR="0" simplePos="0" relativeHeight="251658241" behindDoc="0" locked="0" layoutInCell="1" allowOverlap="1" wp14:anchorId="30F71B5F" wp14:editId="2F34EC7C">
              <wp:simplePos x="635" y="635"/>
              <wp:positionH relativeFrom="page">
                <wp:align>center</wp:align>
              </wp:positionH>
              <wp:positionV relativeFrom="page">
                <wp:align>top</wp:align>
              </wp:positionV>
              <wp:extent cx="622300" cy="404495"/>
              <wp:effectExtent l="0" t="0" r="6350" b="14605"/>
              <wp:wrapNone/>
              <wp:docPr id="159153464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10CC827" w14:textId="026740AF" w:rsidR="004C525D" w:rsidRPr="004C525D" w:rsidRDefault="004C525D" w:rsidP="00E44F56">
                          <w:pPr>
                            <w:rPr>
                              <w:rFonts w:eastAsia="Aptos"/>
                              <w:noProof/>
                            </w:rPr>
                          </w:pPr>
                          <w:r w:rsidRPr="004C525D">
                            <w:rPr>
                              <w:rFonts w:eastAsia="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F71B5F"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210CC827" w14:textId="026740AF" w:rsidR="004C525D" w:rsidRPr="004C525D" w:rsidRDefault="004C525D" w:rsidP="00E44F56">
                    <w:pPr>
                      <w:rPr>
                        <w:rFonts w:eastAsia="Aptos"/>
                        <w:noProof/>
                      </w:rPr>
                    </w:pPr>
                    <w:r w:rsidRPr="004C525D">
                      <w:rPr>
                        <w:rFonts w:eastAsia="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5D08"/>
    <w:multiLevelType w:val="multilevel"/>
    <w:tmpl w:val="7D0A6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87896"/>
    <w:multiLevelType w:val="multilevel"/>
    <w:tmpl w:val="BAFA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442EB"/>
    <w:multiLevelType w:val="multilevel"/>
    <w:tmpl w:val="F882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85177"/>
    <w:multiLevelType w:val="multilevel"/>
    <w:tmpl w:val="15AE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87034"/>
    <w:multiLevelType w:val="hybridMultilevel"/>
    <w:tmpl w:val="8ADA69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BB2E45"/>
    <w:multiLevelType w:val="multilevel"/>
    <w:tmpl w:val="964E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81647"/>
    <w:multiLevelType w:val="multilevel"/>
    <w:tmpl w:val="8F08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F835E7"/>
    <w:multiLevelType w:val="multilevel"/>
    <w:tmpl w:val="21285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232C65"/>
    <w:multiLevelType w:val="multilevel"/>
    <w:tmpl w:val="AF02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64EAE"/>
    <w:multiLevelType w:val="multilevel"/>
    <w:tmpl w:val="3D7E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5E2CBC"/>
    <w:multiLevelType w:val="hybridMultilevel"/>
    <w:tmpl w:val="18980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EB1AC9"/>
    <w:multiLevelType w:val="multilevel"/>
    <w:tmpl w:val="ADBE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C41B8"/>
    <w:multiLevelType w:val="multilevel"/>
    <w:tmpl w:val="E6D4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C04F2"/>
    <w:multiLevelType w:val="multilevel"/>
    <w:tmpl w:val="EACE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4229BF"/>
    <w:multiLevelType w:val="multilevel"/>
    <w:tmpl w:val="5DCCB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747E4B"/>
    <w:multiLevelType w:val="hybridMultilevel"/>
    <w:tmpl w:val="8B1E6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AF719B2"/>
    <w:multiLevelType w:val="multilevel"/>
    <w:tmpl w:val="0E70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877DC"/>
    <w:multiLevelType w:val="multilevel"/>
    <w:tmpl w:val="0760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866BA4"/>
    <w:multiLevelType w:val="hybridMultilevel"/>
    <w:tmpl w:val="806AD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8B5724C"/>
    <w:multiLevelType w:val="multilevel"/>
    <w:tmpl w:val="61A8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B2489B"/>
    <w:multiLevelType w:val="multilevel"/>
    <w:tmpl w:val="343A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2311C"/>
    <w:multiLevelType w:val="hybridMultilevel"/>
    <w:tmpl w:val="A40AB8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1F40B54"/>
    <w:multiLevelType w:val="multilevel"/>
    <w:tmpl w:val="9ED2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F22501"/>
    <w:multiLevelType w:val="multilevel"/>
    <w:tmpl w:val="9FC6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DE0EF9"/>
    <w:multiLevelType w:val="multilevel"/>
    <w:tmpl w:val="1D54A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F20F25"/>
    <w:multiLevelType w:val="hybridMultilevel"/>
    <w:tmpl w:val="A9CC8D06"/>
    <w:lvl w:ilvl="0" w:tplc="935245AE">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5D5572"/>
    <w:multiLevelType w:val="multilevel"/>
    <w:tmpl w:val="8120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C618ED"/>
    <w:multiLevelType w:val="multilevel"/>
    <w:tmpl w:val="C8EE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C74214"/>
    <w:multiLevelType w:val="multilevel"/>
    <w:tmpl w:val="770E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D83292"/>
    <w:multiLevelType w:val="multilevel"/>
    <w:tmpl w:val="83C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917DCC"/>
    <w:multiLevelType w:val="multilevel"/>
    <w:tmpl w:val="A97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1868096">
    <w:abstractNumId w:val="10"/>
  </w:num>
  <w:num w:numId="2" w16cid:durableId="1475483531">
    <w:abstractNumId w:val="25"/>
  </w:num>
  <w:num w:numId="3" w16cid:durableId="1105611745">
    <w:abstractNumId w:val="13"/>
  </w:num>
  <w:num w:numId="4" w16cid:durableId="1943611232">
    <w:abstractNumId w:val="9"/>
  </w:num>
  <w:num w:numId="5" w16cid:durableId="1037000876">
    <w:abstractNumId w:val="19"/>
  </w:num>
  <w:num w:numId="6" w16cid:durableId="1284266639">
    <w:abstractNumId w:val="1"/>
  </w:num>
  <w:num w:numId="7" w16cid:durableId="276766328">
    <w:abstractNumId w:val="22"/>
  </w:num>
  <w:num w:numId="8" w16cid:durableId="68357450">
    <w:abstractNumId w:val="4"/>
  </w:num>
  <w:num w:numId="9" w16cid:durableId="503520445">
    <w:abstractNumId w:val="15"/>
  </w:num>
  <w:num w:numId="10" w16cid:durableId="802236718">
    <w:abstractNumId w:val="0"/>
  </w:num>
  <w:num w:numId="11" w16cid:durableId="568805506">
    <w:abstractNumId w:val="26"/>
  </w:num>
  <w:num w:numId="12" w16cid:durableId="1727801593">
    <w:abstractNumId w:val="12"/>
  </w:num>
  <w:num w:numId="13" w16cid:durableId="1433866286">
    <w:abstractNumId w:val="6"/>
  </w:num>
  <w:num w:numId="14" w16cid:durableId="1251037332">
    <w:abstractNumId w:val="23"/>
  </w:num>
  <w:num w:numId="15" w16cid:durableId="1176114193">
    <w:abstractNumId w:val="27"/>
  </w:num>
  <w:num w:numId="16" w16cid:durableId="690256438">
    <w:abstractNumId w:val="2"/>
  </w:num>
  <w:num w:numId="17" w16cid:durableId="1143547367">
    <w:abstractNumId w:val="14"/>
  </w:num>
  <w:num w:numId="18" w16cid:durableId="1645230198">
    <w:abstractNumId w:val="17"/>
  </w:num>
  <w:num w:numId="19" w16cid:durableId="916793212">
    <w:abstractNumId w:val="16"/>
  </w:num>
  <w:num w:numId="20" w16cid:durableId="130178730">
    <w:abstractNumId w:val="3"/>
  </w:num>
  <w:num w:numId="21" w16cid:durableId="921645978">
    <w:abstractNumId w:val="20"/>
  </w:num>
  <w:num w:numId="22" w16cid:durableId="877855963">
    <w:abstractNumId w:val="24"/>
  </w:num>
  <w:num w:numId="23" w16cid:durableId="1992712822">
    <w:abstractNumId w:val="28"/>
  </w:num>
  <w:num w:numId="24" w16cid:durableId="370689267">
    <w:abstractNumId w:val="7"/>
  </w:num>
  <w:num w:numId="25" w16cid:durableId="1460567330">
    <w:abstractNumId w:val="18"/>
  </w:num>
  <w:num w:numId="26" w16cid:durableId="474958658">
    <w:abstractNumId w:val="8"/>
  </w:num>
  <w:num w:numId="27" w16cid:durableId="2008946651">
    <w:abstractNumId w:val="30"/>
  </w:num>
  <w:num w:numId="28" w16cid:durableId="1295673204">
    <w:abstractNumId w:val="29"/>
  </w:num>
  <w:num w:numId="29" w16cid:durableId="917980546">
    <w:abstractNumId w:val="5"/>
  </w:num>
  <w:num w:numId="30" w16cid:durableId="1922131032">
    <w:abstractNumId w:val="11"/>
  </w:num>
  <w:num w:numId="31" w16cid:durableId="837843684">
    <w:abstractNumId w:val="21"/>
  </w:num>
  <w:num w:numId="32" w16cid:durableId="1523207497">
    <w:abstractNumId w:val="25"/>
  </w:num>
  <w:num w:numId="33" w16cid:durableId="635456462">
    <w:abstractNumId w:val="25"/>
  </w:num>
  <w:num w:numId="34" w16cid:durableId="6062061">
    <w:abstractNumId w:val="25"/>
  </w:num>
  <w:num w:numId="35" w16cid:durableId="1163938198">
    <w:abstractNumId w:val="25"/>
  </w:num>
  <w:num w:numId="36" w16cid:durableId="1878422620">
    <w:abstractNumId w:val="25"/>
  </w:num>
  <w:num w:numId="37" w16cid:durableId="53162224">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622"/>
    <w:rsid w:val="00000255"/>
    <w:rsid w:val="00000F7D"/>
    <w:rsid w:val="00001505"/>
    <w:rsid w:val="0000150A"/>
    <w:rsid w:val="0000252B"/>
    <w:rsid w:val="00003F02"/>
    <w:rsid w:val="000048CB"/>
    <w:rsid w:val="00005012"/>
    <w:rsid w:val="0000533B"/>
    <w:rsid w:val="00005BBD"/>
    <w:rsid w:val="00007409"/>
    <w:rsid w:val="00007A0E"/>
    <w:rsid w:val="00007AE6"/>
    <w:rsid w:val="000100EA"/>
    <w:rsid w:val="00010C5B"/>
    <w:rsid w:val="0001236A"/>
    <w:rsid w:val="00013FD9"/>
    <w:rsid w:val="00014354"/>
    <w:rsid w:val="00014743"/>
    <w:rsid w:val="00015089"/>
    <w:rsid w:val="000152AA"/>
    <w:rsid w:val="000152D7"/>
    <w:rsid w:val="0001571E"/>
    <w:rsid w:val="000157B9"/>
    <w:rsid w:val="00016658"/>
    <w:rsid w:val="0001676A"/>
    <w:rsid w:val="0001683C"/>
    <w:rsid w:val="00017AB2"/>
    <w:rsid w:val="00017E46"/>
    <w:rsid w:val="0002025E"/>
    <w:rsid w:val="000210EA"/>
    <w:rsid w:val="00021F77"/>
    <w:rsid w:val="000220BD"/>
    <w:rsid w:val="00022BC6"/>
    <w:rsid w:val="000239C6"/>
    <w:rsid w:val="00025102"/>
    <w:rsid w:val="000260F3"/>
    <w:rsid w:val="000272C1"/>
    <w:rsid w:val="000350F8"/>
    <w:rsid w:val="00035A96"/>
    <w:rsid w:val="000368D4"/>
    <w:rsid w:val="00037541"/>
    <w:rsid w:val="0004032E"/>
    <w:rsid w:val="000408D4"/>
    <w:rsid w:val="0004200C"/>
    <w:rsid w:val="00042033"/>
    <w:rsid w:val="0004294D"/>
    <w:rsid w:val="0004299D"/>
    <w:rsid w:val="00042AEB"/>
    <w:rsid w:val="00044786"/>
    <w:rsid w:val="00044BE0"/>
    <w:rsid w:val="000476F9"/>
    <w:rsid w:val="00050368"/>
    <w:rsid w:val="00050EA6"/>
    <w:rsid w:val="000511A5"/>
    <w:rsid w:val="0005277F"/>
    <w:rsid w:val="000529A9"/>
    <w:rsid w:val="00052C42"/>
    <w:rsid w:val="0005325B"/>
    <w:rsid w:val="00053EB0"/>
    <w:rsid w:val="000578F5"/>
    <w:rsid w:val="00057961"/>
    <w:rsid w:val="00060B8C"/>
    <w:rsid w:val="000612D6"/>
    <w:rsid w:val="00061398"/>
    <w:rsid w:val="00061E45"/>
    <w:rsid w:val="000635B1"/>
    <w:rsid w:val="000640B1"/>
    <w:rsid w:val="00064539"/>
    <w:rsid w:val="0006685E"/>
    <w:rsid w:val="00066C96"/>
    <w:rsid w:val="00067065"/>
    <w:rsid w:val="00067B0A"/>
    <w:rsid w:val="00070A80"/>
    <w:rsid w:val="00070B8E"/>
    <w:rsid w:val="00070D60"/>
    <w:rsid w:val="00071888"/>
    <w:rsid w:val="00073A67"/>
    <w:rsid w:val="00074D88"/>
    <w:rsid w:val="00076B90"/>
    <w:rsid w:val="00082584"/>
    <w:rsid w:val="0008389F"/>
    <w:rsid w:val="00083ACA"/>
    <w:rsid w:val="00083B08"/>
    <w:rsid w:val="00083C41"/>
    <w:rsid w:val="0008526E"/>
    <w:rsid w:val="00085507"/>
    <w:rsid w:val="00085E63"/>
    <w:rsid w:val="00086AD2"/>
    <w:rsid w:val="000870A1"/>
    <w:rsid w:val="00091221"/>
    <w:rsid w:val="0009273E"/>
    <w:rsid w:val="00092C73"/>
    <w:rsid w:val="00092F4A"/>
    <w:rsid w:val="00092FFA"/>
    <w:rsid w:val="0009342A"/>
    <w:rsid w:val="00094100"/>
    <w:rsid w:val="0009421C"/>
    <w:rsid w:val="000957A5"/>
    <w:rsid w:val="00095BF4"/>
    <w:rsid w:val="000960BE"/>
    <w:rsid w:val="000A1025"/>
    <w:rsid w:val="000A3A25"/>
    <w:rsid w:val="000A48E5"/>
    <w:rsid w:val="000A6B2A"/>
    <w:rsid w:val="000A7EF4"/>
    <w:rsid w:val="000B0D9D"/>
    <w:rsid w:val="000B4385"/>
    <w:rsid w:val="000B56F9"/>
    <w:rsid w:val="000B6C68"/>
    <w:rsid w:val="000B7631"/>
    <w:rsid w:val="000B7BF9"/>
    <w:rsid w:val="000C0EB3"/>
    <w:rsid w:val="000C0FAB"/>
    <w:rsid w:val="000C1A6C"/>
    <w:rsid w:val="000C1AC2"/>
    <w:rsid w:val="000C1E23"/>
    <w:rsid w:val="000C420D"/>
    <w:rsid w:val="000C4713"/>
    <w:rsid w:val="000C5176"/>
    <w:rsid w:val="000C52A6"/>
    <w:rsid w:val="000C565D"/>
    <w:rsid w:val="000C56A6"/>
    <w:rsid w:val="000C5817"/>
    <w:rsid w:val="000C649E"/>
    <w:rsid w:val="000C7020"/>
    <w:rsid w:val="000C7858"/>
    <w:rsid w:val="000D00E4"/>
    <w:rsid w:val="000D16EF"/>
    <w:rsid w:val="000D18E8"/>
    <w:rsid w:val="000D1C0C"/>
    <w:rsid w:val="000D2035"/>
    <w:rsid w:val="000D22A1"/>
    <w:rsid w:val="000D22D6"/>
    <w:rsid w:val="000D263E"/>
    <w:rsid w:val="000D2FB3"/>
    <w:rsid w:val="000D3948"/>
    <w:rsid w:val="000D437C"/>
    <w:rsid w:val="000D55AC"/>
    <w:rsid w:val="000D5EED"/>
    <w:rsid w:val="000D6243"/>
    <w:rsid w:val="000D6795"/>
    <w:rsid w:val="000D6A28"/>
    <w:rsid w:val="000E1246"/>
    <w:rsid w:val="000E1679"/>
    <w:rsid w:val="000E1BD9"/>
    <w:rsid w:val="000E21BF"/>
    <w:rsid w:val="000E263D"/>
    <w:rsid w:val="000E36AC"/>
    <w:rsid w:val="000E4863"/>
    <w:rsid w:val="000E490F"/>
    <w:rsid w:val="000E4F2F"/>
    <w:rsid w:val="000E5649"/>
    <w:rsid w:val="000E57DB"/>
    <w:rsid w:val="000E780C"/>
    <w:rsid w:val="000F0857"/>
    <w:rsid w:val="000F2168"/>
    <w:rsid w:val="000F2961"/>
    <w:rsid w:val="000F4348"/>
    <w:rsid w:val="000F5200"/>
    <w:rsid w:val="000F55DC"/>
    <w:rsid w:val="000F5657"/>
    <w:rsid w:val="000F5E9C"/>
    <w:rsid w:val="000F68B9"/>
    <w:rsid w:val="000F7FF8"/>
    <w:rsid w:val="00100A92"/>
    <w:rsid w:val="00101B12"/>
    <w:rsid w:val="00101B14"/>
    <w:rsid w:val="001020F4"/>
    <w:rsid w:val="001023EB"/>
    <w:rsid w:val="001024AA"/>
    <w:rsid w:val="00106312"/>
    <w:rsid w:val="00107607"/>
    <w:rsid w:val="001105FB"/>
    <w:rsid w:val="0011066B"/>
    <w:rsid w:val="001108BE"/>
    <w:rsid w:val="00111AFA"/>
    <w:rsid w:val="00111CD1"/>
    <w:rsid w:val="00112F91"/>
    <w:rsid w:val="00113692"/>
    <w:rsid w:val="0011474D"/>
    <w:rsid w:val="001159C7"/>
    <w:rsid w:val="00115E11"/>
    <w:rsid w:val="00116265"/>
    <w:rsid w:val="00116AF7"/>
    <w:rsid w:val="00117232"/>
    <w:rsid w:val="00121695"/>
    <w:rsid w:val="00121E6E"/>
    <w:rsid w:val="00122893"/>
    <w:rsid w:val="00122D05"/>
    <w:rsid w:val="001235E7"/>
    <w:rsid w:val="00123D07"/>
    <w:rsid w:val="001245E7"/>
    <w:rsid w:val="0012574A"/>
    <w:rsid w:val="00125BB1"/>
    <w:rsid w:val="00126011"/>
    <w:rsid w:val="00132D02"/>
    <w:rsid w:val="00133335"/>
    <w:rsid w:val="001338C4"/>
    <w:rsid w:val="00133A43"/>
    <w:rsid w:val="00133F38"/>
    <w:rsid w:val="00135222"/>
    <w:rsid w:val="00135D96"/>
    <w:rsid w:val="001361CD"/>
    <w:rsid w:val="001361E3"/>
    <w:rsid w:val="00140B8B"/>
    <w:rsid w:val="00140C23"/>
    <w:rsid w:val="00141372"/>
    <w:rsid w:val="00142355"/>
    <w:rsid w:val="00142425"/>
    <w:rsid w:val="001453F8"/>
    <w:rsid w:val="00146403"/>
    <w:rsid w:val="00147BDB"/>
    <w:rsid w:val="00150896"/>
    <w:rsid w:val="0015177F"/>
    <w:rsid w:val="0015324B"/>
    <w:rsid w:val="001539BA"/>
    <w:rsid w:val="001548D1"/>
    <w:rsid w:val="00154BA5"/>
    <w:rsid w:val="001554E4"/>
    <w:rsid w:val="00155731"/>
    <w:rsid w:val="00155A8D"/>
    <w:rsid w:val="00155AE8"/>
    <w:rsid w:val="001573BB"/>
    <w:rsid w:val="00157BAA"/>
    <w:rsid w:val="001604EF"/>
    <w:rsid w:val="001605E0"/>
    <w:rsid w:val="001615C9"/>
    <w:rsid w:val="00162A12"/>
    <w:rsid w:val="00163293"/>
    <w:rsid w:val="00164E85"/>
    <w:rsid w:val="00165646"/>
    <w:rsid w:val="00166083"/>
    <w:rsid w:val="0017067E"/>
    <w:rsid w:val="00171D3F"/>
    <w:rsid w:val="00172014"/>
    <w:rsid w:val="001742EC"/>
    <w:rsid w:val="00174B2D"/>
    <w:rsid w:val="0017686C"/>
    <w:rsid w:val="001773E2"/>
    <w:rsid w:val="0018114E"/>
    <w:rsid w:val="001825A3"/>
    <w:rsid w:val="00182762"/>
    <w:rsid w:val="0018579F"/>
    <w:rsid w:val="00185984"/>
    <w:rsid w:val="00185B2F"/>
    <w:rsid w:val="00185D6B"/>
    <w:rsid w:val="00187F74"/>
    <w:rsid w:val="00193A46"/>
    <w:rsid w:val="0019494C"/>
    <w:rsid w:val="00194E4F"/>
    <w:rsid w:val="001954D2"/>
    <w:rsid w:val="001A02D0"/>
    <w:rsid w:val="001A03CE"/>
    <w:rsid w:val="001A05A3"/>
    <w:rsid w:val="001A1019"/>
    <w:rsid w:val="001A1540"/>
    <w:rsid w:val="001A15B7"/>
    <w:rsid w:val="001A2C25"/>
    <w:rsid w:val="001A3956"/>
    <w:rsid w:val="001A4435"/>
    <w:rsid w:val="001A46CE"/>
    <w:rsid w:val="001A4F32"/>
    <w:rsid w:val="001A6061"/>
    <w:rsid w:val="001A65AB"/>
    <w:rsid w:val="001A6FB9"/>
    <w:rsid w:val="001A73A7"/>
    <w:rsid w:val="001B012F"/>
    <w:rsid w:val="001B0D65"/>
    <w:rsid w:val="001B12B0"/>
    <w:rsid w:val="001B1BB6"/>
    <w:rsid w:val="001B2697"/>
    <w:rsid w:val="001B2A12"/>
    <w:rsid w:val="001B2DEB"/>
    <w:rsid w:val="001B341B"/>
    <w:rsid w:val="001B37BA"/>
    <w:rsid w:val="001B4132"/>
    <w:rsid w:val="001B5EC5"/>
    <w:rsid w:val="001B78DD"/>
    <w:rsid w:val="001B7F69"/>
    <w:rsid w:val="001C0B47"/>
    <w:rsid w:val="001C2DBC"/>
    <w:rsid w:val="001C335E"/>
    <w:rsid w:val="001C35DF"/>
    <w:rsid w:val="001C3743"/>
    <w:rsid w:val="001C554E"/>
    <w:rsid w:val="001C6F13"/>
    <w:rsid w:val="001D0101"/>
    <w:rsid w:val="001D0253"/>
    <w:rsid w:val="001D0DD4"/>
    <w:rsid w:val="001D1025"/>
    <w:rsid w:val="001D1065"/>
    <w:rsid w:val="001D12E1"/>
    <w:rsid w:val="001D2523"/>
    <w:rsid w:val="001D414D"/>
    <w:rsid w:val="001D44E5"/>
    <w:rsid w:val="001D4CB1"/>
    <w:rsid w:val="001D6704"/>
    <w:rsid w:val="001E0D4F"/>
    <w:rsid w:val="001E279A"/>
    <w:rsid w:val="001E3D8C"/>
    <w:rsid w:val="001E468F"/>
    <w:rsid w:val="001F0174"/>
    <w:rsid w:val="001F0349"/>
    <w:rsid w:val="001F0815"/>
    <w:rsid w:val="001F2312"/>
    <w:rsid w:val="001F2ED2"/>
    <w:rsid w:val="001F3F43"/>
    <w:rsid w:val="001F44A5"/>
    <w:rsid w:val="001F467D"/>
    <w:rsid w:val="001F476F"/>
    <w:rsid w:val="001F4A4E"/>
    <w:rsid w:val="001F5748"/>
    <w:rsid w:val="001F5C58"/>
    <w:rsid w:val="001F60E5"/>
    <w:rsid w:val="001F76E1"/>
    <w:rsid w:val="001F7865"/>
    <w:rsid w:val="001F7B52"/>
    <w:rsid w:val="00200B7D"/>
    <w:rsid w:val="00200E0E"/>
    <w:rsid w:val="002011DA"/>
    <w:rsid w:val="002019A8"/>
    <w:rsid w:val="002024FA"/>
    <w:rsid w:val="0020354A"/>
    <w:rsid w:val="002042AF"/>
    <w:rsid w:val="002042EE"/>
    <w:rsid w:val="00206D5F"/>
    <w:rsid w:val="00207B91"/>
    <w:rsid w:val="00207E6D"/>
    <w:rsid w:val="00211B83"/>
    <w:rsid w:val="00211E59"/>
    <w:rsid w:val="00215E4A"/>
    <w:rsid w:val="00216482"/>
    <w:rsid w:val="002218B8"/>
    <w:rsid w:val="0022284F"/>
    <w:rsid w:val="0022318A"/>
    <w:rsid w:val="00223E1C"/>
    <w:rsid w:val="00225A0E"/>
    <w:rsid w:val="002260BE"/>
    <w:rsid w:val="002315D6"/>
    <w:rsid w:val="00231682"/>
    <w:rsid w:val="00234595"/>
    <w:rsid w:val="002357B5"/>
    <w:rsid w:val="0023736C"/>
    <w:rsid w:val="002374DB"/>
    <w:rsid w:val="002403B6"/>
    <w:rsid w:val="00241E17"/>
    <w:rsid w:val="00246799"/>
    <w:rsid w:val="00246966"/>
    <w:rsid w:val="002473AA"/>
    <w:rsid w:val="0025071F"/>
    <w:rsid w:val="00250BA3"/>
    <w:rsid w:val="002510A2"/>
    <w:rsid w:val="00251DCC"/>
    <w:rsid w:val="002539C9"/>
    <w:rsid w:val="0025433D"/>
    <w:rsid w:val="00254AA7"/>
    <w:rsid w:val="00254D3A"/>
    <w:rsid w:val="00255537"/>
    <w:rsid w:val="00256AE7"/>
    <w:rsid w:val="00256CED"/>
    <w:rsid w:val="00256FD9"/>
    <w:rsid w:val="002602D4"/>
    <w:rsid w:val="0026113F"/>
    <w:rsid w:val="00261975"/>
    <w:rsid w:val="00262F5E"/>
    <w:rsid w:val="0026306B"/>
    <w:rsid w:val="00263466"/>
    <w:rsid w:val="002639A8"/>
    <w:rsid w:val="00264177"/>
    <w:rsid w:val="00265B13"/>
    <w:rsid w:val="002672BD"/>
    <w:rsid w:val="00270265"/>
    <w:rsid w:val="002714E9"/>
    <w:rsid w:val="002719E0"/>
    <w:rsid w:val="00271AC3"/>
    <w:rsid w:val="002723CA"/>
    <w:rsid w:val="00272E5D"/>
    <w:rsid w:val="00273248"/>
    <w:rsid w:val="0027394D"/>
    <w:rsid w:val="002739EC"/>
    <w:rsid w:val="00274071"/>
    <w:rsid w:val="00274ADA"/>
    <w:rsid w:val="0027528C"/>
    <w:rsid w:val="00275BE3"/>
    <w:rsid w:val="00275E90"/>
    <w:rsid w:val="002773F5"/>
    <w:rsid w:val="00280050"/>
    <w:rsid w:val="00282433"/>
    <w:rsid w:val="00285189"/>
    <w:rsid w:val="00285432"/>
    <w:rsid w:val="00286F7E"/>
    <w:rsid w:val="002879C7"/>
    <w:rsid w:val="00291554"/>
    <w:rsid w:val="00291ABA"/>
    <w:rsid w:val="002920A5"/>
    <w:rsid w:val="002932A9"/>
    <w:rsid w:val="0029400A"/>
    <w:rsid w:val="00294397"/>
    <w:rsid w:val="002A0B46"/>
    <w:rsid w:val="002A0C84"/>
    <w:rsid w:val="002A2169"/>
    <w:rsid w:val="002A32A6"/>
    <w:rsid w:val="002A354E"/>
    <w:rsid w:val="002A49F8"/>
    <w:rsid w:val="002A4AA9"/>
    <w:rsid w:val="002A4D96"/>
    <w:rsid w:val="002A52F2"/>
    <w:rsid w:val="002A5D9A"/>
    <w:rsid w:val="002A615C"/>
    <w:rsid w:val="002A62B4"/>
    <w:rsid w:val="002A727E"/>
    <w:rsid w:val="002A78F1"/>
    <w:rsid w:val="002B0777"/>
    <w:rsid w:val="002B098E"/>
    <w:rsid w:val="002B0C1D"/>
    <w:rsid w:val="002B1295"/>
    <w:rsid w:val="002B15DB"/>
    <w:rsid w:val="002B1A55"/>
    <w:rsid w:val="002B2B4D"/>
    <w:rsid w:val="002B3542"/>
    <w:rsid w:val="002B416B"/>
    <w:rsid w:val="002B4515"/>
    <w:rsid w:val="002B61F4"/>
    <w:rsid w:val="002B6ABF"/>
    <w:rsid w:val="002B7204"/>
    <w:rsid w:val="002C12CC"/>
    <w:rsid w:val="002C1B0F"/>
    <w:rsid w:val="002C1DC5"/>
    <w:rsid w:val="002C4100"/>
    <w:rsid w:val="002C50CC"/>
    <w:rsid w:val="002C5762"/>
    <w:rsid w:val="002C5FC3"/>
    <w:rsid w:val="002C62BB"/>
    <w:rsid w:val="002C667A"/>
    <w:rsid w:val="002C7274"/>
    <w:rsid w:val="002C781C"/>
    <w:rsid w:val="002D0230"/>
    <w:rsid w:val="002D1427"/>
    <w:rsid w:val="002D1F6D"/>
    <w:rsid w:val="002D2194"/>
    <w:rsid w:val="002D36DD"/>
    <w:rsid w:val="002D4315"/>
    <w:rsid w:val="002D4EF6"/>
    <w:rsid w:val="002D629D"/>
    <w:rsid w:val="002D702B"/>
    <w:rsid w:val="002D7038"/>
    <w:rsid w:val="002E0240"/>
    <w:rsid w:val="002E0F03"/>
    <w:rsid w:val="002E19F0"/>
    <w:rsid w:val="002E2FD1"/>
    <w:rsid w:val="002E5403"/>
    <w:rsid w:val="002E546D"/>
    <w:rsid w:val="002E5F0E"/>
    <w:rsid w:val="002E7B18"/>
    <w:rsid w:val="002F0A0E"/>
    <w:rsid w:val="002F17DF"/>
    <w:rsid w:val="002F1F2B"/>
    <w:rsid w:val="002F417D"/>
    <w:rsid w:val="002F52FB"/>
    <w:rsid w:val="002F5AEE"/>
    <w:rsid w:val="002F6354"/>
    <w:rsid w:val="002F74BB"/>
    <w:rsid w:val="002F7EBB"/>
    <w:rsid w:val="00300E6E"/>
    <w:rsid w:val="00301873"/>
    <w:rsid w:val="0030189B"/>
    <w:rsid w:val="00303043"/>
    <w:rsid w:val="003039FB"/>
    <w:rsid w:val="00303CF6"/>
    <w:rsid w:val="0030463B"/>
    <w:rsid w:val="00304F34"/>
    <w:rsid w:val="00311D05"/>
    <w:rsid w:val="00311F8C"/>
    <w:rsid w:val="00312796"/>
    <w:rsid w:val="00312B0C"/>
    <w:rsid w:val="00313421"/>
    <w:rsid w:val="003148EB"/>
    <w:rsid w:val="003150B6"/>
    <w:rsid w:val="00316A85"/>
    <w:rsid w:val="0031726D"/>
    <w:rsid w:val="003172B1"/>
    <w:rsid w:val="003212F5"/>
    <w:rsid w:val="00324AD2"/>
    <w:rsid w:val="00325406"/>
    <w:rsid w:val="00326724"/>
    <w:rsid w:val="0032733B"/>
    <w:rsid w:val="00327383"/>
    <w:rsid w:val="003307C9"/>
    <w:rsid w:val="00330AB1"/>
    <w:rsid w:val="00330E9B"/>
    <w:rsid w:val="003325F3"/>
    <w:rsid w:val="003331BC"/>
    <w:rsid w:val="003337D0"/>
    <w:rsid w:val="00335329"/>
    <w:rsid w:val="00335B23"/>
    <w:rsid w:val="00337009"/>
    <w:rsid w:val="00337CFB"/>
    <w:rsid w:val="00341221"/>
    <w:rsid w:val="00341E12"/>
    <w:rsid w:val="00342037"/>
    <w:rsid w:val="003423E0"/>
    <w:rsid w:val="0034257D"/>
    <w:rsid w:val="00344D4B"/>
    <w:rsid w:val="0034558C"/>
    <w:rsid w:val="003466A9"/>
    <w:rsid w:val="00347E2D"/>
    <w:rsid w:val="00347FF6"/>
    <w:rsid w:val="0034A57E"/>
    <w:rsid w:val="003510A4"/>
    <w:rsid w:val="00351EDA"/>
    <w:rsid w:val="00352847"/>
    <w:rsid w:val="00353201"/>
    <w:rsid w:val="003533C5"/>
    <w:rsid w:val="0035348F"/>
    <w:rsid w:val="003536BC"/>
    <w:rsid w:val="00353962"/>
    <w:rsid w:val="00354609"/>
    <w:rsid w:val="00355F14"/>
    <w:rsid w:val="00357829"/>
    <w:rsid w:val="003578C6"/>
    <w:rsid w:val="00360548"/>
    <w:rsid w:val="0036383A"/>
    <w:rsid w:val="00364E0F"/>
    <w:rsid w:val="00365F0D"/>
    <w:rsid w:val="00365F3D"/>
    <w:rsid w:val="003672AB"/>
    <w:rsid w:val="00367492"/>
    <w:rsid w:val="0037276E"/>
    <w:rsid w:val="00374361"/>
    <w:rsid w:val="00374BA3"/>
    <w:rsid w:val="00374E36"/>
    <w:rsid w:val="0037586C"/>
    <w:rsid w:val="003828C3"/>
    <w:rsid w:val="00382AE5"/>
    <w:rsid w:val="00382C59"/>
    <w:rsid w:val="00382E46"/>
    <w:rsid w:val="00383FCF"/>
    <w:rsid w:val="0038434E"/>
    <w:rsid w:val="00386590"/>
    <w:rsid w:val="00386FA0"/>
    <w:rsid w:val="00387098"/>
    <w:rsid w:val="00391C8B"/>
    <w:rsid w:val="003929E7"/>
    <w:rsid w:val="003929F4"/>
    <w:rsid w:val="00393CA8"/>
    <w:rsid w:val="00393FEB"/>
    <w:rsid w:val="00394244"/>
    <w:rsid w:val="00395F52"/>
    <w:rsid w:val="0039602F"/>
    <w:rsid w:val="00396556"/>
    <w:rsid w:val="003973D8"/>
    <w:rsid w:val="003A04EE"/>
    <w:rsid w:val="003A05C1"/>
    <w:rsid w:val="003A13C0"/>
    <w:rsid w:val="003A140E"/>
    <w:rsid w:val="003A221F"/>
    <w:rsid w:val="003A26AB"/>
    <w:rsid w:val="003A2B44"/>
    <w:rsid w:val="003A2CC5"/>
    <w:rsid w:val="003A4F8B"/>
    <w:rsid w:val="003A5DE3"/>
    <w:rsid w:val="003A5EEE"/>
    <w:rsid w:val="003A64F0"/>
    <w:rsid w:val="003B03E3"/>
    <w:rsid w:val="003B0B3F"/>
    <w:rsid w:val="003B3DE0"/>
    <w:rsid w:val="003B6025"/>
    <w:rsid w:val="003B752D"/>
    <w:rsid w:val="003B76BC"/>
    <w:rsid w:val="003B7819"/>
    <w:rsid w:val="003B786A"/>
    <w:rsid w:val="003B7DEB"/>
    <w:rsid w:val="003C0A37"/>
    <w:rsid w:val="003C0E75"/>
    <w:rsid w:val="003C14AC"/>
    <w:rsid w:val="003C1ADD"/>
    <w:rsid w:val="003C305E"/>
    <w:rsid w:val="003C33F6"/>
    <w:rsid w:val="003C3BE7"/>
    <w:rsid w:val="003C51B5"/>
    <w:rsid w:val="003C66E1"/>
    <w:rsid w:val="003C6886"/>
    <w:rsid w:val="003C7835"/>
    <w:rsid w:val="003D0BCE"/>
    <w:rsid w:val="003D0BDB"/>
    <w:rsid w:val="003D146E"/>
    <w:rsid w:val="003D353E"/>
    <w:rsid w:val="003D3CD6"/>
    <w:rsid w:val="003D4BFA"/>
    <w:rsid w:val="003D70B7"/>
    <w:rsid w:val="003D7264"/>
    <w:rsid w:val="003D7BD3"/>
    <w:rsid w:val="003E23C9"/>
    <w:rsid w:val="003E2B6D"/>
    <w:rsid w:val="003E2EE0"/>
    <w:rsid w:val="003E2F7C"/>
    <w:rsid w:val="003E43B8"/>
    <w:rsid w:val="003E4818"/>
    <w:rsid w:val="003E48A8"/>
    <w:rsid w:val="003E4A9D"/>
    <w:rsid w:val="003E5650"/>
    <w:rsid w:val="003E5DC5"/>
    <w:rsid w:val="003E5F78"/>
    <w:rsid w:val="003E62B7"/>
    <w:rsid w:val="003E6D12"/>
    <w:rsid w:val="003E7393"/>
    <w:rsid w:val="003E7F34"/>
    <w:rsid w:val="003F0034"/>
    <w:rsid w:val="003F236B"/>
    <w:rsid w:val="003F2C92"/>
    <w:rsid w:val="003F3453"/>
    <w:rsid w:val="003F361A"/>
    <w:rsid w:val="003F5AB4"/>
    <w:rsid w:val="003F5CFA"/>
    <w:rsid w:val="003F681D"/>
    <w:rsid w:val="003F6E60"/>
    <w:rsid w:val="003F7A17"/>
    <w:rsid w:val="003F7EBE"/>
    <w:rsid w:val="0040048E"/>
    <w:rsid w:val="004015EB"/>
    <w:rsid w:val="004018AA"/>
    <w:rsid w:val="00402B29"/>
    <w:rsid w:val="00403663"/>
    <w:rsid w:val="0040374F"/>
    <w:rsid w:val="00403EA8"/>
    <w:rsid w:val="00405184"/>
    <w:rsid w:val="00405C33"/>
    <w:rsid w:val="00406DC2"/>
    <w:rsid w:val="00407923"/>
    <w:rsid w:val="00410C1F"/>
    <w:rsid w:val="0041118D"/>
    <w:rsid w:val="00411215"/>
    <w:rsid w:val="00412154"/>
    <w:rsid w:val="00412E95"/>
    <w:rsid w:val="00413119"/>
    <w:rsid w:val="00414DA0"/>
    <w:rsid w:val="00414DB4"/>
    <w:rsid w:val="00416853"/>
    <w:rsid w:val="004179DD"/>
    <w:rsid w:val="00417D2F"/>
    <w:rsid w:val="00417DCC"/>
    <w:rsid w:val="0042066C"/>
    <w:rsid w:val="00423A7A"/>
    <w:rsid w:val="00424382"/>
    <w:rsid w:val="00424DA7"/>
    <w:rsid w:val="00425A0A"/>
    <w:rsid w:val="00427273"/>
    <w:rsid w:val="00427A4D"/>
    <w:rsid w:val="004307F9"/>
    <w:rsid w:val="004314DF"/>
    <w:rsid w:val="004318BB"/>
    <w:rsid w:val="00431AE4"/>
    <w:rsid w:val="00431B06"/>
    <w:rsid w:val="0043259B"/>
    <w:rsid w:val="0043386F"/>
    <w:rsid w:val="00434E23"/>
    <w:rsid w:val="004353D8"/>
    <w:rsid w:val="00435D6F"/>
    <w:rsid w:val="00435EFA"/>
    <w:rsid w:val="00437905"/>
    <w:rsid w:val="00440024"/>
    <w:rsid w:val="00440918"/>
    <w:rsid w:val="004421B4"/>
    <w:rsid w:val="004424BD"/>
    <w:rsid w:val="004432EE"/>
    <w:rsid w:val="0044401B"/>
    <w:rsid w:val="0044443F"/>
    <w:rsid w:val="00445239"/>
    <w:rsid w:val="00446C28"/>
    <w:rsid w:val="00447590"/>
    <w:rsid w:val="00447B07"/>
    <w:rsid w:val="00450E40"/>
    <w:rsid w:val="00450FEC"/>
    <w:rsid w:val="004513CA"/>
    <w:rsid w:val="0045245E"/>
    <w:rsid w:val="00452E5F"/>
    <w:rsid w:val="004547EA"/>
    <w:rsid w:val="0045505C"/>
    <w:rsid w:val="00455066"/>
    <w:rsid w:val="004566B9"/>
    <w:rsid w:val="0046003D"/>
    <w:rsid w:val="00463009"/>
    <w:rsid w:val="00463FF6"/>
    <w:rsid w:val="00464ADE"/>
    <w:rsid w:val="00464B92"/>
    <w:rsid w:val="00464F74"/>
    <w:rsid w:val="00465840"/>
    <w:rsid w:val="004659BA"/>
    <w:rsid w:val="00470B89"/>
    <w:rsid w:val="004710C9"/>
    <w:rsid w:val="004729E7"/>
    <w:rsid w:val="00473D3C"/>
    <w:rsid w:val="0047416E"/>
    <w:rsid w:val="00474743"/>
    <w:rsid w:val="00474878"/>
    <w:rsid w:val="004766EA"/>
    <w:rsid w:val="0048087E"/>
    <w:rsid w:val="00480AC9"/>
    <w:rsid w:val="00481A1D"/>
    <w:rsid w:val="00481F4D"/>
    <w:rsid w:val="00482180"/>
    <w:rsid w:val="00484941"/>
    <w:rsid w:val="00485382"/>
    <w:rsid w:val="004863A5"/>
    <w:rsid w:val="004866C0"/>
    <w:rsid w:val="00487C48"/>
    <w:rsid w:val="00491045"/>
    <w:rsid w:val="004917CD"/>
    <w:rsid w:val="0049303E"/>
    <w:rsid w:val="00493902"/>
    <w:rsid w:val="00494388"/>
    <w:rsid w:val="004947C6"/>
    <w:rsid w:val="00495DB8"/>
    <w:rsid w:val="004966AE"/>
    <w:rsid w:val="00496D5B"/>
    <w:rsid w:val="00497670"/>
    <w:rsid w:val="004A1965"/>
    <w:rsid w:val="004A1E21"/>
    <w:rsid w:val="004A240C"/>
    <w:rsid w:val="004A2773"/>
    <w:rsid w:val="004A285E"/>
    <w:rsid w:val="004A35DE"/>
    <w:rsid w:val="004A38FD"/>
    <w:rsid w:val="004A42C5"/>
    <w:rsid w:val="004A42D3"/>
    <w:rsid w:val="004B03B6"/>
    <w:rsid w:val="004B14A4"/>
    <w:rsid w:val="004B16B2"/>
    <w:rsid w:val="004B1E35"/>
    <w:rsid w:val="004B2185"/>
    <w:rsid w:val="004B2B38"/>
    <w:rsid w:val="004B2D49"/>
    <w:rsid w:val="004B3BE6"/>
    <w:rsid w:val="004B3EE7"/>
    <w:rsid w:val="004B448C"/>
    <w:rsid w:val="004B44EC"/>
    <w:rsid w:val="004B5B18"/>
    <w:rsid w:val="004B680C"/>
    <w:rsid w:val="004B78DA"/>
    <w:rsid w:val="004C17AC"/>
    <w:rsid w:val="004C2615"/>
    <w:rsid w:val="004C3003"/>
    <w:rsid w:val="004C31D8"/>
    <w:rsid w:val="004C3600"/>
    <w:rsid w:val="004C38A8"/>
    <w:rsid w:val="004C525D"/>
    <w:rsid w:val="004C53BF"/>
    <w:rsid w:val="004C59E7"/>
    <w:rsid w:val="004D1BB8"/>
    <w:rsid w:val="004D22D2"/>
    <w:rsid w:val="004D2CFA"/>
    <w:rsid w:val="004D36AE"/>
    <w:rsid w:val="004D5364"/>
    <w:rsid w:val="004D6018"/>
    <w:rsid w:val="004E22D0"/>
    <w:rsid w:val="004E26F5"/>
    <w:rsid w:val="004E29DD"/>
    <w:rsid w:val="004E2DB0"/>
    <w:rsid w:val="004E3A7E"/>
    <w:rsid w:val="004E411A"/>
    <w:rsid w:val="004E54FD"/>
    <w:rsid w:val="004E5BD0"/>
    <w:rsid w:val="004E7AF1"/>
    <w:rsid w:val="004F1416"/>
    <w:rsid w:val="004F2BF7"/>
    <w:rsid w:val="004F2E25"/>
    <w:rsid w:val="004F4D1F"/>
    <w:rsid w:val="004F505D"/>
    <w:rsid w:val="004F5B32"/>
    <w:rsid w:val="004F5F3D"/>
    <w:rsid w:val="004F601B"/>
    <w:rsid w:val="004F70CE"/>
    <w:rsid w:val="004F757F"/>
    <w:rsid w:val="005027B5"/>
    <w:rsid w:val="00504164"/>
    <w:rsid w:val="00504E24"/>
    <w:rsid w:val="00505030"/>
    <w:rsid w:val="00505CE0"/>
    <w:rsid w:val="00505D4C"/>
    <w:rsid w:val="005064AB"/>
    <w:rsid w:val="0050767E"/>
    <w:rsid w:val="00514453"/>
    <w:rsid w:val="00515FF9"/>
    <w:rsid w:val="00517052"/>
    <w:rsid w:val="005172E8"/>
    <w:rsid w:val="00520F15"/>
    <w:rsid w:val="00521CC8"/>
    <w:rsid w:val="00521EBE"/>
    <w:rsid w:val="005224A6"/>
    <w:rsid w:val="005227A0"/>
    <w:rsid w:val="00523384"/>
    <w:rsid w:val="005234D7"/>
    <w:rsid w:val="0052497D"/>
    <w:rsid w:val="005262B4"/>
    <w:rsid w:val="00527740"/>
    <w:rsid w:val="00527912"/>
    <w:rsid w:val="00531B48"/>
    <w:rsid w:val="00532B4F"/>
    <w:rsid w:val="00532D59"/>
    <w:rsid w:val="00534658"/>
    <w:rsid w:val="0053529B"/>
    <w:rsid w:val="005361F9"/>
    <w:rsid w:val="00536757"/>
    <w:rsid w:val="005367DB"/>
    <w:rsid w:val="00540508"/>
    <w:rsid w:val="005429FC"/>
    <w:rsid w:val="00543998"/>
    <w:rsid w:val="00543C06"/>
    <w:rsid w:val="005468C3"/>
    <w:rsid w:val="005476FB"/>
    <w:rsid w:val="0054797A"/>
    <w:rsid w:val="00550757"/>
    <w:rsid w:val="00552479"/>
    <w:rsid w:val="00552815"/>
    <w:rsid w:val="00553F3F"/>
    <w:rsid w:val="0055686A"/>
    <w:rsid w:val="0055741B"/>
    <w:rsid w:val="00561335"/>
    <w:rsid w:val="00561A2C"/>
    <w:rsid w:val="00562FFA"/>
    <w:rsid w:val="00563EAA"/>
    <w:rsid w:val="00565A7A"/>
    <w:rsid w:val="005661B4"/>
    <w:rsid w:val="005662CF"/>
    <w:rsid w:val="00566447"/>
    <w:rsid w:val="005667E0"/>
    <w:rsid w:val="00567676"/>
    <w:rsid w:val="00567F60"/>
    <w:rsid w:val="00573E85"/>
    <w:rsid w:val="00573F57"/>
    <w:rsid w:val="00575DFD"/>
    <w:rsid w:val="0057650B"/>
    <w:rsid w:val="0057785A"/>
    <w:rsid w:val="00577A34"/>
    <w:rsid w:val="00577FE3"/>
    <w:rsid w:val="005804C2"/>
    <w:rsid w:val="0058066F"/>
    <w:rsid w:val="005807A0"/>
    <w:rsid w:val="005809C6"/>
    <w:rsid w:val="00581314"/>
    <w:rsid w:val="005813D6"/>
    <w:rsid w:val="00582215"/>
    <w:rsid w:val="00582849"/>
    <w:rsid w:val="00584C8C"/>
    <w:rsid w:val="00586513"/>
    <w:rsid w:val="00586FC8"/>
    <w:rsid w:val="0059064C"/>
    <w:rsid w:val="00592DC1"/>
    <w:rsid w:val="00595421"/>
    <w:rsid w:val="005A01A1"/>
    <w:rsid w:val="005A01C5"/>
    <w:rsid w:val="005A0F2E"/>
    <w:rsid w:val="005A1B1B"/>
    <w:rsid w:val="005A1DFB"/>
    <w:rsid w:val="005A240D"/>
    <w:rsid w:val="005A280F"/>
    <w:rsid w:val="005A2BB9"/>
    <w:rsid w:val="005A3294"/>
    <w:rsid w:val="005A4F09"/>
    <w:rsid w:val="005A5C89"/>
    <w:rsid w:val="005A5DA8"/>
    <w:rsid w:val="005A6573"/>
    <w:rsid w:val="005A668C"/>
    <w:rsid w:val="005A676F"/>
    <w:rsid w:val="005B10EB"/>
    <w:rsid w:val="005B1252"/>
    <w:rsid w:val="005B1333"/>
    <w:rsid w:val="005B2A55"/>
    <w:rsid w:val="005B4374"/>
    <w:rsid w:val="005B5F93"/>
    <w:rsid w:val="005B6132"/>
    <w:rsid w:val="005B6409"/>
    <w:rsid w:val="005C1A3A"/>
    <w:rsid w:val="005C1CDE"/>
    <w:rsid w:val="005C2466"/>
    <w:rsid w:val="005C443E"/>
    <w:rsid w:val="005C4A37"/>
    <w:rsid w:val="005C5343"/>
    <w:rsid w:val="005C58DB"/>
    <w:rsid w:val="005C6AB7"/>
    <w:rsid w:val="005C7920"/>
    <w:rsid w:val="005D05F9"/>
    <w:rsid w:val="005D2499"/>
    <w:rsid w:val="005D2A77"/>
    <w:rsid w:val="005D3D07"/>
    <w:rsid w:val="005D4FE7"/>
    <w:rsid w:val="005D5272"/>
    <w:rsid w:val="005D542B"/>
    <w:rsid w:val="005D66C0"/>
    <w:rsid w:val="005D6A93"/>
    <w:rsid w:val="005D6B6A"/>
    <w:rsid w:val="005D7581"/>
    <w:rsid w:val="005E0193"/>
    <w:rsid w:val="005E0CED"/>
    <w:rsid w:val="005E0D97"/>
    <w:rsid w:val="005E151E"/>
    <w:rsid w:val="005E3548"/>
    <w:rsid w:val="005E4E72"/>
    <w:rsid w:val="005E5707"/>
    <w:rsid w:val="005E7800"/>
    <w:rsid w:val="005F085A"/>
    <w:rsid w:val="005F0DAF"/>
    <w:rsid w:val="005F1160"/>
    <w:rsid w:val="005F1427"/>
    <w:rsid w:val="005F2596"/>
    <w:rsid w:val="005F2E9D"/>
    <w:rsid w:val="005F63CF"/>
    <w:rsid w:val="005F69D0"/>
    <w:rsid w:val="005F6FEE"/>
    <w:rsid w:val="005F7C9F"/>
    <w:rsid w:val="005F7D85"/>
    <w:rsid w:val="005F7DAD"/>
    <w:rsid w:val="006004F9"/>
    <w:rsid w:val="00600C7E"/>
    <w:rsid w:val="0060118B"/>
    <w:rsid w:val="006013E8"/>
    <w:rsid w:val="00602EB1"/>
    <w:rsid w:val="0060408C"/>
    <w:rsid w:val="00607BB6"/>
    <w:rsid w:val="0061263B"/>
    <w:rsid w:val="00612A64"/>
    <w:rsid w:val="00612F77"/>
    <w:rsid w:val="006131EB"/>
    <w:rsid w:val="0061548C"/>
    <w:rsid w:val="00621F1E"/>
    <w:rsid w:val="00622AEA"/>
    <w:rsid w:val="006242CC"/>
    <w:rsid w:val="00624361"/>
    <w:rsid w:val="00624E3A"/>
    <w:rsid w:val="00625C19"/>
    <w:rsid w:val="0062616E"/>
    <w:rsid w:val="006303E8"/>
    <w:rsid w:val="00630666"/>
    <w:rsid w:val="00631D1E"/>
    <w:rsid w:val="00633261"/>
    <w:rsid w:val="00634BB6"/>
    <w:rsid w:val="00634DB6"/>
    <w:rsid w:val="00634F92"/>
    <w:rsid w:val="006403ED"/>
    <w:rsid w:val="00640695"/>
    <w:rsid w:val="0064132A"/>
    <w:rsid w:val="006420D4"/>
    <w:rsid w:val="0064235F"/>
    <w:rsid w:val="006442BD"/>
    <w:rsid w:val="00644789"/>
    <w:rsid w:val="00644936"/>
    <w:rsid w:val="00645B7C"/>
    <w:rsid w:val="0064736A"/>
    <w:rsid w:val="00654C32"/>
    <w:rsid w:val="00657602"/>
    <w:rsid w:val="00657A73"/>
    <w:rsid w:val="00660B68"/>
    <w:rsid w:val="006622BA"/>
    <w:rsid w:val="0066240E"/>
    <w:rsid w:val="0066396D"/>
    <w:rsid w:val="00664E9E"/>
    <w:rsid w:val="00665519"/>
    <w:rsid w:val="00665989"/>
    <w:rsid w:val="00665FE2"/>
    <w:rsid w:val="00667081"/>
    <w:rsid w:val="00671259"/>
    <w:rsid w:val="00671F7C"/>
    <w:rsid w:val="006720FF"/>
    <w:rsid w:val="00672762"/>
    <w:rsid w:val="00672857"/>
    <w:rsid w:val="00674199"/>
    <w:rsid w:val="00674EE2"/>
    <w:rsid w:val="0067573D"/>
    <w:rsid w:val="00675B5B"/>
    <w:rsid w:val="00675C41"/>
    <w:rsid w:val="00676F61"/>
    <w:rsid w:val="00680E9F"/>
    <w:rsid w:val="00681901"/>
    <w:rsid w:val="00682277"/>
    <w:rsid w:val="00682532"/>
    <w:rsid w:val="006831C4"/>
    <w:rsid w:val="00684020"/>
    <w:rsid w:val="006841DF"/>
    <w:rsid w:val="00687438"/>
    <w:rsid w:val="00690CFB"/>
    <w:rsid w:val="00692F42"/>
    <w:rsid w:val="0069379A"/>
    <w:rsid w:val="006938D2"/>
    <w:rsid w:val="006956C9"/>
    <w:rsid w:val="00695C33"/>
    <w:rsid w:val="006A01AA"/>
    <w:rsid w:val="006A026D"/>
    <w:rsid w:val="006A1277"/>
    <w:rsid w:val="006A236C"/>
    <w:rsid w:val="006A2AEF"/>
    <w:rsid w:val="006A2BE9"/>
    <w:rsid w:val="006A342A"/>
    <w:rsid w:val="006A4431"/>
    <w:rsid w:val="006A4651"/>
    <w:rsid w:val="006A70F5"/>
    <w:rsid w:val="006B00E9"/>
    <w:rsid w:val="006B2046"/>
    <w:rsid w:val="006B3667"/>
    <w:rsid w:val="006B5CCA"/>
    <w:rsid w:val="006B5DE4"/>
    <w:rsid w:val="006B5F50"/>
    <w:rsid w:val="006B6AFC"/>
    <w:rsid w:val="006C01FA"/>
    <w:rsid w:val="006C0945"/>
    <w:rsid w:val="006C3476"/>
    <w:rsid w:val="006C36FF"/>
    <w:rsid w:val="006C52EA"/>
    <w:rsid w:val="006C5DE9"/>
    <w:rsid w:val="006D009C"/>
    <w:rsid w:val="006D0562"/>
    <w:rsid w:val="006D18A7"/>
    <w:rsid w:val="006D359E"/>
    <w:rsid w:val="006D67E4"/>
    <w:rsid w:val="006D7955"/>
    <w:rsid w:val="006D79B9"/>
    <w:rsid w:val="006D7BA9"/>
    <w:rsid w:val="006E0447"/>
    <w:rsid w:val="006E0A21"/>
    <w:rsid w:val="006E1F98"/>
    <w:rsid w:val="006E25AD"/>
    <w:rsid w:val="006E3462"/>
    <w:rsid w:val="006E4B48"/>
    <w:rsid w:val="006E5D8D"/>
    <w:rsid w:val="006E6D95"/>
    <w:rsid w:val="006E70BC"/>
    <w:rsid w:val="006F1BCA"/>
    <w:rsid w:val="006F5DCC"/>
    <w:rsid w:val="006F6106"/>
    <w:rsid w:val="006F6392"/>
    <w:rsid w:val="006F73A2"/>
    <w:rsid w:val="0070020A"/>
    <w:rsid w:val="00700894"/>
    <w:rsid w:val="007019D0"/>
    <w:rsid w:val="0070266A"/>
    <w:rsid w:val="00703122"/>
    <w:rsid w:val="00703E5B"/>
    <w:rsid w:val="0070560B"/>
    <w:rsid w:val="00706A39"/>
    <w:rsid w:val="00706E5F"/>
    <w:rsid w:val="00706FED"/>
    <w:rsid w:val="00710340"/>
    <w:rsid w:val="00712B40"/>
    <w:rsid w:val="00712F74"/>
    <w:rsid w:val="007139DA"/>
    <w:rsid w:val="00713A48"/>
    <w:rsid w:val="00713D41"/>
    <w:rsid w:val="00714F6F"/>
    <w:rsid w:val="00715653"/>
    <w:rsid w:val="00716119"/>
    <w:rsid w:val="00716CB3"/>
    <w:rsid w:val="0072016B"/>
    <w:rsid w:val="007207BC"/>
    <w:rsid w:val="00720DC7"/>
    <w:rsid w:val="0072111A"/>
    <w:rsid w:val="00721DDE"/>
    <w:rsid w:val="00721E71"/>
    <w:rsid w:val="00722C03"/>
    <w:rsid w:val="00722F7E"/>
    <w:rsid w:val="00722FEF"/>
    <w:rsid w:val="007245D6"/>
    <w:rsid w:val="007245FB"/>
    <w:rsid w:val="007256CA"/>
    <w:rsid w:val="00725F53"/>
    <w:rsid w:val="0072648A"/>
    <w:rsid w:val="00726EA8"/>
    <w:rsid w:val="007301FB"/>
    <w:rsid w:val="007310EC"/>
    <w:rsid w:val="007315DB"/>
    <w:rsid w:val="00732135"/>
    <w:rsid w:val="007321D0"/>
    <w:rsid w:val="00732789"/>
    <w:rsid w:val="00732F2D"/>
    <w:rsid w:val="00732F94"/>
    <w:rsid w:val="00733005"/>
    <w:rsid w:val="007343FE"/>
    <w:rsid w:val="00734C1F"/>
    <w:rsid w:val="00736848"/>
    <w:rsid w:val="00736BA6"/>
    <w:rsid w:val="00737D9C"/>
    <w:rsid w:val="00745227"/>
    <w:rsid w:val="00745B01"/>
    <w:rsid w:val="00745C38"/>
    <w:rsid w:val="007461E8"/>
    <w:rsid w:val="00747A47"/>
    <w:rsid w:val="00747E17"/>
    <w:rsid w:val="00751E84"/>
    <w:rsid w:val="00754679"/>
    <w:rsid w:val="00756543"/>
    <w:rsid w:val="00757F2A"/>
    <w:rsid w:val="007613D5"/>
    <w:rsid w:val="0076191B"/>
    <w:rsid w:val="00761DC5"/>
    <w:rsid w:val="00764117"/>
    <w:rsid w:val="00764EEE"/>
    <w:rsid w:val="00765C12"/>
    <w:rsid w:val="007668CD"/>
    <w:rsid w:val="00766D13"/>
    <w:rsid w:val="00767A29"/>
    <w:rsid w:val="0077007E"/>
    <w:rsid w:val="00770AE9"/>
    <w:rsid w:val="00771DD5"/>
    <w:rsid w:val="0077320D"/>
    <w:rsid w:val="00773668"/>
    <w:rsid w:val="00774CB9"/>
    <w:rsid w:val="00774D38"/>
    <w:rsid w:val="00774E72"/>
    <w:rsid w:val="00775431"/>
    <w:rsid w:val="007772DE"/>
    <w:rsid w:val="00777984"/>
    <w:rsid w:val="00777F11"/>
    <w:rsid w:val="00780D82"/>
    <w:rsid w:val="00782AAB"/>
    <w:rsid w:val="0078345F"/>
    <w:rsid w:val="00783E97"/>
    <w:rsid w:val="00784725"/>
    <w:rsid w:val="00784B53"/>
    <w:rsid w:val="00784C22"/>
    <w:rsid w:val="00785863"/>
    <w:rsid w:val="0078590C"/>
    <w:rsid w:val="00786622"/>
    <w:rsid w:val="0078680A"/>
    <w:rsid w:val="00786C14"/>
    <w:rsid w:val="0078755C"/>
    <w:rsid w:val="0078756A"/>
    <w:rsid w:val="00787597"/>
    <w:rsid w:val="007903DA"/>
    <w:rsid w:val="007911AE"/>
    <w:rsid w:val="007918A2"/>
    <w:rsid w:val="00792048"/>
    <w:rsid w:val="00792120"/>
    <w:rsid w:val="00792A03"/>
    <w:rsid w:val="007931E2"/>
    <w:rsid w:val="00793C94"/>
    <w:rsid w:val="00795570"/>
    <w:rsid w:val="0079563E"/>
    <w:rsid w:val="00795C0B"/>
    <w:rsid w:val="00795C20"/>
    <w:rsid w:val="00796B5F"/>
    <w:rsid w:val="0079776E"/>
    <w:rsid w:val="00797D2B"/>
    <w:rsid w:val="00797DCF"/>
    <w:rsid w:val="007A064F"/>
    <w:rsid w:val="007A0720"/>
    <w:rsid w:val="007A0884"/>
    <w:rsid w:val="007A0CA1"/>
    <w:rsid w:val="007A0F9C"/>
    <w:rsid w:val="007A1EFB"/>
    <w:rsid w:val="007A2400"/>
    <w:rsid w:val="007A3194"/>
    <w:rsid w:val="007A372E"/>
    <w:rsid w:val="007A4871"/>
    <w:rsid w:val="007A7CC0"/>
    <w:rsid w:val="007B12DB"/>
    <w:rsid w:val="007B13F5"/>
    <w:rsid w:val="007B3C85"/>
    <w:rsid w:val="007B4178"/>
    <w:rsid w:val="007B62B6"/>
    <w:rsid w:val="007C3AE6"/>
    <w:rsid w:val="007C5924"/>
    <w:rsid w:val="007C59CE"/>
    <w:rsid w:val="007C5B80"/>
    <w:rsid w:val="007C7F69"/>
    <w:rsid w:val="007D01B5"/>
    <w:rsid w:val="007D2D8A"/>
    <w:rsid w:val="007D3EE5"/>
    <w:rsid w:val="007D4084"/>
    <w:rsid w:val="007D5707"/>
    <w:rsid w:val="007D63AF"/>
    <w:rsid w:val="007E0146"/>
    <w:rsid w:val="007E099B"/>
    <w:rsid w:val="007E1BEC"/>
    <w:rsid w:val="007E2A93"/>
    <w:rsid w:val="007E425D"/>
    <w:rsid w:val="007E6616"/>
    <w:rsid w:val="007E7362"/>
    <w:rsid w:val="007F0D17"/>
    <w:rsid w:val="007F170D"/>
    <w:rsid w:val="007F1C6E"/>
    <w:rsid w:val="007F224B"/>
    <w:rsid w:val="007F3A3A"/>
    <w:rsid w:val="007F3E16"/>
    <w:rsid w:val="007F4398"/>
    <w:rsid w:val="007F48CF"/>
    <w:rsid w:val="007F4C67"/>
    <w:rsid w:val="0080157C"/>
    <w:rsid w:val="00801BBA"/>
    <w:rsid w:val="00802D10"/>
    <w:rsid w:val="00802ED9"/>
    <w:rsid w:val="00802F7C"/>
    <w:rsid w:val="00803226"/>
    <w:rsid w:val="008040A9"/>
    <w:rsid w:val="008049C9"/>
    <w:rsid w:val="0080628C"/>
    <w:rsid w:val="00807437"/>
    <w:rsid w:val="00810D90"/>
    <w:rsid w:val="0081124D"/>
    <w:rsid w:val="0081168F"/>
    <w:rsid w:val="00811BE2"/>
    <w:rsid w:val="00812B0A"/>
    <w:rsid w:val="00812C2B"/>
    <w:rsid w:val="00814DCB"/>
    <w:rsid w:val="00814E26"/>
    <w:rsid w:val="008167E1"/>
    <w:rsid w:val="00820A23"/>
    <w:rsid w:val="0082335E"/>
    <w:rsid w:val="00824021"/>
    <w:rsid w:val="00826B17"/>
    <w:rsid w:val="00827C59"/>
    <w:rsid w:val="00827CD8"/>
    <w:rsid w:val="00830E58"/>
    <w:rsid w:val="008313B6"/>
    <w:rsid w:val="008321CB"/>
    <w:rsid w:val="008337A9"/>
    <w:rsid w:val="008339C1"/>
    <w:rsid w:val="00834D5F"/>
    <w:rsid w:val="00837150"/>
    <w:rsid w:val="00837CCB"/>
    <w:rsid w:val="00837F05"/>
    <w:rsid w:val="00840799"/>
    <w:rsid w:val="00840886"/>
    <w:rsid w:val="00841850"/>
    <w:rsid w:val="00841A36"/>
    <w:rsid w:val="00842A5E"/>
    <w:rsid w:val="00845DB8"/>
    <w:rsid w:val="00847772"/>
    <w:rsid w:val="00847EA0"/>
    <w:rsid w:val="0085192D"/>
    <w:rsid w:val="008526EB"/>
    <w:rsid w:val="0085270D"/>
    <w:rsid w:val="00853E86"/>
    <w:rsid w:val="008548CE"/>
    <w:rsid w:val="00854BB9"/>
    <w:rsid w:val="0085506D"/>
    <w:rsid w:val="0085643B"/>
    <w:rsid w:val="008576ED"/>
    <w:rsid w:val="0086037F"/>
    <w:rsid w:val="00860ACD"/>
    <w:rsid w:val="008618F9"/>
    <w:rsid w:val="00861E16"/>
    <w:rsid w:val="00862E6C"/>
    <w:rsid w:val="00863354"/>
    <w:rsid w:val="00863B86"/>
    <w:rsid w:val="00863E8C"/>
    <w:rsid w:val="00864C96"/>
    <w:rsid w:val="008656D6"/>
    <w:rsid w:val="00865C9F"/>
    <w:rsid w:val="00865D38"/>
    <w:rsid w:val="00866351"/>
    <w:rsid w:val="00866CCB"/>
    <w:rsid w:val="0087064E"/>
    <w:rsid w:val="00870C98"/>
    <w:rsid w:val="00873B00"/>
    <w:rsid w:val="00876688"/>
    <w:rsid w:val="00876E59"/>
    <w:rsid w:val="00880411"/>
    <w:rsid w:val="008808E6"/>
    <w:rsid w:val="00881957"/>
    <w:rsid w:val="00884252"/>
    <w:rsid w:val="008852C7"/>
    <w:rsid w:val="008860AD"/>
    <w:rsid w:val="00886FA0"/>
    <w:rsid w:val="0088726E"/>
    <w:rsid w:val="00890B6E"/>
    <w:rsid w:val="008911E5"/>
    <w:rsid w:val="008915C0"/>
    <w:rsid w:val="00892953"/>
    <w:rsid w:val="00892EF0"/>
    <w:rsid w:val="00893772"/>
    <w:rsid w:val="008945F0"/>
    <w:rsid w:val="00894CAE"/>
    <w:rsid w:val="00895BC3"/>
    <w:rsid w:val="00897DD0"/>
    <w:rsid w:val="008A002A"/>
    <w:rsid w:val="008A2DFB"/>
    <w:rsid w:val="008A3245"/>
    <w:rsid w:val="008A39B5"/>
    <w:rsid w:val="008A3AAB"/>
    <w:rsid w:val="008A3CE6"/>
    <w:rsid w:val="008A3EF3"/>
    <w:rsid w:val="008A4430"/>
    <w:rsid w:val="008A48CD"/>
    <w:rsid w:val="008A4F0E"/>
    <w:rsid w:val="008A55A5"/>
    <w:rsid w:val="008A637F"/>
    <w:rsid w:val="008A6A4F"/>
    <w:rsid w:val="008B0134"/>
    <w:rsid w:val="008B7E48"/>
    <w:rsid w:val="008C116A"/>
    <w:rsid w:val="008C2E84"/>
    <w:rsid w:val="008C3016"/>
    <w:rsid w:val="008C35A2"/>
    <w:rsid w:val="008C3690"/>
    <w:rsid w:val="008C38EE"/>
    <w:rsid w:val="008C3DC1"/>
    <w:rsid w:val="008C3E73"/>
    <w:rsid w:val="008C4C48"/>
    <w:rsid w:val="008C6C84"/>
    <w:rsid w:val="008C6F0D"/>
    <w:rsid w:val="008C7F40"/>
    <w:rsid w:val="008D027A"/>
    <w:rsid w:val="008D039D"/>
    <w:rsid w:val="008D0CF9"/>
    <w:rsid w:val="008D0ED4"/>
    <w:rsid w:val="008D14F0"/>
    <w:rsid w:val="008D23FA"/>
    <w:rsid w:val="008D2651"/>
    <w:rsid w:val="008D3468"/>
    <w:rsid w:val="008D35C0"/>
    <w:rsid w:val="008D3708"/>
    <w:rsid w:val="008D3CF8"/>
    <w:rsid w:val="008D48F1"/>
    <w:rsid w:val="008D5C4E"/>
    <w:rsid w:val="008D6BBB"/>
    <w:rsid w:val="008E0FDF"/>
    <w:rsid w:val="008E3DA1"/>
    <w:rsid w:val="008E48A9"/>
    <w:rsid w:val="008E61F1"/>
    <w:rsid w:val="008F0998"/>
    <w:rsid w:val="008F0AF6"/>
    <w:rsid w:val="008F2667"/>
    <w:rsid w:val="008F2871"/>
    <w:rsid w:val="008F2BD8"/>
    <w:rsid w:val="008F38B1"/>
    <w:rsid w:val="008F3F16"/>
    <w:rsid w:val="008F6E0F"/>
    <w:rsid w:val="008F6FBE"/>
    <w:rsid w:val="008F7902"/>
    <w:rsid w:val="008F7F0B"/>
    <w:rsid w:val="008F7FD7"/>
    <w:rsid w:val="00900A61"/>
    <w:rsid w:val="0090104B"/>
    <w:rsid w:val="0090130F"/>
    <w:rsid w:val="00903E61"/>
    <w:rsid w:val="009041D0"/>
    <w:rsid w:val="00905A0E"/>
    <w:rsid w:val="00911275"/>
    <w:rsid w:val="00912301"/>
    <w:rsid w:val="00912BC1"/>
    <w:rsid w:val="009139CD"/>
    <w:rsid w:val="00914E30"/>
    <w:rsid w:val="00917ACE"/>
    <w:rsid w:val="009204F8"/>
    <w:rsid w:val="009216C5"/>
    <w:rsid w:val="00922B34"/>
    <w:rsid w:val="00923128"/>
    <w:rsid w:val="00923771"/>
    <w:rsid w:val="0092755B"/>
    <w:rsid w:val="00927D35"/>
    <w:rsid w:val="009303D3"/>
    <w:rsid w:val="0093057D"/>
    <w:rsid w:val="00931F84"/>
    <w:rsid w:val="00932FC7"/>
    <w:rsid w:val="00933E78"/>
    <w:rsid w:val="00933FA0"/>
    <w:rsid w:val="00934655"/>
    <w:rsid w:val="00934ACB"/>
    <w:rsid w:val="0093526C"/>
    <w:rsid w:val="00935817"/>
    <w:rsid w:val="00935E2E"/>
    <w:rsid w:val="009361A8"/>
    <w:rsid w:val="00937AAA"/>
    <w:rsid w:val="00940EFD"/>
    <w:rsid w:val="00941620"/>
    <w:rsid w:val="0094224A"/>
    <w:rsid w:val="00942EAB"/>
    <w:rsid w:val="009443C0"/>
    <w:rsid w:val="00944A72"/>
    <w:rsid w:val="00944D4E"/>
    <w:rsid w:val="00946655"/>
    <w:rsid w:val="00946675"/>
    <w:rsid w:val="009477D1"/>
    <w:rsid w:val="009514FC"/>
    <w:rsid w:val="0095285F"/>
    <w:rsid w:val="00953EF7"/>
    <w:rsid w:val="0095576C"/>
    <w:rsid w:val="00955E7E"/>
    <w:rsid w:val="00956EA6"/>
    <w:rsid w:val="0095733E"/>
    <w:rsid w:val="00957480"/>
    <w:rsid w:val="00961368"/>
    <w:rsid w:val="00961C23"/>
    <w:rsid w:val="009637B6"/>
    <w:rsid w:val="00965235"/>
    <w:rsid w:val="0096601B"/>
    <w:rsid w:val="00966CA4"/>
    <w:rsid w:val="00970304"/>
    <w:rsid w:val="009718A7"/>
    <w:rsid w:val="0097233F"/>
    <w:rsid w:val="00974763"/>
    <w:rsid w:val="00977FE8"/>
    <w:rsid w:val="00980991"/>
    <w:rsid w:val="00980D7E"/>
    <w:rsid w:val="00982E36"/>
    <w:rsid w:val="00984EA3"/>
    <w:rsid w:val="00984FD6"/>
    <w:rsid w:val="00985724"/>
    <w:rsid w:val="00987181"/>
    <w:rsid w:val="00987BA8"/>
    <w:rsid w:val="00990220"/>
    <w:rsid w:val="009907F4"/>
    <w:rsid w:val="00991B7A"/>
    <w:rsid w:val="00991E93"/>
    <w:rsid w:val="0099464B"/>
    <w:rsid w:val="00995EFB"/>
    <w:rsid w:val="00996BF5"/>
    <w:rsid w:val="009A2352"/>
    <w:rsid w:val="009A32F2"/>
    <w:rsid w:val="009A3ADC"/>
    <w:rsid w:val="009A3B4C"/>
    <w:rsid w:val="009A5043"/>
    <w:rsid w:val="009A5DFB"/>
    <w:rsid w:val="009A63D2"/>
    <w:rsid w:val="009A6B65"/>
    <w:rsid w:val="009B02DA"/>
    <w:rsid w:val="009B268D"/>
    <w:rsid w:val="009B4513"/>
    <w:rsid w:val="009B4879"/>
    <w:rsid w:val="009B4FAA"/>
    <w:rsid w:val="009B6E9C"/>
    <w:rsid w:val="009B6FD8"/>
    <w:rsid w:val="009B7382"/>
    <w:rsid w:val="009B76D5"/>
    <w:rsid w:val="009C2E48"/>
    <w:rsid w:val="009C30E1"/>
    <w:rsid w:val="009C372A"/>
    <w:rsid w:val="009C3E1F"/>
    <w:rsid w:val="009C3E8C"/>
    <w:rsid w:val="009C459B"/>
    <w:rsid w:val="009C45AE"/>
    <w:rsid w:val="009C5AB5"/>
    <w:rsid w:val="009C6EDE"/>
    <w:rsid w:val="009C7D58"/>
    <w:rsid w:val="009D00AB"/>
    <w:rsid w:val="009D082B"/>
    <w:rsid w:val="009D1B52"/>
    <w:rsid w:val="009D1C64"/>
    <w:rsid w:val="009D2E81"/>
    <w:rsid w:val="009D48A0"/>
    <w:rsid w:val="009D5917"/>
    <w:rsid w:val="009D5E6B"/>
    <w:rsid w:val="009D65B8"/>
    <w:rsid w:val="009E2541"/>
    <w:rsid w:val="009E2CAF"/>
    <w:rsid w:val="009E3935"/>
    <w:rsid w:val="009E4EEA"/>
    <w:rsid w:val="009E632C"/>
    <w:rsid w:val="009E6E1B"/>
    <w:rsid w:val="009E724F"/>
    <w:rsid w:val="009F12AD"/>
    <w:rsid w:val="009F26A4"/>
    <w:rsid w:val="009F2DC3"/>
    <w:rsid w:val="009F35CA"/>
    <w:rsid w:val="009F3944"/>
    <w:rsid w:val="009F488E"/>
    <w:rsid w:val="009F5EE8"/>
    <w:rsid w:val="009F69F3"/>
    <w:rsid w:val="009F7DBA"/>
    <w:rsid w:val="00A0018A"/>
    <w:rsid w:val="00A0093A"/>
    <w:rsid w:val="00A00B31"/>
    <w:rsid w:val="00A00CE2"/>
    <w:rsid w:val="00A040BE"/>
    <w:rsid w:val="00A04C81"/>
    <w:rsid w:val="00A05532"/>
    <w:rsid w:val="00A07E98"/>
    <w:rsid w:val="00A1130C"/>
    <w:rsid w:val="00A11471"/>
    <w:rsid w:val="00A116A8"/>
    <w:rsid w:val="00A13AE2"/>
    <w:rsid w:val="00A1436E"/>
    <w:rsid w:val="00A14413"/>
    <w:rsid w:val="00A1477A"/>
    <w:rsid w:val="00A14A8B"/>
    <w:rsid w:val="00A15037"/>
    <w:rsid w:val="00A1521F"/>
    <w:rsid w:val="00A15ABD"/>
    <w:rsid w:val="00A212E4"/>
    <w:rsid w:val="00A213AC"/>
    <w:rsid w:val="00A21A7E"/>
    <w:rsid w:val="00A22983"/>
    <w:rsid w:val="00A23729"/>
    <w:rsid w:val="00A24BE0"/>
    <w:rsid w:val="00A24EAD"/>
    <w:rsid w:val="00A25119"/>
    <w:rsid w:val="00A261E0"/>
    <w:rsid w:val="00A31450"/>
    <w:rsid w:val="00A32850"/>
    <w:rsid w:val="00A32C67"/>
    <w:rsid w:val="00A32F97"/>
    <w:rsid w:val="00A3314D"/>
    <w:rsid w:val="00A3338D"/>
    <w:rsid w:val="00A35E1B"/>
    <w:rsid w:val="00A36515"/>
    <w:rsid w:val="00A36987"/>
    <w:rsid w:val="00A37065"/>
    <w:rsid w:val="00A40010"/>
    <w:rsid w:val="00A40018"/>
    <w:rsid w:val="00A401EC"/>
    <w:rsid w:val="00A403F5"/>
    <w:rsid w:val="00A412EC"/>
    <w:rsid w:val="00A41B8A"/>
    <w:rsid w:val="00A4237D"/>
    <w:rsid w:val="00A42544"/>
    <w:rsid w:val="00A428C7"/>
    <w:rsid w:val="00A430D2"/>
    <w:rsid w:val="00A4310F"/>
    <w:rsid w:val="00A441F8"/>
    <w:rsid w:val="00A446AC"/>
    <w:rsid w:val="00A44790"/>
    <w:rsid w:val="00A451E5"/>
    <w:rsid w:val="00A45478"/>
    <w:rsid w:val="00A46FAC"/>
    <w:rsid w:val="00A4744D"/>
    <w:rsid w:val="00A478CD"/>
    <w:rsid w:val="00A504C6"/>
    <w:rsid w:val="00A508E0"/>
    <w:rsid w:val="00A51396"/>
    <w:rsid w:val="00A51A87"/>
    <w:rsid w:val="00A51D15"/>
    <w:rsid w:val="00A54580"/>
    <w:rsid w:val="00A547E3"/>
    <w:rsid w:val="00A55CD4"/>
    <w:rsid w:val="00A574ED"/>
    <w:rsid w:val="00A6032E"/>
    <w:rsid w:val="00A6181E"/>
    <w:rsid w:val="00A64907"/>
    <w:rsid w:val="00A654FD"/>
    <w:rsid w:val="00A6649A"/>
    <w:rsid w:val="00A703BC"/>
    <w:rsid w:val="00A70536"/>
    <w:rsid w:val="00A70605"/>
    <w:rsid w:val="00A706DA"/>
    <w:rsid w:val="00A72312"/>
    <w:rsid w:val="00A72B6F"/>
    <w:rsid w:val="00A72D05"/>
    <w:rsid w:val="00A731C5"/>
    <w:rsid w:val="00A73752"/>
    <w:rsid w:val="00A74182"/>
    <w:rsid w:val="00A74CE8"/>
    <w:rsid w:val="00A74E3E"/>
    <w:rsid w:val="00A75288"/>
    <w:rsid w:val="00A7609A"/>
    <w:rsid w:val="00A7774E"/>
    <w:rsid w:val="00A77A8B"/>
    <w:rsid w:val="00A80514"/>
    <w:rsid w:val="00A8268A"/>
    <w:rsid w:val="00A85AF2"/>
    <w:rsid w:val="00A86AF1"/>
    <w:rsid w:val="00A86C18"/>
    <w:rsid w:val="00A87773"/>
    <w:rsid w:val="00A87EBC"/>
    <w:rsid w:val="00A90487"/>
    <w:rsid w:val="00A91567"/>
    <w:rsid w:val="00A933C3"/>
    <w:rsid w:val="00A938F3"/>
    <w:rsid w:val="00A95C23"/>
    <w:rsid w:val="00A96920"/>
    <w:rsid w:val="00A96CE7"/>
    <w:rsid w:val="00A97487"/>
    <w:rsid w:val="00AA0FE9"/>
    <w:rsid w:val="00AA3E25"/>
    <w:rsid w:val="00AA41AF"/>
    <w:rsid w:val="00AA60E8"/>
    <w:rsid w:val="00AB0433"/>
    <w:rsid w:val="00AB0519"/>
    <w:rsid w:val="00AB10F9"/>
    <w:rsid w:val="00AB16B0"/>
    <w:rsid w:val="00AB1AFB"/>
    <w:rsid w:val="00AB1C72"/>
    <w:rsid w:val="00AB2877"/>
    <w:rsid w:val="00AB3613"/>
    <w:rsid w:val="00AB454C"/>
    <w:rsid w:val="00AB487C"/>
    <w:rsid w:val="00AB5D85"/>
    <w:rsid w:val="00AC0310"/>
    <w:rsid w:val="00AC2060"/>
    <w:rsid w:val="00AC39DD"/>
    <w:rsid w:val="00AC4041"/>
    <w:rsid w:val="00AC49DD"/>
    <w:rsid w:val="00AC540E"/>
    <w:rsid w:val="00AC5A66"/>
    <w:rsid w:val="00AC60B3"/>
    <w:rsid w:val="00AC66F7"/>
    <w:rsid w:val="00AC7546"/>
    <w:rsid w:val="00AC76CB"/>
    <w:rsid w:val="00AD10D7"/>
    <w:rsid w:val="00AD2EB7"/>
    <w:rsid w:val="00AD41B1"/>
    <w:rsid w:val="00AD50E0"/>
    <w:rsid w:val="00AD58EE"/>
    <w:rsid w:val="00AD657D"/>
    <w:rsid w:val="00AD69DC"/>
    <w:rsid w:val="00AD6A87"/>
    <w:rsid w:val="00AE06AB"/>
    <w:rsid w:val="00AE0F2E"/>
    <w:rsid w:val="00AE0F74"/>
    <w:rsid w:val="00AE3583"/>
    <w:rsid w:val="00AE4C86"/>
    <w:rsid w:val="00AE5870"/>
    <w:rsid w:val="00AE5C5D"/>
    <w:rsid w:val="00AE6C92"/>
    <w:rsid w:val="00AF02CF"/>
    <w:rsid w:val="00AF1860"/>
    <w:rsid w:val="00AF1DCC"/>
    <w:rsid w:val="00AF24AC"/>
    <w:rsid w:val="00AF2A7C"/>
    <w:rsid w:val="00AF3047"/>
    <w:rsid w:val="00AF331C"/>
    <w:rsid w:val="00AF367C"/>
    <w:rsid w:val="00AF3BA9"/>
    <w:rsid w:val="00AF46EE"/>
    <w:rsid w:val="00AF49A6"/>
    <w:rsid w:val="00AF4F76"/>
    <w:rsid w:val="00AF5821"/>
    <w:rsid w:val="00B01007"/>
    <w:rsid w:val="00B01390"/>
    <w:rsid w:val="00B01612"/>
    <w:rsid w:val="00B0288B"/>
    <w:rsid w:val="00B02A2B"/>
    <w:rsid w:val="00B02A2E"/>
    <w:rsid w:val="00B0481E"/>
    <w:rsid w:val="00B04B74"/>
    <w:rsid w:val="00B050FA"/>
    <w:rsid w:val="00B10C75"/>
    <w:rsid w:val="00B118C6"/>
    <w:rsid w:val="00B1309A"/>
    <w:rsid w:val="00B13130"/>
    <w:rsid w:val="00B1419B"/>
    <w:rsid w:val="00B14579"/>
    <w:rsid w:val="00B154CB"/>
    <w:rsid w:val="00B1611D"/>
    <w:rsid w:val="00B17A0A"/>
    <w:rsid w:val="00B20BF0"/>
    <w:rsid w:val="00B21008"/>
    <w:rsid w:val="00B2184B"/>
    <w:rsid w:val="00B21959"/>
    <w:rsid w:val="00B22305"/>
    <w:rsid w:val="00B2298C"/>
    <w:rsid w:val="00B229EC"/>
    <w:rsid w:val="00B2380C"/>
    <w:rsid w:val="00B26DCF"/>
    <w:rsid w:val="00B31207"/>
    <w:rsid w:val="00B3131F"/>
    <w:rsid w:val="00B31731"/>
    <w:rsid w:val="00B32300"/>
    <w:rsid w:val="00B32C17"/>
    <w:rsid w:val="00B35449"/>
    <w:rsid w:val="00B3612B"/>
    <w:rsid w:val="00B40270"/>
    <w:rsid w:val="00B412FE"/>
    <w:rsid w:val="00B4145E"/>
    <w:rsid w:val="00B42D83"/>
    <w:rsid w:val="00B4324A"/>
    <w:rsid w:val="00B43AC5"/>
    <w:rsid w:val="00B44334"/>
    <w:rsid w:val="00B452E4"/>
    <w:rsid w:val="00B46341"/>
    <w:rsid w:val="00B50985"/>
    <w:rsid w:val="00B52BEB"/>
    <w:rsid w:val="00B544BC"/>
    <w:rsid w:val="00B55ECB"/>
    <w:rsid w:val="00B56CC9"/>
    <w:rsid w:val="00B57426"/>
    <w:rsid w:val="00B578C8"/>
    <w:rsid w:val="00B61A8D"/>
    <w:rsid w:val="00B625D7"/>
    <w:rsid w:val="00B62A78"/>
    <w:rsid w:val="00B63D44"/>
    <w:rsid w:val="00B671C9"/>
    <w:rsid w:val="00B67B20"/>
    <w:rsid w:val="00B709C0"/>
    <w:rsid w:val="00B72E1A"/>
    <w:rsid w:val="00B73786"/>
    <w:rsid w:val="00B75220"/>
    <w:rsid w:val="00B75536"/>
    <w:rsid w:val="00B75FD4"/>
    <w:rsid w:val="00B767F4"/>
    <w:rsid w:val="00B80404"/>
    <w:rsid w:val="00B80CD9"/>
    <w:rsid w:val="00B82B8E"/>
    <w:rsid w:val="00B8300A"/>
    <w:rsid w:val="00B83396"/>
    <w:rsid w:val="00B83EE6"/>
    <w:rsid w:val="00B8666D"/>
    <w:rsid w:val="00B87109"/>
    <w:rsid w:val="00B87549"/>
    <w:rsid w:val="00B9141F"/>
    <w:rsid w:val="00B91B33"/>
    <w:rsid w:val="00B93C40"/>
    <w:rsid w:val="00B946DF"/>
    <w:rsid w:val="00B94DF0"/>
    <w:rsid w:val="00B95931"/>
    <w:rsid w:val="00B97CE6"/>
    <w:rsid w:val="00BA138B"/>
    <w:rsid w:val="00BA1D3B"/>
    <w:rsid w:val="00BA5243"/>
    <w:rsid w:val="00BA6490"/>
    <w:rsid w:val="00BA7162"/>
    <w:rsid w:val="00BA7702"/>
    <w:rsid w:val="00BA7BEA"/>
    <w:rsid w:val="00BB022B"/>
    <w:rsid w:val="00BB080C"/>
    <w:rsid w:val="00BB2639"/>
    <w:rsid w:val="00BB3DC5"/>
    <w:rsid w:val="00BB42DE"/>
    <w:rsid w:val="00BB48D3"/>
    <w:rsid w:val="00BB4F94"/>
    <w:rsid w:val="00BB5B8F"/>
    <w:rsid w:val="00BB750A"/>
    <w:rsid w:val="00BC1D0A"/>
    <w:rsid w:val="00BC3926"/>
    <w:rsid w:val="00BC3E2A"/>
    <w:rsid w:val="00BC42FF"/>
    <w:rsid w:val="00BC6651"/>
    <w:rsid w:val="00BD0397"/>
    <w:rsid w:val="00BD03F5"/>
    <w:rsid w:val="00BD17AC"/>
    <w:rsid w:val="00BD17AF"/>
    <w:rsid w:val="00BD18AD"/>
    <w:rsid w:val="00BD3333"/>
    <w:rsid w:val="00BD3C6F"/>
    <w:rsid w:val="00BD57FB"/>
    <w:rsid w:val="00BD5A55"/>
    <w:rsid w:val="00BE05FA"/>
    <w:rsid w:val="00BE2273"/>
    <w:rsid w:val="00BE23ED"/>
    <w:rsid w:val="00BE2532"/>
    <w:rsid w:val="00BE2735"/>
    <w:rsid w:val="00BE4210"/>
    <w:rsid w:val="00BE48A8"/>
    <w:rsid w:val="00BE4A10"/>
    <w:rsid w:val="00BE4D74"/>
    <w:rsid w:val="00BE5409"/>
    <w:rsid w:val="00BE5745"/>
    <w:rsid w:val="00BE5C4F"/>
    <w:rsid w:val="00BE7914"/>
    <w:rsid w:val="00BF0432"/>
    <w:rsid w:val="00BF081C"/>
    <w:rsid w:val="00BF09F2"/>
    <w:rsid w:val="00BF2295"/>
    <w:rsid w:val="00BF2423"/>
    <w:rsid w:val="00BF2B0A"/>
    <w:rsid w:val="00BF3356"/>
    <w:rsid w:val="00BF3DE5"/>
    <w:rsid w:val="00BF40B9"/>
    <w:rsid w:val="00BF4D83"/>
    <w:rsid w:val="00BF506B"/>
    <w:rsid w:val="00BF5711"/>
    <w:rsid w:val="00BF5B27"/>
    <w:rsid w:val="00BF705B"/>
    <w:rsid w:val="00BF78D3"/>
    <w:rsid w:val="00C0073A"/>
    <w:rsid w:val="00C019B2"/>
    <w:rsid w:val="00C03D0E"/>
    <w:rsid w:val="00C06572"/>
    <w:rsid w:val="00C069D2"/>
    <w:rsid w:val="00C07379"/>
    <w:rsid w:val="00C07A09"/>
    <w:rsid w:val="00C07B0E"/>
    <w:rsid w:val="00C10184"/>
    <w:rsid w:val="00C11062"/>
    <w:rsid w:val="00C1403F"/>
    <w:rsid w:val="00C14A99"/>
    <w:rsid w:val="00C15C00"/>
    <w:rsid w:val="00C17D57"/>
    <w:rsid w:val="00C17ECD"/>
    <w:rsid w:val="00C20AB5"/>
    <w:rsid w:val="00C20CF0"/>
    <w:rsid w:val="00C20ECD"/>
    <w:rsid w:val="00C21580"/>
    <w:rsid w:val="00C2245C"/>
    <w:rsid w:val="00C22FFE"/>
    <w:rsid w:val="00C231C4"/>
    <w:rsid w:val="00C23D01"/>
    <w:rsid w:val="00C23D89"/>
    <w:rsid w:val="00C26140"/>
    <w:rsid w:val="00C2683E"/>
    <w:rsid w:val="00C27267"/>
    <w:rsid w:val="00C276E7"/>
    <w:rsid w:val="00C2776C"/>
    <w:rsid w:val="00C3027D"/>
    <w:rsid w:val="00C303B4"/>
    <w:rsid w:val="00C31C83"/>
    <w:rsid w:val="00C32C16"/>
    <w:rsid w:val="00C333DF"/>
    <w:rsid w:val="00C348DF"/>
    <w:rsid w:val="00C3636D"/>
    <w:rsid w:val="00C40E75"/>
    <w:rsid w:val="00C433A9"/>
    <w:rsid w:val="00C44170"/>
    <w:rsid w:val="00C448B5"/>
    <w:rsid w:val="00C44FFD"/>
    <w:rsid w:val="00C45F00"/>
    <w:rsid w:val="00C462B4"/>
    <w:rsid w:val="00C500AB"/>
    <w:rsid w:val="00C52405"/>
    <w:rsid w:val="00C5268B"/>
    <w:rsid w:val="00C528BF"/>
    <w:rsid w:val="00C528D8"/>
    <w:rsid w:val="00C52928"/>
    <w:rsid w:val="00C53DE4"/>
    <w:rsid w:val="00C54743"/>
    <w:rsid w:val="00C5488A"/>
    <w:rsid w:val="00C55A3F"/>
    <w:rsid w:val="00C56776"/>
    <w:rsid w:val="00C60409"/>
    <w:rsid w:val="00C605A9"/>
    <w:rsid w:val="00C605F6"/>
    <w:rsid w:val="00C60666"/>
    <w:rsid w:val="00C6194A"/>
    <w:rsid w:val="00C623D0"/>
    <w:rsid w:val="00C626CE"/>
    <w:rsid w:val="00C62A95"/>
    <w:rsid w:val="00C65274"/>
    <w:rsid w:val="00C675F4"/>
    <w:rsid w:val="00C679F6"/>
    <w:rsid w:val="00C67EC3"/>
    <w:rsid w:val="00C700EE"/>
    <w:rsid w:val="00C71181"/>
    <w:rsid w:val="00C72035"/>
    <w:rsid w:val="00C74992"/>
    <w:rsid w:val="00C74A5B"/>
    <w:rsid w:val="00C7641F"/>
    <w:rsid w:val="00C772C4"/>
    <w:rsid w:val="00C80C90"/>
    <w:rsid w:val="00C815CF"/>
    <w:rsid w:val="00C819C3"/>
    <w:rsid w:val="00C83D2A"/>
    <w:rsid w:val="00C8463E"/>
    <w:rsid w:val="00C84B80"/>
    <w:rsid w:val="00C84CB0"/>
    <w:rsid w:val="00C859AA"/>
    <w:rsid w:val="00C85ABF"/>
    <w:rsid w:val="00C85B45"/>
    <w:rsid w:val="00C86BB2"/>
    <w:rsid w:val="00C91056"/>
    <w:rsid w:val="00C92F9C"/>
    <w:rsid w:val="00C931CA"/>
    <w:rsid w:val="00C9493B"/>
    <w:rsid w:val="00C94F39"/>
    <w:rsid w:val="00C958C1"/>
    <w:rsid w:val="00C9626F"/>
    <w:rsid w:val="00C967EA"/>
    <w:rsid w:val="00C97EA5"/>
    <w:rsid w:val="00CA163A"/>
    <w:rsid w:val="00CA17F9"/>
    <w:rsid w:val="00CA33F3"/>
    <w:rsid w:val="00CA6072"/>
    <w:rsid w:val="00CA7282"/>
    <w:rsid w:val="00CA7769"/>
    <w:rsid w:val="00CB1A58"/>
    <w:rsid w:val="00CB1BBE"/>
    <w:rsid w:val="00CB21AF"/>
    <w:rsid w:val="00CB22E0"/>
    <w:rsid w:val="00CB28CD"/>
    <w:rsid w:val="00CB2C3F"/>
    <w:rsid w:val="00CB3944"/>
    <w:rsid w:val="00CB3E5B"/>
    <w:rsid w:val="00CB4408"/>
    <w:rsid w:val="00CB547F"/>
    <w:rsid w:val="00CB61E0"/>
    <w:rsid w:val="00CB7B63"/>
    <w:rsid w:val="00CC0245"/>
    <w:rsid w:val="00CC0C82"/>
    <w:rsid w:val="00CC1153"/>
    <w:rsid w:val="00CC39B0"/>
    <w:rsid w:val="00CC5284"/>
    <w:rsid w:val="00CC5661"/>
    <w:rsid w:val="00CC5C62"/>
    <w:rsid w:val="00CC7586"/>
    <w:rsid w:val="00CD078A"/>
    <w:rsid w:val="00CD27A8"/>
    <w:rsid w:val="00CD2DFC"/>
    <w:rsid w:val="00CD3227"/>
    <w:rsid w:val="00CD39DF"/>
    <w:rsid w:val="00CD3DAB"/>
    <w:rsid w:val="00CD5E1D"/>
    <w:rsid w:val="00CD5FDD"/>
    <w:rsid w:val="00CD67F4"/>
    <w:rsid w:val="00CD7F1F"/>
    <w:rsid w:val="00CE0885"/>
    <w:rsid w:val="00CE0DD6"/>
    <w:rsid w:val="00CE0ECB"/>
    <w:rsid w:val="00CE0F11"/>
    <w:rsid w:val="00CE1664"/>
    <w:rsid w:val="00CE3BA9"/>
    <w:rsid w:val="00CE4359"/>
    <w:rsid w:val="00CE4C28"/>
    <w:rsid w:val="00CE5499"/>
    <w:rsid w:val="00CE617A"/>
    <w:rsid w:val="00CE659C"/>
    <w:rsid w:val="00CE72D9"/>
    <w:rsid w:val="00CF14B6"/>
    <w:rsid w:val="00CF2304"/>
    <w:rsid w:val="00CF44A7"/>
    <w:rsid w:val="00CF5328"/>
    <w:rsid w:val="00CF557C"/>
    <w:rsid w:val="00CF60DA"/>
    <w:rsid w:val="00CF6378"/>
    <w:rsid w:val="00CF7936"/>
    <w:rsid w:val="00CF7A09"/>
    <w:rsid w:val="00CF7CDA"/>
    <w:rsid w:val="00D02033"/>
    <w:rsid w:val="00D021A3"/>
    <w:rsid w:val="00D04307"/>
    <w:rsid w:val="00D047A2"/>
    <w:rsid w:val="00D04AB7"/>
    <w:rsid w:val="00D069CA"/>
    <w:rsid w:val="00D0748B"/>
    <w:rsid w:val="00D10C40"/>
    <w:rsid w:val="00D11706"/>
    <w:rsid w:val="00D1379E"/>
    <w:rsid w:val="00D13A1D"/>
    <w:rsid w:val="00D13D22"/>
    <w:rsid w:val="00D13F24"/>
    <w:rsid w:val="00D1496E"/>
    <w:rsid w:val="00D15500"/>
    <w:rsid w:val="00D15E26"/>
    <w:rsid w:val="00D17D44"/>
    <w:rsid w:val="00D20E2D"/>
    <w:rsid w:val="00D215C0"/>
    <w:rsid w:val="00D22E7B"/>
    <w:rsid w:val="00D24932"/>
    <w:rsid w:val="00D25AC6"/>
    <w:rsid w:val="00D30819"/>
    <w:rsid w:val="00D309FC"/>
    <w:rsid w:val="00D31C79"/>
    <w:rsid w:val="00D34B0C"/>
    <w:rsid w:val="00D35C00"/>
    <w:rsid w:val="00D3601F"/>
    <w:rsid w:val="00D367AE"/>
    <w:rsid w:val="00D3CE85"/>
    <w:rsid w:val="00D439B2"/>
    <w:rsid w:val="00D45E5C"/>
    <w:rsid w:val="00D467C7"/>
    <w:rsid w:val="00D47F8C"/>
    <w:rsid w:val="00D5000B"/>
    <w:rsid w:val="00D506B8"/>
    <w:rsid w:val="00D51359"/>
    <w:rsid w:val="00D52D2C"/>
    <w:rsid w:val="00D55310"/>
    <w:rsid w:val="00D554FD"/>
    <w:rsid w:val="00D57078"/>
    <w:rsid w:val="00D574A3"/>
    <w:rsid w:val="00D57706"/>
    <w:rsid w:val="00D60411"/>
    <w:rsid w:val="00D607DE"/>
    <w:rsid w:val="00D60CC7"/>
    <w:rsid w:val="00D62329"/>
    <w:rsid w:val="00D6346F"/>
    <w:rsid w:val="00D6366F"/>
    <w:rsid w:val="00D64E5B"/>
    <w:rsid w:val="00D651F2"/>
    <w:rsid w:val="00D6568F"/>
    <w:rsid w:val="00D66506"/>
    <w:rsid w:val="00D66545"/>
    <w:rsid w:val="00D669BE"/>
    <w:rsid w:val="00D66ADC"/>
    <w:rsid w:val="00D66C70"/>
    <w:rsid w:val="00D6729E"/>
    <w:rsid w:val="00D67B5A"/>
    <w:rsid w:val="00D70C8E"/>
    <w:rsid w:val="00D71157"/>
    <w:rsid w:val="00D71757"/>
    <w:rsid w:val="00D71852"/>
    <w:rsid w:val="00D71C5A"/>
    <w:rsid w:val="00D7329A"/>
    <w:rsid w:val="00D73E89"/>
    <w:rsid w:val="00D74171"/>
    <w:rsid w:val="00D74259"/>
    <w:rsid w:val="00D76976"/>
    <w:rsid w:val="00D76BDB"/>
    <w:rsid w:val="00D77001"/>
    <w:rsid w:val="00D81C31"/>
    <w:rsid w:val="00D81E52"/>
    <w:rsid w:val="00D835F6"/>
    <w:rsid w:val="00D837E6"/>
    <w:rsid w:val="00D83F40"/>
    <w:rsid w:val="00D83FCE"/>
    <w:rsid w:val="00D84294"/>
    <w:rsid w:val="00D85A69"/>
    <w:rsid w:val="00D85CAA"/>
    <w:rsid w:val="00D85CDA"/>
    <w:rsid w:val="00D86113"/>
    <w:rsid w:val="00D86405"/>
    <w:rsid w:val="00D8646B"/>
    <w:rsid w:val="00D8646C"/>
    <w:rsid w:val="00D907DE"/>
    <w:rsid w:val="00D90B3D"/>
    <w:rsid w:val="00D93C58"/>
    <w:rsid w:val="00D93DA1"/>
    <w:rsid w:val="00D95503"/>
    <w:rsid w:val="00D9647D"/>
    <w:rsid w:val="00D96D90"/>
    <w:rsid w:val="00DA1370"/>
    <w:rsid w:val="00DA2D73"/>
    <w:rsid w:val="00DA79E3"/>
    <w:rsid w:val="00DB06EC"/>
    <w:rsid w:val="00DB1390"/>
    <w:rsid w:val="00DB1821"/>
    <w:rsid w:val="00DB2270"/>
    <w:rsid w:val="00DB36F4"/>
    <w:rsid w:val="00DB443B"/>
    <w:rsid w:val="00DB4748"/>
    <w:rsid w:val="00DB5B0C"/>
    <w:rsid w:val="00DB759C"/>
    <w:rsid w:val="00DC2810"/>
    <w:rsid w:val="00DC409E"/>
    <w:rsid w:val="00DC491D"/>
    <w:rsid w:val="00DC52F3"/>
    <w:rsid w:val="00DC531D"/>
    <w:rsid w:val="00DC549D"/>
    <w:rsid w:val="00DC55AF"/>
    <w:rsid w:val="00DC565C"/>
    <w:rsid w:val="00DC5E0A"/>
    <w:rsid w:val="00DC63F1"/>
    <w:rsid w:val="00DD13C5"/>
    <w:rsid w:val="00DD215B"/>
    <w:rsid w:val="00DD235B"/>
    <w:rsid w:val="00DD3A3E"/>
    <w:rsid w:val="00DD3FCA"/>
    <w:rsid w:val="00DD4254"/>
    <w:rsid w:val="00DD46DE"/>
    <w:rsid w:val="00DD49AA"/>
    <w:rsid w:val="00DD564E"/>
    <w:rsid w:val="00DD727F"/>
    <w:rsid w:val="00DE0509"/>
    <w:rsid w:val="00DE183D"/>
    <w:rsid w:val="00DE222A"/>
    <w:rsid w:val="00DE296E"/>
    <w:rsid w:val="00DE3298"/>
    <w:rsid w:val="00DE49EF"/>
    <w:rsid w:val="00DE5DB7"/>
    <w:rsid w:val="00DE6936"/>
    <w:rsid w:val="00DE780C"/>
    <w:rsid w:val="00DF33AB"/>
    <w:rsid w:val="00DF37B8"/>
    <w:rsid w:val="00DF4461"/>
    <w:rsid w:val="00DF4513"/>
    <w:rsid w:val="00DF5967"/>
    <w:rsid w:val="00DF5C98"/>
    <w:rsid w:val="00DF5D93"/>
    <w:rsid w:val="00DF6D4C"/>
    <w:rsid w:val="00DF7BBF"/>
    <w:rsid w:val="00DF7F7D"/>
    <w:rsid w:val="00E005AC"/>
    <w:rsid w:val="00E014DC"/>
    <w:rsid w:val="00E023A4"/>
    <w:rsid w:val="00E02DBA"/>
    <w:rsid w:val="00E038A3"/>
    <w:rsid w:val="00E06683"/>
    <w:rsid w:val="00E07310"/>
    <w:rsid w:val="00E07986"/>
    <w:rsid w:val="00E10B8B"/>
    <w:rsid w:val="00E10CBA"/>
    <w:rsid w:val="00E10D82"/>
    <w:rsid w:val="00E11A15"/>
    <w:rsid w:val="00E11F96"/>
    <w:rsid w:val="00E12EBD"/>
    <w:rsid w:val="00E1321E"/>
    <w:rsid w:val="00E142AD"/>
    <w:rsid w:val="00E1461B"/>
    <w:rsid w:val="00E14981"/>
    <w:rsid w:val="00E14F82"/>
    <w:rsid w:val="00E14FDB"/>
    <w:rsid w:val="00E150F5"/>
    <w:rsid w:val="00E20D45"/>
    <w:rsid w:val="00E211B7"/>
    <w:rsid w:val="00E2387A"/>
    <w:rsid w:val="00E2409C"/>
    <w:rsid w:val="00E255B5"/>
    <w:rsid w:val="00E3036A"/>
    <w:rsid w:val="00E30AB7"/>
    <w:rsid w:val="00E33616"/>
    <w:rsid w:val="00E345EA"/>
    <w:rsid w:val="00E348B9"/>
    <w:rsid w:val="00E359FD"/>
    <w:rsid w:val="00E35DAA"/>
    <w:rsid w:val="00E36D98"/>
    <w:rsid w:val="00E40FE1"/>
    <w:rsid w:val="00E42036"/>
    <w:rsid w:val="00E42757"/>
    <w:rsid w:val="00E43C2D"/>
    <w:rsid w:val="00E44541"/>
    <w:rsid w:val="00E445A0"/>
    <w:rsid w:val="00E44959"/>
    <w:rsid w:val="00E44F56"/>
    <w:rsid w:val="00E46029"/>
    <w:rsid w:val="00E46B93"/>
    <w:rsid w:val="00E474DE"/>
    <w:rsid w:val="00E50013"/>
    <w:rsid w:val="00E5051F"/>
    <w:rsid w:val="00E50603"/>
    <w:rsid w:val="00E509CD"/>
    <w:rsid w:val="00E51C85"/>
    <w:rsid w:val="00E51CF0"/>
    <w:rsid w:val="00E522E2"/>
    <w:rsid w:val="00E525EA"/>
    <w:rsid w:val="00E53D47"/>
    <w:rsid w:val="00E53DF7"/>
    <w:rsid w:val="00E5425A"/>
    <w:rsid w:val="00E55D6A"/>
    <w:rsid w:val="00E56C74"/>
    <w:rsid w:val="00E573CC"/>
    <w:rsid w:val="00E575B4"/>
    <w:rsid w:val="00E60C07"/>
    <w:rsid w:val="00E60F22"/>
    <w:rsid w:val="00E61DAF"/>
    <w:rsid w:val="00E620A3"/>
    <w:rsid w:val="00E64095"/>
    <w:rsid w:val="00E64118"/>
    <w:rsid w:val="00E660BC"/>
    <w:rsid w:val="00E669CA"/>
    <w:rsid w:val="00E66B47"/>
    <w:rsid w:val="00E67143"/>
    <w:rsid w:val="00E701F6"/>
    <w:rsid w:val="00E7073F"/>
    <w:rsid w:val="00E70A42"/>
    <w:rsid w:val="00E7196C"/>
    <w:rsid w:val="00E72DBB"/>
    <w:rsid w:val="00E72F5B"/>
    <w:rsid w:val="00E73714"/>
    <w:rsid w:val="00E7498D"/>
    <w:rsid w:val="00E758BB"/>
    <w:rsid w:val="00E75992"/>
    <w:rsid w:val="00E8078A"/>
    <w:rsid w:val="00E807B8"/>
    <w:rsid w:val="00E81001"/>
    <w:rsid w:val="00E8308D"/>
    <w:rsid w:val="00E83A56"/>
    <w:rsid w:val="00E8452C"/>
    <w:rsid w:val="00E84DAD"/>
    <w:rsid w:val="00E851C2"/>
    <w:rsid w:val="00E87A13"/>
    <w:rsid w:val="00E87B33"/>
    <w:rsid w:val="00E87B51"/>
    <w:rsid w:val="00E900FE"/>
    <w:rsid w:val="00E908ED"/>
    <w:rsid w:val="00E91291"/>
    <w:rsid w:val="00E95310"/>
    <w:rsid w:val="00EA2C96"/>
    <w:rsid w:val="00EA2EF5"/>
    <w:rsid w:val="00EA2F6D"/>
    <w:rsid w:val="00EA543A"/>
    <w:rsid w:val="00EA5456"/>
    <w:rsid w:val="00EA66FB"/>
    <w:rsid w:val="00EB10FD"/>
    <w:rsid w:val="00EB1F37"/>
    <w:rsid w:val="00EB20A6"/>
    <w:rsid w:val="00EB29B3"/>
    <w:rsid w:val="00EB3316"/>
    <w:rsid w:val="00EB3F69"/>
    <w:rsid w:val="00EB4194"/>
    <w:rsid w:val="00EB6274"/>
    <w:rsid w:val="00EC13E8"/>
    <w:rsid w:val="00EC253D"/>
    <w:rsid w:val="00EC3A73"/>
    <w:rsid w:val="00EC48E8"/>
    <w:rsid w:val="00EC498B"/>
    <w:rsid w:val="00EC5213"/>
    <w:rsid w:val="00EC55D4"/>
    <w:rsid w:val="00EC7AE9"/>
    <w:rsid w:val="00ED13D9"/>
    <w:rsid w:val="00ED192D"/>
    <w:rsid w:val="00ED29A3"/>
    <w:rsid w:val="00ED35A3"/>
    <w:rsid w:val="00ED39F5"/>
    <w:rsid w:val="00ED3AB1"/>
    <w:rsid w:val="00ED4245"/>
    <w:rsid w:val="00ED4B66"/>
    <w:rsid w:val="00ED5753"/>
    <w:rsid w:val="00ED5FE2"/>
    <w:rsid w:val="00ED6331"/>
    <w:rsid w:val="00ED769A"/>
    <w:rsid w:val="00EE0852"/>
    <w:rsid w:val="00EE0C9C"/>
    <w:rsid w:val="00EE147E"/>
    <w:rsid w:val="00EE1C6D"/>
    <w:rsid w:val="00EE1E0F"/>
    <w:rsid w:val="00EE26A9"/>
    <w:rsid w:val="00EE290F"/>
    <w:rsid w:val="00EE3248"/>
    <w:rsid w:val="00EE4BE5"/>
    <w:rsid w:val="00EE54EE"/>
    <w:rsid w:val="00EE6A97"/>
    <w:rsid w:val="00EF0494"/>
    <w:rsid w:val="00EF15A1"/>
    <w:rsid w:val="00EF1A84"/>
    <w:rsid w:val="00EF1B01"/>
    <w:rsid w:val="00EF2627"/>
    <w:rsid w:val="00EF2A21"/>
    <w:rsid w:val="00EF2A2E"/>
    <w:rsid w:val="00EF482D"/>
    <w:rsid w:val="00EF55F5"/>
    <w:rsid w:val="00EF59AA"/>
    <w:rsid w:val="00EF61A8"/>
    <w:rsid w:val="00EF666A"/>
    <w:rsid w:val="00F001DA"/>
    <w:rsid w:val="00F00999"/>
    <w:rsid w:val="00F00C84"/>
    <w:rsid w:val="00F012F5"/>
    <w:rsid w:val="00F01A75"/>
    <w:rsid w:val="00F02B13"/>
    <w:rsid w:val="00F03EAE"/>
    <w:rsid w:val="00F03FA5"/>
    <w:rsid w:val="00F06314"/>
    <w:rsid w:val="00F06370"/>
    <w:rsid w:val="00F07A35"/>
    <w:rsid w:val="00F07C35"/>
    <w:rsid w:val="00F07D9A"/>
    <w:rsid w:val="00F112F3"/>
    <w:rsid w:val="00F135CF"/>
    <w:rsid w:val="00F13B67"/>
    <w:rsid w:val="00F14B84"/>
    <w:rsid w:val="00F14D6C"/>
    <w:rsid w:val="00F151E3"/>
    <w:rsid w:val="00F15CE5"/>
    <w:rsid w:val="00F15DAD"/>
    <w:rsid w:val="00F1662B"/>
    <w:rsid w:val="00F1734A"/>
    <w:rsid w:val="00F17E70"/>
    <w:rsid w:val="00F17F64"/>
    <w:rsid w:val="00F220BF"/>
    <w:rsid w:val="00F22117"/>
    <w:rsid w:val="00F221C8"/>
    <w:rsid w:val="00F26959"/>
    <w:rsid w:val="00F273D2"/>
    <w:rsid w:val="00F30B0F"/>
    <w:rsid w:val="00F31203"/>
    <w:rsid w:val="00F31950"/>
    <w:rsid w:val="00F31A09"/>
    <w:rsid w:val="00F326B8"/>
    <w:rsid w:val="00F35176"/>
    <w:rsid w:val="00F36E3E"/>
    <w:rsid w:val="00F41072"/>
    <w:rsid w:val="00F41766"/>
    <w:rsid w:val="00F42F1E"/>
    <w:rsid w:val="00F44F04"/>
    <w:rsid w:val="00F46794"/>
    <w:rsid w:val="00F477C4"/>
    <w:rsid w:val="00F51354"/>
    <w:rsid w:val="00F519E0"/>
    <w:rsid w:val="00F51B9B"/>
    <w:rsid w:val="00F52D1D"/>
    <w:rsid w:val="00F537F6"/>
    <w:rsid w:val="00F53AED"/>
    <w:rsid w:val="00F5529C"/>
    <w:rsid w:val="00F557DA"/>
    <w:rsid w:val="00F571A4"/>
    <w:rsid w:val="00F57575"/>
    <w:rsid w:val="00F5D27B"/>
    <w:rsid w:val="00F61180"/>
    <w:rsid w:val="00F61661"/>
    <w:rsid w:val="00F64AFF"/>
    <w:rsid w:val="00F64D78"/>
    <w:rsid w:val="00F64FAF"/>
    <w:rsid w:val="00F65772"/>
    <w:rsid w:val="00F65A72"/>
    <w:rsid w:val="00F6632F"/>
    <w:rsid w:val="00F66E68"/>
    <w:rsid w:val="00F673F9"/>
    <w:rsid w:val="00F72758"/>
    <w:rsid w:val="00F73060"/>
    <w:rsid w:val="00F74193"/>
    <w:rsid w:val="00F74316"/>
    <w:rsid w:val="00F74558"/>
    <w:rsid w:val="00F74A3F"/>
    <w:rsid w:val="00F75625"/>
    <w:rsid w:val="00F75961"/>
    <w:rsid w:val="00F75F7D"/>
    <w:rsid w:val="00F76CEE"/>
    <w:rsid w:val="00F772AC"/>
    <w:rsid w:val="00F81942"/>
    <w:rsid w:val="00F825E1"/>
    <w:rsid w:val="00F83A92"/>
    <w:rsid w:val="00F83B16"/>
    <w:rsid w:val="00F848D6"/>
    <w:rsid w:val="00F84D54"/>
    <w:rsid w:val="00F85ECF"/>
    <w:rsid w:val="00F879F9"/>
    <w:rsid w:val="00F90EF3"/>
    <w:rsid w:val="00F9197C"/>
    <w:rsid w:val="00F93C82"/>
    <w:rsid w:val="00F93FCC"/>
    <w:rsid w:val="00F96391"/>
    <w:rsid w:val="00F96C58"/>
    <w:rsid w:val="00F96C82"/>
    <w:rsid w:val="00F9725B"/>
    <w:rsid w:val="00FA06C9"/>
    <w:rsid w:val="00FA1B26"/>
    <w:rsid w:val="00FA280A"/>
    <w:rsid w:val="00FA2F69"/>
    <w:rsid w:val="00FA3ABA"/>
    <w:rsid w:val="00FA45C4"/>
    <w:rsid w:val="00FA5213"/>
    <w:rsid w:val="00FA57CD"/>
    <w:rsid w:val="00FA6463"/>
    <w:rsid w:val="00FA6FC3"/>
    <w:rsid w:val="00FB0CEB"/>
    <w:rsid w:val="00FB0FB1"/>
    <w:rsid w:val="00FB2093"/>
    <w:rsid w:val="00FB244A"/>
    <w:rsid w:val="00FB2B54"/>
    <w:rsid w:val="00FB4ACD"/>
    <w:rsid w:val="00FB51ED"/>
    <w:rsid w:val="00FB55CC"/>
    <w:rsid w:val="00FB6013"/>
    <w:rsid w:val="00FC0D7F"/>
    <w:rsid w:val="00FC0EE4"/>
    <w:rsid w:val="00FC14A9"/>
    <w:rsid w:val="00FC24D6"/>
    <w:rsid w:val="00FC28CC"/>
    <w:rsid w:val="00FC37BF"/>
    <w:rsid w:val="00FC4DF6"/>
    <w:rsid w:val="00FC55BC"/>
    <w:rsid w:val="00FC58CA"/>
    <w:rsid w:val="00FC5F52"/>
    <w:rsid w:val="00FC728E"/>
    <w:rsid w:val="00FC77A0"/>
    <w:rsid w:val="00FC7CD9"/>
    <w:rsid w:val="00FD2A03"/>
    <w:rsid w:val="00FD3F70"/>
    <w:rsid w:val="00FD4661"/>
    <w:rsid w:val="00FD5547"/>
    <w:rsid w:val="00FE018A"/>
    <w:rsid w:val="00FE0B06"/>
    <w:rsid w:val="00FE137C"/>
    <w:rsid w:val="00FE24EF"/>
    <w:rsid w:val="00FE2B1F"/>
    <w:rsid w:val="00FE379B"/>
    <w:rsid w:val="00FE5772"/>
    <w:rsid w:val="00FE69AF"/>
    <w:rsid w:val="00FE75F7"/>
    <w:rsid w:val="00FF128C"/>
    <w:rsid w:val="00FF2A51"/>
    <w:rsid w:val="00FF2F93"/>
    <w:rsid w:val="00FF50EE"/>
    <w:rsid w:val="00FF6166"/>
    <w:rsid w:val="00FF7F3A"/>
    <w:rsid w:val="0138ECC0"/>
    <w:rsid w:val="015FCE37"/>
    <w:rsid w:val="01A7208C"/>
    <w:rsid w:val="020266BE"/>
    <w:rsid w:val="02211828"/>
    <w:rsid w:val="02B95BA3"/>
    <w:rsid w:val="03C61289"/>
    <w:rsid w:val="03CBF40D"/>
    <w:rsid w:val="04125BCC"/>
    <w:rsid w:val="046F0612"/>
    <w:rsid w:val="04780981"/>
    <w:rsid w:val="04BE8738"/>
    <w:rsid w:val="04DF4215"/>
    <w:rsid w:val="055693FD"/>
    <w:rsid w:val="05CD7CFE"/>
    <w:rsid w:val="05CEA140"/>
    <w:rsid w:val="05E94D92"/>
    <w:rsid w:val="0613333A"/>
    <w:rsid w:val="061ABEF6"/>
    <w:rsid w:val="071923E2"/>
    <w:rsid w:val="08224066"/>
    <w:rsid w:val="08823D05"/>
    <w:rsid w:val="08A59D2A"/>
    <w:rsid w:val="08C28049"/>
    <w:rsid w:val="090696A3"/>
    <w:rsid w:val="091099B7"/>
    <w:rsid w:val="09689EE5"/>
    <w:rsid w:val="096D9A46"/>
    <w:rsid w:val="09BE706C"/>
    <w:rsid w:val="09C1FA69"/>
    <w:rsid w:val="09C414BB"/>
    <w:rsid w:val="0A9E122C"/>
    <w:rsid w:val="0B0EEB5B"/>
    <w:rsid w:val="0B774EAD"/>
    <w:rsid w:val="0BB7B7A4"/>
    <w:rsid w:val="0BBA11BB"/>
    <w:rsid w:val="0C9427A3"/>
    <w:rsid w:val="0C983051"/>
    <w:rsid w:val="0D0D0C8F"/>
    <w:rsid w:val="0D47B266"/>
    <w:rsid w:val="0DF228D5"/>
    <w:rsid w:val="0DFA22B2"/>
    <w:rsid w:val="0E04AB29"/>
    <w:rsid w:val="0E0F0717"/>
    <w:rsid w:val="0E1284B1"/>
    <w:rsid w:val="0E68E32A"/>
    <w:rsid w:val="0E77FE06"/>
    <w:rsid w:val="0E879835"/>
    <w:rsid w:val="0EC28D95"/>
    <w:rsid w:val="0F2F8DD8"/>
    <w:rsid w:val="0F466E7B"/>
    <w:rsid w:val="0FA51EA6"/>
    <w:rsid w:val="0FA72487"/>
    <w:rsid w:val="1078E61C"/>
    <w:rsid w:val="11A2D7D4"/>
    <w:rsid w:val="11BB5D8B"/>
    <w:rsid w:val="121A6281"/>
    <w:rsid w:val="122B206C"/>
    <w:rsid w:val="12572100"/>
    <w:rsid w:val="128C39E6"/>
    <w:rsid w:val="12AB7935"/>
    <w:rsid w:val="12C3F383"/>
    <w:rsid w:val="12DB0033"/>
    <w:rsid w:val="13B16E6B"/>
    <w:rsid w:val="13B37A5C"/>
    <w:rsid w:val="13EB5297"/>
    <w:rsid w:val="1479FDE6"/>
    <w:rsid w:val="14DD2692"/>
    <w:rsid w:val="15014BBA"/>
    <w:rsid w:val="157C5A79"/>
    <w:rsid w:val="15C4F635"/>
    <w:rsid w:val="16422DAE"/>
    <w:rsid w:val="16513CD1"/>
    <w:rsid w:val="165A68C4"/>
    <w:rsid w:val="169FFF2C"/>
    <w:rsid w:val="16CE52C2"/>
    <w:rsid w:val="16F0C6C5"/>
    <w:rsid w:val="17805BD7"/>
    <w:rsid w:val="178D9F95"/>
    <w:rsid w:val="17CF946C"/>
    <w:rsid w:val="183A4C19"/>
    <w:rsid w:val="18450BC5"/>
    <w:rsid w:val="18485FE4"/>
    <w:rsid w:val="18C90887"/>
    <w:rsid w:val="18DC86EA"/>
    <w:rsid w:val="1903A2B0"/>
    <w:rsid w:val="19ECEBA0"/>
    <w:rsid w:val="19FE6925"/>
    <w:rsid w:val="1A06330A"/>
    <w:rsid w:val="1A343576"/>
    <w:rsid w:val="1AB4FCE0"/>
    <w:rsid w:val="1BC7E18E"/>
    <w:rsid w:val="1BDF80D0"/>
    <w:rsid w:val="1BF4AA80"/>
    <w:rsid w:val="1C6CF636"/>
    <w:rsid w:val="1C9BC345"/>
    <w:rsid w:val="1D50617C"/>
    <w:rsid w:val="1D693C57"/>
    <w:rsid w:val="1D9BB608"/>
    <w:rsid w:val="1DE92152"/>
    <w:rsid w:val="1E1693F4"/>
    <w:rsid w:val="1E199E99"/>
    <w:rsid w:val="1E58FBF7"/>
    <w:rsid w:val="1E6B9E2E"/>
    <w:rsid w:val="1E80F115"/>
    <w:rsid w:val="1EACC2C0"/>
    <w:rsid w:val="1F8AD429"/>
    <w:rsid w:val="1F99F56D"/>
    <w:rsid w:val="1FC55A68"/>
    <w:rsid w:val="2028B4ED"/>
    <w:rsid w:val="207CFD4E"/>
    <w:rsid w:val="20916146"/>
    <w:rsid w:val="20B5F1FE"/>
    <w:rsid w:val="20C10708"/>
    <w:rsid w:val="214C3D02"/>
    <w:rsid w:val="21A6CE34"/>
    <w:rsid w:val="21FFA7CA"/>
    <w:rsid w:val="224CD982"/>
    <w:rsid w:val="22733BB7"/>
    <w:rsid w:val="228C0E3A"/>
    <w:rsid w:val="2321078C"/>
    <w:rsid w:val="234AF6C1"/>
    <w:rsid w:val="23ABA48A"/>
    <w:rsid w:val="23AF4FA9"/>
    <w:rsid w:val="24749EB4"/>
    <w:rsid w:val="253CB0DF"/>
    <w:rsid w:val="263195CE"/>
    <w:rsid w:val="2644B537"/>
    <w:rsid w:val="26B73902"/>
    <w:rsid w:val="27179BE7"/>
    <w:rsid w:val="271EEE2F"/>
    <w:rsid w:val="2724D5A0"/>
    <w:rsid w:val="273903CE"/>
    <w:rsid w:val="279D6455"/>
    <w:rsid w:val="27BD8558"/>
    <w:rsid w:val="27DEA4CC"/>
    <w:rsid w:val="284382DC"/>
    <w:rsid w:val="28475CD3"/>
    <w:rsid w:val="2873C0D4"/>
    <w:rsid w:val="28B78357"/>
    <w:rsid w:val="29280AD2"/>
    <w:rsid w:val="292B12BD"/>
    <w:rsid w:val="293DD117"/>
    <w:rsid w:val="299787B5"/>
    <w:rsid w:val="2A5588A3"/>
    <w:rsid w:val="2AE52C72"/>
    <w:rsid w:val="2B0CAAA4"/>
    <w:rsid w:val="2B6C0466"/>
    <w:rsid w:val="2B7542AF"/>
    <w:rsid w:val="2B808C0B"/>
    <w:rsid w:val="2BAF6B28"/>
    <w:rsid w:val="2C0D7B2E"/>
    <w:rsid w:val="2C8D1062"/>
    <w:rsid w:val="2CB25112"/>
    <w:rsid w:val="2CDE4B7A"/>
    <w:rsid w:val="2CE2DDD8"/>
    <w:rsid w:val="2DDA18C3"/>
    <w:rsid w:val="2DF23C14"/>
    <w:rsid w:val="2DF80846"/>
    <w:rsid w:val="2E058180"/>
    <w:rsid w:val="2E1A9B9D"/>
    <w:rsid w:val="2E7F1939"/>
    <w:rsid w:val="2EA2EA9C"/>
    <w:rsid w:val="2F34CD53"/>
    <w:rsid w:val="2F41EAC4"/>
    <w:rsid w:val="2F745F5B"/>
    <w:rsid w:val="2F86D5A4"/>
    <w:rsid w:val="2F92B2BC"/>
    <w:rsid w:val="2FAA84EE"/>
    <w:rsid w:val="2FCAE522"/>
    <w:rsid w:val="30654F62"/>
    <w:rsid w:val="30B1F041"/>
    <w:rsid w:val="30DF82E0"/>
    <w:rsid w:val="311AB3EC"/>
    <w:rsid w:val="31E82130"/>
    <w:rsid w:val="31F229E0"/>
    <w:rsid w:val="3200D677"/>
    <w:rsid w:val="321EF968"/>
    <w:rsid w:val="321FCBC0"/>
    <w:rsid w:val="3259151D"/>
    <w:rsid w:val="326173A0"/>
    <w:rsid w:val="32E8AA44"/>
    <w:rsid w:val="32ED354C"/>
    <w:rsid w:val="334AE990"/>
    <w:rsid w:val="3354850D"/>
    <w:rsid w:val="33AAC00F"/>
    <w:rsid w:val="33AADF16"/>
    <w:rsid w:val="33B140FD"/>
    <w:rsid w:val="33EB16C7"/>
    <w:rsid w:val="34245409"/>
    <w:rsid w:val="34462E68"/>
    <w:rsid w:val="3558C9DE"/>
    <w:rsid w:val="35A8E7F5"/>
    <w:rsid w:val="3681F9B7"/>
    <w:rsid w:val="37041D88"/>
    <w:rsid w:val="370E650A"/>
    <w:rsid w:val="371189B0"/>
    <w:rsid w:val="3852C1C5"/>
    <w:rsid w:val="386EF380"/>
    <w:rsid w:val="38AA4D10"/>
    <w:rsid w:val="38E3944A"/>
    <w:rsid w:val="390B0925"/>
    <w:rsid w:val="3951798F"/>
    <w:rsid w:val="398E2E98"/>
    <w:rsid w:val="39F495F1"/>
    <w:rsid w:val="3AA0DE9F"/>
    <w:rsid w:val="3AE78EB2"/>
    <w:rsid w:val="3B613582"/>
    <w:rsid w:val="3B844EDA"/>
    <w:rsid w:val="3B88A4D5"/>
    <w:rsid w:val="3BB0DDAF"/>
    <w:rsid w:val="3BB6400C"/>
    <w:rsid w:val="3BD46156"/>
    <w:rsid w:val="3C5A26D6"/>
    <w:rsid w:val="3CEFD03A"/>
    <w:rsid w:val="3DB79215"/>
    <w:rsid w:val="3DFF98F5"/>
    <w:rsid w:val="3E03B20E"/>
    <w:rsid w:val="3E3AC4E7"/>
    <w:rsid w:val="3E3C1AC8"/>
    <w:rsid w:val="3EFC6FA4"/>
    <w:rsid w:val="3F62C6D7"/>
    <w:rsid w:val="3F7AC160"/>
    <w:rsid w:val="3FC64F28"/>
    <w:rsid w:val="4067E35D"/>
    <w:rsid w:val="408CA953"/>
    <w:rsid w:val="40EE6D68"/>
    <w:rsid w:val="41B9F24D"/>
    <w:rsid w:val="41DEE9CC"/>
    <w:rsid w:val="4204F3E1"/>
    <w:rsid w:val="4214B009"/>
    <w:rsid w:val="425AD43C"/>
    <w:rsid w:val="42E60898"/>
    <w:rsid w:val="42F161DD"/>
    <w:rsid w:val="42FDDA12"/>
    <w:rsid w:val="431800D4"/>
    <w:rsid w:val="4318E3B6"/>
    <w:rsid w:val="436A9BA1"/>
    <w:rsid w:val="448EBEBE"/>
    <w:rsid w:val="4491D7D7"/>
    <w:rsid w:val="450FF135"/>
    <w:rsid w:val="460FACAE"/>
    <w:rsid w:val="4648FC7B"/>
    <w:rsid w:val="465A09D6"/>
    <w:rsid w:val="4688BDE3"/>
    <w:rsid w:val="468DC907"/>
    <w:rsid w:val="469B3359"/>
    <w:rsid w:val="46B0BE9C"/>
    <w:rsid w:val="46B92A65"/>
    <w:rsid w:val="470665DD"/>
    <w:rsid w:val="4709B96B"/>
    <w:rsid w:val="47BAEFD6"/>
    <w:rsid w:val="485F791D"/>
    <w:rsid w:val="48A7CC5A"/>
    <w:rsid w:val="4954D29E"/>
    <w:rsid w:val="4A0A71E6"/>
    <w:rsid w:val="4A41E41F"/>
    <w:rsid w:val="4A7363D0"/>
    <w:rsid w:val="4B343ECE"/>
    <w:rsid w:val="4B4C4634"/>
    <w:rsid w:val="4B58DE9C"/>
    <w:rsid w:val="4B7613F1"/>
    <w:rsid w:val="4B8E9A0F"/>
    <w:rsid w:val="4C2E3DA4"/>
    <w:rsid w:val="4CEBE30B"/>
    <w:rsid w:val="4D0034B7"/>
    <w:rsid w:val="4DD39AB0"/>
    <w:rsid w:val="4E57029D"/>
    <w:rsid w:val="4EBA9257"/>
    <w:rsid w:val="4EFAACF2"/>
    <w:rsid w:val="4F8BEFDC"/>
    <w:rsid w:val="4FB0305E"/>
    <w:rsid w:val="4FC83C3A"/>
    <w:rsid w:val="4FF9E221"/>
    <w:rsid w:val="50590707"/>
    <w:rsid w:val="50674E25"/>
    <w:rsid w:val="50849411"/>
    <w:rsid w:val="50B6CA51"/>
    <w:rsid w:val="50E632F5"/>
    <w:rsid w:val="51307B24"/>
    <w:rsid w:val="52484325"/>
    <w:rsid w:val="5271E5BC"/>
    <w:rsid w:val="528494CE"/>
    <w:rsid w:val="529B7927"/>
    <w:rsid w:val="52D8D378"/>
    <w:rsid w:val="52ED2246"/>
    <w:rsid w:val="52F1579C"/>
    <w:rsid w:val="52F220FE"/>
    <w:rsid w:val="53006ACB"/>
    <w:rsid w:val="530C4F97"/>
    <w:rsid w:val="5311864F"/>
    <w:rsid w:val="533CA27B"/>
    <w:rsid w:val="53CC4521"/>
    <w:rsid w:val="53FF09D6"/>
    <w:rsid w:val="542A2113"/>
    <w:rsid w:val="5449D521"/>
    <w:rsid w:val="548525D4"/>
    <w:rsid w:val="548D93B7"/>
    <w:rsid w:val="5490A8E8"/>
    <w:rsid w:val="54A3E5D1"/>
    <w:rsid w:val="54D9842F"/>
    <w:rsid w:val="54DC64E6"/>
    <w:rsid w:val="5501C59A"/>
    <w:rsid w:val="552AC644"/>
    <w:rsid w:val="55D1C1E5"/>
    <w:rsid w:val="55F32859"/>
    <w:rsid w:val="56622E2E"/>
    <w:rsid w:val="56629FDF"/>
    <w:rsid w:val="56A5FF79"/>
    <w:rsid w:val="56AED017"/>
    <w:rsid w:val="5710AE88"/>
    <w:rsid w:val="57993C82"/>
    <w:rsid w:val="57AC6499"/>
    <w:rsid w:val="57CCC888"/>
    <w:rsid w:val="595AD22E"/>
    <w:rsid w:val="5996565C"/>
    <w:rsid w:val="59F3FFCA"/>
    <w:rsid w:val="5AC7E798"/>
    <w:rsid w:val="5AD79885"/>
    <w:rsid w:val="5AF0F4CB"/>
    <w:rsid w:val="5B8F470A"/>
    <w:rsid w:val="5BB8642E"/>
    <w:rsid w:val="5BBB6441"/>
    <w:rsid w:val="5BE38479"/>
    <w:rsid w:val="5C229FC0"/>
    <w:rsid w:val="5C430807"/>
    <w:rsid w:val="5CB8D171"/>
    <w:rsid w:val="5CBAD6D8"/>
    <w:rsid w:val="5CCC3582"/>
    <w:rsid w:val="5CE79E16"/>
    <w:rsid w:val="5DB64B5A"/>
    <w:rsid w:val="5DE58AC4"/>
    <w:rsid w:val="5DFC51AB"/>
    <w:rsid w:val="5DFC71C6"/>
    <w:rsid w:val="5E291E8E"/>
    <w:rsid w:val="5E967D16"/>
    <w:rsid w:val="5EC16D8D"/>
    <w:rsid w:val="5ED174C2"/>
    <w:rsid w:val="5F2A0FB6"/>
    <w:rsid w:val="5F2EBFCC"/>
    <w:rsid w:val="5F4AE81C"/>
    <w:rsid w:val="609C0CEF"/>
    <w:rsid w:val="60E251B8"/>
    <w:rsid w:val="6137ADC3"/>
    <w:rsid w:val="61B0952F"/>
    <w:rsid w:val="6215A788"/>
    <w:rsid w:val="62172EF8"/>
    <w:rsid w:val="6277F15D"/>
    <w:rsid w:val="62A5EE16"/>
    <w:rsid w:val="62D4A5B5"/>
    <w:rsid w:val="632EB0F8"/>
    <w:rsid w:val="63672964"/>
    <w:rsid w:val="6370203D"/>
    <w:rsid w:val="63C56006"/>
    <w:rsid w:val="63E12FD8"/>
    <w:rsid w:val="63E961F5"/>
    <w:rsid w:val="6409F1CE"/>
    <w:rsid w:val="6477DDAF"/>
    <w:rsid w:val="65835B37"/>
    <w:rsid w:val="6619F49A"/>
    <w:rsid w:val="667FF47C"/>
    <w:rsid w:val="66BAD89E"/>
    <w:rsid w:val="66E89A83"/>
    <w:rsid w:val="682CBB59"/>
    <w:rsid w:val="687A4DAA"/>
    <w:rsid w:val="688DA916"/>
    <w:rsid w:val="689AEFDF"/>
    <w:rsid w:val="68B647EB"/>
    <w:rsid w:val="68BEFF22"/>
    <w:rsid w:val="68E66559"/>
    <w:rsid w:val="69774562"/>
    <w:rsid w:val="6A6CC773"/>
    <w:rsid w:val="6B0B7471"/>
    <w:rsid w:val="6C878867"/>
    <w:rsid w:val="6C9C3DEC"/>
    <w:rsid w:val="6CB55479"/>
    <w:rsid w:val="6CC1899D"/>
    <w:rsid w:val="6CD4A045"/>
    <w:rsid w:val="6CE8A43F"/>
    <w:rsid w:val="6D62D63C"/>
    <w:rsid w:val="6D9D6DDF"/>
    <w:rsid w:val="6DA9BE33"/>
    <w:rsid w:val="6DFC17A9"/>
    <w:rsid w:val="6E022065"/>
    <w:rsid w:val="6E348880"/>
    <w:rsid w:val="6F33DCCF"/>
    <w:rsid w:val="70A7D55C"/>
    <w:rsid w:val="71061BDE"/>
    <w:rsid w:val="716422FD"/>
    <w:rsid w:val="718FC17A"/>
    <w:rsid w:val="719A3A12"/>
    <w:rsid w:val="719D8871"/>
    <w:rsid w:val="7218B9A2"/>
    <w:rsid w:val="732789E3"/>
    <w:rsid w:val="73651B1A"/>
    <w:rsid w:val="73901985"/>
    <w:rsid w:val="73B5A4C8"/>
    <w:rsid w:val="73F14AB1"/>
    <w:rsid w:val="7402F4CC"/>
    <w:rsid w:val="74868657"/>
    <w:rsid w:val="74A6C88A"/>
    <w:rsid w:val="750BFB0D"/>
    <w:rsid w:val="757BAE35"/>
    <w:rsid w:val="75B71F79"/>
    <w:rsid w:val="75B9EDE4"/>
    <w:rsid w:val="76E67E8A"/>
    <w:rsid w:val="7713656C"/>
    <w:rsid w:val="779BB537"/>
    <w:rsid w:val="77B92D06"/>
    <w:rsid w:val="78C128FC"/>
    <w:rsid w:val="78D21961"/>
    <w:rsid w:val="792FC13A"/>
    <w:rsid w:val="797DDC75"/>
    <w:rsid w:val="79B40941"/>
    <w:rsid w:val="79C9E3BE"/>
    <w:rsid w:val="7A8B128C"/>
    <w:rsid w:val="7AAF41FB"/>
    <w:rsid w:val="7B223469"/>
    <w:rsid w:val="7B3010D5"/>
    <w:rsid w:val="7B6FF36A"/>
    <w:rsid w:val="7BFCC7E0"/>
    <w:rsid w:val="7C8DFDCB"/>
    <w:rsid w:val="7CF00DE7"/>
    <w:rsid w:val="7D0CC9C1"/>
    <w:rsid w:val="7D63193F"/>
    <w:rsid w:val="7D653BD0"/>
    <w:rsid w:val="7E011E13"/>
    <w:rsid w:val="7EB7C130"/>
    <w:rsid w:val="7F633E98"/>
    <w:rsid w:val="7F7B3889"/>
    <w:rsid w:val="7F7CDB45"/>
    <w:rsid w:val="7F905B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4F750"/>
  <w15:chartTrackingRefBased/>
  <w15:docId w15:val="{118CAD94-FA33-45A4-AFF9-727FC7CB5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4F9"/>
    <w:pPr>
      <w:spacing w:after="120" w:line="276" w:lineRule="auto"/>
    </w:pPr>
    <w:rPr>
      <w:rFonts w:asciiTheme="minorHAnsi" w:eastAsia="Times New Roman" w:hAnsiTheme="minorHAnsi" w:cstheme="minorHAnsi"/>
      <w:spacing w:val="4"/>
      <w:lang w:eastAsia="en-AU"/>
    </w:rPr>
  </w:style>
  <w:style w:type="paragraph" w:styleId="Heading1">
    <w:name w:val="heading 1"/>
    <w:basedOn w:val="Normal"/>
    <w:next w:val="Normal"/>
    <w:link w:val="Heading1Char"/>
    <w:uiPriority w:val="9"/>
    <w:qFormat/>
    <w:rsid w:val="00786622"/>
    <w:pPr>
      <w:keepNext/>
      <w:keepLines/>
      <w:spacing w:before="240" w:after="0"/>
      <w:outlineLvl w:val="0"/>
    </w:pPr>
    <w:rPr>
      <w:rFonts w:ascii="Calibri" w:eastAsiaTheme="majorEastAsia" w:hAnsi="Calibr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63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F6354"/>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7B4178"/>
    <w:pPr>
      <w:outlineLvl w:val="3"/>
    </w:pPr>
    <w:rPr>
      <w:color w:val="2F5496" w:themeColor="accent1" w:themeShade="BF"/>
      <w:sz w:val="28"/>
    </w:rPr>
  </w:style>
  <w:style w:type="paragraph" w:styleId="Heading5">
    <w:name w:val="heading 5"/>
    <w:basedOn w:val="Normal"/>
    <w:next w:val="Normal"/>
    <w:link w:val="Heading5Char"/>
    <w:uiPriority w:val="9"/>
    <w:unhideWhenUsed/>
    <w:qFormat/>
    <w:rsid w:val="00732135"/>
    <w:pPr>
      <w:spacing w:before="240"/>
      <w:outlineLvl w:val="4"/>
    </w:pPr>
    <w:rPr>
      <w:i/>
      <w:iCs/>
      <w:u w:val="single"/>
    </w:rPr>
  </w:style>
  <w:style w:type="paragraph" w:styleId="Heading6">
    <w:name w:val="heading 6"/>
    <w:basedOn w:val="Normal"/>
    <w:next w:val="Normal"/>
    <w:link w:val="Heading6Char"/>
    <w:uiPriority w:val="9"/>
    <w:unhideWhenUsed/>
    <w:qFormat/>
    <w:rsid w:val="007B4178"/>
    <w:pPr>
      <w:spacing w:before="120"/>
      <w:outlineLvl w:val="5"/>
    </w:pPr>
    <w:rPr>
      <w:b/>
      <w:bCs/>
    </w:rPr>
  </w:style>
  <w:style w:type="paragraph" w:styleId="Heading7">
    <w:name w:val="heading 7"/>
    <w:basedOn w:val="Normal"/>
    <w:next w:val="Normal"/>
    <w:link w:val="Heading7Char"/>
    <w:uiPriority w:val="9"/>
    <w:unhideWhenUsed/>
    <w:qFormat/>
    <w:rsid w:val="0020354A"/>
    <w:pPr>
      <w:spacing w:before="120"/>
      <w:outlineLvl w:val="6"/>
    </w:pPr>
    <w:rPr>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622"/>
    <w:rPr>
      <w:rFonts w:ascii="Calibri" w:eastAsiaTheme="majorEastAsia" w:hAnsi="Calibri" w:cstheme="majorBidi"/>
      <w:color w:val="2F5496" w:themeColor="accent1" w:themeShade="BF"/>
      <w:sz w:val="32"/>
      <w:szCs w:val="32"/>
    </w:rPr>
  </w:style>
  <w:style w:type="paragraph" w:styleId="Title">
    <w:name w:val="Title"/>
    <w:basedOn w:val="Normal"/>
    <w:next w:val="Normal"/>
    <w:link w:val="TitleChar"/>
    <w:uiPriority w:val="10"/>
    <w:qFormat/>
    <w:rsid w:val="0078662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62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86622"/>
    <w:rPr>
      <w:color w:val="0563C1" w:themeColor="hyperlink"/>
      <w:u w:val="single"/>
    </w:rPr>
  </w:style>
  <w:style w:type="table" w:styleId="TableGrid">
    <w:name w:val="Table Grid"/>
    <w:basedOn w:val="TableNormal"/>
    <w:uiPriority w:val="39"/>
    <w:rsid w:val="00786622"/>
    <w:pPr>
      <w:spacing w:after="0" w:line="240" w:lineRule="auto"/>
    </w:pPr>
    <w:rPr>
      <w:rFonts w:eastAsia="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Spacing"/>
    <w:link w:val="ListParagraphChar"/>
    <w:uiPriority w:val="34"/>
    <w:qFormat/>
    <w:rsid w:val="0050767E"/>
    <w:pPr>
      <w:numPr>
        <w:numId w:val="2"/>
      </w:numPr>
    </w:pPr>
    <w:rPr>
      <w:rFonts w:asciiTheme="minorHAnsi" w:hAnsiTheme="minorHAnsi" w:cstheme="minorHAnsi"/>
    </w:rPr>
  </w:style>
  <w:style w:type="character" w:customStyle="1" w:styleId="ListParagraphChar">
    <w:name w:val="List Paragraph Char"/>
    <w:basedOn w:val="DefaultParagraphFont"/>
    <w:link w:val="ListParagraph"/>
    <w:uiPriority w:val="34"/>
    <w:qFormat/>
    <w:locked/>
    <w:rsid w:val="0050767E"/>
    <w:rPr>
      <w:rFonts w:asciiTheme="minorHAnsi" w:eastAsia="Times New Roman" w:hAnsiTheme="minorHAnsi" w:cstheme="minorHAnsi"/>
      <w:spacing w:val="4"/>
      <w:lang w:eastAsia="en-AU"/>
    </w:rPr>
  </w:style>
  <w:style w:type="paragraph" w:styleId="TOCHeading">
    <w:name w:val="TOC Heading"/>
    <w:basedOn w:val="Heading1"/>
    <w:next w:val="Normal"/>
    <w:uiPriority w:val="39"/>
    <w:unhideWhenUsed/>
    <w:qFormat/>
    <w:rsid w:val="00786622"/>
    <w:pPr>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6004F9"/>
    <w:pPr>
      <w:tabs>
        <w:tab w:val="right" w:leader="dot" w:pos="9016"/>
      </w:tabs>
      <w:spacing w:after="100"/>
    </w:pPr>
    <w:rPr>
      <w:noProof/>
      <w:sz w:val="22"/>
    </w:rPr>
  </w:style>
  <w:style w:type="paragraph" w:styleId="Footer">
    <w:name w:val="footer"/>
    <w:basedOn w:val="Normal"/>
    <w:link w:val="FooterChar"/>
    <w:uiPriority w:val="99"/>
    <w:unhideWhenUsed/>
    <w:rsid w:val="00786622"/>
    <w:pPr>
      <w:tabs>
        <w:tab w:val="center" w:pos="4513"/>
        <w:tab w:val="right" w:pos="9026"/>
      </w:tabs>
      <w:spacing w:after="0"/>
    </w:pPr>
  </w:style>
  <w:style w:type="character" w:customStyle="1" w:styleId="FooterChar">
    <w:name w:val="Footer Char"/>
    <w:basedOn w:val="DefaultParagraphFont"/>
    <w:link w:val="Footer"/>
    <w:uiPriority w:val="99"/>
    <w:rsid w:val="00786622"/>
    <w:rPr>
      <w:rFonts w:asciiTheme="minorHAnsi" w:hAnsiTheme="minorHAnsi" w:cstheme="minorBidi"/>
      <w:sz w:val="22"/>
      <w:szCs w:val="22"/>
    </w:rPr>
  </w:style>
  <w:style w:type="paragraph" w:styleId="Header">
    <w:name w:val="header"/>
    <w:basedOn w:val="Normal"/>
    <w:link w:val="HeaderChar"/>
    <w:uiPriority w:val="99"/>
    <w:unhideWhenUsed/>
    <w:rsid w:val="00786622"/>
    <w:pPr>
      <w:tabs>
        <w:tab w:val="center" w:pos="4513"/>
        <w:tab w:val="right" w:pos="9026"/>
      </w:tabs>
      <w:spacing w:after="0"/>
    </w:pPr>
    <w:rPr>
      <w:rFonts w:ascii="Times New Roman" w:hAnsi="Times New Roman" w:cs="Times New Roman"/>
    </w:rPr>
  </w:style>
  <w:style w:type="character" w:customStyle="1" w:styleId="HeaderChar">
    <w:name w:val="Header Char"/>
    <w:basedOn w:val="DefaultParagraphFont"/>
    <w:link w:val="Header"/>
    <w:uiPriority w:val="99"/>
    <w:rsid w:val="00786622"/>
  </w:style>
  <w:style w:type="paragraph" w:styleId="BodyText">
    <w:name w:val="Body Text"/>
    <w:link w:val="BodyTextChar"/>
    <w:rsid w:val="00786622"/>
    <w:pPr>
      <w:spacing w:after="120" w:line="276" w:lineRule="auto"/>
    </w:pPr>
    <w:rPr>
      <w:rFonts w:ascii="Calibri" w:eastAsia="Calibri" w:hAnsi="Calibri" w:cs="Calibri"/>
      <w:sz w:val="22"/>
      <w:szCs w:val="20"/>
    </w:rPr>
  </w:style>
  <w:style w:type="character" w:customStyle="1" w:styleId="BodyTextChar">
    <w:name w:val="Body Text Char"/>
    <w:basedOn w:val="DefaultParagraphFont"/>
    <w:link w:val="BodyText"/>
    <w:rsid w:val="00786622"/>
    <w:rPr>
      <w:rFonts w:ascii="Calibri" w:eastAsia="Calibri" w:hAnsi="Calibri" w:cs="Calibri"/>
      <w:sz w:val="22"/>
      <w:szCs w:val="20"/>
    </w:rPr>
  </w:style>
  <w:style w:type="paragraph" w:customStyle="1" w:styleId="Default">
    <w:name w:val="Default"/>
    <w:link w:val="DefaultChar"/>
    <w:rsid w:val="00786622"/>
    <w:pPr>
      <w:autoSpaceDE w:val="0"/>
      <w:autoSpaceDN w:val="0"/>
      <w:adjustRightInd w:val="0"/>
      <w:spacing w:after="0" w:line="240" w:lineRule="auto"/>
    </w:pPr>
    <w:rPr>
      <w:rFonts w:ascii="Segoe UI" w:hAnsi="Segoe UI" w:cs="Segoe UI"/>
      <w:color w:val="000000"/>
    </w:rPr>
  </w:style>
  <w:style w:type="character" w:styleId="Emphasis">
    <w:name w:val="Emphasis"/>
    <w:uiPriority w:val="20"/>
    <w:qFormat/>
    <w:rsid w:val="0050767E"/>
    <w:rPr>
      <w:u w:val="single"/>
    </w:rPr>
  </w:style>
  <w:style w:type="character" w:styleId="CommentReference">
    <w:name w:val="annotation reference"/>
    <w:basedOn w:val="DefaultParagraphFont"/>
    <w:uiPriority w:val="99"/>
    <w:semiHidden/>
    <w:unhideWhenUsed/>
    <w:rsid w:val="00D93DA1"/>
    <w:rPr>
      <w:sz w:val="16"/>
      <w:szCs w:val="16"/>
    </w:rPr>
  </w:style>
  <w:style w:type="paragraph" w:styleId="CommentText">
    <w:name w:val="annotation text"/>
    <w:basedOn w:val="Normal"/>
    <w:link w:val="CommentTextChar"/>
    <w:uiPriority w:val="99"/>
    <w:unhideWhenUsed/>
    <w:rsid w:val="00D93DA1"/>
    <w:rPr>
      <w:sz w:val="20"/>
      <w:szCs w:val="20"/>
    </w:rPr>
  </w:style>
  <w:style w:type="character" w:customStyle="1" w:styleId="CommentTextChar">
    <w:name w:val="Comment Text Char"/>
    <w:basedOn w:val="DefaultParagraphFont"/>
    <w:link w:val="CommentText"/>
    <w:uiPriority w:val="99"/>
    <w:rsid w:val="00D93DA1"/>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D93DA1"/>
    <w:rPr>
      <w:b/>
      <w:bCs/>
    </w:rPr>
  </w:style>
  <w:style w:type="character" w:customStyle="1" w:styleId="CommentSubjectChar">
    <w:name w:val="Comment Subject Char"/>
    <w:basedOn w:val="CommentTextChar"/>
    <w:link w:val="CommentSubject"/>
    <w:uiPriority w:val="99"/>
    <w:semiHidden/>
    <w:rsid w:val="00D93DA1"/>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D93DA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3DA1"/>
    <w:rPr>
      <w:rFonts w:ascii="Segoe UI" w:hAnsi="Segoe UI" w:cs="Segoe UI"/>
      <w:sz w:val="18"/>
      <w:szCs w:val="18"/>
    </w:rPr>
  </w:style>
  <w:style w:type="paragraph" w:styleId="NoSpacing">
    <w:name w:val="No Spacing"/>
    <w:basedOn w:val="Normal"/>
    <w:uiPriority w:val="1"/>
    <w:qFormat/>
    <w:rsid w:val="009A2352"/>
    <w:pPr>
      <w:spacing w:after="0"/>
    </w:pPr>
    <w:rPr>
      <w:rFonts w:ascii="Calibri" w:hAnsi="Calibri" w:cs="Calibri"/>
    </w:rPr>
  </w:style>
  <w:style w:type="paragraph" w:styleId="FootnoteText">
    <w:name w:val="footnote text"/>
    <w:basedOn w:val="Normal"/>
    <w:link w:val="FootnoteTextChar"/>
    <w:uiPriority w:val="99"/>
    <w:unhideWhenUsed/>
    <w:rsid w:val="00AF2A7C"/>
    <w:pPr>
      <w:spacing w:after="0"/>
    </w:pPr>
    <w:rPr>
      <w:sz w:val="20"/>
      <w:szCs w:val="20"/>
    </w:rPr>
  </w:style>
  <w:style w:type="character" w:customStyle="1" w:styleId="FootnoteTextChar">
    <w:name w:val="Footnote Text Char"/>
    <w:basedOn w:val="DefaultParagraphFont"/>
    <w:link w:val="FootnoteText"/>
    <w:uiPriority w:val="99"/>
    <w:rsid w:val="00AF2A7C"/>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AF2A7C"/>
    <w:rPr>
      <w:vertAlign w:val="superscript"/>
    </w:rPr>
  </w:style>
  <w:style w:type="character" w:customStyle="1" w:styleId="Heading2Char">
    <w:name w:val="Heading 2 Char"/>
    <w:basedOn w:val="DefaultParagraphFont"/>
    <w:link w:val="Heading2"/>
    <w:uiPriority w:val="9"/>
    <w:rsid w:val="002F635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F6354"/>
    <w:rPr>
      <w:rFonts w:asciiTheme="majorHAnsi" w:eastAsiaTheme="majorEastAsia" w:hAnsiTheme="majorHAnsi" w:cstheme="majorBidi"/>
      <w:color w:val="1F3763" w:themeColor="accent1" w:themeShade="7F"/>
    </w:rPr>
  </w:style>
  <w:style w:type="paragraph" w:styleId="TOC2">
    <w:name w:val="toc 2"/>
    <w:basedOn w:val="Normal"/>
    <w:next w:val="Normal"/>
    <w:autoRedefine/>
    <w:uiPriority w:val="39"/>
    <w:unhideWhenUsed/>
    <w:rsid w:val="00582215"/>
    <w:pPr>
      <w:tabs>
        <w:tab w:val="right" w:leader="dot" w:pos="9015"/>
      </w:tabs>
      <w:spacing w:after="100"/>
    </w:pPr>
    <w:rPr>
      <w:sz w:val="22"/>
    </w:rPr>
  </w:style>
  <w:style w:type="paragraph" w:styleId="TOC3">
    <w:name w:val="toc 3"/>
    <w:basedOn w:val="Normal"/>
    <w:next w:val="Normal"/>
    <w:autoRedefine/>
    <w:uiPriority w:val="39"/>
    <w:unhideWhenUsed/>
    <w:rsid w:val="006004F9"/>
    <w:pPr>
      <w:tabs>
        <w:tab w:val="right" w:leader="dot" w:pos="9016"/>
      </w:tabs>
      <w:spacing w:after="100"/>
      <w:ind w:left="440"/>
    </w:pPr>
    <w:rPr>
      <w:sz w:val="22"/>
    </w:rPr>
  </w:style>
  <w:style w:type="character" w:styleId="FollowedHyperlink">
    <w:name w:val="FollowedHyperlink"/>
    <w:basedOn w:val="DefaultParagraphFont"/>
    <w:uiPriority w:val="99"/>
    <w:semiHidden/>
    <w:unhideWhenUsed/>
    <w:rsid w:val="00B4324A"/>
    <w:rPr>
      <w:color w:val="954F72" w:themeColor="followedHyperlink"/>
      <w:u w:val="single"/>
    </w:rPr>
  </w:style>
  <w:style w:type="table" w:styleId="GridTable1Light-Accent1">
    <w:name w:val="Grid Table 1 Light Accent 1"/>
    <w:basedOn w:val="TableNormal"/>
    <w:uiPriority w:val="46"/>
    <w:rsid w:val="008D0CF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8D0CF9"/>
    <w:pPr>
      <w:spacing w:after="0" w:line="240" w:lineRule="auto"/>
    </w:pPr>
    <w:rPr>
      <w:rFonts w:asciiTheme="minorHAnsi" w:hAnsiTheme="minorHAnsi" w:cstheme="minorBidi"/>
      <w:sz w:val="22"/>
      <w:szCs w:val="22"/>
    </w:rPr>
  </w:style>
  <w:style w:type="character" w:customStyle="1" w:styleId="DefaultChar">
    <w:name w:val="Default Char"/>
    <w:basedOn w:val="DefaultParagraphFont"/>
    <w:link w:val="Default"/>
    <w:uiPriority w:val="99"/>
    <w:locked/>
    <w:rsid w:val="00F825E1"/>
    <w:rPr>
      <w:rFonts w:ascii="Segoe UI" w:hAnsi="Segoe UI" w:cs="Segoe UI"/>
      <w:color w:val="000000"/>
    </w:rPr>
  </w:style>
  <w:style w:type="paragraph" w:styleId="NormalWeb">
    <w:name w:val="Normal (Web)"/>
    <w:basedOn w:val="Normal"/>
    <w:uiPriority w:val="99"/>
    <w:unhideWhenUsed/>
    <w:rsid w:val="002B1A55"/>
    <w:pPr>
      <w:spacing w:before="100" w:beforeAutospacing="1" w:after="100" w:afterAutospacing="1"/>
    </w:pPr>
    <w:rPr>
      <w:rFonts w:ascii="Times New Roman" w:hAnsi="Times New Roman" w:cs="Times New Roman"/>
    </w:rPr>
  </w:style>
  <w:style w:type="character" w:customStyle="1" w:styleId="cf01">
    <w:name w:val="cf01"/>
    <w:basedOn w:val="DefaultParagraphFont"/>
    <w:rsid w:val="00991E93"/>
    <w:rPr>
      <w:rFonts w:ascii="Segoe UI" w:hAnsi="Segoe UI" w:cs="Segoe UI" w:hint="default"/>
      <w:sz w:val="18"/>
      <w:szCs w:val="18"/>
    </w:rPr>
  </w:style>
  <w:style w:type="paragraph" w:customStyle="1" w:styleId="TableNText">
    <w:name w:val="Table N Text"/>
    <w:basedOn w:val="Normal"/>
    <w:uiPriority w:val="2"/>
    <w:qFormat/>
    <w:rsid w:val="00F73060"/>
    <w:pPr>
      <w:spacing w:before="60" w:after="60" w:line="256" w:lineRule="auto"/>
    </w:pPr>
    <w:rPr>
      <w:rFonts w:ascii="Segoe UI" w:hAnsi="Segoe UI"/>
      <w:sz w:val="17"/>
    </w:rPr>
  </w:style>
  <w:style w:type="character" w:styleId="Strong">
    <w:name w:val="Strong"/>
    <w:uiPriority w:val="22"/>
    <w:qFormat/>
    <w:rsid w:val="0026113F"/>
    <w:rPr>
      <w:color w:val="2F5496" w:themeColor="accent1" w:themeShade="BF"/>
      <w:sz w:val="28"/>
      <w:szCs w:val="28"/>
    </w:rPr>
  </w:style>
  <w:style w:type="character" w:customStyle="1" w:styleId="ui-provider">
    <w:name w:val="ui-provider"/>
    <w:basedOn w:val="DefaultParagraphFont"/>
    <w:rsid w:val="00337CFB"/>
  </w:style>
  <w:style w:type="character" w:customStyle="1" w:styleId="Heading4Char">
    <w:name w:val="Heading 4 Char"/>
    <w:basedOn w:val="DefaultParagraphFont"/>
    <w:link w:val="Heading4"/>
    <w:uiPriority w:val="9"/>
    <w:rsid w:val="007B4178"/>
    <w:rPr>
      <w:rFonts w:asciiTheme="minorHAnsi" w:hAnsiTheme="minorHAnsi" w:cstheme="minorBidi"/>
      <w:color w:val="2F5496" w:themeColor="accent1" w:themeShade="BF"/>
      <w:sz w:val="28"/>
      <w:szCs w:val="22"/>
    </w:rPr>
  </w:style>
  <w:style w:type="character" w:customStyle="1" w:styleId="Heading5Char">
    <w:name w:val="Heading 5 Char"/>
    <w:basedOn w:val="DefaultParagraphFont"/>
    <w:link w:val="Heading5"/>
    <w:uiPriority w:val="9"/>
    <w:rsid w:val="00732135"/>
    <w:rPr>
      <w:rFonts w:asciiTheme="minorHAnsi" w:hAnsiTheme="minorHAnsi" w:cstheme="minorBidi"/>
      <w:i/>
      <w:iCs/>
      <w:sz w:val="22"/>
      <w:szCs w:val="22"/>
      <w:u w:val="single"/>
    </w:rPr>
  </w:style>
  <w:style w:type="character" w:customStyle="1" w:styleId="Heading6Char">
    <w:name w:val="Heading 6 Char"/>
    <w:basedOn w:val="DefaultParagraphFont"/>
    <w:link w:val="Heading6"/>
    <w:uiPriority w:val="9"/>
    <w:rsid w:val="007B4178"/>
    <w:rPr>
      <w:rFonts w:asciiTheme="minorHAnsi" w:hAnsiTheme="minorHAnsi" w:cstheme="minorBidi"/>
      <w:b/>
      <w:bCs/>
      <w:sz w:val="22"/>
      <w:szCs w:val="22"/>
    </w:rPr>
  </w:style>
  <w:style w:type="character" w:customStyle="1" w:styleId="Heading7Char">
    <w:name w:val="Heading 7 Char"/>
    <w:basedOn w:val="DefaultParagraphFont"/>
    <w:link w:val="Heading7"/>
    <w:uiPriority w:val="9"/>
    <w:rsid w:val="0020354A"/>
    <w:rPr>
      <w:rFonts w:asciiTheme="minorHAnsi" w:hAnsiTheme="minorHAnsi" w:cstheme="minorBidi"/>
      <w:i/>
      <w:iCs/>
      <w:sz w:val="28"/>
      <w:szCs w:val="28"/>
      <w:u w:val="single"/>
    </w:rPr>
  </w:style>
  <w:style w:type="paragraph" w:styleId="Caption">
    <w:name w:val="caption"/>
    <w:basedOn w:val="Normal"/>
    <w:next w:val="Normal"/>
    <w:uiPriority w:val="35"/>
    <w:unhideWhenUsed/>
    <w:qFormat/>
    <w:rsid w:val="00B01007"/>
    <w:rPr>
      <w:i/>
      <w:iCs/>
      <w:szCs w:val="18"/>
    </w:rPr>
  </w:style>
  <w:style w:type="table" w:styleId="GridTable4-Accent1">
    <w:name w:val="Grid Table 4 Accent 1"/>
    <w:basedOn w:val="TableNormal"/>
    <w:uiPriority w:val="49"/>
    <w:rsid w:val="00720DC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7577">
      <w:bodyDiv w:val="1"/>
      <w:marLeft w:val="0"/>
      <w:marRight w:val="0"/>
      <w:marTop w:val="0"/>
      <w:marBottom w:val="0"/>
      <w:divBdr>
        <w:top w:val="none" w:sz="0" w:space="0" w:color="auto"/>
        <w:left w:val="none" w:sz="0" w:space="0" w:color="auto"/>
        <w:bottom w:val="none" w:sz="0" w:space="0" w:color="auto"/>
        <w:right w:val="none" w:sz="0" w:space="0" w:color="auto"/>
      </w:divBdr>
    </w:div>
    <w:div w:id="118113251">
      <w:bodyDiv w:val="1"/>
      <w:marLeft w:val="0"/>
      <w:marRight w:val="0"/>
      <w:marTop w:val="0"/>
      <w:marBottom w:val="0"/>
      <w:divBdr>
        <w:top w:val="none" w:sz="0" w:space="0" w:color="auto"/>
        <w:left w:val="none" w:sz="0" w:space="0" w:color="auto"/>
        <w:bottom w:val="none" w:sz="0" w:space="0" w:color="auto"/>
        <w:right w:val="none" w:sz="0" w:space="0" w:color="auto"/>
      </w:divBdr>
    </w:div>
    <w:div w:id="121047246">
      <w:bodyDiv w:val="1"/>
      <w:marLeft w:val="0"/>
      <w:marRight w:val="0"/>
      <w:marTop w:val="0"/>
      <w:marBottom w:val="0"/>
      <w:divBdr>
        <w:top w:val="none" w:sz="0" w:space="0" w:color="auto"/>
        <w:left w:val="none" w:sz="0" w:space="0" w:color="auto"/>
        <w:bottom w:val="none" w:sz="0" w:space="0" w:color="auto"/>
        <w:right w:val="none" w:sz="0" w:space="0" w:color="auto"/>
      </w:divBdr>
    </w:div>
    <w:div w:id="154151064">
      <w:bodyDiv w:val="1"/>
      <w:marLeft w:val="0"/>
      <w:marRight w:val="0"/>
      <w:marTop w:val="0"/>
      <w:marBottom w:val="0"/>
      <w:divBdr>
        <w:top w:val="none" w:sz="0" w:space="0" w:color="auto"/>
        <w:left w:val="none" w:sz="0" w:space="0" w:color="auto"/>
        <w:bottom w:val="none" w:sz="0" w:space="0" w:color="auto"/>
        <w:right w:val="none" w:sz="0" w:space="0" w:color="auto"/>
      </w:divBdr>
    </w:div>
    <w:div w:id="223570721">
      <w:bodyDiv w:val="1"/>
      <w:marLeft w:val="0"/>
      <w:marRight w:val="0"/>
      <w:marTop w:val="0"/>
      <w:marBottom w:val="0"/>
      <w:divBdr>
        <w:top w:val="none" w:sz="0" w:space="0" w:color="auto"/>
        <w:left w:val="none" w:sz="0" w:space="0" w:color="auto"/>
        <w:bottom w:val="none" w:sz="0" w:space="0" w:color="auto"/>
        <w:right w:val="none" w:sz="0" w:space="0" w:color="auto"/>
      </w:divBdr>
    </w:div>
    <w:div w:id="265232837">
      <w:bodyDiv w:val="1"/>
      <w:marLeft w:val="0"/>
      <w:marRight w:val="0"/>
      <w:marTop w:val="0"/>
      <w:marBottom w:val="0"/>
      <w:divBdr>
        <w:top w:val="none" w:sz="0" w:space="0" w:color="auto"/>
        <w:left w:val="none" w:sz="0" w:space="0" w:color="auto"/>
        <w:bottom w:val="none" w:sz="0" w:space="0" w:color="auto"/>
        <w:right w:val="none" w:sz="0" w:space="0" w:color="auto"/>
      </w:divBdr>
    </w:div>
    <w:div w:id="281427558">
      <w:bodyDiv w:val="1"/>
      <w:marLeft w:val="0"/>
      <w:marRight w:val="0"/>
      <w:marTop w:val="0"/>
      <w:marBottom w:val="0"/>
      <w:divBdr>
        <w:top w:val="none" w:sz="0" w:space="0" w:color="auto"/>
        <w:left w:val="none" w:sz="0" w:space="0" w:color="auto"/>
        <w:bottom w:val="none" w:sz="0" w:space="0" w:color="auto"/>
        <w:right w:val="none" w:sz="0" w:space="0" w:color="auto"/>
      </w:divBdr>
    </w:div>
    <w:div w:id="299001007">
      <w:bodyDiv w:val="1"/>
      <w:marLeft w:val="0"/>
      <w:marRight w:val="0"/>
      <w:marTop w:val="0"/>
      <w:marBottom w:val="0"/>
      <w:divBdr>
        <w:top w:val="none" w:sz="0" w:space="0" w:color="auto"/>
        <w:left w:val="none" w:sz="0" w:space="0" w:color="auto"/>
        <w:bottom w:val="none" w:sz="0" w:space="0" w:color="auto"/>
        <w:right w:val="none" w:sz="0" w:space="0" w:color="auto"/>
      </w:divBdr>
    </w:div>
    <w:div w:id="312179823">
      <w:bodyDiv w:val="1"/>
      <w:marLeft w:val="0"/>
      <w:marRight w:val="0"/>
      <w:marTop w:val="0"/>
      <w:marBottom w:val="0"/>
      <w:divBdr>
        <w:top w:val="none" w:sz="0" w:space="0" w:color="auto"/>
        <w:left w:val="none" w:sz="0" w:space="0" w:color="auto"/>
        <w:bottom w:val="none" w:sz="0" w:space="0" w:color="auto"/>
        <w:right w:val="none" w:sz="0" w:space="0" w:color="auto"/>
      </w:divBdr>
    </w:div>
    <w:div w:id="370805259">
      <w:bodyDiv w:val="1"/>
      <w:marLeft w:val="0"/>
      <w:marRight w:val="0"/>
      <w:marTop w:val="0"/>
      <w:marBottom w:val="0"/>
      <w:divBdr>
        <w:top w:val="none" w:sz="0" w:space="0" w:color="auto"/>
        <w:left w:val="none" w:sz="0" w:space="0" w:color="auto"/>
        <w:bottom w:val="none" w:sz="0" w:space="0" w:color="auto"/>
        <w:right w:val="none" w:sz="0" w:space="0" w:color="auto"/>
      </w:divBdr>
    </w:div>
    <w:div w:id="496310423">
      <w:bodyDiv w:val="1"/>
      <w:marLeft w:val="0"/>
      <w:marRight w:val="0"/>
      <w:marTop w:val="0"/>
      <w:marBottom w:val="0"/>
      <w:divBdr>
        <w:top w:val="none" w:sz="0" w:space="0" w:color="auto"/>
        <w:left w:val="none" w:sz="0" w:space="0" w:color="auto"/>
        <w:bottom w:val="none" w:sz="0" w:space="0" w:color="auto"/>
        <w:right w:val="none" w:sz="0" w:space="0" w:color="auto"/>
      </w:divBdr>
    </w:div>
    <w:div w:id="508639420">
      <w:bodyDiv w:val="1"/>
      <w:marLeft w:val="0"/>
      <w:marRight w:val="0"/>
      <w:marTop w:val="0"/>
      <w:marBottom w:val="0"/>
      <w:divBdr>
        <w:top w:val="none" w:sz="0" w:space="0" w:color="auto"/>
        <w:left w:val="none" w:sz="0" w:space="0" w:color="auto"/>
        <w:bottom w:val="none" w:sz="0" w:space="0" w:color="auto"/>
        <w:right w:val="none" w:sz="0" w:space="0" w:color="auto"/>
      </w:divBdr>
    </w:div>
    <w:div w:id="528952946">
      <w:bodyDiv w:val="1"/>
      <w:marLeft w:val="0"/>
      <w:marRight w:val="0"/>
      <w:marTop w:val="0"/>
      <w:marBottom w:val="0"/>
      <w:divBdr>
        <w:top w:val="none" w:sz="0" w:space="0" w:color="auto"/>
        <w:left w:val="none" w:sz="0" w:space="0" w:color="auto"/>
        <w:bottom w:val="none" w:sz="0" w:space="0" w:color="auto"/>
        <w:right w:val="none" w:sz="0" w:space="0" w:color="auto"/>
      </w:divBdr>
    </w:div>
    <w:div w:id="567155744">
      <w:bodyDiv w:val="1"/>
      <w:marLeft w:val="0"/>
      <w:marRight w:val="0"/>
      <w:marTop w:val="0"/>
      <w:marBottom w:val="0"/>
      <w:divBdr>
        <w:top w:val="none" w:sz="0" w:space="0" w:color="auto"/>
        <w:left w:val="none" w:sz="0" w:space="0" w:color="auto"/>
        <w:bottom w:val="none" w:sz="0" w:space="0" w:color="auto"/>
        <w:right w:val="none" w:sz="0" w:space="0" w:color="auto"/>
      </w:divBdr>
    </w:div>
    <w:div w:id="583341473">
      <w:bodyDiv w:val="1"/>
      <w:marLeft w:val="0"/>
      <w:marRight w:val="0"/>
      <w:marTop w:val="0"/>
      <w:marBottom w:val="0"/>
      <w:divBdr>
        <w:top w:val="none" w:sz="0" w:space="0" w:color="auto"/>
        <w:left w:val="none" w:sz="0" w:space="0" w:color="auto"/>
        <w:bottom w:val="none" w:sz="0" w:space="0" w:color="auto"/>
        <w:right w:val="none" w:sz="0" w:space="0" w:color="auto"/>
      </w:divBdr>
    </w:div>
    <w:div w:id="586889115">
      <w:bodyDiv w:val="1"/>
      <w:marLeft w:val="0"/>
      <w:marRight w:val="0"/>
      <w:marTop w:val="0"/>
      <w:marBottom w:val="0"/>
      <w:divBdr>
        <w:top w:val="none" w:sz="0" w:space="0" w:color="auto"/>
        <w:left w:val="none" w:sz="0" w:space="0" w:color="auto"/>
        <w:bottom w:val="none" w:sz="0" w:space="0" w:color="auto"/>
        <w:right w:val="none" w:sz="0" w:space="0" w:color="auto"/>
      </w:divBdr>
    </w:div>
    <w:div w:id="646201906">
      <w:bodyDiv w:val="1"/>
      <w:marLeft w:val="0"/>
      <w:marRight w:val="0"/>
      <w:marTop w:val="0"/>
      <w:marBottom w:val="0"/>
      <w:divBdr>
        <w:top w:val="none" w:sz="0" w:space="0" w:color="auto"/>
        <w:left w:val="none" w:sz="0" w:space="0" w:color="auto"/>
        <w:bottom w:val="none" w:sz="0" w:space="0" w:color="auto"/>
        <w:right w:val="none" w:sz="0" w:space="0" w:color="auto"/>
      </w:divBdr>
    </w:div>
    <w:div w:id="733622261">
      <w:bodyDiv w:val="1"/>
      <w:marLeft w:val="0"/>
      <w:marRight w:val="0"/>
      <w:marTop w:val="0"/>
      <w:marBottom w:val="0"/>
      <w:divBdr>
        <w:top w:val="none" w:sz="0" w:space="0" w:color="auto"/>
        <w:left w:val="none" w:sz="0" w:space="0" w:color="auto"/>
        <w:bottom w:val="none" w:sz="0" w:space="0" w:color="auto"/>
        <w:right w:val="none" w:sz="0" w:space="0" w:color="auto"/>
      </w:divBdr>
    </w:div>
    <w:div w:id="809326620">
      <w:bodyDiv w:val="1"/>
      <w:marLeft w:val="0"/>
      <w:marRight w:val="0"/>
      <w:marTop w:val="0"/>
      <w:marBottom w:val="0"/>
      <w:divBdr>
        <w:top w:val="none" w:sz="0" w:space="0" w:color="auto"/>
        <w:left w:val="none" w:sz="0" w:space="0" w:color="auto"/>
        <w:bottom w:val="none" w:sz="0" w:space="0" w:color="auto"/>
        <w:right w:val="none" w:sz="0" w:space="0" w:color="auto"/>
      </w:divBdr>
    </w:div>
    <w:div w:id="915893948">
      <w:bodyDiv w:val="1"/>
      <w:marLeft w:val="0"/>
      <w:marRight w:val="0"/>
      <w:marTop w:val="0"/>
      <w:marBottom w:val="0"/>
      <w:divBdr>
        <w:top w:val="none" w:sz="0" w:space="0" w:color="auto"/>
        <w:left w:val="none" w:sz="0" w:space="0" w:color="auto"/>
        <w:bottom w:val="none" w:sz="0" w:space="0" w:color="auto"/>
        <w:right w:val="none" w:sz="0" w:space="0" w:color="auto"/>
      </w:divBdr>
    </w:div>
    <w:div w:id="934561405">
      <w:bodyDiv w:val="1"/>
      <w:marLeft w:val="0"/>
      <w:marRight w:val="0"/>
      <w:marTop w:val="0"/>
      <w:marBottom w:val="0"/>
      <w:divBdr>
        <w:top w:val="none" w:sz="0" w:space="0" w:color="auto"/>
        <w:left w:val="none" w:sz="0" w:space="0" w:color="auto"/>
        <w:bottom w:val="none" w:sz="0" w:space="0" w:color="auto"/>
        <w:right w:val="none" w:sz="0" w:space="0" w:color="auto"/>
      </w:divBdr>
    </w:div>
    <w:div w:id="980310650">
      <w:bodyDiv w:val="1"/>
      <w:marLeft w:val="0"/>
      <w:marRight w:val="0"/>
      <w:marTop w:val="0"/>
      <w:marBottom w:val="0"/>
      <w:divBdr>
        <w:top w:val="none" w:sz="0" w:space="0" w:color="auto"/>
        <w:left w:val="none" w:sz="0" w:space="0" w:color="auto"/>
        <w:bottom w:val="none" w:sz="0" w:space="0" w:color="auto"/>
        <w:right w:val="none" w:sz="0" w:space="0" w:color="auto"/>
      </w:divBdr>
    </w:div>
    <w:div w:id="1142579511">
      <w:bodyDiv w:val="1"/>
      <w:marLeft w:val="0"/>
      <w:marRight w:val="0"/>
      <w:marTop w:val="0"/>
      <w:marBottom w:val="0"/>
      <w:divBdr>
        <w:top w:val="none" w:sz="0" w:space="0" w:color="auto"/>
        <w:left w:val="none" w:sz="0" w:space="0" w:color="auto"/>
        <w:bottom w:val="none" w:sz="0" w:space="0" w:color="auto"/>
        <w:right w:val="none" w:sz="0" w:space="0" w:color="auto"/>
      </w:divBdr>
    </w:div>
    <w:div w:id="1145665862">
      <w:bodyDiv w:val="1"/>
      <w:marLeft w:val="0"/>
      <w:marRight w:val="0"/>
      <w:marTop w:val="0"/>
      <w:marBottom w:val="0"/>
      <w:divBdr>
        <w:top w:val="none" w:sz="0" w:space="0" w:color="auto"/>
        <w:left w:val="none" w:sz="0" w:space="0" w:color="auto"/>
        <w:bottom w:val="none" w:sz="0" w:space="0" w:color="auto"/>
        <w:right w:val="none" w:sz="0" w:space="0" w:color="auto"/>
      </w:divBdr>
    </w:div>
    <w:div w:id="1165778773">
      <w:bodyDiv w:val="1"/>
      <w:marLeft w:val="0"/>
      <w:marRight w:val="0"/>
      <w:marTop w:val="0"/>
      <w:marBottom w:val="0"/>
      <w:divBdr>
        <w:top w:val="none" w:sz="0" w:space="0" w:color="auto"/>
        <w:left w:val="none" w:sz="0" w:space="0" w:color="auto"/>
        <w:bottom w:val="none" w:sz="0" w:space="0" w:color="auto"/>
        <w:right w:val="none" w:sz="0" w:space="0" w:color="auto"/>
      </w:divBdr>
    </w:div>
    <w:div w:id="1186093789">
      <w:bodyDiv w:val="1"/>
      <w:marLeft w:val="0"/>
      <w:marRight w:val="0"/>
      <w:marTop w:val="0"/>
      <w:marBottom w:val="0"/>
      <w:divBdr>
        <w:top w:val="none" w:sz="0" w:space="0" w:color="auto"/>
        <w:left w:val="none" w:sz="0" w:space="0" w:color="auto"/>
        <w:bottom w:val="none" w:sz="0" w:space="0" w:color="auto"/>
        <w:right w:val="none" w:sz="0" w:space="0" w:color="auto"/>
      </w:divBdr>
    </w:div>
    <w:div w:id="1187141130">
      <w:bodyDiv w:val="1"/>
      <w:marLeft w:val="0"/>
      <w:marRight w:val="0"/>
      <w:marTop w:val="0"/>
      <w:marBottom w:val="0"/>
      <w:divBdr>
        <w:top w:val="none" w:sz="0" w:space="0" w:color="auto"/>
        <w:left w:val="none" w:sz="0" w:space="0" w:color="auto"/>
        <w:bottom w:val="none" w:sz="0" w:space="0" w:color="auto"/>
        <w:right w:val="none" w:sz="0" w:space="0" w:color="auto"/>
      </w:divBdr>
    </w:div>
    <w:div w:id="1291016835">
      <w:bodyDiv w:val="1"/>
      <w:marLeft w:val="0"/>
      <w:marRight w:val="0"/>
      <w:marTop w:val="0"/>
      <w:marBottom w:val="0"/>
      <w:divBdr>
        <w:top w:val="none" w:sz="0" w:space="0" w:color="auto"/>
        <w:left w:val="none" w:sz="0" w:space="0" w:color="auto"/>
        <w:bottom w:val="none" w:sz="0" w:space="0" w:color="auto"/>
        <w:right w:val="none" w:sz="0" w:space="0" w:color="auto"/>
      </w:divBdr>
    </w:div>
    <w:div w:id="1325932664">
      <w:bodyDiv w:val="1"/>
      <w:marLeft w:val="0"/>
      <w:marRight w:val="0"/>
      <w:marTop w:val="0"/>
      <w:marBottom w:val="0"/>
      <w:divBdr>
        <w:top w:val="none" w:sz="0" w:space="0" w:color="auto"/>
        <w:left w:val="none" w:sz="0" w:space="0" w:color="auto"/>
        <w:bottom w:val="none" w:sz="0" w:space="0" w:color="auto"/>
        <w:right w:val="none" w:sz="0" w:space="0" w:color="auto"/>
      </w:divBdr>
    </w:div>
    <w:div w:id="1522821838">
      <w:bodyDiv w:val="1"/>
      <w:marLeft w:val="0"/>
      <w:marRight w:val="0"/>
      <w:marTop w:val="0"/>
      <w:marBottom w:val="0"/>
      <w:divBdr>
        <w:top w:val="none" w:sz="0" w:space="0" w:color="auto"/>
        <w:left w:val="none" w:sz="0" w:space="0" w:color="auto"/>
        <w:bottom w:val="none" w:sz="0" w:space="0" w:color="auto"/>
        <w:right w:val="none" w:sz="0" w:space="0" w:color="auto"/>
      </w:divBdr>
    </w:div>
    <w:div w:id="1534881372">
      <w:bodyDiv w:val="1"/>
      <w:marLeft w:val="0"/>
      <w:marRight w:val="0"/>
      <w:marTop w:val="0"/>
      <w:marBottom w:val="0"/>
      <w:divBdr>
        <w:top w:val="none" w:sz="0" w:space="0" w:color="auto"/>
        <w:left w:val="none" w:sz="0" w:space="0" w:color="auto"/>
        <w:bottom w:val="none" w:sz="0" w:space="0" w:color="auto"/>
        <w:right w:val="none" w:sz="0" w:space="0" w:color="auto"/>
      </w:divBdr>
    </w:div>
    <w:div w:id="1649820103">
      <w:bodyDiv w:val="1"/>
      <w:marLeft w:val="0"/>
      <w:marRight w:val="0"/>
      <w:marTop w:val="0"/>
      <w:marBottom w:val="0"/>
      <w:divBdr>
        <w:top w:val="none" w:sz="0" w:space="0" w:color="auto"/>
        <w:left w:val="none" w:sz="0" w:space="0" w:color="auto"/>
        <w:bottom w:val="none" w:sz="0" w:space="0" w:color="auto"/>
        <w:right w:val="none" w:sz="0" w:space="0" w:color="auto"/>
      </w:divBdr>
      <w:divsChild>
        <w:div w:id="264269928">
          <w:marLeft w:val="0"/>
          <w:marRight w:val="0"/>
          <w:marTop w:val="0"/>
          <w:marBottom w:val="0"/>
          <w:divBdr>
            <w:top w:val="none" w:sz="0" w:space="0" w:color="auto"/>
            <w:left w:val="none" w:sz="0" w:space="0" w:color="auto"/>
            <w:bottom w:val="none" w:sz="0" w:space="0" w:color="auto"/>
            <w:right w:val="none" w:sz="0" w:space="0" w:color="auto"/>
          </w:divBdr>
        </w:div>
      </w:divsChild>
    </w:div>
    <w:div w:id="1690788680">
      <w:bodyDiv w:val="1"/>
      <w:marLeft w:val="0"/>
      <w:marRight w:val="0"/>
      <w:marTop w:val="0"/>
      <w:marBottom w:val="0"/>
      <w:divBdr>
        <w:top w:val="none" w:sz="0" w:space="0" w:color="auto"/>
        <w:left w:val="none" w:sz="0" w:space="0" w:color="auto"/>
        <w:bottom w:val="none" w:sz="0" w:space="0" w:color="auto"/>
        <w:right w:val="none" w:sz="0" w:space="0" w:color="auto"/>
      </w:divBdr>
    </w:div>
    <w:div w:id="1716393887">
      <w:bodyDiv w:val="1"/>
      <w:marLeft w:val="0"/>
      <w:marRight w:val="0"/>
      <w:marTop w:val="0"/>
      <w:marBottom w:val="0"/>
      <w:divBdr>
        <w:top w:val="none" w:sz="0" w:space="0" w:color="auto"/>
        <w:left w:val="none" w:sz="0" w:space="0" w:color="auto"/>
        <w:bottom w:val="none" w:sz="0" w:space="0" w:color="auto"/>
        <w:right w:val="none" w:sz="0" w:space="0" w:color="auto"/>
      </w:divBdr>
    </w:div>
    <w:div w:id="1718898232">
      <w:bodyDiv w:val="1"/>
      <w:marLeft w:val="0"/>
      <w:marRight w:val="0"/>
      <w:marTop w:val="0"/>
      <w:marBottom w:val="0"/>
      <w:divBdr>
        <w:top w:val="none" w:sz="0" w:space="0" w:color="auto"/>
        <w:left w:val="none" w:sz="0" w:space="0" w:color="auto"/>
        <w:bottom w:val="none" w:sz="0" w:space="0" w:color="auto"/>
        <w:right w:val="none" w:sz="0" w:space="0" w:color="auto"/>
      </w:divBdr>
    </w:div>
    <w:div w:id="1722903373">
      <w:bodyDiv w:val="1"/>
      <w:marLeft w:val="0"/>
      <w:marRight w:val="0"/>
      <w:marTop w:val="0"/>
      <w:marBottom w:val="0"/>
      <w:divBdr>
        <w:top w:val="none" w:sz="0" w:space="0" w:color="auto"/>
        <w:left w:val="none" w:sz="0" w:space="0" w:color="auto"/>
        <w:bottom w:val="none" w:sz="0" w:space="0" w:color="auto"/>
        <w:right w:val="none" w:sz="0" w:space="0" w:color="auto"/>
      </w:divBdr>
    </w:div>
    <w:div w:id="1741899378">
      <w:bodyDiv w:val="1"/>
      <w:marLeft w:val="0"/>
      <w:marRight w:val="0"/>
      <w:marTop w:val="0"/>
      <w:marBottom w:val="0"/>
      <w:divBdr>
        <w:top w:val="none" w:sz="0" w:space="0" w:color="auto"/>
        <w:left w:val="none" w:sz="0" w:space="0" w:color="auto"/>
        <w:bottom w:val="none" w:sz="0" w:space="0" w:color="auto"/>
        <w:right w:val="none" w:sz="0" w:space="0" w:color="auto"/>
      </w:divBdr>
    </w:div>
    <w:div w:id="1768578164">
      <w:bodyDiv w:val="1"/>
      <w:marLeft w:val="0"/>
      <w:marRight w:val="0"/>
      <w:marTop w:val="0"/>
      <w:marBottom w:val="0"/>
      <w:divBdr>
        <w:top w:val="none" w:sz="0" w:space="0" w:color="auto"/>
        <w:left w:val="none" w:sz="0" w:space="0" w:color="auto"/>
        <w:bottom w:val="none" w:sz="0" w:space="0" w:color="auto"/>
        <w:right w:val="none" w:sz="0" w:space="0" w:color="auto"/>
      </w:divBdr>
    </w:div>
    <w:div w:id="1865751379">
      <w:bodyDiv w:val="1"/>
      <w:marLeft w:val="0"/>
      <w:marRight w:val="0"/>
      <w:marTop w:val="0"/>
      <w:marBottom w:val="0"/>
      <w:divBdr>
        <w:top w:val="none" w:sz="0" w:space="0" w:color="auto"/>
        <w:left w:val="none" w:sz="0" w:space="0" w:color="auto"/>
        <w:bottom w:val="none" w:sz="0" w:space="0" w:color="auto"/>
        <w:right w:val="none" w:sz="0" w:space="0" w:color="auto"/>
      </w:divBdr>
    </w:div>
    <w:div w:id="1909070140">
      <w:bodyDiv w:val="1"/>
      <w:marLeft w:val="0"/>
      <w:marRight w:val="0"/>
      <w:marTop w:val="0"/>
      <w:marBottom w:val="0"/>
      <w:divBdr>
        <w:top w:val="none" w:sz="0" w:space="0" w:color="auto"/>
        <w:left w:val="none" w:sz="0" w:space="0" w:color="auto"/>
        <w:bottom w:val="none" w:sz="0" w:space="0" w:color="auto"/>
        <w:right w:val="none" w:sz="0" w:space="0" w:color="auto"/>
      </w:divBdr>
    </w:div>
    <w:div w:id="1998269402">
      <w:bodyDiv w:val="1"/>
      <w:marLeft w:val="0"/>
      <w:marRight w:val="0"/>
      <w:marTop w:val="0"/>
      <w:marBottom w:val="0"/>
      <w:divBdr>
        <w:top w:val="none" w:sz="0" w:space="0" w:color="auto"/>
        <w:left w:val="none" w:sz="0" w:space="0" w:color="auto"/>
        <w:bottom w:val="none" w:sz="0" w:space="0" w:color="auto"/>
        <w:right w:val="none" w:sz="0" w:space="0" w:color="auto"/>
      </w:divBdr>
    </w:div>
    <w:div w:id="2026134374">
      <w:bodyDiv w:val="1"/>
      <w:marLeft w:val="0"/>
      <w:marRight w:val="0"/>
      <w:marTop w:val="0"/>
      <w:marBottom w:val="0"/>
      <w:divBdr>
        <w:top w:val="none" w:sz="0" w:space="0" w:color="auto"/>
        <w:left w:val="none" w:sz="0" w:space="0" w:color="auto"/>
        <w:bottom w:val="none" w:sz="0" w:space="0" w:color="auto"/>
        <w:right w:val="none" w:sz="0" w:space="0" w:color="auto"/>
      </w:divBdr>
    </w:div>
    <w:div w:id="2066105957">
      <w:bodyDiv w:val="1"/>
      <w:marLeft w:val="0"/>
      <w:marRight w:val="0"/>
      <w:marTop w:val="0"/>
      <w:marBottom w:val="0"/>
      <w:divBdr>
        <w:top w:val="none" w:sz="0" w:space="0" w:color="auto"/>
        <w:left w:val="none" w:sz="0" w:space="0" w:color="auto"/>
        <w:bottom w:val="none" w:sz="0" w:space="0" w:color="auto"/>
        <w:right w:val="none" w:sz="0" w:space="0" w:color="auto"/>
      </w:divBdr>
    </w:div>
    <w:div w:id="2074230381">
      <w:bodyDiv w:val="1"/>
      <w:marLeft w:val="0"/>
      <w:marRight w:val="0"/>
      <w:marTop w:val="0"/>
      <w:marBottom w:val="0"/>
      <w:divBdr>
        <w:top w:val="none" w:sz="0" w:space="0" w:color="auto"/>
        <w:left w:val="none" w:sz="0" w:space="0" w:color="auto"/>
        <w:bottom w:val="none" w:sz="0" w:space="0" w:color="auto"/>
        <w:right w:val="none" w:sz="0" w:space="0" w:color="auto"/>
      </w:divBdr>
    </w:div>
    <w:div w:id="2078437045">
      <w:bodyDiv w:val="1"/>
      <w:marLeft w:val="0"/>
      <w:marRight w:val="0"/>
      <w:marTop w:val="0"/>
      <w:marBottom w:val="0"/>
      <w:divBdr>
        <w:top w:val="none" w:sz="0" w:space="0" w:color="auto"/>
        <w:left w:val="none" w:sz="0" w:space="0" w:color="auto"/>
        <w:bottom w:val="none" w:sz="0" w:space="0" w:color="auto"/>
        <w:right w:val="none" w:sz="0" w:space="0" w:color="auto"/>
      </w:divBdr>
    </w:div>
    <w:div w:id="209951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sultations.health.gov.au/health-economics-and-research-division/consultation-on-mrff-strategy-priorities/" TargetMode="External"/><Relationship Id="rId18" Type="http://schemas.openxmlformats.org/officeDocument/2006/relationships/hyperlink" Target="https://www.nhmrc.gov.au/about-us/leadership-and-governance/committees/consumer-advisory-group-2024-2027"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hmrc.gov.au/about-us/leadership-and-governance/committees/industry-philanthropy-and-commercialisation-committee-2024-202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nhmrc.gov.au/about-us/leadership-and-governance/committees/public-health-and-health-systems-committee-2024-20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nhmrc.gov.au/about-us/leadership-and-governance/committees/indigenous-advisory-group-2024-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DMS Document" ma:contentTypeID="0x010100266966F133664895A6EE3632470D45F500A8D47D66C79B31468D4230095B147221" ma:contentTypeVersion="" ma:contentTypeDescription="PDMS Document Site Content Type" ma:contentTypeScope="" ma:versionID="5709fb931b94c2ca1d111fb5fb71a36f">
  <xsd:schema xmlns:xsd="http://www.w3.org/2001/XMLSchema" xmlns:xs="http://www.w3.org/2001/XMLSchema" xmlns:p="http://schemas.microsoft.com/office/2006/metadata/properties" xmlns:ns2="47541A13-5A31-4C1C-A04D-C79823C32F0C" targetNamespace="http://schemas.microsoft.com/office/2006/metadata/properties" ma:root="true" ma:fieldsID="e51ca2b034b0c89e3963a79bfe04b501" ns2:_="">
    <xsd:import namespace="47541A13-5A31-4C1C-A04D-C79823C32F0C"/>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41A13-5A31-4C1C-A04D-C79823C32F0C"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ecurityClassification xmlns="47541A13-5A31-4C1C-A04D-C79823C32F0C" xsi:nil="true"/>
  </documentManagement>
</p:properties>
</file>

<file path=customXml/itemProps1.xml><?xml version="1.0" encoding="utf-8"?>
<ds:datastoreItem xmlns:ds="http://schemas.openxmlformats.org/officeDocument/2006/customXml" ds:itemID="{F565BCC3-380F-4861-95C4-E06284B5D158}">
  <ds:schemaRefs>
    <ds:schemaRef ds:uri="http://schemas.microsoft.com/sharepoint/v3/contenttype/forms"/>
  </ds:schemaRefs>
</ds:datastoreItem>
</file>

<file path=customXml/itemProps2.xml><?xml version="1.0" encoding="utf-8"?>
<ds:datastoreItem xmlns:ds="http://schemas.openxmlformats.org/officeDocument/2006/customXml" ds:itemID="{ECEA6D84-1771-43CD-B863-4FB8FF622A49}">
  <ds:schemaRefs>
    <ds:schemaRef ds:uri="http://schemas.openxmlformats.org/officeDocument/2006/bibliography"/>
  </ds:schemaRefs>
</ds:datastoreItem>
</file>

<file path=customXml/itemProps3.xml><?xml version="1.0" encoding="utf-8"?>
<ds:datastoreItem xmlns:ds="http://schemas.openxmlformats.org/officeDocument/2006/customXml" ds:itemID="{9F327B5F-F52A-44B1-A912-9111D836F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41A13-5A31-4C1C-A04D-C79823C32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427B2-414B-428A-9068-037F5F3DA88A}">
  <ds:schemaRefs>
    <ds:schemaRef ds:uri="http://schemas.microsoft.com/office/2006/metadata/properties"/>
    <ds:schemaRef ds:uri="http://schemas.microsoft.com/office/infopath/2007/PartnerControls"/>
    <ds:schemaRef ds:uri="47541A13-5A31-4C1C-A04D-C79823C32F0C"/>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182</TotalTime>
  <Pages>19</Pages>
  <Words>4908</Words>
  <Characters>33278</Characters>
  <Application>Microsoft Office Word</Application>
  <DocSecurity>0</DocSecurity>
  <Lines>924</Lines>
  <Paragraphs>389</Paragraphs>
  <ScaleCrop>false</ScaleCrop>
  <HeadingPairs>
    <vt:vector size="2" baseType="variant">
      <vt:variant>
        <vt:lpstr>Title</vt:lpstr>
      </vt:variant>
      <vt:variant>
        <vt:i4>1</vt:i4>
      </vt:variant>
    </vt:vector>
  </HeadingPairs>
  <TitlesOfParts>
    <vt:vector size="1" baseType="lpstr">
      <vt:lpstr>Australian Medical Research and Innovation Strategy 2026-2031 and Priorities 2026-2028 consultation report</vt:lpstr>
    </vt:vector>
  </TitlesOfParts>
  <Company/>
  <LinksUpToDate>false</LinksUpToDate>
  <CharactersWithSpaces>37797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Medical Research and Innovation Strategy 2026-2031 and Priorities 2026-2028 consultation report</dc:title>
  <dc:creator>Australian Government Department of Health, Disability and Ageing</dc:creator>
  <cp:keywords>Medical Research Future Fund; MRFF Australian Medical Research Advisory Board</cp:keywords>
  <dc:description/>
  <cp:lastPrinted>2021-11-02T22:43:00Z</cp:lastPrinted>
  <dcterms:created xsi:type="dcterms:W3CDTF">2026-10-06T19:13:00Z</dcterms:created>
  <dcterms:modified xsi:type="dcterms:W3CDTF">2026-11-02T03:09:00Z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472d5821,5edce430,6431a48d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4884a957,6ab0dddf,438cd447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2026-06-11T04:58:59Z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b27c1a71-6007-419b-a69d-74a84b971fb4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0x010100266966F133664895A6EE3632470D45F500A8D47D66C79B31468D4230095B147221</vt:lpwstr>
  </property>
</Properties>
</file>