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BC1D7" w14:textId="1D8D32A1" w:rsidR="00F3264C" w:rsidRDefault="00F3264C" w:rsidP="65AD5965">
      <w:pPr>
        <w:pStyle w:val="Subtitle"/>
        <w:spacing w:before="1280" w:after="0"/>
      </w:pPr>
      <w:r w:rsidRPr="65AD5965">
        <w:rPr>
          <w:rFonts w:ascii="Calibri" w:hAnsi="Calibri" w:cs="Calibri"/>
        </w:rPr>
        <w:t>Review of MBS Health Assessment Services</w:t>
      </w:r>
    </w:p>
    <w:p w14:paraId="14C4837A" w14:textId="77777777" w:rsidR="00AC21F3" w:rsidRPr="009271F4" w:rsidRDefault="00AC21F3" w:rsidP="00F3264C">
      <w:pPr>
        <w:pStyle w:val="Subtitle"/>
        <w:spacing w:before="0" w:after="0"/>
        <w:rPr>
          <w:rFonts w:ascii="Calibri" w:hAnsi="Calibri" w:cs="Calibri"/>
          <w:b/>
          <w:bCs/>
        </w:rPr>
      </w:pPr>
      <w:r w:rsidRPr="009271F4">
        <w:rPr>
          <w:rFonts w:ascii="Calibri" w:hAnsi="Calibri" w:cs="Calibri"/>
          <w:b/>
          <w:bCs/>
        </w:rPr>
        <w:t>Appendix A – Evidence summaries</w:t>
      </w:r>
    </w:p>
    <w:p w14:paraId="222B1EDB" w14:textId="2513F867" w:rsidR="004F132B" w:rsidRDefault="00AC21F3" w:rsidP="00295CDA">
      <w:pPr>
        <w:spacing w:before="480"/>
        <w:rPr>
          <w:rFonts w:asciiTheme="minorHAnsi" w:hAnsiTheme="minorHAnsi" w:cstheme="minorHAnsi"/>
          <w:b/>
          <w:bCs/>
          <w:color w:val="3F4A75"/>
        </w:rPr>
      </w:pPr>
      <w:r w:rsidRPr="00AC21F3">
        <w:rPr>
          <w:rFonts w:asciiTheme="minorHAnsi" w:hAnsiTheme="minorHAnsi" w:cstheme="minorHAnsi"/>
          <w:b/>
          <w:bCs/>
          <w:color w:val="3F4A75"/>
        </w:rPr>
        <w:t>Prepared for the Department of Health and Aged Care by the Institute for Evidence-Based Healthcare, Bond University, Australia, 2022</w:t>
      </w:r>
    </w:p>
    <w:p w14:paraId="13CC70E7" w14:textId="0970790B" w:rsidR="005A58ED" w:rsidRDefault="005A58ED">
      <w:pPr>
        <w:rPr>
          <w:rFonts w:asciiTheme="minorHAnsi" w:hAnsiTheme="minorHAnsi" w:cstheme="minorHAnsi"/>
          <w:b/>
          <w:bCs/>
          <w:color w:val="3F4A75"/>
        </w:rPr>
      </w:pPr>
      <w:r>
        <w:rPr>
          <w:rFonts w:asciiTheme="minorHAnsi" w:hAnsiTheme="minorHAnsi" w:cstheme="minorHAnsi"/>
          <w:b/>
          <w:bCs/>
          <w:color w:val="3F4A75"/>
        </w:rPr>
        <w:br w:type="page"/>
      </w:r>
    </w:p>
    <w:p w14:paraId="2C17EE2C" w14:textId="77777777" w:rsidR="00820BE2" w:rsidRPr="00315D96" w:rsidRDefault="00820BE2" w:rsidP="00295CDA">
      <w:pPr>
        <w:spacing w:before="480"/>
        <w:rPr>
          <w:rFonts w:asciiTheme="minorHAnsi" w:hAnsiTheme="minorHAnsi" w:cstheme="minorHAnsi"/>
          <w:b/>
          <w:bCs/>
          <w:color w:val="3F4A75"/>
        </w:rPr>
        <w:sectPr w:rsidR="00820BE2" w:rsidRPr="00315D96" w:rsidSect="00295CDA">
          <w:headerReference w:type="even" r:id="rId10"/>
          <w:headerReference w:type="default" r:id="rId11"/>
          <w:footerReference w:type="even" r:id="rId12"/>
          <w:footerReference w:type="default" r:id="rId13"/>
          <w:headerReference w:type="first" r:id="rId14"/>
          <w:footerReference w:type="first" r:id="rId15"/>
          <w:pgSz w:w="11906" w:h="16838"/>
          <w:pgMar w:top="1701" w:right="1418" w:bottom="1418" w:left="1418" w:header="850" w:footer="709" w:gutter="0"/>
          <w:cols w:space="708"/>
          <w:titlePg/>
          <w:docGrid w:linePitch="360"/>
        </w:sectPr>
      </w:pPr>
    </w:p>
    <w:p w14:paraId="7A4C2CE9" w14:textId="77777777" w:rsidR="00E13D3F" w:rsidRDefault="00FB2D6A" w:rsidP="00990D2B">
      <w:pPr>
        <w:pStyle w:val="Heading1"/>
        <w:numPr>
          <w:ilvl w:val="0"/>
          <w:numId w:val="53"/>
        </w:numPr>
        <w:tabs>
          <w:tab w:val="left" w:pos="1799"/>
        </w:tabs>
        <w:ind w:left="1799" w:hanging="359"/>
        <w:rPr>
          <w:color w:val="2E5395"/>
          <w:u w:color="2E5395"/>
        </w:rPr>
      </w:pPr>
      <w:r>
        <w:rPr>
          <w:color w:val="2E5395"/>
          <w:u w:color="2E5395"/>
        </w:rPr>
        <w:lastRenderedPageBreak/>
        <w:t>The</w:t>
      </w:r>
      <w:r>
        <w:rPr>
          <w:color w:val="2E5395"/>
          <w:spacing w:val="-11"/>
          <w:u w:color="2E5395"/>
        </w:rPr>
        <w:t xml:space="preserve"> </w:t>
      </w:r>
      <w:r>
        <w:rPr>
          <w:color w:val="2E5395"/>
          <w:u w:color="2E5395"/>
        </w:rPr>
        <w:t>Health</w:t>
      </w:r>
      <w:r>
        <w:rPr>
          <w:color w:val="2E5395"/>
          <w:spacing w:val="-11"/>
          <w:u w:color="2E5395"/>
        </w:rPr>
        <w:t xml:space="preserve"> </w:t>
      </w:r>
      <w:r>
        <w:rPr>
          <w:color w:val="2E5395"/>
          <w:u w:color="2E5395"/>
        </w:rPr>
        <w:t>Assessment</w:t>
      </w:r>
      <w:r>
        <w:rPr>
          <w:color w:val="2E5395"/>
          <w:spacing w:val="-10"/>
          <w:u w:color="2E5395"/>
        </w:rPr>
        <w:t xml:space="preserve"> </w:t>
      </w:r>
      <w:r>
        <w:rPr>
          <w:color w:val="2E5395"/>
          <w:u w:color="2E5395"/>
        </w:rPr>
        <w:t>component:</w:t>
      </w:r>
      <w:r>
        <w:rPr>
          <w:color w:val="2E5395"/>
          <w:spacing w:val="-10"/>
          <w:u w:color="2E5395"/>
        </w:rPr>
        <w:t xml:space="preserve"> </w:t>
      </w:r>
      <w:r>
        <w:rPr>
          <w:color w:val="2E5395"/>
          <w:u w:color="2E5395"/>
        </w:rPr>
        <w:t>Cardiovascular</w:t>
      </w:r>
      <w:r>
        <w:rPr>
          <w:color w:val="2E5395"/>
          <w:spacing w:val="-12"/>
          <w:u w:color="2E5395"/>
        </w:rPr>
        <w:t xml:space="preserve"> </w:t>
      </w:r>
      <w:r>
        <w:rPr>
          <w:color w:val="2E5395"/>
          <w:spacing w:val="-4"/>
          <w:u w:color="2E5395"/>
        </w:rPr>
        <w:t>risk</w:t>
      </w:r>
    </w:p>
    <w:p w14:paraId="7A4C2CEA" w14:textId="77777777" w:rsidR="00E13D3F" w:rsidRDefault="00FB2D6A">
      <w:pPr>
        <w:pStyle w:val="Heading2"/>
        <w:spacing w:before="72"/>
      </w:pPr>
      <w:r>
        <w:rPr>
          <w:color w:val="2E5395"/>
        </w:rPr>
        <w:t>Background</w:t>
      </w:r>
      <w:r>
        <w:rPr>
          <w:color w:val="2E5395"/>
          <w:spacing w:val="-11"/>
        </w:rPr>
        <w:t xml:space="preserve"> </w:t>
      </w:r>
      <w:r>
        <w:rPr>
          <w:color w:val="2E5395"/>
        </w:rPr>
        <w:t>and</w:t>
      </w:r>
      <w:r>
        <w:rPr>
          <w:color w:val="2E5395"/>
          <w:spacing w:val="-10"/>
        </w:rPr>
        <w:t xml:space="preserve"> </w:t>
      </w:r>
      <w:r>
        <w:rPr>
          <w:color w:val="2E5395"/>
          <w:spacing w:val="-2"/>
        </w:rPr>
        <w:t>Description</w:t>
      </w:r>
    </w:p>
    <w:p w14:paraId="7A4C2CEB" w14:textId="77777777" w:rsidR="00E13D3F" w:rsidRDefault="00FB2D6A">
      <w:pPr>
        <w:pStyle w:val="BodyText"/>
        <w:spacing w:before="23" w:line="276" w:lineRule="auto"/>
        <w:ind w:right="1450"/>
      </w:pPr>
      <w:r>
        <w:t>Cardiovascular disease (CVD) risk scores, such as the Framingham Risk Score, combine a set of individual risk factors such as: age, sex, smoking status, blood pressure (and whether the patient is on antihypertensive medication), diabetes, LDL cholesterol and HDL cholesterol. Combining</w:t>
      </w:r>
      <w:r>
        <w:rPr>
          <w:spacing w:val="-2"/>
        </w:rPr>
        <w:t xml:space="preserve"> </w:t>
      </w:r>
      <w:r>
        <w:t>these</w:t>
      </w:r>
      <w:r>
        <w:rPr>
          <w:spacing w:val="-3"/>
        </w:rPr>
        <w:t xml:space="preserve"> </w:t>
      </w:r>
      <w:r>
        <w:t>risk</w:t>
      </w:r>
      <w:r>
        <w:rPr>
          <w:spacing w:val="-3"/>
        </w:rPr>
        <w:t xml:space="preserve"> </w:t>
      </w:r>
      <w:r>
        <w:t>factors</w:t>
      </w:r>
      <w:r>
        <w:rPr>
          <w:spacing w:val="-4"/>
        </w:rPr>
        <w:t xml:space="preserve"> </w:t>
      </w:r>
      <w:r>
        <w:t>provides</w:t>
      </w:r>
      <w:r>
        <w:rPr>
          <w:spacing w:val="-2"/>
        </w:rPr>
        <w:t xml:space="preserve"> </w:t>
      </w:r>
      <w:r>
        <w:t>a</w:t>
      </w:r>
      <w:r>
        <w:rPr>
          <w:spacing w:val="-4"/>
        </w:rPr>
        <w:t xml:space="preserve"> </w:t>
      </w:r>
      <w:r>
        <w:t>predicted</w:t>
      </w:r>
      <w:r>
        <w:rPr>
          <w:spacing w:val="-3"/>
        </w:rPr>
        <w:t xml:space="preserve"> </w:t>
      </w:r>
      <w:r>
        <w:t>5-</w:t>
      </w:r>
      <w:r>
        <w:rPr>
          <w:spacing w:val="-3"/>
        </w:rPr>
        <w:t xml:space="preserve"> </w:t>
      </w:r>
      <w:r>
        <w:t>or</w:t>
      </w:r>
      <w:r>
        <w:rPr>
          <w:spacing w:val="-3"/>
        </w:rPr>
        <w:t xml:space="preserve"> </w:t>
      </w:r>
      <w:r>
        <w:t>10-year</w:t>
      </w:r>
      <w:r>
        <w:rPr>
          <w:spacing w:val="-4"/>
        </w:rPr>
        <w:t xml:space="preserve"> </w:t>
      </w:r>
      <w:r>
        <w:t>risk</w:t>
      </w:r>
      <w:r>
        <w:rPr>
          <w:spacing w:val="-3"/>
        </w:rPr>
        <w:t xml:space="preserve"> </w:t>
      </w:r>
      <w:r>
        <w:t>of</w:t>
      </w:r>
      <w:r>
        <w:rPr>
          <w:spacing w:val="-1"/>
        </w:rPr>
        <w:t xml:space="preserve"> </w:t>
      </w:r>
      <w:r>
        <w:t>a</w:t>
      </w:r>
      <w:r>
        <w:rPr>
          <w:spacing w:val="-1"/>
        </w:rPr>
        <w:t xml:space="preserve"> </w:t>
      </w:r>
      <w:r>
        <w:t>cardiovascular</w:t>
      </w:r>
      <w:r>
        <w:rPr>
          <w:spacing w:val="-4"/>
        </w:rPr>
        <w:t xml:space="preserve"> </w:t>
      </w:r>
      <w:r>
        <w:t>event such as myocardial infarction or stroke for an individual.</w:t>
      </w:r>
    </w:p>
    <w:p w14:paraId="7A4C2CEC" w14:textId="77777777" w:rsidR="00E13D3F" w:rsidRDefault="00FB2D6A">
      <w:pPr>
        <w:pStyle w:val="BodyText"/>
        <w:spacing w:before="120" w:line="276" w:lineRule="auto"/>
        <w:ind w:right="1461"/>
      </w:pPr>
      <w:r>
        <w:t>Most</w:t>
      </w:r>
      <w:r>
        <w:rPr>
          <w:spacing w:val="-4"/>
        </w:rPr>
        <w:t xml:space="preserve"> </w:t>
      </w:r>
      <w:r>
        <w:t>international</w:t>
      </w:r>
      <w:r>
        <w:rPr>
          <w:spacing w:val="-3"/>
        </w:rPr>
        <w:t xml:space="preserve"> </w:t>
      </w:r>
      <w:r>
        <w:t>guidelines</w:t>
      </w:r>
      <w:r>
        <w:rPr>
          <w:spacing w:val="-6"/>
        </w:rPr>
        <w:t xml:space="preserve"> </w:t>
      </w:r>
      <w:r>
        <w:t>now</w:t>
      </w:r>
      <w:r>
        <w:rPr>
          <w:spacing w:val="-4"/>
        </w:rPr>
        <w:t xml:space="preserve"> </w:t>
      </w:r>
      <w:r>
        <w:t>advocate</w:t>
      </w:r>
      <w:r>
        <w:rPr>
          <w:spacing w:val="-3"/>
        </w:rPr>
        <w:t xml:space="preserve"> </w:t>
      </w:r>
      <w:r>
        <w:t>an</w:t>
      </w:r>
      <w:r>
        <w:rPr>
          <w:spacing w:val="-3"/>
        </w:rPr>
        <w:t xml:space="preserve"> </w:t>
      </w:r>
      <w:r>
        <w:t>absolute</w:t>
      </w:r>
      <w:r>
        <w:rPr>
          <w:spacing w:val="-3"/>
        </w:rPr>
        <w:t xml:space="preserve"> </w:t>
      </w:r>
      <w:r>
        <w:t>CVD</w:t>
      </w:r>
      <w:r>
        <w:rPr>
          <w:spacing w:val="-3"/>
        </w:rPr>
        <w:t xml:space="preserve"> </w:t>
      </w:r>
      <w:r>
        <w:t>risk</w:t>
      </w:r>
      <w:r>
        <w:rPr>
          <w:spacing w:val="-5"/>
        </w:rPr>
        <w:t xml:space="preserve"> </w:t>
      </w:r>
      <w:r>
        <w:t>approach,</w:t>
      </w:r>
      <w:r>
        <w:rPr>
          <w:spacing w:val="-3"/>
        </w:rPr>
        <w:t xml:space="preserve"> </w:t>
      </w:r>
      <w:r>
        <w:t>and</w:t>
      </w:r>
      <w:r>
        <w:rPr>
          <w:spacing w:val="-3"/>
        </w:rPr>
        <w:t xml:space="preserve"> </w:t>
      </w:r>
      <w:r>
        <w:t>increasingly recommend starting therapy to lower blood pressure or cholesterol guided by an individual’s absolute risk of cardiovascular disease. Prior to the use of the absolute CVD risk approach, treatment of the individual risk factors was based on values of those risk factors alone (rather than the absolute risk of CVD obtained from combining multiple risk factors).</w:t>
      </w:r>
    </w:p>
    <w:p w14:paraId="7A4C2CED" w14:textId="77777777" w:rsidR="00E13D3F" w:rsidRDefault="00FB2D6A">
      <w:pPr>
        <w:pStyle w:val="Heading2"/>
        <w:spacing w:before="124"/>
      </w:pPr>
      <w:r>
        <w:rPr>
          <w:color w:val="2E5395"/>
        </w:rPr>
        <w:t>Evidence</w:t>
      </w:r>
      <w:r>
        <w:rPr>
          <w:color w:val="2E5395"/>
          <w:spacing w:val="-9"/>
        </w:rPr>
        <w:t xml:space="preserve"> </w:t>
      </w:r>
      <w:r>
        <w:rPr>
          <w:color w:val="2E5395"/>
        </w:rPr>
        <w:t>of</w:t>
      </w:r>
      <w:r>
        <w:rPr>
          <w:color w:val="2E5395"/>
          <w:spacing w:val="-10"/>
        </w:rPr>
        <w:t xml:space="preserve"> </w:t>
      </w:r>
      <w:r>
        <w:rPr>
          <w:color w:val="2E5395"/>
          <w:spacing w:val="-2"/>
        </w:rPr>
        <w:t>Effectiveness</w:t>
      </w:r>
    </w:p>
    <w:p w14:paraId="7A4C2CEE" w14:textId="77777777" w:rsidR="00E13D3F" w:rsidRDefault="00FB2D6A">
      <w:pPr>
        <w:pStyle w:val="BodyText"/>
        <w:spacing w:before="23" w:line="276" w:lineRule="auto"/>
        <w:ind w:right="1450"/>
      </w:pPr>
      <w:r>
        <w:t xml:space="preserve">There are few randomized trials which compare the effect of using a cardiovascular risk assessment with usual care on mortality or morbidity. A 2016 Cochrane systematic review identified 9 </w:t>
      </w:r>
      <w:proofErr w:type="spellStart"/>
      <w:r>
        <w:t>randomised</w:t>
      </w:r>
      <w:proofErr w:type="spellEnd"/>
      <w:r>
        <w:t xml:space="preserve"> trials which include assessment of CVD risk factors, but not necessarily combining these into an absolute risk assessment and all but 1 pre-dated the statin</w:t>
      </w:r>
      <w:r>
        <w:rPr>
          <w:spacing w:val="-4"/>
        </w:rPr>
        <w:t xml:space="preserve"> </w:t>
      </w:r>
      <w:r>
        <w:t>era</w:t>
      </w:r>
      <w:r>
        <w:rPr>
          <w:spacing w:val="-4"/>
        </w:rPr>
        <w:t xml:space="preserve"> </w:t>
      </w:r>
      <w:r>
        <w:t>(1).</w:t>
      </w:r>
      <w:r>
        <w:rPr>
          <w:spacing w:val="-4"/>
        </w:rPr>
        <w:t xml:space="preserve"> </w:t>
      </w:r>
      <w:r>
        <w:t>They</w:t>
      </w:r>
      <w:r>
        <w:rPr>
          <w:spacing w:val="-3"/>
        </w:rPr>
        <w:t xml:space="preserve"> </w:t>
      </w:r>
      <w:r>
        <w:t>found</w:t>
      </w:r>
      <w:r>
        <w:rPr>
          <w:spacing w:val="-2"/>
        </w:rPr>
        <w:t xml:space="preserve"> </w:t>
      </w:r>
      <w:r>
        <w:t>some</w:t>
      </w:r>
      <w:r>
        <w:rPr>
          <w:spacing w:val="-5"/>
        </w:rPr>
        <w:t xml:space="preserve"> </w:t>
      </w:r>
      <w:r>
        <w:t>reduction</w:t>
      </w:r>
      <w:r>
        <w:rPr>
          <w:spacing w:val="-1"/>
        </w:rPr>
        <w:t xml:space="preserve"> </w:t>
      </w:r>
      <w:r>
        <w:t>in</w:t>
      </w:r>
      <w:r>
        <w:rPr>
          <w:spacing w:val="-2"/>
        </w:rPr>
        <w:t xml:space="preserve"> </w:t>
      </w:r>
      <w:r>
        <w:t>individual</w:t>
      </w:r>
      <w:r>
        <w:rPr>
          <w:spacing w:val="-2"/>
        </w:rPr>
        <w:t xml:space="preserve"> </w:t>
      </w:r>
      <w:r>
        <w:t>risk</w:t>
      </w:r>
      <w:r>
        <w:rPr>
          <w:spacing w:val="-4"/>
        </w:rPr>
        <w:t xml:space="preserve"> </w:t>
      </w:r>
      <w:r>
        <w:t>factors,</w:t>
      </w:r>
      <w:r>
        <w:rPr>
          <w:spacing w:val="-3"/>
        </w:rPr>
        <w:t xml:space="preserve"> </w:t>
      </w:r>
      <w:r>
        <w:t>such</w:t>
      </w:r>
      <w:r>
        <w:rPr>
          <w:spacing w:val="-4"/>
        </w:rPr>
        <w:t xml:space="preserve"> </w:t>
      </w:r>
      <w:r>
        <w:t>as</w:t>
      </w:r>
      <w:r>
        <w:rPr>
          <w:spacing w:val="-3"/>
        </w:rPr>
        <w:t xml:space="preserve"> </w:t>
      </w:r>
      <w:r>
        <w:t>total</w:t>
      </w:r>
      <w:r>
        <w:rPr>
          <w:spacing w:val="-2"/>
        </w:rPr>
        <w:t xml:space="preserve"> </w:t>
      </w:r>
      <w:r>
        <w:t>cholesterol and</w:t>
      </w:r>
      <w:r>
        <w:rPr>
          <w:spacing w:val="-2"/>
        </w:rPr>
        <w:t xml:space="preserve"> </w:t>
      </w:r>
      <w:r>
        <w:t>systolic</w:t>
      </w:r>
      <w:r>
        <w:rPr>
          <w:spacing w:val="-3"/>
        </w:rPr>
        <w:t xml:space="preserve"> </w:t>
      </w:r>
      <w:r>
        <w:t>blood</w:t>
      </w:r>
      <w:r>
        <w:rPr>
          <w:spacing w:val="-4"/>
        </w:rPr>
        <w:t xml:space="preserve"> </w:t>
      </w:r>
      <w:r>
        <w:t>pressure,</w:t>
      </w:r>
      <w:r>
        <w:rPr>
          <w:spacing w:val="-3"/>
        </w:rPr>
        <w:t xml:space="preserve"> </w:t>
      </w:r>
      <w:r>
        <w:t>but</w:t>
      </w:r>
      <w:r>
        <w:rPr>
          <w:spacing w:val="-4"/>
        </w:rPr>
        <w:t xml:space="preserve"> </w:t>
      </w:r>
      <w:r>
        <w:t>not</w:t>
      </w:r>
      <w:r>
        <w:rPr>
          <w:spacing w:val="-2"/>
        </w:rPr>
        <w:t xml:space="preserve"> </w:t>
      </w:r>
      <w:r>
        <w:t>in</w:t>
      </w:r>
      <w:r>
        <w:rPr>
          <w:spacing w:val="-2"/>
        </w:rPr>
        <w:t xml:space="preserve"> </w:t>
      </w:r>
      <w:r>
        <w:t>CVD</w:t>
      </w:r>
      <w:r>
        <w:rPr>
          <w:spacing w:val="-2"/>
        </w:rPr>
        <w:t xml:space="preserve"> </w:t>
      </w:r>
      <w:r>
        <w:t>events:</w:t>
      </w:r>
      <w:r>
        <w:rPr>
          <w:spacing w:val="-2"/>
        </w:rPr>
        <w:t xml:space="preserve"> </w:t>
      </w:r>
      <w:r>
        <w:t>cardiovascular</w:t>
      </w:r>
      <w:r>
        <w:rPr>
          <w:spacing w:val="-2"/>
        </w:rPr>
        <w:t xml:space="preserve"> </w:t>
      </w:r>
      <w:r>
        <w:t>mortality</w:t>
      </w:r>
      <w:r>
        <w:rPr>
          <w:spacing w:val="-3"/>
        </w:rPr>
        <w:t xml:space="preserve"> </w:t>
      </w:r>
      <w:r>
        <w:t>(RR</w:t>
      </w:r>
      <w:r>
        <w:rPr>
          <w:spacing w:val="-4"/>
        </w:rPr>
        <w:t xml:space="preserve"> </w:t>
      </w:r>
      <w:r>
        <w:t>1.0,</w:t>
      </w:r>
      <w:r>
        <w:rPr>
          <w:spacing w:val="-2"/>
        </w:rPr>
        <w:t xml:space="preserve"> </w:t>
      </w:r>
      <w:r>
        <w:t>95%</w:t>
      </w:r>
      <w:r>
        <w:rPr>
          <w:spacing w:val="-2"/>
        </w:rPr>
        <w:t xml:space="preserve"> </w:t>
      </w:r>
      <w:r>
        <w:t>CI 0.90</w:t>
      </w:r>
      <w:r>
        <w:rPr>
          <w:spacing w:val="-5"/>
        </w:rPr>
        <w:t xml:space="preserve"> </w:t>
      </w:r>
      <w:r>
        <w:t>to</w:t>
      </w:r>
      <w:r>
        <w:rPr>
          <w:spacing w:val="-3"/>
        </w:rPr>
        <w:t xml:space="preserve"> </w:t>
      </w:r>
      <w:r>
        <w:t>1.11;</w:t>
      </w:r>
      <w:r>
        <w:rPr>
          <w:spacing w:val="-2"/>
        </w:rPr>
        <w:t xml:space="preserve"> </w:t>
      </w:r>
      <w:r>
        <w:t>2</w:t>
      </w:r>
      <w:r>
        <w:rPr>
          <w:spacing w:val="-1"/>
        </w:rPr>
        <w:t xml:space="preserve"> </w:t>
      </w:r>
      <w:r>
        <w:t>studies, 43,955</w:t>
      </w:r>
      <w:r>
        <w:rPr>
          <w:spacing w:val="-3"/>
        </w:rPr>
        <w:t xml:space="preserve"> </w:t>
      </w:r>
      <w:r>
        <w:t>participants)</w:t>
      </w:r>
      <w:r>
        <w:rPr>
          <w:spacing w:val="-4"/>
        </w:rPr>
        <w:t xml:space="preserve"> </w:t>
      </w:r>
      <w:r>
        <w:t>non-fatal</w:t>
      </w:r>
      <w:r>
        <w:rPr>
          <w:spacing w:val="-1"/>
        </w:rPr>
        <w:t xml:space="preserve"> </w:t>
      </w:r>
      <w:r>
        <w:t>coronary</w:t>
      </w:r>
      <w:r>
        <w:rPr>
          <w:spacing w:val="-3"/>
        </w:rPr>
        <w:t xml:space="preserve"> </w:t>
      </w:r>
      <w:r>
        <w:t>heart</w:t>
      </w:r>
      <w:r>
        <w:rPr>
          <w:spacing w:val="-3"/>
        </w:rPr>
        <w:t xml:space="preserve"> </w:t>
      </w:r>
      <w:r>
        <w:t>disease (RR</w:t>
      </w:r>
      <w:r>
        <w:rPr>
          <w:spacing w:val="-3"/>
        </w:rPr>
        <w:t xml:space="preserve"> </w:t>
      </w:r>
      <w:r>
        <w:t>0.98,</w:t>
      </w:r>
      <w:r>
        <w:rPr>
          <w:spacing w:val="-1"/>
        </w:rPr>
        <w:t xml:space="preserve"> </w:t>
      </w:r>
      <w:r>
        <w:rPr>
          <w:spacing w:val="-5"/>
        </w:rPr>
        <w:t>95%</w:t>
      </w:r>
    </w:p>
    <w:p w14:paraId="7A4C2CEF" w14:textId="77777777" w:rsidR="00E13D3F" w:rsidRDefault="00FB2D6A">
      <w:pPr>
        <w:pStyle w:val="BodyText"/>
        <w:spacing w:line="291" w:lineRule="exact"/>
      </w:pPr>
      <w:r>
        <w:t>CI</w:t>
      </w:r>
      <w:r>
        <w:rPr>
          <w:spacing w:val="-5"/>
        </w:rPr>
        <w:t xml:space="preserve"> </w:t>
      </w:r>
      <w:r>
        <w:t>0.89</w:t>
      </w:r>
      <w:r>
        <w:rPr>
          <w:spacing w:val="-1"/>
        </w:rPr>
        <w:t xml:space="preserve"> </w:t>
      </w:r>
      <w:r>
        <w:t>to</w:t>
      </w:r>
      <w:r>
        <w:rPr>
          <w:spacing w:val="-2"/>
        </w:rPr>
        <w:t xml:space="preserve"> </w:t>
      </w:r>
      <w:r>
        <w:t>1.09;</w:t>
      </w:r>
      <w:r>
        <w:rPr>
          <w:spacing w:val="-3"/>
        </w:rPr>
        <w:t xml:space="preserve"> </w:t>
      </w:r>
      <w:r>
        <w:t>2</w:t>
      </w:r>
      <w:r>
        <w:rPr>
          <w:spacing w:val="-2"/>
        </w:rPr>
        <w:t xml:space="preserve"> </w:t>
      </w:r>
      <w:r>
        <w:t>studies,</w:t>
      </w:r>
      <w:r>
        <w:rPr>
          <w:spacing w:val="-2"/>
        </w:rPr>
        <w:t xml:space="preserve"> </w:t>
      </w:r>
      <w:r>
        <w:t>43,955</w:t>
      </w:r>
      <w:r>
        <w:rPr>
          <w:spacing w:val="-3"/>
        </w:rPr>
        <w:t xml:space="preserve"> </w:t>
      </w:r>
      <w:r>
        <w:t>participants),</w:t>
      </w:r>
      <w:r>
        <w:rPr>
          <w:spacing w:val="-3"/>
        </w:rPr>
        <w:t xml:space="preserve"> </w:t>
      </w:r>
      <w:r>
        <w:t>total</w:t>
      </w:r>
      <w:r>
        <w:rPr>
          <w:spacing w:val="-1"/>
        </w:rPr>
        <w:t xml:space="preserve"> </w:t>
      </w:r>
      <w:r>
        <w:t>stroke</w:t>
      </w:r>
      <w:r>
        <w:rPr>
          <w:spacing w:val="-2"/>
        </w:rPr>
        <w:t xml:space="preserve"> </w:t>
      </w:r>
      <w:r>
        <w:t>(RR</w:t>
      </w:r>
      <w:r>
        <w:rPr>
          <w:spacing w:val="-3"/>
        </w:rPr>
        <w:t xml:space="preserve"> </w:t>
      </w:r>
      <w:r>
        <w:t>0.99,</w:t>
      </w:r>
      <w:r>
        <w:rPr>
          <w:spacing w:val="-4"/>
        </w:rPr>
        <w:t xml:space="preserve"> </w:t>
      </w:r>
      <w:r>
        <w:t>95%</w:t>
      </w:r>
      <w:r>
        <w:rPr>
          <w:spacing w:val="-4"/>
        </w:rPr>
        <w:t xml:space="preserve"> </w:t>
      </w:r>
      <w:r>
        <w:t>CI</w:t>
      </w:r>
      <w:r>
        <w:rPr>
          <w:spacing w:val="-2"/>
        </w:rPr>
        <w:t xml:space="preserve"> </w:t>
      </w:r>
      <w:r>
        <w:t>0.90</w:t>
      </w:r>
      <w:r>
        <w:rPr>
          <w:spacing w:val="-2"/>
        </w:rPr>
        <w:t xml:space="preserve"> </w:t>
      </w:r>
      <w:r>
        <w:t>to</w:t>
      </w:r>
      <w:r>
        <w:rPr>
          <w:spacing w:val="-1"/>
        </w:rPr>
        <w:t xml:space="preserve"> </w:t>
      </w:r>
      <w:r>
        <w:t>1.10;</w:t>
      </w:r>
      <w:r>
        <w:rPr>
          <w:spacing w:val="-3"/>
        </w:rPr>
        <w:t xml:space="preserve"> </w:t>
      </w:r>
      <w:r>
        <w:rPr>
          <w:spacing w:val="-10"/>
        </w:rPr>
        <w:t>2</w:t>
      </w:r>
    </w:p>
    <w:p w14:paraId="7A4C2CF0" w14:textId="77777777" w:rsidR="00E13D3F" w:rsidRDefault="00FB2D6A">
      <w:pPr>
        <w:pStyle w:val="BodyText"/>
        <w:spacing w:before="46"/>
      </w:pPr>
      <w:r>
        <w:t>studies,</w:t>
      </w:r>
      <w:r>
        <w:rPr>
          <w:spacing w:val="-4"/>
        </w:rPr>
        <w:t xml:space="preserve"> </w:t>
      </w:r>
      <w:r>
        <w:t>79,631</w:t>
      </w:r>
      <w:r>
        <w:rPr>
          <w:spacing w:val="-1"/>
        </w:rPr>
        <w:t xml:space="preserve"> </w:t>
      </w:r>
      <w:r>
        <w:t>participants),</w:t>
      </w:r>
      <w:r>
        <w:rPr>
          <w:spacing w:val="-2"/>
        </w:rPr>
        <w:t xml:space="preserve"> </w:t>
      </w:r>
      <w:r>
        <w:t>and</w:t>
      </w:r>
      <w:r>
        <w:rPr>
          <w:spacing w:val="-3"/>
        </w:rPr>
        <w:t xml:space="preserve"> </w:t>
      </w:r>
      <w:r>
        <w:t>non-fatal</w:t>
      </w:r>
      <w:r>
        <w:rPr>
          <w:spacing w:val="-4"/>
        </w:rPr>
        <w:t xml:space="preserve"> </w:t>
      </w:r>
      <w:r>
        <w:t>stroke</w:t>
      </w:r>
      <w:r>
        <w:rPr>
          <w:spacing w:val="-1"/>
        </w:rPr>
        <w:t xml:space="preserve"> </w:t>
      </w:r>
      <w:r>
        <w:t>(RR</w:t>
      </w:r>
      <w:r>
        <w:rPr>
          <w:spacing w:val="-3"/>
        </w:rPr>
        <w:t xml:space="preserve"> </w:t>
      </w:r>
      <w:r>
        <w:t>1.17,</w:t>
      </w:r>
      <w:r>
        <w:rPr>
          <w:spacing w:val="-4"/>
        </w:rPr>
        <w:t xml:space="preserve"> </w:t>
      </w:r>
      <w:r>
        <w:t>95%</w:t>
      </w:r>
      <w:r>
        <w:rPr>
          <w:spacing w:val="-3"/>
        </w:rPr>
        <w:t xml:space="preserve"> </w:t>
      </w:r>
      <w:r>
        <w:t>CI</w:t>
      </w:r>
      <w:r>
        <w:rPr>
          <w:spacing w:val="-2"/>
        </w:rPr>
        <w:t xml:space="preserve"> </w:t>
      </w:r>
      <w:r>
        <w:t>0.94</w:t>
      </w:r>
      <w:r>
        <w:rPr>
          <w:spacing w:val="-3"/>
        </w:rPr>
        <w:t xml:space="preserve"> </w:t>
      </w:r>
      <w:r>
        <w:t>to</w:t>
      </w:r>
      <w:r>
        <w:rPr>
          <w:spacing w:val="-1"/>
        </w:rPr>
        <w:t xml:space="preserve"> </w:t>
      </w:r>
      <w:r>
        <w:t>1.47;</w:t>
      </w:r>
      <w:r>
        <w:rPr>
          <w:spacing w:val="-1"/>
        </w:rPr>
        <w:t xml:space="preserve"> </w:t>
      </w:r>
      <w:r>
        <w:t>1</w:t>
      </w:r>
      <w:r>
        <w:rPr>
          <w:spacing w:val="-3"/>
        </w:rPr>
        <w:t xml:space="preserve"> </w:t>
      </w:r>
      <w:r>
        <w:rPr>
          <w:spacing w:val="-2"/>
        </w:rPr>
        <w:t>study,</w:t>
      </w:r>
    </w:p>
    <w:p w14:paraId="7A4C2CF1" w14:textId="77777777" w:rsidR="00E13D3F" w:rsidRDefault="00FB2D6A">
      <w:pPr>
        <w:pStyle w:val="BodyText"/>
        <w:spacing w:before="43"/>
      </w:pPr>
      <w:r>
        <w:t>20,015</w:t>
      </w:r>
      <w:r>
        <w:rPr>
          <w:spacing w:val="1"/>
        </w:rPr>
        <w:t xml:space="preserve"> </w:t>
      </w:r>
      <w:r>
        <w:rPr>
          <w:spacing w:val="-2"/>
        </w:rPr>
        <w:t>participants).</w:t>
      </w:r>
    </w:p>
    <w:p w14:paraId="7A4C2CF2" w14:textId="77777777" w:rsidR="00E13D3F" w:rsidRDefault="00FB2D6A">
      <w:pPr>
        <w:pStyle w:val="BodyText"/>
        <w:spacing w:before="163" w:line="278" w:lineRule="auto"/>
        <w:ind w:right="1450"/>
      </w:pPr>
      <w:r>
        <w:t>However,</w:t>
      </w:r>
      <w:r>
        <w:rPr>
          <w:spacing w:val="-5"/>
        </w:rPr>
        <w:t xml:space="preserve"> </w:t>
      </w:r>
      <w:r>
        <w:t>the</w:t>
      </w:r>
      <w:r>
        <w:rPr>
          <w:spacing w:val="-2"/>
        </w:rPr>
        <w:t xml:space="preserve"> </w:t>
      </w:r>
      <w:r>
        <w:t>absolute</w:t>
      </w:r>
      <w:r>
        <w:rPr>
          <w:spacing w:val="-2"/>
        </w:rPr>
        <w:t xml:space="preserve"> </w:t>
      </w:r>
      <w:r>
        <w:t>cardiovascular</w:t>
      </w:r>
      <w:r>
        <w:rPr>
          <w:spacing w:val="-5"/>
        </w:rPr>
        <w:t xml:space="preserve"> </w:t>
      </w:r>
      <w:r>
        <w:t>risk</w:t>
      </w:r>
      <w:r>
        <w:rPr>
          <w:spacing w:val="-4"/>
        </w:rPr>
        <w:t xml:space="preserve"> </w:t>
      </w:r>
      <w:r>
        <w:t>approach</w:t>
      </w:r>
      <w:r>
        <w:rPr>
          <w:spacing w:val="-2"/>
        </w:rPr>
        <w:t xml:space="preserve"> </w:t>
      </w:r>
      <w:r>
        <w:t>was</w:t>
      </w:r>
      <w:r>
        <w:rPr>
          <w:spacing w:val="-5"/>
        </w:rPr>
        <w:t xml:space="preserve"> </w:t>
      </w:r>
      <w:r>
        <w:t>developed</w:t>
      </w:r>
      <w:r>
        <w:rPr>
          <w:spacing w:val="-4"/>
        </w:rPr>
        <w:t xml:space="preserve"> </w:t>
      </w:r>
      <w:r>
        <w:t>to</w:t>
      </w:r>
      <w:r>
        <w:rPr>
          <w:spacing w:val="-4"/>
        </w:rPr>
        <w:t xml:space="preserve"> </w:t>
      </w:r>
      <w:r>
        <w:t>direct</w:t>
      </w:r>
      <w:r>
        <w:rPr>
          <w:spacing w:val="-2"/>
        </w:rPr>
        <w:t xml:space="preserve"> </w:t>
      </w:r>
      <w:r>
        <w:t>treatment</w:t>
      </w:r>
      <w:r>
        <w:rPr>
          <w:spacing w:val="-4"/>
        </w:rPr>
        <w:t xml:space="preserve"> </w:t>
      </w:r>
      <w:r>
        <w:t>to those most likely to benefit, because it:</w:t>
      </w:r>
    </w:p>
    <w:p w14:paraId="7A4C2CF3" w14:textId="77777777" w:rsidR="00E13D3F" w:rsidRDefault="00FB2D6A" w:rsidP="00990D2B">
      <w:pPr>
        <w:pStyle w:val="ListParagraph"/>
        <w:numPr>
          <w:ilvl w:val="0"/>
          <w:numId w:val="52"/>
        </w:numPr>
        <w:tabs>
          <w:tab w:val="left" w:pos="1800"/>
        </w:tabs>
        <w:spacing w:before="115" w:line="276" w:lineRule="auto"/>
        <w:ind w:right="1761"/>
        <w:rPr>
          <w:sz w:val="24"/>
        </w:rPr>
      </w:pPr>
      <w:r>
        <w:rPr>
          <w:sz w:val="24"/>
        </w:rPr>
        <w:t>reduces</w:t>
      </w:r>
      <w:r>
        <w:rPr>
          <w:spacing w:val="-5"/>
          <w:sz w:val="24"/>
        </w:rPr>
        <w:t xml:space="preserve"> </w:t>
      </w:r>
      <w:r>
        <w:rPr>
          <w:sz w:val="24"/>
        </w:rPr>
        <w:t>overtreatment</w:t>
      </w:r>
      <w:r>
        <w:rPr>
          <w:spacing w:val="-2"/>
          <w:sz w:val="24"/>
        </w:rPr>
        <w:t xml:space="preserve"> </w:t>
      </w:r>
      <w:r>
        <w:rPr>
          <w:sz w:val="24"/>
        </w:rPr>
        <w:t>of</w:t>
      </w:r>
      <w:r>
        <w:rPr>
          <w:spacing w:val="-2"/>
          <w:sz w:val="24"/>
        </w:rPr>
        <w:t xml:space="preserve"> </w:t>
      </w:r>
      <w:r>
        <w:rPr>
          <w:sz w:val="24"/>
        </w:rPr>
        <w:t>people</w:t>
      </w:r>
      <w:r>
        <w:rPr>
          <w:spacing w:val="-2"/>
          <w:sz w:val="24"/>
        </w:rPr>
        <w:t xml:space="preserve"> </w:t>
      </w:r>
      <w:r>
        <w:rPr>
          <w:sz w:val="24"/>
        </w:rPr>
        <w:t>who</w:t>
      </w:r>
      <w:r>
        <w:rPr>
          <w:spacing w:val="-5"/>
          <w:sz w:val="24"/>
        </w:rPr>
        <w:t xml:space="preserve"> </w:t>
      </w:r>
      <w:r>
        <w:rPr>
          <w:sz w:val="24"/>
        </w:rPr>
        <w:t>have</w:t>
      </w:r>
      <w:r>
        <w:rPr>
          <w:spacing w:val="-5"/>
          <w:sz w:val="24"/>
        </w:rPr>
        <w:t xml:space="preserve"> </w:t>
      </w:r>
      <w:r>
        <w:rPr>
          <w:sz w:val="24"/>
        </w:rPr>
        <w:t>a</w:t>
      </w:r>
      <w:r>
        <w:rPr>
          <w:spacing w:val="-3"/>
          <w:sz w:val="24"/>
        </w:rPr>
        <w:t xml:space="preserve"> </w:t>
      </w:r>
      <w:r>
        <w:rPr>
          <w:sz w:val="24"/>
        </w:rPr>
        <w:t>single</w:t>
      </w:r>
      <w:r>
        <w:rPr>
          <w:spacing w:val="-2"/>
          <w:sz w:val="24"/>
        </w:rPr>
        <w:t xml:space="preserve"> </w:t>
      </w:r>
      <w:r>
        <w:rPr>
          <w:sz w:val="24"/>
        </w:rPr>
        <w:t>elevated</w:t>
      </w:r>
      <w:r>
        <w:rPr>
          <w:spacing w:val="-4"/>
          <w:sz w:val="24"/>
        </w:rPr>
        <w:t xml:space="preserve"> </w:t>
      </w:r>
      <w:r>
        <w:rPr>
          <w:sz w:val="24"/>
        </w:rPr>
        <w:t>risk</w:t>
      </w:r>
      <w:r>
        <w:rPr>
          <w:spacing w:val="-4"/>
          <w:sz w:val="24"/>
        </w:rPr>
        <w:t xml:space="preserve"> </w:t>
      </w:r>
      <w:r>
        <w:rPr>
          <w:sz w:val="24"/>
        </w:rPr>
        <w:t>factor</w:t>
      </w:r>
      <w:r>
        <w:rPr>
          <w:spacing w:val="-4"/>
          <w:sz w:val="24"/>
        </w:rPr>
        <w:t xml:space="preserve"> </w:t>
      </w:r>
      <w:r>
        <w:rPr>
          <w:sz w:val="24"/>
        </w:rPr>
        <w:t>but</w:t>
      </w:r>
      <w:r>
        <w:rPr>
          <w:spacing w:val="-2"/>
          <w:sz w:val="24"/>
        </w:rPr>
        <w:t xml:space="preserve"> </w:t>
      </w:r>
      <w:r>
        <w:rPr>
          <w:sz w:val="24"/>
        </w:rPr>
        <w:t>who</w:t>
      </w:r>
      <w:r>
        <w:rPr>
          <w:spacing w:val="-5"/>
          <w:sz w:val="24"/>
        </w:rPr>
        <w:t xml:space="preserve"> </w:t>
      </w:r>
      <w:r>
        <w:rPr>
          <w:sz w:val="24"/>
        </w:rPr>
        <w:t>have low overall risk of a cardiovascular disease (CVD) event;</w:t>
      </w:r>
    </w:p>
    <w:p w14:paraId="7A4C2CF5" w14:textId="2CA85596" w:rsidR="00E13D3F" w:rsidRPr="00C25E21" w:rsidRDefault="00FB2D6A" w:rsidP="00C25E21">
      <w:pPr>
        <w:pStyle w:val="ListParagraph"/>
        <w:numPr>
          <w:ilvl w:val="0"/>
          <w:numId w:val="52"/>
        </w:numPr>
        <w:tabs>
          <w:tab w:val="left" w:pos="1800"/>
        </w:tabs>
        <w:spacing w:line="276" w:lineRule="auto"/>
        <w:ind w:right="1685"/>
        <w:rPr>
          <w:sz w:val="24"/>
        </w:rPr>
      </w:pPr>
      <w:r>
        <w:rPr>
          <w:sz w:val="24"/>
        </w:rPr>
        <w:t>reduces</w:t>
      </w:r>
      <w:r>
        <w:rPr>
          <w:spacing w:val="-4"/>
          <w:sz w:val="24"/>
        </w:rPr>
        <w:t xml:space="preserve"> </w:t>
      </w:r>
      <w:r>
        <w:rPr>
          <w:sz w:val="24"/>
        </w:rPr>
        <w:t>undertreatment</w:t>
      </w:r>
      <w:r>
        <w:rPr>
          <w:spacing w:val="-3"/>
          <w:sz w:val="24"/>
        </w:rPr>
        <w:t xml:space="preserve"> </w:t>
      </w:r>
      <w:r>
        <w:rPr>
          <w:sz w:val="24"/>
        </w:rPr>
        <w:t>of</w:t>
      </w:r>
      <w:r>
        <w:rPr>
          <w:spacing w:val="-3"/>
          <w:sz w:val="24"/>
        </w:rPr>
        <w:t xml:space="preserve"> </w:t>
      </w:r>
      <w:r>
        <w:rPr>
          <w:sz w:val="24"/>
        </w:rPr>
        <w:t>people</w:t>
      </w:r>
      <w:r>
        <w:rPr>
          <w:spacing w:val="-4"/>
          <w:sz w:val="24"/>
        </w:rPr>
        <w:t xml:space="preserve"> </w:t>
      </w:r>
      <w:r>
        <w:rPr>
          <w:sz w:val="24"/>
        </w:rPr>
        <w:t>with</w:t>
      </w:r>
      <w:r>
        <w:rPr>
          <w:spacing w:val="-3"/>
          <w:sz w:val="24"/>
        </w:rPr>
        <w:t xml:space="preserve"> </w:t>
      </w:r>
      <w:r>
        <w:rPr>
          <w:sz w:val="24"/>
        </w:rPr>
        <w:t>multiple</w:t>
      </w:r>
      <w:r>
        <w:rPr>
          <w:spacing w:val="-6"/>
          <w:sz w:val="24"/>
        </w:rPr>
        <w:t xml:space="preserve"> </w:t>
      </w:r>
      <w:r>
        <w:rPr>
          <w:sz w:val="24"/>
        </w:rPr>
        <w:t>risk</w:t>
      </w:r>
      <w:r>
        <w:rPr>
          <w:spacing w:val="-3"/>
          <w:sz w:val="24"/>
        </w:rPr>
        <w:t xml:space="preserve"> </w:t>
      </w:r>
      <w:r>
        <w:rPr>
          <w:sz w:val="24"/>
        </w:rPr>
        <w:t>factors,</w:t>
      </w:r>
      <w:r>
        <w:rPr>
          <w:spacing w:val="-4"/>
          <w:sz w:val="24"/>
        </w:rPr>
        <w:t xml:space="preserve"> </w:t>
      </w:r>
      <w:r>
        <w:rPr>
          <w:sz w:val="24"/>
        </w:rPr>
        <w:t>each</w:t>
      </w:r>
      <w:r>
        <w:rPr>
          <w:spacing w:val="-3"/>
          <w:sz w:val="24"/>
        </w:rPr>
        <w:t xml:space="preserve"> </w:t>
      </w:r>
      <w:r>
        <w:rPr>
          <w:sz w:val="24"/>
        </w:rPr>
        <w:t>one</w:t>
      </w:r>
      <w:r>
        <w:rPr>
          <w:spacing w:val="-4"/>
          <w:sz w:val="24"/>
        </w:rPr>
        <w:t xml:space="preserve"> </w:t>
      </w:r>
      <w:r>
        <w:rPr>
          <w:sz w:val="24"/>
        </w:rPr>
        <w:t>of</w:t>
      </w:r>
      <w:r>
        <w:rPr>
          <w:spacing w:val="-4"/>
          <w:sz w:val="24"/>
        </w:rPr>
        <w:t xml:space="preserve"> </w:t>
      </w:r>
      <w:r>
        <w:rPr>
          <w:sz w:val="24"/>
        </w:rPr>
        <w:t>which</w:t>
      </w:r>
      <w:r>
        <w:rPr>
          <w:spacing w:val="-3"/>
          <w:sz w:val="24"/>
        </w:rPr>
        <w:t xml:space="preserve"> </w:t>
      </w:r>
      <w:r>
        <w:rPr>
          <w:sz w:val="24"/>
        </w:rPr>
        <w:t>is</w:t>
      </w:r>
      <w:r>
        <w:rPr>
          <w:spacing w:val="-2"/>
          <w:sz w:val="24"/>
        </w:rPr>
        <w:t xml:space="preserve"> </w:t>
      </w:r>
      <w:r>
        <w:rPr>
          <w:sz w:val="24"/>
        </w:rPr>
        <w:t>only slightly abnormal, but who have high overall risk of a CVD event</w:t>
      </w:r>
    </w:p>
    <w:p w14:paraId="7A4C2CF6" w14:textId="77777777" w:rsidR="00E13D3F" w:rsidRDefault="00FB2D6A">
      <w:pPr>
        <w:pStyle w:val="BodyText"/>
        <w:spacing w:before="1" w:line="259" w:lineRule="auto"/>
        <w:ind w:right="1519"/>
      </w:pPr>
      <w:r>
        <w:t>Table 1.1 illustrates the imperfect association between the standard risk factors and absolute CVD risk: as we move from risk factors being both low to both high, the fraction with</w:t>
      </w:r>
      <w:r>
        <w:rPr>
          <w:spacing w:val="-2"/>
        </w:rPr>
        <w:t xml:space="preserve"> </w:t>
      </w:r>
      <w:r>
        <w:t>high</w:t>
      </w:r>
      <w:r>
        <w:rPr>
          <w:spacing w:val="-2"/>
        </w:rPr>
        <w:t xml:space="preserve"> </w:t>
      </w:r>
      <w:r>
        <w:t>CVD</w:t>
      </w:r>
      <w:r>
        <w:rPr>
          <w:spacing w:val="-2"/>
        </w:rPr>
        <w:t xml:space="preserve"> </w:t>
      </w:r>
      <w:r>
        <w:t>risk</w:t>
      </w:r>
      <w:r>
        <w:rPr>
          <w:spacing w:val="-4"/>
        </w:rPr>
        <w:t xml:space="preserve"> </w:t>
      </w:r>
      <w:r>
        <w:t>increases</w:t>
      </w:r>
      <w:r>
        <w:rPr>
          <w:spacing w:val="-3"/>
        </w:rPr>
        <w:t xml:space="preserve"> </w:t>
      </w:r>
      <w:r>
        <w:t>(ratio</w:t>
      </w:r>
      <w:r>
        <w:rPr>
          <w:spacing w:val="-5"/>
        </w:rPr>
        <w:t xml:space="preserve"> </w:t>
      </w:r>
      <w:r>
        <w:t>column).</w:t>
      </w:r>
      <w:r>
        <w:rPr>
          <w:spacing w:val="-4"/>
        </w:rPr>
        <w:t xml:space="preserve"> </w:t>
      </w:r>
      <w:r>
        <w:t>However,</w:t>
      </w:r>
      <w:r>
        <w:rPr>
          <w:spacing w:val="-2"/>
        </w:rPr>
        <w:t xml:space="preserve"> </w:t>
      </w:r>
      <w:r>
        <w:t>some</w:t>
      </w:r>
      <w:r>
        <w:rPr>
          <w:spacing w:val="-5"/>
        </w:rPr>
        <w:t xml:space="preserve"> </w:t>
      </w:r>
      <w:r>
        <w:t>of</w:t>
      </w:r>
      <w:r>
        <w:rPr>
          <w:spacing w:val="-4"/>
        </w:rPr>
        <w:t xml:space="preserve"> </w:t>
      </w:r>
      <w:r>
        <w:t>the</w:t>
      </w:r>
      <w:r>
        <w:rPr>
          <w:spacing w:val="-4"/>
        </w:rPr>
        <w:t xml:space="preserve"> </w:t>
      </w:r>
      <w:r>
        <w:t>population</w:t>
      </w:r>
      <w:r>
        <w:rPr>
          <w:spacing w:val="-3"/>
        </w:rPr>
        <w:t xml:space="preserve"> </w:t>
      </w:r>
      <w:r>
        <w:t>have</w:t>
      </w:r>
      <w:r>
        <w:rPr>
          <w:spacing w:val="-2"/>
        </w:rPr>
        <w:t xml:space="preserve"> </w:t>
      </w:r>
      <w:r>
        <w:t>“high” blood pressure and/or cholesterol but have low CVD risk (yellow shading) and may not warrant</w:t>
      </w:r>
      <w:r>
        <w:rPr>
          <w:spacing w:val="-1"/>
        </w:rPr>
        <w:t xml:space="preserve"> </w:t>
      </w:r>
      <w:r>
        <w:t>current</w:t>
      </w:r>
      <w:r>
        <w:rPr>
          <w:spacing w:val="-3"/>
        </w:rPr>
        <w:t xml:space="preserve"> </w:t>
      </w:r>
      <w:r>
        <w:t>treatment.</w:t>
      </w:r>
      <w:r>
        <w:rPr>
          <w:spacing w:val="-3"/>
        </w:rPr>
        <w:t xml:space="preserve"> </w:t>
      </w:r>
      <w:r>
        <w:t>There</w:t>
      </w:r>
      <w:r>
        <w:rPr>
          <w:spacing w:val="-4"/>
        </w:rPr>
        <w:t xml:space="preserve"> </w:t>
      </w:r>
      <w:r>
        <w:t>are</w:t>
      </w:r>
      <w:r>
        <w:rPr>
          <w:spacing w:val="-3"/>
        </w:rPr>
        <w:t xml:space="preserve"> </w:t>
      </w:r>
      <w:r>
        <w:t>also</w:t>
      </w:r>
      <w:r>
        <w:rPr>
          <w:spacing w:val="-1"/>
        </w:rPr>
        <w:t xml:space="preserve"> </w:t>
      </w:r>
      <w:r>
        <w:t>some</w:t>
      </w:r>
      <w:r>
        <w:rPr>
          <w:spacing w:val="-3"/>
        </w:rPr>
        <w:t xml:space="preserve"> </w:t>
      </w:r>
      <w:r>
        <w:t>of</w:t>
      </w:r>
      <w:r>
        <w:rPr>
          <w:spacing w:val="-2"/>
        </w:rPr>
        <w:t xml:space="preserve"> </w:t>
      </w:r>
      <w:r>
        <w:t>the</w:t>
      </w:r>
      <w:r>
        <w:rPr>
          <w:spacing w:val="-4"/>
        </w:rPr>
        <w:t xml:space="preserve"> </w:t>
      </w:r>
      <w:r>
        <w:t>populations</w:t>
      </w:r>
      <w:r>
        <w:rPr>
          <w:spacing w:val="-4"/>
        </w:rPr>
        <w:t xml:space="preserve"> </w:t>
      </w:r>
      <w:r>
        <w:t>who</w:t>
      </w:r>
      <w:r>
        <w:rPr>
          <w:spacing w:val="-4"/>
        </w:rPr>
        <w:t xml:space="preserve"> </w:t>
      </w:r>
      <w:r>
        <w:t>have</w:t>
      </w:r>
      <w:r>
        <w:rPr>
          <w:spacing w:val="-1"/>
        </w:rPr>
        <w:t xml:space="preserve"> </w:t>
      </w:r>
      <w:r>
        <w:t>“low”</w:t>
      </w:r>
      <w:r>
        <w:rPr>
          <w:spacing w:val="-4"/>
        </w:rPr>
        <w:t xml:space="preserve"> </w:t>
      </w:r>
      <w:r>
        <w:t>blood pressure and “low” cholesterol but who are at high CVD risk (green shading) because of other factors and might warrant intervention.</w:t>
      </w:r>
    </w:p>
    <w:p w14:paraId="7A4C2CF7" w14:textId="77777777" w:rsidR="00E13D3F" w:rsidRDefault="00E13D3F">
      <w:pPr>
        <w:pStyle w:val="BodyText"/>
        <w:spacing w:line="259" w:lineRule="auto"/>
        <w:sectPr w:rsidR="00E13D3F">
          <w:footerReference w:type="default" r:id="rId16"/>
          <w:pgSz w:w="11910" w:h="16840"/>
          <w:pgMar w:top="1400" w:right="0" w:bottom="1200" w:left="0" w:header="0" w:footer="1000" w:gutter="0"/>
          <w:cols w:space="720"/>
        </w:sectPr>
      </w:pPr>
    </w:p>
    <w:p w14:paraId="7A4C2CF8" w14:textId="77777777" w:rsidR="00E13D3F" w:rsidRDefault="00FB2D6A">
      <w:pPr>
        <w:spacing w:before="41" w:line="259" w:lineRule="auto"/>
        <w:ind w:left="1440" w:right="1137"/>
      </w:pPr>
      <w:r>
        <w:rPr>
          <w:b/>
          <w:sz w:val="24"/>
        </w:rPr>
        <w:lastRenderedPageBreak/>
        <w:t>Table</w:t>
      </w:r>
      <w:r>
        <w:rPr>
          <w:b/>
          <w:spacing w:val="-2"/>
          <w:sz w:val="24"/>
        </w:rPr>
        <w:t xml:space="preserve"> </w:t>
      </w:r>
      <w:r>
        <w:rPr>
          <w:b/>
          <w:sz w:val="24"/>
        </w:rPr>
        <w:t>1.1</w:t>
      </w:r>
      <w:r>
        <w:rPr>
          <w:sz w:val="24"/>
        </w:rPr>
        <w:t>:</w:t>
      </w:r>
      <w:r>
        <w:rPr>
          <w:spacing w:val="-2"/>
          <w:sz w:val="24"/>
        </w:rPr>
        <w:t xml:space="preserve"> </w:t>
      </w:r>
      <w:r>
        <w:rPr>
          <w:sz w:val="24"/>
        </w:rPr>
        <w:t>CVD</w:t>
      </w:r>
      <w:r>
        <w:rPr>
          <w:spacing w:val="-2"/>
          <w:sz w:val="24"/>
        </w:rPr>
        <w:t xml:space="preserve"> </w:t>
      </w:r>
      <w:r>
        <w:rPr>
          <w:sz w:val="24"/>
        </w:rPr>
        <w:t>risk</w:t>
      </w:r>
      <w:r>
        <w:rPr>
          <w:spacing w:val="-3"/>
          <w:sz w:val="24"/>
        </w:rPr>
        <w:t xml:space="preserve"> </w:t>
      </w:r>
      <w:r>
        <w:rPr>
          <w:sz w:val="24"/>
        </w:rPr>
        <w:t>classification</w:t>
      </w:r>
      <w:r>
        <w:rPr>
          <w:spacing w:val="-2"/>
          <w:sz w:val="24"/>
        </w:rPr>
        <w:t xml:space="preserve"> </w:t>
      </w:r>
      <w:r>
        <w:rPr>
          <w:sz w:val="24"/>
        </w:rPr>
        <w:t>of</w:t>
      </w:r>
      <w:r>
        <w:rPr>
          <w:spacing w:val="-3"/>
          <w:sz w:val="24"/>
        </w:rPr>
        <w:t xml:space="preserve"> </w:t>
      </w:r>
      <w:r>
        <w:rPr>
          <w:sz w:val="24"/>
        </w:rPr>
        <w:t>people</w:t>
      </w:r>
      <w:r>
        <w:rPr>
          <w:spacing w:val="-2"/>
          <w:sz w:val="24"/>
        </w:rPr>
        <w:t xml:space="preserve"> </w:t>
      </w:r>
      <w:r>
        <w:rPr>
          <w:sz w:val="24"/>
        </w:rPr>
        <w:t>as</w:t>
      </w:r>
      <w:r>
        <w:rPr>
          <w:spacing w:val="-4"/>
          <w:sz w:val="24"/>
        </w:rPr>
        <w:t xml:space="preserve"> </w:t>
      </w:r>
      <w:r>
        <w:rPr>
          <w:sz w:val="24"/>
        </w:rPr>
        <w:t>having</w:t>
      </w:r>
      <w:r>
        <w:rPr>
          <w:spacing w:val="-2"/>
          <w:sz w:val="24"/>
        </w:rPr>
        <w:t xml:space="preserve"> </w:t>
      </w:r>
      <w:r>
        <w:rPr>
          <w:sz w:val="24"/>
        </w:rPr>
        <w:t>neither,</w:t>
      </w:r>
      <w:r>
        <w:rPr>
          <w:spacing w:val="-4"/>
          <w:sz w:val="24"/>
        </w:rPr>
        <w:t xml:space="preserve"> </w:t>
      </w:r>
      <w:r>
        <w:rPr>
          <w:sz w:val="24"/>
        </w:rPr>
        <w:t>either,</w:t>
      </w:r>
      <w:r>
        <w:rPr>
          <w:spacing w:val="-4"/>
          <w:sz w:val="24"/>
        </w:rPr>
        <w:t xml:space="preserve"> </w:t>
      </w:r>
      <w:r>
        <w:rPr>
          <w:sz w:val="24"/>
        </w:rPr>
        <w:t>or</w:t>
      </w:r>
      <w:r>
        <w:rPr>
          <w:spacing w:val="-3"/>
          <w:sz w:val="24"/>
        </w:rPr>
        <w:t xml:space="preserve"> </w:t>
      </w:r>
      <w:r>
        <w:rPr>
          <w:sz w:val="24"/>
        </w:rPr>
        <w:t>both</w:t>
      </w:r>
      <w:r>
        <w:rPr>
          <w:spacing w:val="-2"/>
          <w:sz w:val="24"/>
        </w:rPr>
        <w:t xml:space="preserve"> </w:t>
      </w:r>
      <w:r>
        <w:rPr>
          <w:sz w:val="24"/>
        </w:rPr>
        <w:t>elevated</w:t>
      </w:r>
      <w:r>
        <w:rPr>
          <w:spacing w:val="-2"/>
          <w:sz w:val="24"/>
        </w:rPr>
        <w:t xml:space="preserve"> </w:t>
      </w:r>
      <w:r>
        <w:rPr>
          <w:sz w:val="24"/>
        </w:rPr>
        <w:t xml:space="preserve">blood pressure (&gt; 140 mmHg) or high cholesterol. </w:t>
      </w:r>
      <w:r>
        <w:t>Data from AUSDIAB study (2).</w:t>
      </w:r>
    </w:p>
    <w:tbl>
      <w:tblPr>
        <w:tblW w:w="0" w:type="auto"/>
        <w:tblInd w:w="1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01"/>
        <w:gridCol w:w="1801"/>
        <w:gridCol w:w="1832"/>
        <w:gridCol w:w="1830"/>
      </w:tblGrid>
      <w:tr w:rsidR="00E13D3F" w14:paraId="7A4C2CFD" w14:textId="77777777">
        <w:trPr>
          <w:trHeight w:val="290"/>
        </w:trPr>
        <w:tc>
          <w:tcPr>
            <w:tcW w:w="3001" w:type="dxa"/>
            <w:shd w:val="clear" w:color="auto" w:fill="E7E6E6"/>
          </w:tcPr>
          <w:p w14:paraId="7A4C2CF9" w14:textId="77777777" w:rsidR="00E13D3F" w:rsidRDefault="00FB2D6A">
            <w:pPr>
              <w:pStyle w:val="TableParagraph"/>
              <w:spacing w:before="1"/>
              <w:ind w:left="107"/>
            </w:pPr>
            <w:r>
              <w:t xml:space="preserve">Risk </w:t>
            </w:r>
            <w:r>
              <w:rPr>
                <w:spacing w:val="-2"/>
              </w:rPr>
              <w:t>factors</w:t>
            </w:r>
          </w:p>
        </w:tc>
        <w:tc>
          <w:tcPr>
            <w:tcW w:w="1801" w:type="dxa"/>
            <w:shd w:val="clear" w:color="auto" w:fill="E7E6E6"/>
          </w:tcPr>
          <w:p w14:paraId="7A4C2CFA" w14:textId="77777777" w:rsidR="00E13D3F" w:rsidRDefault="00FB2D6A">
            <w:pPr>
              <w:pStyle w:val="TableParagraph"/>
              <w:spacing w:before="1"/>
              <w:ind w:left="10" w:right="1"/>
              <w:jc w:val="center"/>
            </w:pPr>
            <w:r>
              <w:t>%</w:t>
            </w:r>
            <w:r>
              <w:rPr>
                <w:spacing w:val="-1"/>
              </w:rPr>
              <w:t xml:space="preserve"> </w:t>
            </w:r>
            <w:r>
              <w:t>Low</w:t>
            </w:r>
            <w:r>
              <w:rPr>
                <w:spacing w:val="-3"/>
              </w:rPr>
              <w:t xml:space="preserve"> </w:t>
            </w:r>
            <w:r>
              <w:t>CVD</w:t>
            </w:r>
            <w:r>
              <w:rPr>
                <w:spacing w:val="-2"/>
              </w:rPr>
              <w:t xml:space="preserve"> </w:t>
            </w:r>
            <w:r>
              <w:rPr>
                <w:spacing w:val="-4"/>
              </w:rPr>
              <w:t>risk</w:t>
            </w:r>
          </w:p>
        </w:tc>
        <w:tc>
          <w:tcPr>
            <w:tcW w:w="1832" w:type="dxa"/>
            <w:shd w:val="clear" w:color="auto" w:fill="E7E6E6"/>
          </w:tcPr>
          <w:p w14:paraId="7A4C2CFB" w14:textId="77777777" w:rsidR="00E13D3F" w:rsidRDefault="00FB2D6A">
            <w:pPr>
              <w:pStyle w:val="TableParagraph"/>
              <w:spacing w:before="1"/>
              <w:ind w:left="6" w:right="2"/>
              <w:jc w:val="center"/>
            </w:pPr>
            <w:r>
              <w:t>%</w:t>
            </w:r>
            <w:r>
              <w:rPr>
                <w:spacing w:val="-1"/>
              </w:rPr>
              <w:t xml:space="preserve"> </w:t>
            </w:r>
            <w:r>
              <w:t>High</w:t>
            </w:r>
            <w:r>
              <w:rPr>
                <w:spacing w:val="-3"/>
              </w:rPr>
              <w:t xml:space="preserve"> </w:t>
            </w:r>
            <w:r>
              <w:t>CVD</w:t>
            </w:r>
            <w:r>
              <w:rPr>
                <w:spacing w:val="-3"/>
              </w:rPr>
              <w:t xml:space="preserve"> </w:t>
            </w:r>
            <w:r>
              <w:rPr>
                <w:spacing w:val="-4"/>
              </w:rPr>
              <w:t>risk</w:t>
            </w:r>
          </w:p>
        </w:tc>
        <w:tc>
          <w:tcPr>
            <w:tcW w:w="1830" w:type="dxa"/>
            <w:shd w:val="clear" w:color="auto" w:fill="E7E6E6"/>
          </w:tcPr>
          <w:p w14:paraId="7A4C2CFC" w14:textId="77777777" w:rsidR="00E13D3F" w:rsidRDefault="00FB2D6A">
            <w:pPr>
              <w:pStyle w:val="TableParagraph"/>
              <w:spacing w:before="1"/>
              <w:ind w:left="7" w:right="2"/>
              <w:jc w:val="center"/>
            </w:pPr>
            <w:r>
              <w:t>Ratio</w:t>
            </w:r>
            <w:r>
              <w:rPr>
                <w:spacing w:val="-4"/>
              </w:rPr>
              <w:t xml:space="preserve"> </w:t>
            </w:r>
            <w:r>
              <w:t>low:</w:t>
            </w:r>
            <w:r>
              <w:rPr>
                <w:spacing w:val="-3"/>
              </w:rPr>
              <w:t xml:space="preserve"> </w:t>
            </w:r>
            <w:r>
              <w:rPr>
                <w:spacing w:val="-4"/>
              </w:rPr>
              <w:t>high</w:t>
            </w:r>
          </w:p>
        </w:tc>
      </w:tr>
      <w:tr w:rsidR="00E13D3F" w14:paraId="7A4C2D02" w14:textId="77777777">
        <w:trPr>
          <w:trHeight w:val="290"/>
        </w:trPr>
        <w:tc>
          <w:tcPr>
            <w:tcW w:w="3001" w:type="dxa"/>
          </w:tcPr>
          <w:p w14:paraId="7A4C2CFE" w14:textId="77777777" w:rsidR="00E13D3F" w:rsidRDefault="00FB2D6A">
            <w:pPr>
              <w:pStyle w:val="TableParagraph"/>
              <w:spacing w:before="1"/>
              <w:ind w:left="107"/>
            </w:pPr>
            <w:r>
              <w:t>A.</w:t>
            </w:r>
            <w:r>
              <w:rPr>
                <w:spacing w:val="-5"/>
              </w:rPr>
              <w:t xml:space="preserve"> </w:t>
            </w:r>
            <w:r>
              <w:t>Low</w:t>
            </w:r>
            <w:r>
              <w:rPr>
                <w:spacing w:val="-1"/>
              </w:rPr>
              <w:t xml:space="preserve"> </w:t>
            </w:r>
            <w:r>
              <w:t>BP;</w:t>
            </w:r>
            <w:r>
              <w:rPr>
                <w:spacing w:val="-3"/>
              </w:rPr>
              <w:t xml:space="preserve"> </w:t>
            </w:r>
            <w:r>
              <w:t>low</w:t>
            </w:r>
            <w:r>
              <w:rPr>
                <w:spacing w:val="-1"/>
              </w:rPr>
              <w:t xml:space="preserve"> </w:t>
            </w:r>
            <w:r>
              <w:rPr>
                <w:spacing w:val="-2"/>
              </w:rPr>
              <w:t>cholesterol</w:t>
            </w:r>
          </w:p>
        </w:tc>
        <w:tc>
          <w:tcPr>
            <w:tcW w:w="1801" w:type="dxa"/>
          </w:tcPr>
          <w:p w14:paraId="7A4C2CFF" w14:textId="77777777" w:rsidR="00E13D3F" w:rsidRDefault="00FB2D6A">
            <w:pPr>
              <w:pStyle w:val="TableParagraph"/>
              <w:spacing w:before="1"/>
              <w:ind w:left="10" w:right="1"/>
              <w:jc w:val="center"/>
            </w:pPr>
            <w:r>
              <w:rPr>
                <w:spacing w:val="-5"/>
              </w:rPr>
              <w:t>64%</w:t>
            </w:r>
          </w:p>
        </w:tc>
        <w:tc>
          <w:tcPr>
            <w:tcW w:w="1832" w:type="dxa"/>
            <w:shd w:val="clear" w:color="auto" w:fill="C5DFB3"/>
          </w:tcPr>
          <w:p w14:paraId="7A4C2D00" w14:textId="77777777" w:rsidR="00E13D3F" w:rsidRDefault="00FB2D6A">
            <w:pPr>
              <w:pStyle w:val="TableParagraph"/>
              <w:spacing w:before="1"/>
              <w:ind w:left="6"/>
              <w:jc w:val="center"/>
            </w:pPr>
            <w:r>
              <w:rPr>
                <w:spacing w:val="-5"/>
              </w:rPr>
              <w:t>2%</w:t>
            </w:r>
          </w:p>
        </w:tc>
        <w:tc>
          <w:tcPr>
            <w:tcW w:w="1830" w:type="dxa"/>
            <w:shd w:val="clear" w:color="auto" w:fill="C5DFB3"/>
          </w:tcPr>
          <w:p w14:paraId="7A4C2D01" w14:textId="77777777" w:rsidR="00E13D3F" w:rsidRDefault="00FB2D6A">
            <w:pPr>
              <w:pStyle w:val="TableParagraph"/>
              <w:spacing w:before="1"/>
              <w:ind w:left="7" w:right="2"/>
              <w:jc w:val="center"/>
            </w:pPr>
            <w:r>
              <w:rPr>
                <w:spacing w:val="-5"/>
              </w:rPr>
              <w:t>32</w:t>
            </w:r>
          </w:p>
        </w:tc>
      </w:tr>
      <w:tr w:rsidR="00E13D3F" w14:paraId="7A4C2D07" w14:textId="77777777">
        <w:trPr>
          <w:trHeight w:val="290"/>
        </w:trPr>
        <w:tc>
          <w:tcPr>
            <w:tcW w:w="3001" w:type="dxa"/>
          </w:tcPr>
          <w:p w14:paraId="7A4C2D03" w14:textId="77777777" w:rsidR="00E13D3F" w:rsidRDefault="00FB2D6A">
            <w:pPr>
              <w:pStyle w:val="TableParagraph"/>
              <w:spacing w:line="268" w:lineRule="exact"/>
              <w:ind w:left="107"/>
            </w:pPr>
            <w:r>
              <w:t>B.</w:t>
            </w:r>
            <w:r>
              <w:rPr>
                <w:spacing w:val="-3"/>
              </w:rPr>
              <w:t xml:space="preserve"> </w:t>
            </w:r>
            <w:r>
              <w:t>Low</w:t>
            </w:r>
            <w:r>
              <w:rPr>
                <w:spacing w:val="-1"/>
              </w:rPr>
              <w:t xml:space="preserve"> </w:t>
            </w:r>
            <w:r>
              <w:t>BP;</w:t>
            </w:r>
            <w:r>
              <w:rPr>
                <w:spacing w:val="-4"/>
              </w:rPr>
              <w:t xml:space="preserve"> </w:t>
            </w:r>
            <w:r>
              <w:t>high</w:t>
            </w:r>
            <w:r>
              <w:rPr>
                <w:spacing w:val="-2"/>
              </w:rPr>
              <w:t xml:space="preserve"> cholesterol</w:t>
            </w:r>
          </w:p>
        </w:tc>
        <w:tc>
          <w:tcPr>
            <w:tcW w:w="1801" w:type="dxa"/>
            <w:shd w:val="clear" w:color="auto" w:fill="FFF1CC"/>
          </w:tcPr>
          <w:p w14:paraId="7A4C2D04" w14:textId="77777777" w:rsidR="00E13D3F" w:rsidRDefault="00FB2D6A">
            <w:pPr>
              <w:pStyle w:val="TableParagraph"/>
              <w:spacing w:line="268" w:lineRule="exact"/>
              <w:ind w:left="10" w:right="1"/>
              <w:jc w:val="center"/>
            </w:pPr>
            <w:r>
              <w:rPr>
                <w:spacing w:val="-5"/>
              </w:rPr>
              <w:t>22%</w:t>
            </w:r>
          </w:p>
        </w:tc>
        <w:tc>
          <w:tcPr>
            <w:tcW w:w="1832" w:type="dxa"/>
          </w:tcPr>
          <w:p w14:paraId="7A4C2D05" w14:textId="77777777" w:rsidR="00E13D3F" w:rsidRDefault="00FB2D6A">
            <w:pPr>
              <w:pStyle w:val="TableParagraph"/>
              <w:spacing w:line="268" w:lineRule="exact"/>
              <w:ind w:left="6"/>
              <w:jc w:val="center"/>
            </w:pPr>
            <w:r>
              <w:rPr>
                <w:spacing w:val="-5"/>
              </w:rPr>
              <w:t>1%</w:t>
            </w:r>
          </w:p>
        </w:tc>
        <w:tc>
          <w:tcPr>
            <w:tcW w:w="1830" w:type="dxa"/>
          </w:tcPr>
          <w:p w14:paraId="7A4C2D06" w14:textId="77777777" w:rsidR="00E13D3F" w:rsidRDefault="00FB2D6A">
            <w:pPr>
              <w:pStyle w:val="TableParagraph"/>
              <w:spacing w:line="268" w:lineRule="exact"/>
              <w:ind w:left="7" w:right="2"/>
              <w:jc w:val="center"/>
            </w:pPr>
            <w:r>
              <w:rPr>
                <w:spacing w:val="-5"/>
              </w:rPr>
              <w:t>22</w:t>
            </w:r>
          </w:p>
        </w:tc>
      </w:tr>
      <w:tr w:rsidR="00E13D3F" w14:paraId="7A4C2D0C" w14:textId="77777777">
        <w:trPr>
          <w:trHeight w:val="290"/>
        </w:trPr>
        <w:tc>
          <w:tcPr>
            <w:tcW w:w="3001" w:type="dxa"/>
          </w:tcPr>
          <w:p w14:paraId="7A4C2D08" w14:textId="77777777" w:rsidR="00E13D3F" w:rsidRDefault="00FB2D6A">
            <w:pPr>
              <w:pStyle w:val="TableParagraph"/>
              <w:spacing w:line="268" w:lineRule="exact"/>
              <w:ind w:left="107"/>
            </w:pPr>
            <w:r>
              <w:t>C.</w:t>
            </w:r>
            <w:r>
              <w:rPr>
                <w:spacing w:val="-2"/>
              </w:rPr>
              <w:t xml:space="preserve"> </w:t>
            </w:r>
            <w:r>
              <w:t>High</w:t>
            </w:r>
            <w:r>
              <w:rPr>
                <w:spacing w:val="-3"/>
              </w:rPr>
              <w:t xml:space="preserve"> </w:t>
            </w:r>
            <w:r>
              <w:t>BP;</w:t>
            </w:r>
            <w:r>
              <w:rPr>
                <w:spacing w:val="-4"/>
              </w:rPr>
              <w:t xml:space="preserve"> </w:t>
            </w:r>
            <w:r>
              <w:t xml:space="preserve">low </w:t>
            </w:r>
            <w:r>
              <w:rPr>
                <w:spacing w:val="-2"/>
              </w:rPr>
              <w:t>cholesterol</w:t>
            </w:r>
          </w:p>
        </w:tc>
        <w:tc>
          <w:tcPr>
            <w:tcW w:w="1801" w:type="dxa"/>
            <w:shd w:val="clear" w:color="auto" w:fill="FFF1CC"/>
          </w:tcPr>
          <w:p w14:paraId="7A4C2D09" w14:textId="77777777" w:rsidR="00E13D3F" w:rsidRDefault="00FB2D6A">
            <w:pPr>
              <w:pStyle w:val="TableParagraph"/>
              <w:spacing w:line="268" w:lineRule="exact"/>
              <w:ind w:left="10"/>
              <w:jc w:val="center"/>
            </w:pPr>
            <w:r>
              <w:rPr>
                <w:spacing w:val="-5"/>
              </w:rPr>
              <w:t>6%</w:t>
            </w:r>
          </w:p>
        </w:tc>
        <w:tc>
          <w:tcPr>
            <w:tcW w:w="1832" w:type="dxa"/>
          </w:tcPr>
          <w:p w14:paraId="7A4C2D0A" w14:textId="77777777" w:rsidR="00E13D3F" w:rsidRDefault="00FB2D6A">
            <w:pPr>
              <w:pStyle w:val="TableParagraph"/>
              <w:spacing w:line="268" w:lineRule="exact"/>
              <w:ind w:left="6"/>
              <w:jc w:val="center"/>
            </w:pPr>
            <w:r>
              <w:rPr>
                <w:spacing w:val="-5"/>
              </w:rPr>
              <w:t>1%</w:t>
            </w:r>
          </w:p>
        </w:tc>
        <w:tc>
          <w:tcPr>
            <w:tcW w:w="1830" w:type="dxa"/>
          </w:tcPr>
          <w:p w14:paraId="7A4C2D0B" w14:textId="77777777" w:rsidR="00E13D3F" w:rsidRDefault="00FB2D6A">
            <w:pPr>
              <w:pStyle w:val="TableParagraph"/>
              <w:spacing w:line="268" w:lineRule="exact"/>
              <w:ind w:left="7"/>
              <w:jc w:val="center"/>
            </w:pPr>
            <w:r>
              <w:rPr>
                <w:spacing w:val="-10"/>
              </w:rPr>
              <w:t>6</w:t>
            </w:r>
          </w:p>
        </w:tc>
      </w:tr>
      <w:tr w:rsidR="00E13D3F" w14:paraId="7A4C2D11" w14:textId="77777777">
        <w:trPr>
          <w:trHeight w:val="290"/>
        </w:trPr>
        <w:tc>
          <w:tcPr>
            <w:tcW w:w="3001" w:type="dxa"/>
          </w:tcPr>
          <w:p w14:paraId="7A4C2D0D" w14:textId="77777777" w:rsidR="00E13D3F" w:rsidRDefault="00FB2D6A">
            <w:pPr>
              <w:pStyle w:val="TableParagraph"/>
              <w:spacing w:line="268" w:lineRule="exact"/>
              <w:ind w:left="107"/>
            </w:pPr>
            <w:r>
              <w:t>D.</w:t>
            </w:r>
            <w:r>
              <w:rPr>
                <w:spacing w:val="-2"/>
              </w:rPr>
              <w:t xml:space="preserve"> </w:t>
            </w:r>
            <w:r>
              <w:t>High</w:t>
            </w:r>
            <w:r>
              <w:rPr>
                <w:spacing w:val="-2"/>
              </w:rPr>
              <w:t xml:space="preserve"> </w:t>
            </w:r>
            <w:r>
              <w:t>BP;</w:t>
            </w:r>
            <w:r>
              <w:rPr>
                <w:spacing w:val="-2"/>
              </w:rPr>
              <w:t xml:space="preserve"> </w:t>
            </w:r>
            <w:r>
              <w:t>high</w:t>
            </w:r>
            <w:r>
              <w:rPr>
                <w:spacing w:val="-2"/>
              </w:rPr>
              <w:t xml:space="preserve"> cholesterol</w:t>
            </w:r>
          </w:p>
        </w:tc>
        <w:tc>
          <w:tcPr>
            <w:tcW w:w="1801" w:type="dxa"/>
            <w:shd w:val="clear" w:color="auto" w:fill="FFF1CC"/>
          </w:tcPr>
          <w:p w14:paraId="7A4C2D0E" w14:textId="77777777" w:rsidR="00E13D3F" w:rsidRDefault="00FB2D6A">
            <w:pPr>
              <w:pStyle w:val="TableParagraph"/>
              <w:spacing w:line="268" w:lineRule="exact"/>
              <w:ind w:left="10"/>
              <w:jc w:val="center"/>
            </w:pPr>
            <w:r>
              <w:rPr>
                <w:spacing w:val="-5"/>
              </w:rPr>
              <w:t>3%</w:t>
            </w:r>
          </w:p>
        </w:tc>
        <w:tc>
          <w:tcPr>
            <w:tcW w:w="1832" w:type="dxa"/>
          </w:tcPr>
          <w:p w14:paraId="7A4C2D0F" w14:textId="77777777" w:rsidR="00E13D3F" w:rsidRDefault="00FB2D6A">
            <w:pPr>
              <w:pStyle w:val="TableParagraph"/>
              <w:spacing w:line="268" w:lineRule="exact"/>
              <w:ind w:left="6"/>
              <w:jc w:val="center"/>
            </w:pPr>
            <w:r>
              <w:rPr>
                <w:spacing w:val="-5"/>
              </w:rPr>
              <w:t>2%</w:t>
            </w:r>
          </w:p>
        </w:tc>
        <w:tc>
          <w:tcPr>
            <w:tcW w:w="1830" w:type="dxa"/>
          </w:tcPr>
          <w:p w14:paraId="7A4C2D10" w14:textId="77777777" w:rsidR="00E13D3F" w:rsidRDefault="00FB2D6A">
            <w:pPr>
              <w:pStyle w:val="TableParagraph"/>
              <w:spacing w:line="268" w:lineRule="exact"/>
              <w:ind w:left="7"/>
              <w:jc w:val="center"/>
            </w:pPr>
            <w:r>
              <w:rPr>
                <w:spacing w:val="-5"/>
              </w:rPr>
              <w:t>1.5</w:t>
            </w:r>
          </w:p>
        </w:tc>
      </w:tr>
      <w:tr w:rsidR="00E13D3F" w14:paraId="7A4C2D16" w14:textId="77777777">
        <w:trPr>
          <w:trHeight w:val="290"/>
        </w:trPr>
        <w:tc>
          <w:tcPr>
            <w:tcW w:w="3001" w:type="dxa"/>
          </w:tcPr>
          <w:p w14:paraId="7A4C2D12" w14:textId="77777777" w:rsidR="00E13D3F" w:rsidRDefault="00FB2D6A">
            <w:pPr>
              <w:pStyle w:val="TableParagraph"/>
              <w:spacing w:line="268" w:lineRule="exact"/>
              <w:ind w:left="107"/>
            </w:pPr>
            <w:r>
              <w:rPr>
                <w:spacing w:val="-2"/>
              </w:rPr>
              <w:t>Total</w:t>
            </w:r>
          </w:p>
        </w:tc>
        <w:tc>
          <w:tcPr>
            <w:tcW w:w="1801" w:type="dxa"/>
          </w:tcPr>
          <w:p w14:paraId="7A4C2D13" w14:textId="77777777" w:rsidR="00E13D3F" w:rsidRDefault="00FB2D6A">
            <w:pPr>
              <w:pStyle w:val="TableParagraph"/>
              <w:spacing w:line="268" w:lineRule="exact"/>
              <w:ind w:left="10" w:right="1"/>
              <w:jc w:val="center"/>
            </w:pPr>
            <w:r>
              <w:rPr>
                <w:spacing w:val="-5"/>
              </w:rPr>
              <w:t>94%</w:t>
            </w:r>
          </w:p>
        </w:tc>
        <w:tc>
          <w:tcPr>
            <w:tcW w:w="1832" w:type="dxa"/>
          </w:tcPr>
          <w:p w14:paraId="7A4C2D14" w14:textId="77777777" w:rsidR="00E13D3F" w:rsidRDefault="00FB2D6A">
            <w:pPr>
              <w:pStyle w:val="TableParagraph"/>
              <w:spacing w:line="268" w:lineRule="exact"/>
              <w:ind w:left="6"/>
              <w:jc w:val="center"/>
            </w:pPr>
            <w:r>
              <w:rPr>
                <w:spacing w:val="-5"/>
              </w:rPr>
              <w:t>6%</w:t>
            </w:r>
          </w:p>
        </w:tc>
        <w:tc>
          <w:tcPr>
            <w:tcW w:w="1830" w:type="dxa"/>
          </w:tcPr>
          <w:p w14:paraId="7A4C2D15" w14:textId="77777777" w:rsidR="00E13D3F" w:rsidRDefault="00E13D3F">
            <w:pPr>
              <w:pStyle w:val="TableParagraph"/>
              <w:rPr>
                <w:rFonts w:ascii="Times New Roman"/>
                <w:sz w:val="20"/>
              </w:rPr>
            </w:pPr>
          </w:p>
        </w:tc>
      </w:tr>
    </w:tbl>
    <w:p w14:paraId="7A4C2D17" w14:textId="77777777" w:rsidR="00E13D3F" w:rsidRDefault="00FB2D6A">
      <w:pPr>
        <w:pStyle w:val="BodyText"/>
        <w:spacing w:line="276" w:lineRule="auto"/>
        <w:ind w:right="1450"/>
      </w:pPr>
      <w:r>
        <w:t>As the populations treated by both approaches overlap considerably, the evidence for treatment is based on the individual risk factors. That is, there is evidence for the value or detecting and treating high blood pressure, elevated lipids, smoking, and diabetes. In addition, there is evidence for the benefits of treating individuals based on absolute risk without</w:t>
      </w:r>
      <w:r>
        <w:rPr>
          <w:spacing w:val="-2"/>
        </w:rPr>
        <w:t xml:space="preserve"> </w:t>
      </w:r>
      <w:r>
        <w:t>specific</w:t>
      </w:r>
      <w:r>
        <w:rPr>
          <w:spacing w:val="-3"/>
        </w:rPr>
        <w:t xml:space="preserve"> </w:t>
      </w:r>
      <w:r>
        <w:t>risk</w:t>
      </w:r>
      <w:r>
        <w:rPr>
          <w:spacing w:val="-6"/>
        </w:rPr>
        <w:t xml:space="preserve"> </w:t>
      </w:r>
      <w:r>
        <w:t>factors</w:t>
      </w:r>
      <w:r>
        <w:rPr>
          <w:spacing w:val="-3"/>
        </w:rPr>
        <w:t xml:space="preserve"> </w:t>
      </w:r>
      <w:r>
        <w:t>(such</w:t>
      </w:r>
      <w:r>
        <w:rPr>
          <w:spacing w:val="-2"/>
        </w:rPr>
        <w:t xml:space="preserve"> </w:t>
      </w:r>
      <w:r>
        <w:t>as</w:t>
      </w:r>
      <w:r>
        <w:rPr>
          <w:spacing w:val="-5"/>
        </w:rPr>
        <w:t xml:space="preserve"> </w:t>
      </w:r>
      <w:r>
        <w:t>the</w:t>
      </w:r>
      <w:r>
        <w:rPr>
          <w:spacing w:val="-2"/>
        </w:rPr>
        <w:t xml:space="preserve"> </w:t>
      </w:r>
      <w:r>
        <w:t>“polypill”</w:t>
      </w:r>
      <w:r>
        <w:rPr>
          <w:spacing w:val="-2"/>
        </w:rPr>
        <w:t xml:space="preserve"> </w:t>
      </w:r>
      <w:r>
        <w:t>studies</w:t>
      </w:r>
      <w:r>
        <w:rPr>
          <w:spacing w:val="-5"/>
        </w:rPr>
        <w:t xml:space="preserve"> </w:t>
      </w:r>
      <w:r>
        <w:t>which</w:t>
      </w:r>
      <w:r>
        <w:rPr>
          <w:spacing w:val="-2"/>
        </w:rPr>
        <w:t xml:space="preserve"> </w:t>
      </w:r>
      <w:r>
        <w:t>treated</w:t>
      </w:r>
      <w:r>
        <w:rPr>
          <w:spacing w:val="-4"/>
        </w:rPr>
        <w:t xml:space="preserve"> </w:t>
      </w:r>
      <w:r>
        <w:t>patients</w:t>
      </w:r>
      <w:r>
        <w:rPr>
          <w:spacing w:val="-5"/>
        </w:rPr>
        <w:t xml:space="preserve"> </w:t>
      </w:r>
      <w:r>
        <w:t>with</w:t>
      </w:r>
      <w:r>
        <w:rPr>
          <w:spacing w:val="-2"/>
        </w:rPr>
        <w:t xml:space="preserve"> </w:t>
      </w:r>
      <w:r>
        <w:t>high cardiovascular risk with a combination of blood pressure and cholesterol lowering medications) (3).</w:t>
      </w:r>
    </w:p>
    <w:p w14:paraId="7A4C2D18" w14:textId="77777777" w:rsidR="00E13D3F" w:rsidRDefault="00FB2D6A">
      <w:pPr>
        <w:pStyle w:val="Heading2"/>
        <w:spacing w:before="122"/>
      </w:pPr>
      <w:r>
        <w:rPr>
          <w:color w:val="2E5395"/>
        </w:rPr>
        <w:t>Starting</w:t>
      </w:r>
      <w:r>
        <w:rPr>
          <w:color w:val="2E5395"/>
          <w:spacing w:val="-8"/>
        </w:rPr>
        <w:t xml:space="preserve"> </w:t>
      </w:r>
      <w:r>
        <w:rPr>
          <w:color w:val="2E5395"/>
        </w:rPr>
        <w:t>and</w:t>
      </w:r>
      <w:r>
        <w:rPr>
          <w:color w:val="2E5395"/>
          <w:spacing w:val="-8"/>
        </w:rPr>
        <w:t xml:space="preserve"> </w:t>
      </w:r>
      <w:r>
        <w:rPr>
          <w:color w:val="2E5395"/>
        </w:rPr>
        <w:t>Stopping</w:t>
      </w:r>
      <w:r>
        <w:rPr>
          <w:color w:val="2E5395"/>
          <w:spacing w:val="-8"/>
        </w:rPr>
        <w:t xml:space="preserve"> </w:t>
      </w:r>
      <w:r>
        <w:rPr>
          <w:color w:val="2E5395"/>
          <w:spacing w:val="-4"/>
        </w:rPr>
        <w:t>Ages</w:t>
      </w:r>
    </w:p>
    <w:p w14:paraId="7A4C2D19" w14:textId="77777777" w:rsidR="00E13D3F" w:rsidRDefault="00FB2D6A">
      <w:pPr>
        <w:pStyle w:val="BodyText"/>
        <w:spacing w:before="23" w:line="276" w:lineRule="auto"/>
        <w:ind w:right="1519"/>
      </w:pPr>
      <w:r>
        <w:t>There are no trials that randomized the population to different starting ages of CVD risk assessment. Instead, recommendations about starting age have been based on the increasing CVD risk with age. Most single risk factors, and the combined risk of CVD, increase with age. Figure 1.1 below shows the risk stratification by age, based on an Australian study (4) which included 8505 participants aged 18 or older from the Australian Bureau</w:t>
      </w:r>
      <w:r>
        <w:rPr>
          <w:spacing w:val="-4"/>
        </w:rPr>
        <w:t xml:space="preserve"> </w:t>
      </w:r>
      <w:r>
        <w:t>of</w:t>
      </w:r>
      <w:r>
        <w:rPr>
          <w:spacing w:val="-4"/>
        </w:rPr>
        <w:t xml:space="preserve"> </w:t>
      </w:r>
      <w:r>
        <w:t>Statistics</w:t>
      </w:r>
      <w:r>
        <w:rPr>
          <w:spacing w:val="-3"/>
        </w:rPr>
        <w:t xml:space="preserve"> </w:t>
      </w:r>
      <w:r>
        <w:t>Australian</w:t>
      </w:r>
      <w:r>
        <w:rPr>
          <w:spacing w:val="-1"/>
        </w:rPr>
        <w:t xml:space="preserve"> </w:t>
      </w:r>
      <w:r>
        <w:t>Health</w:t>
      </w:r>
      <w:r>
        <w:rPr>
          <w:spacing w:val="-4"/>
        </w:rPr>
        <w:t xml:space="preserve"> </w:t>
      </w:r>
      <w:r>
        <w:t>Survey</w:t>
      </w:r>
      <w:r>
        <w:rPr>
          <w:spacing w:val="-5"/>
        </w:rPr>
        <w:t xml:space="preserve"> </w:t>
      </w:r>
      <w:r>
        <w:t>who</w:t>
      </w:r>
      <w:r>
        <w:rPr>
          <w:spacing w:val="-4"/>
        </w:rPr>
        <w:t xml:space="preserve"> </w:t>
      </w:r>
      <w:r>
        <w:t>provided</w:t>
      </w:r>
      <w:r>
        <w:rPr>
          <w:spacing w:val="-4"/>
        </w:rPr>
        <w:t xml:space="preserve"> </w:t>
      </w:r>
      <w:r>
        <w:t>biomedical</w:t>
      </w:r>
      <w:r>
        <w:rPr>
          <w:spacing w:val="-5"/>
        </w:rPr>
        <w:t xml:space="preserve"> </w:t>
      </w:r>
      <w:r>
        <w:t>data</w:t>
      </w:r>
      <w:r>
        <w:rPr>
          <w:spacing w:val="-3"/>
        </w:rPr>
        <w:t xml:space="preserve"> </w:t>
      </w:r>
      <w:r>
        <w:t>between</w:t>
      </w:r>
      <w:r>
        <w:rPr>
          <w:spacing w:val="-4"/>
        </w:rPr>
        <w:t xml:space="preserve"> </w:t>
      </w:r>
      <w:r>
        <w:t xml:space="preserve">March 2011 and September 2012. The risk of a cardiovascular event for participants without prior CVD was estimated using the National Vascular Disease Prevention Alliance CVD risk assessment tool and </w:t>
      </w:r>
      <w:proofErr w:type="spellStart"/>
      <w:r>
        <w:t>categorised</w:t>
      </w:r>
      <w:proofErr w:type="spellEnd"/>
      <w:r>
        <w:t xml:space="preserve"> as low (&lt;10%), moderate (10-15%), or high risk (&gt;15%).</w:t>
      </w:r>
    </w:p>
    <w:p w14:paraId="7A4C2D1A" w14:textId="77777777" w:rsidR="00E13D3F" w:rsidRDefault="00FB2D6A">
      <w:pPr>
        <w:pStyle w:val="BodyText"/>
        <w:spacing w:before="9"/>
        <w:ind w:left="0"/>
        <w:rPr>
          <w:sz w:val="7"/>
        </w:rPr>
      </w:pPr>
      <w:r>
        <w:rPr>
          <w:noProof/>
          <w:sz w:val="7"/>
        </w:rPr>
        <w:drawing>
          <wp:anchor distT="0" distB="0" distL="0" distR="0" simplePos="0" relativeHeight="251658240" behindDoc="1" locked="0" layoutInCell="1" allowOverlap="1" wp14:anchorId="7A4C3C3A" wp14:editId="7A4C3C3B">
            <wp:simplePos x="0" y="0"/>
            <wp:positionH relativeFrom="page">
              <wp:posOffset>1397000</wp:posOffset>
            </wp:positionH>
            <wp:positionV relativeFrom="paragraph">
              <wp:posOffset>75679</wp:posOffset>
            </wp:positionV>
            <wp:extent cx="4722942" cy="2932176"/>
            <wp:effectExtent l="0" t="0" r="0" b="0"/>
            <wp:wrapTopAndBottom/>
            <wp:docPr id="47" name="Image 47" descr="Chart, bar char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descr="Chart, bar chart  Description automatically generated"/>
                    <pic:cNvPicPr/>
                  </pic:nvPicPr>
                  <pic:blipFill>
                    <a:blip r:embed="rId17" cstate="print"/>
                    <a:stretch>
                      <a:fillRect/>
                    </a:stretch>
                  </pic:blipFill>
                  <pic:spPr>
                    <a:xfrm>
                      <a:off x="0" y="0"/>
                      <a:ext cx="4722942" cy="2932176"/>
                    </a:xfrm>
                    <a:prstGeom prst="rect">
                      <a:avLst/>
                    </a:prstGeom>
                  </pic:spPr>
                </pic:pic>
              </a:graphicData>
            </a:graphic>
          </wp:anchor>
        </w:drawing>
      </w:r>
    </w:p>
    <w:p w14:paraId="7A4C2D1B" w14:textId="77777777" w:rsidR="00E13D3F" w:rsidRDefault="00FB2D6A">
      <w:pPr>
        <w:spacing w:before="71"/>
        <w:ind w:left="3802" w:right="1450" w:hanging="2207"/>
      </w:pPr>
      <w:r>
        <w:rPr>
          <w:b/>
        </w:rPr>
        <w:t>Figure</w:t>
      </w:r>
      <w:r>
        <w:rPr>
          <w:b/>
          <w:spacing w:val="-4"/>
        </w:rPr>
        <w:t xml:space="preserve"> </w:t>
      </w:r>
      <w:r>
        <w:rPr>
          <w:b/>
        </w:rPr>
        <w:t>1.1.</w:t>
      </w:r>
      <w:r>
        <w:rPr>
          <w:b/>
          <w:spacing w:val="-1"/>
        </w:rPr>
        <w:t xml:space="preserve"> </w:t>
      </w:r>
      <w:r>
        <w:t>5-year</w:t>
      </w:r>
      <w:r>
        <w:rPr>
          <w:spacing w:val="-3"/>
        </w:rPr>
        <w:t xml:space="preserve"> </w:t>
      </w:r>
      <w:r>
        <w:t>CVD</w:t>
      </w:r>
      <w:r>
        <w:rPr>
          <w:spacing w:val="-3"/>
        </w:rPr>
        <w:t xml:space="preserve"> </w:t>
      </w:r>
      <w:r>
        <w:t>event</w:t>
      </w:r>
      <w:r>
        <w:rPr>
          <w:spacing w:val="-1"/>
        </w:rPr>
        <w:t xml:space="preserve"> </w:t>
      </w:r>
      <w:r>
        <w:t>risk</w:t>
      </w:r>
      <w:r>
        <w:rPr>
          <w:spacing w:val="-1"/>
        </w:rPr>
        <w:t xml:space="preserve"> </w:t>
      </w:r>
      <w:r>
        <w:t>by</w:t>
      </w:r>
      <w:r>
        <w:rPr>
          <w:spacing w:val="-3"/>
        </w:rPr>
        <w:t xml:space="preserve"> </w:t>
      </w:r>
      <w:r>
        <w:t>age.</w:t>
      </w:r>
      <w:r>
        <w:rPr>
          <w:spacing w:val="-1"/>
        </w:rPr>
        <w:t xml:space="preserve"> </w:t>
      </w:r>
      <w:r>
        <w:t>Absolute</w:t>
      </w:r>
      <w:r>
        <w:rPr>
          <w:spacing w:val="-3"/>
        </w:rPr>
        <w:t xml:space="preserve"> </w:t>
      </w:r>
      <w:r>
        <w:t>risk</w:t>
      </w:r>
      <w:r>
        <w:rPr>
          <w:spacing w:val="-3"/>
        </w:rPr>
        <w:t xml:space="preserve"> </w:t>
      </w:r>
      <w:r>
        <w:t>in</w:t>
      </w:r>
      <w:r>
        <w:rPr>
          <w:spacing w:val="-1"/>
        </w:rPr>
        <w:t xml:space="preserve"> </w:t>
      </w:r>
      <w:r>
        <w:t>the</w:t>
      </w:r>
      <w:r>
        <w:rPr>
          <w:spacing w:val="-1"/>
        </w:rPr>
        <w:t xml:space="preserve"> </w:t>
      </w:r>
      <w:r>
        <w:t>Australian</w:t>
      </w:r>
      <w:r>
        <w:rPr>
          <w:spacing w:val="-2"/>
        </w:rPr>
        <w:t xml:space="preserve"> </w:t>
      </w:r>
      <w:r>
        <w:t>cohort</w:t>
      </w:r>
      <w:r>
        <w:rPr>
          <w:spacing w:val="-4"/>
        </w:rPr>
        <w:t xml:space="preserve"> </w:t>
      </w:r>
      <w:r>
        <w:t>was</w:t>
      </w:r>
      <w:r>
        <w:rPr>
          <w:spacing w:val="-1"/>
        </w:rPr>
        <w:t xml:space="preserve"> </w:t>
      </w:r>
      <w:proofErr w:type="spellStart"/>
      <w:r>
        <w:t>categorised</w:t>
      </w:r>
      <w:proofErr w:type="spellEnd"/>
      <w:r>
        <w:rPr>
          <w:spacing w:val="-1"/>
        </w:rPr>
        <w:t xml:space="preserve"> </w:t>
      </w:r>
      <w:r>
        <w:t>as low (&lt;10%); moderate (10-15%); high (&gt;15%) (4)</w:t>
      </w:r>
    </w:p>
    <w:p w14:paraId="7A4C2D1C" w14:textId="77777777" w:rsidR="00E13D3F" w:rsidRDefault="00E13D3F">
      <w:pPr>
        <w:sectPr w:rsidR="00E13D3F">
          <w:pgSz w:w="11910" w:h="16840"/>
          <w:pgMar w:top="1380" w:right="0" w:bottom="1200" w:left="0" w:header="0" w:footer="1000" w:gutter="0"/>
          <w:cols w:space="720"/>
        </w:sectPr>
      </w:pPr>
    </w:p>
    <w:p w14:paraId="7A4C2D1D" w14:textId="77777777" w:rsidR="00E13D3F" w:rsidRDefault="00FB2D6A">
      <w:pPr>
        <w:pStyle w:val="BodyText"/>
        <w:spacing w:before="41" w:line="276" w:lineRule="auto"/>
        <w:ind w:right="1450"/>
      </w:pPr>
      <w:r>
        <w:lastRenderedPageBreak/>
        <w:t>Some,</w:t>
      </w:r>
      <w:r>
        <w:rPr>
          <w:spacing w:val="-2"/>
        </w:rPr>
        <w:t xml:space="preserve"> </w:t>
      </w:r>
      <w:r>
        <w:t>if</w:t>
      </w:r>
      <w:r>
        <w:rPr>
          <w:spacing w:val="-2"/>
        </w:rPr>
        <w:t xml:space="preserve"> </w:t>
      </w:r>
      <w:r>
        <w:t>not</w:t>
      </w:r>
      <w:r>
        <w:rPr>
          <w:spacing w:val="-2"/>
        </w:rPr>
        <w:t xml:space="preserve"> </w:t>
      </w:r>
      <w:r>
        <w:t>most,</w:t>
      </w:r>
      <w:r>
        <w:rPr>
          <w:spacing w:val="-4"/>
        </w:rPr>
        <w:t xml:space="preserve"> </w:t>
      </w:r>
      <w:r>
        <w:t>of</w:t>
      </w:r>
      <w:r>
        <w:rPr>
          <w:spacing w:val="-2"/>
        </w:rPr>
        <w:t xml:space="preserve"> </w:t>
      </w:r>
      <w:r>
        <w:t>the</w:t>
      </w:r>
      <w:r>
        <w:rPr>
          <w:spacing w:val="-4"/>
        </w:rPr>
        <w:t xml:space="preserve"> </w:t>
      </w:r>
      <w:r>
        <w:t>young</w:t>
      </w:r>
      <w:r>
        <w:rPr>
          <w:spacing w:val="-4"/>
        </w:rPr>
        <w:t xml:space="preserve"> </w:t>
      </w:r>
      <w:r>
        <w:t>“high</w:t>
      </w:r>
      <w:r>
        <w:rPr>
          <w:spacing w:val="-2"/>
        </w:rPr>
        <w:t xml:space="preserve"> </w:t>
      </w:r>
      <w:r>
        <w:t>risk”</w:t>
      </w:r>
      <w:r>
        <w:rPr>
          <w:spacing w:val="-4"/>
        </w:rPr>
        <w:t xml:space="preserve"> </w:t>
      </w:r>
      <w:r>
        <w:t>patients</w:t>
      </w:r>
      <w:r>
        <w:rPr>
          <w:spacing w:val="-2"/>
        </w:rPr>
        <w:t xml:space="preserve"> </w:t>
      </w:r>
      <w:r>
        <w:t>will</w:t>
      </w:r>
      <w:r>
        <w:rPr>
          <w:spacing w:val="-4"/>
        </w:rPr>
        <w:t xml:space="preserve"> </w:t>
      </w:r>
      <w:r>
        <w:t>be</w:t>
      </w:r>
      <w:r>
        <w:rPr>
          <w:spacing w:val="-2"/>
        </w:rPr>
        <w:t xml:space="preserve"> </w:t>
      </w:r>
      <w:r>
        <w:t>detected</w:t>
      </w:r>
      <w:r>
        <w:rPr>
          <w:spacing w:val="-3"/>
        </w:rPr>
        <w:t xml:space="preserve"> </w:t>
      </w:r>
      <w:r>
        <w:t>because</w:t>
      </w:r>
      <w:r>
        <w:rPr>
          <w:spacing w:val="-2"/>
        </w:rPr>
        <w:t xml:space="preserve"> </w:t>
      </w:r>
      <w:r>
        <w:t>of</w:t>
      </w:r>
      <w:r>
        <w:rPr>
          <w:spacing w:val="-3"/>
        </w:rPr>
        <w:t xml:space="preserve"> </w:t>
      </w:r>
      <w:r>
        <w:t>a</w:t>
      </w:r>
      <w:r>
        <w:rPr>
          <w:spacing w:val="-2"/>
        </w:rPr>
        <w:t xml:space="preserve"> </w:t>
      </w:r>
      <w:r>
        <w:t>single</w:t>
      </w:r>
      <w:r>
        <w:rPr>
          <w:spacing w:val="-2"/>
        </w:rPr>
        <w:t xml:space="preserve"> </w:t>
      </w:r>
      <w:r>
        <w:t xml:space="preserve">risk factor, such as smoking, diabetes, familial dyslipidemia, or an incidental blood pressure measurement. Hence most recommendations for CVD risk assessment start in the 40s or </w:t>
      </w:r>
      <w:r>
        <w:rPr>
          <w:spacing w:val="-2"/>
        </w:rPr>
        <w:t>later.</w:t>
      </w:r>
    </w:p>
    <w:p w14:paraId="7A4C2D1E" w14:textId="77777777" w:rsidR="00E13D3F" w:rsidRDefault="00FB2D6A">
      <w:pPr>
        <w:pStyle w:val="BodyText"/>
        <w:spacing w:before="121" w:line="276" w:lineRule="auto"/>
        <w:ind w:right="1450"/>
      </w:pPr>
      <w:r>
        <w:t xml:space="preserve">This approach, which is based on </w:t>
      </w:r>
      <w:r>
        <w:rPr>
          <w:i/>
        </w:rPr>
        <w:t xml:space="preserve">current </w:t>
      </w:r>
      <w:r>
        <w:t>level of CVD risk, assumes no “legacy” effect of starting</w:t>
      </w:r>
      <w:r>
        <w:rPr>
          <w:spacing w:val="-3"/>
        </w:rPr>
        <w:t xml:space="preserve"> </w:t>
      </w:r>
      <w:r>
        <w:t>at</w:t>
      </w:r>
      <w:r>
        <w:rPr>
          <w:spacing w:val="-2"/>
        </w:rPr>
        <w:t xml:space="preserve"> </w:t>
      </w:r>
      <w:r>
        <w:t>an</w:t>
      </w:r>
      <w:r>
        <w:rPr>
          <w:spacing w:val="-4"/>
        </w:rPr>
        <w:t xml:space="preserve"> </w:t>
      </w:r>
      <w:r>
        <w:t>earlier</w:t>
      </w:r>
      <w:r>
        <w:rPr>
          <w:spacing w:val="-2"/>
        </w:rPr>
        <w:t xml:space="preserve"> </w:t>
      </w:r>
      <w:r>
        <w:t>age</w:t>
      </w:r>
      <w:r>
        <w:rPr>
          <w:spacing w:val="-6"/>
        </w:rPr>
        <w:t xml:space="preserve"> </w:t>
      </w:r>
      <w:r>
        <w:t>which</w:t>
      </w:r>
      <w:r>
        <w:rPr>
          <w:spacing w:val="-4"/>
        </w:rPr>
        <w:t xml:space="preserve"> </w:t>
      </w:r>
      <w:r>
        <w:t>might</w:t>
      </w:r>
      <w:r>
        <w:rPr>
          <w:spacing w:val="-2"/>
        </w:rPr>
        <w:t xml:space="preserve"> </w:t>
      </w:r>
      <w:r>
        <w:t>reduce</w:t>
      </w:r>
      <w:r>
        <w:rPr>
          <w:spacing w:val="-5"/>
        </w:rPr>
        <w:t xml:space="preserve"> </w:t>
      </w:r>
      <w:r>
        <w:t>later</w:t>
      </w:r>
      <w:r>
        <w:rPr>
          <w:spacing w:val="-4"/>
        </w:rPr>
        <w:t xml:space="preserve"> </w:t>
      </w:r>
      <w:r>
        <w:t>risk.</w:t>
      </w:r>
      <w:r>
        <w:rPr>
          <w:spacing w:val="-4"/>
        </w:rPr>
        <w:t xml:space="preserve"> </w:t>
      </w:r>
      <w:r>
        <w:t>Reviews</w:t>
      </w:r>
      <w:r>
        <w:rPr>
          <w:spacing w:val="-3"/>
        </w:rPr>
        <w:t xml:space="preserve"> </w:t>
      </w:r>
      <w:r>
        <w:t>of</w:t>
      </w:r>
      <w:r>
        <w:rPr>
          <w:spacing w:val="-4"/>
        </w:rPr>
        <w:t xml:space="preserve"> </w:t>
      </w:r>
      <w:r>
        <w:t>trials</w:t>
      </w:r>
      <w:r>
        <w:rPr>
          <w:spacing w:val="-3"/>
        </w:rPr>
        <w:t xml:space="preserve"> </w:t>
      </w:r>
      <w:r>
        <w:t>comparing</w:t>
      </w:r>
      <w:r>
        <w:rPr>
          <w:spacing w:val="-5"/>
        </w:rPr>
        <w:t xml:space="preserve"> </w:t>
      </w:r>
      <w:r>
        <w:t>earlier with later starting have found no such “legacy” effects for blood pressure or cholesterol lowering treatments (5-6).</w:t>
      </w:r>
    </w:p>
    <w:p w14:paraId="7A4C2D1F" w14:textId="77777777" w:rsidR="00E13D3F" w:rsidRDefault="00FB2D6A">
      <w:pPr>
        <w:pStyle w:val="Heading2"/>
        <w:spacing w:before="122"/>
      </w:pPr>
      <w:r>
        <w:rPr>
          <w:color w:val="2E5395"/>
        </w:rPr>
        <w:t>Interval</w:t>
      </w:r>
      <w:r>
        <w:rPr>
          <w:color w:val="2E5395"/>
          <w:spacing w:val="-6"/>
        </w:rPr>
        <w:t xml:space="preserve"> </w:t>
      </w:r>
      <w:r>
        <w:rPr>
          <w:color w:val="2E5395"/>
        </w:rPr>
        <w:t>for</w:t>
      </w:r>
      <w:r>
        <w:rPr>
          <w:color w:val="2E5395"/>
          <w:spacing w:val="-8"/>
        </w:rPr>
        <w:t xml:space="preserve"> </w:t>
      </w:r>
      <w:r>
        <w:rPr>
          <w:color w:val="2E5395"/>
          <w:spacing w:val="-2"/>
        </w:rPr>
        <w:t>Assessment</w:t>
      </w:r>
    </w:p>
    <w:p w14:paraId="7A4C2D20" w14:textId="77777777" w:rsidR="00E13D3F" w:rsidRDefault="00FB2D6A">
      <w:pPr>
        <w:pStyle w:val="BodyText"/>
        <w:spacing w:before="23" w:line="276" w:lineRule="auto"/>
        <w:ind w:right="1586"/>
      </w:pPr>
      <w:r>
        <w:t>No</w:t>
      </w:r>
      <w:r>
        <w:rPr>
          <w:spacing w:val="-4"/>
        </w:rPr>
        <w:t xml:space="preserve"> </w:t>
      </w:r>
      <w:r>
        <w:t>trials</w:t>
      </w:r>
      <w:r>
        <w:rPr>
          <w:spacing w:val="-5"/>
        </w:rPr>
        <w:t xml:space="preserve"> </w:t>
      </w:r>
      <w:r>
        <w:t>have</w:t>
      </w:r>
      <w:r>
        <w:rPr>
          <w:spacing w:val="-2"/>
        </w:rPr>
        <w:t xml:space="preserve"> </w:t>
      </w:r>
      <w:r>
        <w:t>compared</w:t>
      </w:r>
      <w:r>
        <w:rPr>
          <w:spacing w:val="-4"/>
        </w:rPr>
        <w:t xml:space="preserve"> </w:t>
      </w:r>
      <w:r>
        <w:t>different</w:t>
      </w:r>
      <w:r>
        <w:rPr>
          <w:spacing w:val="-2"/>
        </w:rPr>
        <w:t xml:space="preserve"> </w:t>
      </w:r>
      <w:r>
        <w:t>intervals</w:t>
      </w:r>
      <w:r>
        <w:rPr>
          <w:spacing w:val="-4"/>
        </w:rPr>
        <w:t xml:space="preserve"> </w:t>
      </w:r>
      <w:r>
        <w:t>of</w:t>
      </w:r>
      <w:r>
        <w:rPr>
          <w:spacing w:val="-2"/>
        </w:rPr>
        <w:t xml:space="preserve"> </w:t>
      </w:r>
      <w:r>
        <w:t>CVD</w:t>
      </w:r>
      <w:r>
        <w:rPr>
          <w:spacing w:val="-2"/>
        </w:rPr>
        <w:t xml:space="preserve"> </w:t>
      </w:r>
      <w:r>
        <w:t>risk</w:t>
      </w:r>
      <w:r>
        <w:rPr>
          <w:spacing w:val="-4"/>
        </w:rPr>
        <w:t xml:space="preserve"> </w:t>
      </w:r>
      <w:r>
        <w:t>assessment.</w:t>
      </w:r>
      <w:r>
        <w:rPr>
          <w:spacing w:val="-4"/>
        </w:rPr>
        <w:t xml:space="preserve"> </w:t>
      </w:r>
      <w:r>
        <w:t>However,</w:t>
      </w:r>
      <w:r>
        <w:rPr>
          <w:spacing w:val="-2"/>
        </w:rPr>
        <w:t xml:space="preserve"> </w:t>
      </w:r>
      <w:r>
        <w:t>a</w:t>
      </w:r>
      <w:r>
        <w:rPr>
          <w:spacing w:val="-5"/>
        </w:rPr>
        <w:t xml:space="preserve"> </w:t>
      </w:r>
      <w:r>
        <w:t>few</w:t>
      </w:r>
      <w:r>
        <w:rPr>
          <w:spacing w:val="-3"/>
        </w:rPr>
        <w:t xml:space="preserve"> </w:t>
      </w:r>
      <w:r>
        <w:t xml:space="preserve">studies (6-7) have examined the likely impact of assessment intervals by modelling different intervals within a cohort of patients having repeated assessments. The study by </w:t>
      </w:r>
      <w:proofErr w:type="spellStart"/>
      <w:r>
        <w:t>Lindbohm</w:t>
      </w:r>
      <w:proofErr w:type="spellEnd"/>
      <w:r>
        <w:t xml:space="preserve"> used data from 6964 participants in the British Whitehall II study (mean of 50 years, range 40–64</w:t>
      </w:r>
      <w:r>
        <w:rPr>
          <w:spacing w:val="-1"/>
        </w:rPr>
        <w:t xml:space="preserve"> </w:t>
      </w:r>
      <w:r>
        <w:t>years at</w:t>
      </w:r>
      <w:r>
        <w:rPr>
          <w:spacing w:val="-1"/>
        </w:rPr>
        <w:t xml:space="preserve"> </w:t>
      </w:r>
      <w:r>
        <w:t>baseline</w:t>
      </w:r>
      <w:r>
        <w:rPr>
          <w:spacing w:val="-1"/>
        </w:rPr>
        <w:t xml:space="preserve"> </w:t>
      </w:r>
      <w:r>
        <w:t>between 1991</w:t>
      </w:r>
      <w:r>
        <w:rPr>
          <w:spacing w:val="-1"/>
        </w:rPr>
        <w:t xml:space="preserve"> </w:t>
      </w:r>
      <w:r>
        <w:t>and 1993)</w:t>
      </w:r>
      <w:r>
        <w:rPr>
          <w:spacing w:val="-2"/>
        </w:rPr>
        <w:t xml:space="preserve"> </w:t>
      </w:r>
      <w:r>
        <w:t>who had</w:t>
      </w:r>
      <w:r>
        <w:rPr>
          <w:spacing w:val="-1"/>
        </w:rPr>
        <w:t xml:space="preserve"> </w:t>
      </w:r>
      <w:r>
        <w:t>repeated</w:t>
      </w:r>
      <w:r>
        <w:rPr>
          <w:spacing w:val="-1"/>
        </w:rPr>
        <w:t xml:space="preserve"> </w:t>
      </w:r>
      <w:r>
        <w:t>biomedical screenings at 5-year intervals and had linked follow up data to 2015 (mean follow-up of 22 years) (7).</w:t>
      </w:r>
    </w:p>
    <w:p w14:paraId="7A4C2D21" w14:textId="77777777" w:rsidR="00E13D3F" w:rsidRDefault="00FB2D6A">
      <w:pPr>
        <w:spacing w:before="120" w:line="276" w:lineRule="auto"/>
        <w:ind w:left="1440" w:right="1448"/>
        <w:rPr>
          <w:sz w:val="24"/>
        </w:rPr>
      </w:pPr>
      <w:r>
        <w:rPr>
          <w:sz w:val="24"/>
        </w:rPr>
        <w:t xml:space="preserve">Participants’ 10-year risk of a major cardiovascular event (fatal coronary heart disease, non-fatal myocardial infarction, and fatal or non-fatal stroke) was estimated using the revised Atherosclerotic Cardiovascular Disease (ASCVD) calculator. The investigators interpolated the impact of 21 alternative screening regimes which varied the assessment interval on progression rates from low and intermediate risk categories to the high-risk category. The results of 3 assessment schedules are shown in the Table 1.2. </w:t>
      </w:r>
      <w:r>
        <w:rPr>
          <w:b/>
          <w:sz w:val="24"/>
        </w:rPr>
        <w:t>Compared with the 5-5-5 schedule, the 10-5-2 schedule (assessments 10 yearly for low risk; 5 yearly for intermediate-low</w:t>
      </w:r>
      <w:r>
        <w:rPr>
          <w:b/>
          <w:spacing w:val="-4"/>
          <w:sz w:val="24"/>
        </w:rPr>
        <w:t xml:space="preserve"> </w:t>
      </w:r>
      <w:r>
        <w:rPr>
          <w:b/>
          <w:sz w:val="24"/>
        </w:rPr>
        <w:t>risk;</w:t>
      </w:r>
      <w:r>
        <w:rPr>
          <w:b/>
          <w:spacing w:val="-4"/>
          <w:sz w:val="24"/>
        </w:rPr>
        <w:t xml:space="preserve"> </w:t>
      </w:r>
      <w:r>
        <w:rPr>
          <w:b/>
          <w:sz w:val="24"/>
        </w:rPr>
        <w:t>2</w:t>
      </w:r>
      <w:r>
        <w:rPr>
          <w:b/>
          <w:spacing w:val="-4"/>
          <w:sz w:val="24"/>
        </w:rPr>
        <w:t xml:space="preserve"> </w:t>
      </w:r>
      <w:r>
        <w:rPr>
          <w:b/>
          <w:sz w:val="24"/>
        </w:rPr>
        <w:t>yearly</w:t>
      </w:r>
      <w:r>
        <w:rPr>
          <w:b/>
          <w:spacing w:val="-4"/>
          <w:sz w:val="24"/>
        </w:rPr>
        <w:t xml:space="preserve"> </w:t>
      </w:r>
      <w:r>
        <w:rPr>
          <w:b/>
          <w:sz w:val="24"/>
        </w:rPr>
        <w:t>for</w:t>
      </w:r>
      <w:r>
        <w:rPr>
          <w:b/>
          <w:spacing w:val="-4"/>
          <w:sz w:val="24"/>
        </w:rPr>
        <w:t xml:space="preserve"> </w:t>
      </w:r>
      <w:r>
        <w:rPr>
          <w:b/>
          <w:sz w:val="24"/>
        </w:rPr>
        <w:t>intermediate-high</w:t>
      </w:r>
      <w:r>
        <w:rPr>
          <w:b/>
          <w:spacing w:val="-4"/>
          <w:sz w:val="24"/>
        </w:rPr>
        <w:t xml:space="preserve"> </w:t>
      </w:r>
      <w:r>
        <w:rPr>
          <w:b/>
          <w:sz w:val="24"/>
        </w:rPr>
        <w:t>risk)</w:t>
      </w:r>
      <w:r>
        <w:rPr>
          <w:b/>
          <w:spacing w:val="-5"/>
          <w:sz w:val="24"/>
        </w:rPr>
        <w:t xml:space="preserve"> </w:t>
      </w:r>
      <w:r>
        <w:rPr>
          <w:b/>
          <w:sz w:val="24"/>
        </w:rPr>
        <w:t>prevents</w:t>
      </w:r>
      <w:r>
        <w:rPr>
          <w:b/>
          <w:spacing w:val="-2"/>
          <w:sz w:val="24"/>
        </w:rPr>
        <w:t xml:space="preserve"> </w:t>
      </w:r>
      <w:r>
        <w:rPr>
          <w:b/>
          <w:sz w:val="24"/>
        </w:rPr>
        <w:t>more</w:t>
      </w:r>
      <w:r>
        <w:rPr>
          <w:b/>
          <w:spacing w:val="-4"/>
          <w:sz w:val="24"/>
        </w:rPr>
        <w:t xml:space="preserve"> </w:t>
      </w:r>
      <w:r>
        <w:rPr>
          <w:b/>
          <w:sz w:val="24"/>
        </w:rPr>
        <w:t>CVD</w:t>
      </w:r>
      <w:r>
        <w:rPr>
          <w:b/>
          <w:spacing w:val="-3"/>
          <w:sz w:val="24"/>
        </w:rPr>
        <w:t xml:space="preserve"> </w:t>
      </w:r>
      <w:r>
        <w:rPr>
          <w:b/>
          <w:sz w:val="24"/>
        </w:rPr>
        <w:t>events</w:t>
      </w:r>
      <w:r>
        <w:rPr>
          <w:b/>
          <w:spacing w:val="-2"/>
          <w:sz w:val="24"/>
        </w:rPr>
        <w:t xml:space="preserve"> </w:t>
      </w:r>
      <w:r>
        <w:rPr>
          <w:b/>
          <w:sz w:val="24"/>
        </w:rPr>
        <w:t>(0.38 additional CVD events prevented per 100 people)</w:t>
      </w:r>
      <w:r>
        <w:rPr>
          <w:b/>
          <w:spacing w:val="40"/>
          <w:sz w:val="24"/>
        </w:rPr>
        <w:t xml:space="preserve"> </w:t>
      </w:r>
      <w:r>
        <w:rPr>
          <w:b/>
          <w:sz w:val="24"/>
        </w:rPr>
        <w:t xml:space="preserve">but using fewer CVD assessments (342 assessments per 100 people compared to 363 assessments per 100 people with the 5-year screening intervals. </w:t>
      </w:r>
      <w:r>
        <w:rPr>
          <w:sz w:val="24"/>
        </w:rPr>
        <w:t>Hence, risk-adaptive schedules are more effective and cost-effective than a uniform schedule.</w:t>
      </w:r>
    </w:p>
    <w:p w14:paraId="7A4C2D22" w14:textId="77777777" w:rsidR="00E13D3F" w:rsidRDefault="00FB2D6A">
      <w:pPr>
        <w:spacing w:before="123" w:after="3" w:line="237" w:lineRule="auto"/>
        <w:ind w:left="1440" w:right="1450"/>
      </w:pPr>
      <w:r>
        <w:rPr>
          <w:b/>
        </w:rPr>
        <w:t>Table 1.2</w:t>
      </w:r>
      <w:r>
        <w:t>: Consequences of two risk category specific screening intervals (10-5-2 and 7-4-1) compared</w:t>
      </w:r>
      <w:r>
        <w:rPr>
          <w:spacing w:val="-5"/>
        </w:rPr>
        <w:t xml:space="preserve"> </w:t>
      </w:r>
      <w:r>
        <w:t>with</w:t>
      </w:r>
      <w:r>
        <w:rPr>
          <w:spacing w:val="-2"/>
        </w:rPr>
        <w:t xml:space="preserve"> </w:t>
      </w:r>
      <w:r>
        <w:t>the</w:t>
      </w:r>
      <w:r>
        <w:rPr>
          <w:spacing w:val="-4"/>
        </w:rPr>
        <w:t xml:space="preserve"> </w:t>
      </w:r>
      <w:r>
        <w:t>5</w:t>
      </w:r>
      <w:r>
        <w:rPr>
          <w:spacing w:val="-3"/>
        </w:rPr>
        <w:t xml:space="preserve"> </w:t>
      </w:r>
      <w:r>
        <w:t>yearly</w:t>
      </w:r>
      <w:r>
        <w:rPr>
          <w:spacing w:val="-4"/>
        </w:rPr>
        <w:t xml:space="preserve"> </w:t>
      </w:r>
      <w:r>
        <w:t>screening</w:t>
      </w:r>
      <w:r>
        <w:rPr>
          <w:spacing w:val="-3"/>
        </w:rPr>
        <w:t xml:space="preserve"> </w:t>
      </w:r>
      <w:r>
        <w:t>interval</w:t>
      </w:r>
      <w:r>
        <w:rPr>
          <w:spacing w:val="-5"/>
        </w:rPr>
        <w:t xml:space="preserve"> </w:t>
      </w:r>
      <w:r>
        <w:t>(5-5-5)</w:t>
      </w:r>
      <w:r>
        <w:rPr>
          <w:spacing w:val="-2"/>
        </w:rPr>
        <w:t xml:space="preserve"> </w:t>
      </w:r>
      <w:r>
        <w:t>for</w:t>
      </w:r>
      <w:r>
        <w:rPr>
          <w:spacing w:val="-2"/>
        </w:rPr>
        <w:t xml:space="preserve"> </w:t>
      </w:r>
      <w:r>
        <w:t>everyone.</w:t>
      </w:r>
      <w:r>
        <w:rPr>
          <w:spacing w:val="-2"/>
        </w:rPr>
        <w:t xml:space="preserve"> </w:t>
      </w:r>
      <w:r>
        <w:t>Numbers</w:t>
      </w:r>
      <w:r>
        <w:rPr>
          <w:spacing w:val="-2"/>
        </w:rPr>
        <w:t xml:space="preserve"> </w:t>
      </w:r>
      <w:r>
        <w:t>derived</w:t>
      </w:r>
      <w:r>
        <w:rPr>
          <w:spacing w:val="-2"/>
        </w:rPr>
        <w:t xml:space="preserve"> </w:t>
      </w:r>
      <w:r>
        <w:t>from</w:t>
      </w:r>
      <w:r>
        <w:rPr>
          <w:spacing w:val="-1"/>
        </w:rPr>
        <w:t xml:space="preserve"> </w:t>
      </w:r>
      <w:r>
        <w:t>(7).</w:t>
      </w:r>
    </w:p>
    <w:tbl>
      <w:tblPr>
        <w:tblW w:w="0" w:type="auto"/>
        <w:tblInd w:w="1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0"/>
        <w:gridCol w:w="1418"/>
        <w:gridCol w:w="1418"/>
        <w:gridCol w:w="1415"/>
        <w:gridCol w:w="2126"/>
      </w:tblGrid>
      <w:tr w:rsidR="00E13D3F" w14:paraId="7A4C2D27" w14:textId="77777777">
        <w:trPr>
          <w:trHeight w:val="847"/>
        </w:trPr>
        <w:tc>
          <w:tcPr>
            <w:tcW w:w="2830" w:type="dxa"/>
          </w:tcPr>
          <w:p w14:paraId="7A4C2D23" w14:textId="77777777" w:rsidR="00E13D3F" w:rsidRDefault="00E13D3F">
            <w:pPr>
              <w:pStyle w:val="TableParagraph"/>
              <w:rPr>
                <w:rFonts w:ascii="Times New Roman"/>
              </w:rPr>
            </w:pPr>
          </w:p>
        </w:tc>
        <w:tc>
          <w:tcPr>
            <w:tcW w:w="4251" w:type="dxa"/>
            <w:gridSpan w:val="3"/>
          </w:tcPr>
          <w:p w14:paraId="7A4C2D24" w14:textId="77777777" w:rsidR="00E13D3F" w:rsidRDefault="00FB2D6A">
            <w:pPr>
              <w:pStyle w:val="TableParagraph"/>
              <w:spacing w:before="3" w:line="264" w:lineRule="auto"/>
              <w:ind w:left="304" w:right="297"/>
              <w:jc w:val="center"/>
              <w:rPr>
                <w:b/>
                <w:sz w:val="18"/>
              </w:rPr>
            </w:pPr>
            <w:r>
              <w:rPr>
                <w:b/>
                <w:sz w:val="18"/>
              </w:rPr>
              <w:t>Years</w:t>
            </w:r>
            <w:r>
              <w:rPr>
                <w:b/>
                <w:spacing w:val="-5"/>
                <w:sz w:val="18"/>
              </w:rPr>
              <w:t xml:space="preserve"> </w:t>
            </w:r>
            <w:r>
              <w:rPr>
                <w:b/>
                <w:sz w:val="18"/>
              </w:rPr>
              <w:t>between</w:t>
            </w:r>
            <w:r>
              <w:rPr>
                <w:b/>
                <w:spacing w:val="-6"/>
                <w:sz w:val="18"/>
              </w:rPr>
              <w:t xml:space="preserve"> </w:t>
            </w:r>
            <w:r>
              <w:rPr>
                <w:b/>
                <w:sz w:val="18"/>
              </w:rPr>
              <w:t>assessments</w:t>
            </w:r>
            <w:r>
              <w:rPr>
                <w:b/>
                <w:spacing w:val="-5"/>
                <w:sz w:val="18"/>
              </w:rPr>
              <w:t xml:space="preserve"> </w:t>
            </w:r>
            <w:r>
              <w:rPr>
                <w:b/>
                <w:sz w:val="18"/>
              </w:rPr>
              <w:t>for</w:t>
            </w:r>
            <w:r>
              <w:rPr>
                <w:b/>
                <w:spacing w:val="-7"/>
                <w:sz w:val="18"/>
              </w:rPr>
              <w:t xml:space="preserve"> </w:t>
            </w:r>
            <w:r>
              <w:rPr>
                <w:b/>
                <w:sz w:val="18"/>
              </w:rPr>
              <w:t>3</w:t>
            </w:r>
            <w:r>
              <w:rPr>
                <w:b/>
                <w:spacing w:val="-5"/>
                <w:sz w:val="18"/>
              </w:rPr>
              <w:t xml:space="preserve"> </w:t>
            </w:r>
            <w:r>
              <w:rPr>
                <w:b/>
                <w:sz w:val="18"/>
              </w:rPr>
              <w:t>levels</w:t>
            </w:r>
            <w:r>
              <w:rPr>
                <w:b/>
                <w:spacing w:val="-5"/>
                <w:sz w:val="18"/>
              </w:rPr>
              <w:t xml:space="preserve"> </w:t>
            </w:r>
            <w:r>
              <w:rPr>
                <w:b/>
                <w:sz w:val="18"/>
              </w:rPr>
              <w:t>of</w:t>
            </w:r>
            <w:r>
              <w:rPr>
                <w:b/>
                <w:spacing w:val="-6"/>
                <w:sz w:val="18"/>
              </w:rPr>
              <w:t xml:space="preserve"> </w:t>
            </w:r>
            <w:r>
              <w:rPr>
                <w:b/>
                <w:sz w:val="18"/>
              </w:rPr>
              <w:t>risk</w:t>
            </w:r>
            <w:r>
              <w:rPr>
                <w:b/>
                <w:spacing w:val="-5"/>
                <w:sz w:val="18"/>
              </w:rPr>
              <w:t xml:space="preserve"> </w:t>
            </w:r>
            <w:r>
              <w:rPr>
                <w:b/>
                <w:sz w:val="18"/>
              </w:rPr>
              <w:t>of major cardiovascular event: low (&lt;2.5%), Intermediate risk (2.5-4.9%), high risk (5-7.5%)</w:t>
            </w:r>
          </w:p>
        </w:tc>
        <w:tc>
          <w:tcPr>
            <w:tcW w:w="2126" w:type="dxa"/>
          </w:tcPr>
          <w:p w14:paraId="7A4C2D25" w14:textId="77777777" w:rsidR="00E13D3F" w:rsidRDefault="00E13D3F">
            <w:pPr>
              <w:pStyle w:val="TableParagraph"/>
              <w:spacing w:before="206"/>
              <w:rPr>
                <w:sz w:val="18"/>
              </w:rPr>
            </w:pPr>
          </w:p>
          <w:p w14:paraId="7A4C2D26" w14:textId="77777777" w:rsidR="00E13D3F" w:rsidRDefault="00FB2D6A">
            <w:pPr>
              <w:pStyle w:val="TableParagraph"/>
              <w:ind w:left="662"/>
              <w:rPr>
                <w:b/>
                <w:sz w:val="18"/>
              </w:rPr>
            </w:pPr>
            <w:r>
              <w:rPr>
                <w:b/>
                <w:spacing w:val="-2"/>
                <w:sz w:val="18"/>
              </w:rPr>
              <w:t>Comments</w:t>
            </w:r>
          </w:p>
        </w:tc>
      </w:tr>
      <w:tr w:rsidR="00E13D3F" w14:paraId="7A4C2D2D" w14:textId="77777777">
        <w:trPr>
          <w:trHeight w:val="601"/>
        </w:trPr>
        <w:tc>
          <w:tcPr>
            <w:tcW w:w="2830" w:type="dxa"/>
            <w:shd w:val="clear" w:color="auto" w:fill="F1F1F1"/>
          </w:tcPr>
          <w:p w14:paraId="7A4C2D28" w14:textId="77777777" w:rsidR="00E13D3F" w:rsidRDefault="00FB2D6A">
            <w:pPr>
              <w:pStyle w:val="TableParagraph"/>
              <w:spacing w:before="1" w:line="264" w:lineRule="auto"/>
              <w:ind w:left="107" w:right="180"/>
              <w:rPr>
                <w:b/>
                <w:i/>
                <w:sz w:val="18"/>
              </w:rPr>
            </w:pPr>
            <w:r>
              <w:rPr>
                <w:b/>
                <w:i/>
                <w:sz w:val="18"/>
              </w:rPr>
              <w:t>Schedule</w:t>
            </w:r>
            <w:r>
              <w:rPr>
                <w:b/>
                <w:i/>
                <w:spacing w:val="-11"/>
                <w:sz w:val="18"/>
              </w:rPr>
              <w:t xml:space="preserve"> </w:t>
            </w:r>
            <w:r>
              <w:rPr>
                <w:b/>
                <w:i/>
                <w:sz w:val="18"/>
              </w:rPr>
              <w:t>used</w:t>
            </w:r>
            <w:r>
              <w:rPr>
                <w:b/>
                <w:i/>
                <w:spacing w:val="-10"/>
                <w:sz w:val="18"/>
              </w:rPr>
              <w:t xml:space="preserve"> </w:t>
            </w:r>
            <w:r>
              <w:rPr>
                <w:b/>
                <w:i/>
                <w:sz w:val="18"/>
              </w:rPr>
              <w:t>(low-intermediate-</w:t>
            </w:r>
            <w:r>
              <w:rPr>
                <w:b/>
                <w:i/>
                <w:spacing w:val="-2"/>
                <w:sz w:val="18"/>
              </w:rPr>
              <w:t>high)</w:t>
            </w:r>
          </w:p>
        </w:tc>
        <w:tc>
          <w:tcPr>
            <w:tcW w:w="1418" w:type="dxa"/>
            <w:shd w:val="clear" w:color="auto" w:fill="F1F1F1"/>
          </w:tcPr>
          <w:p w14:paraId="7A4C2D29" w14:textId="77777777" w:rsidR="00E13D3F" w:rsidRDefault="00FB2D6A">
            <w:pPr>
              <w:pStyle w:val="TableParagraph"/>
              <w:spacing w:before="121"/>
              <w:ind w:left="9" w:right="2"/>
              <w:jc w:val="center"/>
              <w:rPr>
                <w:b/>
                <w:i/>
                <w:sz w:val="18"/>
              </w:rPr>
            </w:pPr>
            <w:r>
              <w:rPr>
                <w:b/>
                <w:i/>
                <w:spacing w:val="-2"/>
                <w:sz w:val="18"/>
              </w:rPr>
              <w:t>5-5-</w:t>
            </w:r>
            <w:r>
              <w:rPr>
                <w:b/>
                <w:i/>
                <w:spacing w:val="-10"/>
                <w:sz w:val="18"/>
              </w:rPr>
              <w:t>5</w:t>
            </w:r>
          </w:p>
        </w:tc>
        <w:tc>
          <w:tcPr>
            <w:tcW w:w="1418" w:type="dxa"/>
            <w:shd w:val="clear" w:color="auto" w:fill="F1F1F1"/>
          </w:tcPr>
          <w:p w14:paraId="7A4C2D2A" w14:textId="77777777" w:rsidR="00E13D3F" w:rsidRDefault="00FB2D6A">
            <w:pPr>
              <w:pStyle w:val="TableParagraph"/>
              <w:spacing w:before="121"/>
              <w:ind w:left="9"/>
              <w:jc w:val="center"/>
              <w:rPr>
                <w:b/>
                <w:i/>
                <w:sz w:val="18"/>
              </w:rPr>
            </w:pPr>
            <w:r>
              <w:rPr>
                <w:b/>
                <w:i/>
                <w:spacing w:val="-2"/>
                <w:sz w:val="18"/>
              </w:rPr>
              <w:t>10-5-</w:t>
            </w:r>
            <w:r>
              <w:rPr>
                <w:b/>
                <w:i/>
                <w:spacing w:val="-10"/>
                <w:sz w:val="18"/>
              </w:rPr>
              <w:t>2</w:t>
            </w:r>
          </w:p>
        </w:tc>
        <w:tc>
          <w:tcPr>
            <w:tcW w:w="1415" w:type="dxa"/>
            <w:shd w:val="clear" w:color="auto" w:fill="F1F1F1"/>
          </w:tcPr>
          <w:p w14:paraId="7A4C2D2B" w14:textId="77777777" w:rsidR="00E13D3F" w:rsidRDefault="00FB2D6A">
            <w:pPr>
              <w:pStyle w:val="TableParagraph"/>
              <w:spacing w:before="121"/>
              <w:ind w:left="10" w:right="2"/>
              <w:jc w:val="center"/>
              <w:rPr>
                <w:b/>
                <w:i/>
                <w:sz w:val="18"/>
              </w:rPr>
            </w:pPr>
            <w:r>
              <w:rPr>
                <w:b/>
                <w:i/>
                <w:spacing w:val="-2"/>
                <w:sz w:val="18"/>
              </w:rPr>
              <w:t>7-4-</w:t>
            </w:r>
            <w:r>
              <w:rPr>
                <w:b/>
                <w:i/>
                <w:spacing w:val="-10"/>
                <w:sz w:val="18"/>
              </w:rPr>
              <w:t>1</w:t>
            </w:r>
          </w:p>
        </w:tc>
        <w:tc>
          <w:tcPr>
            <w:tcW w:w="2126" w:type="dxa"/>
            <w:shd w:val="clear" w:color="auto" w:fill="F1F1F1"/>
          </w:tcPr>
          <w:p w14:paraId="7A4C2D2C" w14:textId="77777777" w:rsidR="00E13D3F" w:rsidRDefault="00FB2D6A">
            <w:pPr>
              <w:pStyle w:val="TableParagraph"/>
              <w:spacing w:before="1" w:line="264" w:lineRule="auto"/>
              <w:ind w:left="110"/>
              <w:rPr>
                <w:i/>
                <w:sz w:val="18"/>
              </w:rPr>
            </w:pPr>
            <w:r>
              <w:rPr>
                <w:i/>
                <w:sz w:val="18"/>
              </w:rPr>
              <w:t>3 of</w:t>
            </w:r>
            <w:r>
              <w:rPr>
                <w:i/>
                <w:spacing w:val="-1"/>
                <w:sz w:val="18"/>
              </w:rPr>
              <w:t xml:space="preserve"> </w:t>
            </w:r>
            <w:r>
              <w:rPr>
                <w:i/>
                <w:sz w:val="18"/>
              </w:rPr>
              <w:t>21 assessment schedules</w:t>
            </w:r>
            <w:r>
              <w:rPr>
                <w:i/>
                <w:spacing w:val="-4"/>
                <w:sz w:val="18"/>
              </w:rPr>
              <w:t xml:space="preserve"> </w:t>
            </w:r>
            <w:r>
              <w:rPr>
                <w:i/>
                <w:spacing w:val="-2"/>
                <w:sz w:val="18"/>
              </w:rPr>
              <w:t>modelled</w:t>
            </w:r>
          </w:p>
        </w:tc>
      </w:tr>
      <w:tr w:rsidR="00E13D3F" w14:paraId="7A4C2D36" w14:textId="77777777">
        <w:trPr>
          <w:trHeight w:val="604"/>
        </w:trPr>
        <w:tc>
          <w:tcPr>
            <w:tcW w:w="2830" w:type="dxa"/>
          </w:tcPr>
          <w:p w14:paraId="7A4C2D2E" w14:textId="77777777" w:rsidR="00E13D3F" w:rsidRDefault="00FB2D6A">
            <w:pPr>
              <w:pStyle w:val="TableParagraph"/>
              <w:spacing w:before="1" w:line="264" w:lineRule="auto"/>
              <w:ind w:left="107" w:right="180"/>
              <w:rPr>
                <w:sz w:val="18"/>
              </w:rPr>
            </w:pPr>
            <w:r>
              <w:rPr>
                <w:sz w:val="18"/>
              </w:rPr>
              <w:t>Number</w:t>
            </w:r>
            <w:r>
              <w:rPr>
                <w:spacing w:val="-11"/>
                <w:sz w:val="18"/>
              </w:rPr>
              <w:t xml:space="preserve"> </w:t>
            </w:r>
            <w:r>
              <w:rPr>
                <w:sz w:val="18"/>
              </w:rPr>
              <w:t>of</w:t>
            </w:r>
            <w:r>
              <w:rPr>
                <w:spacing w:val="-10"/>
                <w:sz w:val="18"/>
              </w:rPr>
              <w:t xml:space="preserve"> </w:t>
            </w:r>
            <w:r>
              <w:rPr>
                <w:sz w:val="18"/>
              </w:rPr>
              <w:t xml:space="preserve">assessments/100 </w:t>
            </w:r>
            <w:r>
              <w:rPr>
                <w:spacing w:val="-2"/>
                <w:sz w:val="18"/>
              </w:rPr>
              <w:t>people</w:t>
            </w:r>
          </w:p>
        </w:tc>
        <w:tc>
          <w:tcPr>
            <w:tcW w:w="1418" w:type="dxa"/>
          </w:tcPr>
          <w:p w14:paraId="7A4C2D2F" w14:textId="77777777" w:rsidR="00E13D3F" w:rsidRDefault="00E13D3F">
            <w:pPr>
              <w:pStyle w:val="TableParagraph"/>
              <w:spacing w:before="23"/>
              <w:rPr>
                <w:sz w:val="18"/>
              </w:rPr>
            </w:pPr>
          </w:p>
          <w:p w14:paraId="7A4C2D30" w14:textId="77777777" w:rsidR="00E13D3F" w:rsidRDefault="00FB2D6A">
            <w:pPr>
              <w:pStyle w:val="TableParagraph"/>
              <w:spacing w:before="1"/>
              <w:ind w:left="9" w:right="2"/>
              <w:jc w:val="center"/>
              <w:rPr>
                <w:sz w:val="18"/>
              </w:rPr>
            </w:pPr>
            <w:r>
              <w:rPr>
                <w:spacing w:val="-5"/>
                <w:sz w:val="18"/>
              </w:rPr>
              <w:t>363</w:t>
            </w:r>
          </w:p>
        </w:tc>
        <w:tc>
          <w:tcPr>
            <w:tcW w:w="1418" w:type="dxa"/>
          </w:tcPr>
          <w:p w14:paraId="7A4C2D31" w14:textId="77777777" w:rsidR="00E13D3F" w:rsidRDefault="00E13D3F">
            <w:pPr>
              <w:pStyle w:val="TableParagraph"/>
              <w:spacing w:before="23"/>
              <w:rPr>
                <w:sz w:val="18"/>
              </w:rPr>
            </w:pPr>
          </w:p>
          <w:p w14:paraId="7A4C2D32" w14:textId="77777777" w:rsidR="00E13D3F" w:rsidRDefault="00FB2D6A">
            <w:pPr>
              <w:pStyle w:val="TableParagraph"/>
              <w:spacing w:before="1"/>
              <w:ind w:left="9"/>
              <w:jc w:val="center"/>
              <w:rPr>
                <w:sz w:val="18"/>
              </w:rPr>
            </w:pPr>
            <w:r>
              <w:rPr>
                <w:spacing w:val="-5"/>
                <w:sz w:val="18"/>
              </w:rPr>
              <w:t>342</w:t>
            </w:r>
          </w:p>
        </w:tc>
        <w:tc>
          <w:tcPr>
            <w:tcW w:w="1415" w:type="dxa"/>
          </w:tcPr>
          <w:p w14:paraId="7A4C2D33" w14:textId="77777777" w:rsidR="00E13D3F" w:rsidRDefault="00E13D3F">
            <w:pPr>
              <w:pStyle w:val="TableParagraph"/>
              <w:spacing w:before="23"/>
              <w:rPr>
                <w:sz w:val="18"/>
              </w:rPr>
            </w:pPr>
          </w:p>
          <w:p w14:paraId="7A4C2D34" w14:textId="77777777" w:rsidR="00E13D3F" w:rsidRDefault="00FB2D6A">
            <w:pPr>
              <w:pStyle w:val="TableParagraph"/>
              <w:spacing w:before="1"/>
              <w:ind w:left="10" w:right="2"/>
              <w:jc w:val="center"/>
              <w:rPr>
                <w:sz w:val="18"/>
              </w:rPr>
            </w:pPr>
            <w:r>
              <w:rPr>
                <w:spacing w:val="-5"/>
                <w:sz w:val="18"/>
              </w:rPr>
              <w:t>547</w:t>
            </w:r>
          </w:p>
        </w:tc>
        <w:tc>
          <w:tcPr>
            <w:tcW w:w="2126" w:type="dxa"/>
          </w:tcPr>
          <w:p w14:paraId="7A4C2D35" w14:textId="77777777" w:rsidR="00E13D3F" w:rsidRDefault="00FB2D6A">
            <w:pPr>
              <w:pStyle w:val="TableParagraph"/>
              <w:spacing w:before="1"/>
              <w:ind w:left="110"/>
              <w:rPr>
                <w:i/>
                <w:sz w:val="18"/>
              </w:rPr>
            </w:pPr>
            <w:r>
              <w:rPr>
                <w:i/>
                <w:sz w:val="18"/>
              </w:rPr>
              <w:t>Over</w:t>
            </w:r>
            <w:r>
              <w:rPr>
                <w:i/>
                <w:spacing w:val="-3"/>
                <w:sz w:val="18"/>
              </w:rPr>
              <w:t xml:space="preserve"> </w:t>
            </w:r>
            <w:r>
              <w:rPr>
                <w:i/>
                <w:sz w:val="18"/>
              </w:rPr>
              <w:t>20</w:t>
            </w:r>
            <w:r>
              <w:rPr>
                <w:i/>
                <w:spacing w:val="-1"/>
                <w:sz w:val="18"/>
              </w:rPr>
              <w:t xml:space="preserve"> </w:t>
            </w:r>
            <w:r>
              <w:rPr>
                <w:i/>
                <w:spacing w:val="-2"/>
                <w:sz w:val="18"/>
              </w:rPr>
              <w:t>years</w:t>
            </w:r>
          </w:p>
        </w:tc>
      </w:tr>
      <w:tr w:rsidR="00E13D3F" w14:paraId="7A4C2D3F" w14:textId="77777777">
        <w:trPr>
          <w:trHeight w:val="601"/>
        </w:trPr>
        <w:tc>
          <w:tcPr>
            <w:tcW w:w="2830" w:type="dxa"/>
          </w:tcPr>
          <w:p w14:paraId="7A4C2D37" w14:textId="77777777" w:rsidR="00E13D3F" w:rsidRDefault="00FB2D6A">
            <w:pPr>
              <w:pStyle w:val="TableParagraph"/>
              <w:spacing w:before="1" w:line="264" w:lineRule="auto"/>
              <w:ind w:left="107" w:right="180"/>
              <w:rPr>
                <w:sz w:val="18"/>
              </w:rPr>
            </w:pPr>
            <w:r>
              <w:rPr>
                <w:sz w:val="18"/>
              </w:rPr>
              <w:t>Number</w:t>
            </w:r>
            <w:r>
              <w:rPr>
                <w:spacing w:val="-10"/>
                <w:sz w:val="18"/>
              </w:rPr>
              <w:t xml:space="preserve"> </w:t>
            </w:r>
            <w:r>
              <w:rPr>
                <w:sz w:val="18"/>
              </w:rPr>
              <w:t>of</w:t>
            </w:r>
            <w:r>
              <w:rPr>
                <w:spacing w:val="-10"/>
                <w:sz w:val="18"/>
              </w:rPr>
              <w:t xml:space="preserve"> </w:t>
            </w:r>
            <w:r>
              <w:rPr>
                <w:sz w:val="18"/>
              </w:rPr>
              <w:t>years</w:t>
            </w:r>
            <w:r>
              <w:rPr>
                <w:spacing w:val="-10"/>
                <w:sz w:val="18"/>
              </w:rPr>
              <w:t xml:space="preserve"> </w:t>
            </w:r>
            <w:r>
              <w:rPr>
                <w:sz w:val="18"/>
              </w:rPr>
              <w:t>undetected</w:t>
            </w:r>
            <w:r>
              <w:rPr>
                <w:spacing w:val="-11"/>
                <w:sz w:val="18"/>
              </w:rPr>
              <w:t xml:space="preserve"> </w:t>
            </w:r>
            <w:r>
              <w:rPr>
                <w:sz w:val="18"/>
              </w:rPr>
              <w:t>as high CVD risk/100 people</w:t>
            </w:r>
          </w:p>
        </w:tc>
        <w:tc>
          <w:tcPr>
            <w:tcW w:w="1418" w:type="dxa"/>
          </w:tcPr>
          <w:p w14:paraId="7A4C2D38" w14:textId="77777777" w:rsidR="00E13D3F" w:rsidRDefault="00E13D3F">
            <w:pPr>
              <w:pStyle w:val="TableParagraph"/>
              <w:spacing w:before="23"/>
              <w:rPr>
                <w:sz w:val="18"/>
              </w:rPr>
            </w:pPr>
          </w:p>
          <w:p w14:paraId="7A4C2D39" w14:textId="77777777" w:rsidR="00E13D3F" w:rsidRDefault="00FB2D6A">
            <w:pPr>
              <w:pStyle w:val="TableParagraph"/>
              <w:spacing w:before="1"/>
              <w:ind w:left="9" w:right="2"/>
              <w:jc w:val="center"/>
              <w:rPr>
                <w:sz w:val="18"/>
              </w:rPr>
            </w:pPr>
            <w:r>
              <w:rPr>
                <w:spacing w:val="-5"/>
                <w:sz w:val="18"/>
              </w:rPr>
              <w:t>120</w:t>
            </w:r>
          </w:p>
        </w:tc>
        <w:tc>
          <w:tcPr>
            <w:tcW w:w="1418" w:type="dxa"/>
          </w:tcPr>
          <w:p w14:paraId="7A4C2D3A" w14:textId="77777777" w:rsidR="00E13D3F" w:rsidRDefault="00E13D3F">
            <w:pPr>
              <w:pStyle w:val="TableParagraph"/>
              <w:spacing w:before="23"/>
              <w:rPr>
                <w:sz w:val="18"/>
              </w:rPr>
            </w:pPr>
          </w:p>
          <w:p w14:paraId="7A4C2D3B" w14:textId="77777777" w:rsidR="00E13D3F" w:rsidRDefault="00FB2D6A">
            <w:pPr>
              <w:pStyle w:val="TableParagraph"/>
              <w:spacing w:before="1"/>
              <w:ind w:left="9"/>
              <w:jc w:val="center"/>
              <w:rPr>
                <w:sz w:val="18"/>
              </w:rPr>
            </w:pPr>
            <w:r>
              <w:rPr>
                <w:spacing w:val="-5"/>
                <w:sz w:val="18"/>
              </w:rPr>
              <w:t>82</w:t>
            </w:r>
          </w:p>
        </w:tc>
        <w:tc>
          <w:tcPr>
            <w:tcW w:w="1415" w:type="dxa"/>
          </w:tcPr>
          <w:p w14:paraId="7A4C2D3C" w14:textId="77777777" w:rsidR="00E13D3F" w:rsidRDefault="00E13D3F">
            <w:pPr>
              <w:pStyle w:val="TableParagraph"/>
              <w:spacing w:before="23"/>
              <w:rPr>
                <w:sz w:val="18"/>
              </w:rPr>
            </w:pPr>
          </w:p>
          <w:p w14:paraId="7A4C2D3D" w14:textId="77777777" w:rsidR="00E13D3F" w:rsidRDefault="00FB2D6A">
            <w:pPr>
              <w:pStyle w:val="TableParagraph"/>
              <w:spacing w:before="1"/>
              <w:ind w:left="10" w:right="2"/>
              <w:jc w:val="center"/>
              <w:rPr>
                <w:sz w:val="18"/>
              </w:rPr>
            </w:pPr>
            <w:r>
              <w:rPr>
                <w:spacing w:val="-5"/>
                <w:sz w:val="18"/>
              </w:rPr>
              <w:t>45</w:t>
            </w:r>
          </w:p>
        </w:tc>
        <w:tc>
          <w:tcPr>
            <w:tcW w:w="2126" w:type="dxa"/>
          </w:tcPr>
          <w:p w14:paraId="7A4C2D3E" w14:textId="77777777" w:rsidR="00E13D3F" w:rsidRDefault="00FB2D6A">
            <w:pPr>
              <w:pStyle w:val="TableParagraph"/>
              <w:spacing w:before="1" w:line="264" w:lineRule="auto"/>
              <w:ind w:left="110"/>
              <w:rPr>
                <w:i/>
                <w:sz w:val="18"/>
              </w:rPr>
            </w:pPr>
            <w:r>
              <w:rPr>
                <w:i/>
                <w:sz w:val="18"/>
              </w:rPr>
              <w:t>Average</w:t>
            </w:r>
            <w:r>
              <w:rPr>
                <w:i/>
                <w:spacing w:val="-10"/>
                <w:sz w:val="18"/>
              </w:rPr>
              <w:t xml:space="preserve"> </w:t>
            </w:r>
            <w:r>
              <w:rPr>
                <w:i/>
                <w:sz w:val="18"/>
              </w:rPr>
              <w:t>less</w:t>
            </w:r>
            <w:r>
              <w:rPr>
                <w:i/>
                <w:spacing w:val="-10"/>
                <w:sz w:val="18"/>
              </w:rPr>
              <w:t xml:space="preserve"> </w:t>
            </w:r>
            <w:r>
              <w:rPr>
                <w:i/>
                <w:sz w:val="18"/>
              </w:rPr>
              <w:t>than</w:t>
            </w:r>
            <w:r>
              <w:rPr>
                <w:i/>
                <w:spacing w:val="-10"/>
                <w:sz w:val="18"/>
              </w:rPr>
              <w:t xml:space="preserve"> </w:t>
            </w:r>
            <w:r>
              <w:rPr>
                <w:i/>
                <w:sz w:val="18"/>
              </w:rPr>
              <w:t>1</w:t>
            </w:r>
            <w:r>
              <w:rPr>
                <w:i/>
                <w:spacing w:val="-10"/>
                <w:sz w:val="18"/>
              </w:rPr>
              <w:t xml:space="preserve"> </w:t>
            </w:r>
            <w:r>
              <w:rPr>
                <w:i/>
                <w:sz w:val="18"/>
              </w:rPr>
              <w:t xml:space="preserve">year </w:t>
            </w:r>
            <w:r>
              <w:rPr>
                <w:i/>
                <w:spacing w:val="-2"/>
                <w:sz w:val="18"/>
              </w:rPr>
              <w:t>undetected</w:t>
            </w:r>
          </w:p>
        </w:tc>
      </w:tr>
      <w:tr w:rsidR="00E13D3F" w14:paraId="7A4C2D46" w14:textId="77777777">
        <w:trPr>
          <w:trHeight w:val="846"/>
        </w:trPr>
        <w:tc>
          <w:tcPr>
            <w:tcW w:w="2830" w:type="dxa"/>
          </w:tcPr>
          <w:p w14:paraId="7A4C2D40" w14:textId="77777777" w:rsidR="00E13D3F" w:rsidRDefault="00FB2D6A">
            <w:pPr>
              <w:pStyle w:val="TableParagraph"/>
              <w:spacing w:before="3" w:line="264" w:lineRule="auto"/>
              <w:ind w:left="107" w:right="180"/>
              <w:rPr>
                <w:i/>
                <w:sz w:val="18"/>
              </w:rPr>
            </w:pPr>
            <w:r>
              <w:rPr>
                <w:sz w:val="18"/>
              </w:rPr>
              <w:t>Additional CVD events prevented/100</w:t>
            </w:r>
            <w:r>
              <w:rPr>
                <w:spacing w:val="-11"/>
                <w:sz w:val="18"/>
              </w:rPr>
              <w:t xml:space="preserve"> </w:t>
            </w:r>
            <w:r>
              <w:rPr>
                <w:sz w:val="18"/>
              </w:rPr>
              <w:t>people</w:t>
            </w:r>
            <w:r>
              <w:rPr>
                <w:spacing w:val="-10"/>
                <w:sz w:val="18"/>
              </w:rPr>
              <w:t xml:space="preserve"> </w:t>
            </w:r>
            <w:r>
              <w:rPr>
                <w:i/>
                <w:sz w:val="18"/>
              </w:rPr>
              <w:t>compared to 5-5-5 schedule</w:t>
            </w:r>
          </w:p>
        </w:tc>
        <w:tc>
          <w:tcPr>
            <w:tcW w:w="1418" w:type="dxa"/>
          </w:tcPr>
          <w:p w14:paraId="7A4C2D41" w14:textId="77777777" w:rsidR="00E13D3F" w:rsidRDefault="00E13D3F">
            <w:pPr>
              <w:pStyle w:val="TableParagraph"/>
              <w:spacing w:before="23"/>
              <w:rPr>
                <w:sz w:val="18"/>
              </w:rPr>
            </w:pPr>
          </w:p>
          <w:p w14:paraId="7A4C2D42" w14:textId="77777777" w:rsidR="00E13D3F" w:rsidRDefault="00FB2D6A">
            <w:pPr>
              <w:pStyle w:val="TableParagraph"/>
              <w:spacing w:before="1"/>
              <w:ind w:left="146"/>
              <w:rPr>
                <w:sz w:val="18"/>
              </w:rPr>
            </w:pPr>
            <w:r>
              <w:rPr>
                <w:sz w:val="18"/>
              </w:rPr>
              <w:t xml:space="preserve">0.0 </w:t>
            </w:r>
            <w:r>
              <w:rPr>
                <w:spacing w:val="-2"/>
                <w:sz w:val="18"/>
              </w:rPr>
              <w:t>(Reference)</w:t>
            </w:r>
          </w:p>
        </w:tc>
        <w:tc>
          <w:tcPr>
            <w:tcW w:w="1418" w:type="dxa"/>
          </w:tcPr>
          <w:p w14:paraId="7A4C2D43" w14:textId="77777777" w:rsidR="00E13D3F" w:rsidRDefault="00FB2D6A">
            <w:pPr>
              <w:pStyle w:val="TableParagraph"/>
              <w:spacing w:before="123"/>
              <w:ind w:left="9" w:right="2"/>
              <w:jc w:val="center"/>
              <w:rPr>
                <w:sz w:val="18"/>
              </w:rPr>
            </w:pPr>
            <w:r>
              <w:rPr>
                <w:spacing w:val="-4"/>
                <w:sz w:val="18"/>
              </w:rPr>
              <w:t>0.38</w:t>
            </w:r>
          </w:p>
        </w:tc>
        <w:tc>
          <w:tcPr>
            <w:tcW w:w="1415" w:type="dxa"/>
          </w:tcPr>
          <w:p w14:paraId="7A4C2D44" w14:textId="77777777" w:rsidR="00E13D3F" w:rsidRDefault="00FB2D6A">
            <w:pPr>
              <w:pStyle w:val="TableParagraph"/>
              <w:spacing w:before="123"/>
              <w:ind w:left="10"/>
              <w:jc w:val="center"/>
              <w:rPr>
                <w:sz w:val="18"/>
              </w:rPr>
            </w:pPr>
            <w:r>
              <w:rPr>
                <w:spacing w:val="-4"/>
                <w:sz w:val="18"/>
              </w:rPr>
              <w:t>0.75</w:t>
            </w:r>
          </w:p>
        </w:tc>
        <w:tc>
          <w:tcPr>
            <w:tcW w:w="2126" w:type="dxa"/>
          </w:tcPr>
          <w:p w14:paraId="7A4C2D45" w14:textId="77777777" w:rsidR="00E13D3F" w:rsidRDefault="00FB2D6A">
            <w:pPr>
              <w:pStyle w:val="TableParagraph"/>
              <w:spacing w:before="3" w:line="264" w:lineRule="auto"/>
              <w:ind w:left="110" w:right="82"/>
              <w:rPr>
                <w:i/>
                <w:sz w:val="18"/>
              </w:rPr>
            </w:pPr>
            <w:r>
              <w:rPr>
                <w:i/>
                <w:sz w:val="18"/>
              </w:rPr>
              <w:t>Both</w:t>
            </w:r>
            <w:r>
              <w:rPr>
                <w:i/>
                <w:spacing w:val="-11"/>
                <w:sz w:val="18"/>
              </w:rPr>
              <w:t xml:space="preserve"> </w:t>
            </w:r>
            <w:r>
              <w:rPr>
                <w:i/>
                <w:sz w:val="18"/>
              </w:rPr>
              <w:t>alternatives</w:t>
            </w:r>
            <w:r>
              <w:rPr>
                <w:i/>
                <w:spacing w:val="-10"/>
                <w:sz w:val="18"/>
              </w:rPr>
              <w:t xml:space="preserve"> </w:t>
            </w:r>
            <w:r>
              <w:rPr>
                <w:i/>
                <w:sz w:val="18"/>
              </w:rPr>
              <w:t>better than 5-5-5 yearly screening interval</w:t>
            </w:r>
          </w:p>
        </w:tc>
      </w:tr>
    </w:tbl>
    <w:p w14:paraId="7A4C2D47" w14:textId="77777777" w:rsidR="00E13D3F" w:rsidRDefault="00E13D3F">
      <w:pPr>
        <w:pStyle w:val="TableParagraph"/>
        <w:spacing w:line="264" w:lineRule="auto"/>
        <w:rPr>
          <w:i/>
          <w:sz w:val="18"/>
        </w:rPr>
        <w:sectPr w:rsidR="00E13D3F">
          <w:pgSz w:w="11910" w:h="16840"/>
          <w:pgMar w:top="1380" w:right="0" w:bottom="1200" w:left="0" w:header="0" w:footer="1000" w:gutter="0"/>
          <w:cols w:space="720"/>
        </w:sectPr>
      </w:pPr>
    </w:p>
    <w:p w14:paraId="7A4C2D48" w14:textId="77777777" w:rsidR="00E13D3F" w:rsidRDefault="00FB2D6A">
      <w:pPr>
        <w:pStyle w:val="BodyText"/>
        <w:spacing w:before="41" w:line="276" w:lineRule="auto"/>
        <w:ind w:right="1450"/>
      </w:pPr>
      <w:r>
        <w:lastRenderedPageBreak/>
        <w:t>Another</w:t>
      </w:r>
      <w:r>
        <w:rPr>
          <w:spacing w:val="-3"/>
        </w:rPr>
        <w:t xml:space="preserve"> </w:t>
      </w:r>
      <w:r>
        <w:t>study</w:t>
      </w:r>
      <w:r>
        <w:rPr>
          <w:spacing w:val="-2"/>
        </w:rPr>
        <w:t xml:space="preserve"> </w:t>
      </w:r>
      <w:r>
        <w:t>estimated</w:t>
      </w:r>
      <w:r>
        <w:rPr>
          <w:spacing w:val="-3"/>
        </w:rPr>
        <w:t xml:space="preserve"> </w:t>
      </w:r>
      <w:r>
        <w:t>the</w:t>
      </w:r>
      <w:r>
        <w:rPr>
          <w:spacing w:val="-1"/>
        </w:rPr>
        <w:t xml:space="preserve"> </w:t>
      </w:r>
      <w:r>
        <w:t>probability</w:t>
      </w:r>
      <w:r>
        <w:rPr>
          <w:spacing w:val="-5"/>
        </w:rPr>
        <w:t xml:space="preserve"> </w:t>
      </w:r>
      <w:r>
        <w:t>of</w:t>
      </w:r>
      <w:r>
        <w:rPr>
          <w:spacing w:val="-3"/>
        </w:rPr>
        <w:t xml:space="preserve"> </w:t>
      </w:r>
      <w:r>
        <w:t>becoming</w:t>
      </w:r>
      <w:r>
        <w:rPr>
          <w:spacing w:val="-2"/>
        </w:rPr>
        <w:t xml:space="preserve"> </w:t>
      </w:r>
      <w:r>
        <w:t>high</w:t>
      </w:r>
      <w:r>
        <w:rPr>
          <w:spacing w:val="-1"/>
        </w:rPr>
        <w:t xml:space="preserve"> </w:t>
      </w:r>
      <w:r>
        <w:t>risk</w:t>
      </w:r>
      <w:r>
        <w:rPr>
          <w:spacing w:val="-5"/>
        </w:rPr>
        <w:t xml:space="preserve"> </w:t>
      </w:r>
      <w:r>
        <w:t>for</w:t>
      </w:r>
      <w:r>
        <w:rPr>
          <w:spacing w:val="-1"/>
        </w:rPr>
        <w:t xml:space="preserve"> </w:t>
      </w:r>
      <w:r>
        <w:t>cardiovascular</w:t>
      </w:r>
      <w:r>
        <w:rPr>
          <w:spacing w:val="-1"/>
        </w:rPr>
        <w:t xml:space="preserve"> </w:t>
      </w:r>
      <w:r>
        <w:t>disease</w:t>
      </w:r>
      <w:r>
        <w:rPr>
          <w:spacing w:val="-1"/>
        </w:rPr>
        <w:t xml:space="preserve"> </w:t>
      </w:r>
      <w:r>
        <w:t>for people at low and intermediate risk untreated for high blood pressure or lipid levels using data from two cohorts: 13,757 participants of the Tokyo health check-up study (aged 30-74 years) who had annual check-ups (and were screened at least 4 times), and 3,855 participants</w:t>
      </w:r>
      <w:r>
        <w:rPr>
          <w:spacing w:val="-3"/>
        </w:rPr>
        <w:t xml:space="preserve"> </w:t>
      </w:r>
      <w:r>
        <w:t>of</w:t>
      </w:r>
      <w:r>
        <w:rPr>
          <w:spacing w:val="-2"/>
        </w:rPr>
        <w:t xml:space="preserve"> </w:t>
      </w:r>
      <w:r>
        <w:t>the</w:t>
      </w:r>
      <w:r>
        <w:rPr>
          <w:spacing w:val="-5"/>
        </w:rPr>
        <w:t xml:space="preserve"> </w:t>
      </w:r>
      <w:r>
        <w:t>Framingham</w:t>
      </w:r>
      <w:r>
        <w:rPr>
          <w:spacing w:val="-2"/>
        </w:rPr>
        <w:t xml:space="preserve"> </w:t>
      </w:r>
      <w:r>
        <w:t>studies</w:t>
      </w:r>
      <w:r>
        <w:rPr>
          <w:spacing w:val="-3"/>
        </w:rPr>
        <w:t xml:space="preserve"> </w:t>
      </w:r>
      <w:r>
        <w:t>aged</w:t>
      </w:r>
      <w:r>
        <w:rPr>
          <w:spacing w:val="-4"/>
        </w:rPr>
        <w:t xml:space="preserve"> </w:t>
      </w:r>
      <w:r>
        <w:t>30-74</w:t>
      </w:r>
      <w:r>
        <w:rPr>
          <w:spacing w:val="-2"/>
        </w:rPr>
        <w:t xml:space="preserve"> </w:t>
      </w:r>
      <w:r>
        <w:t>years</w:t>
      </w:r>
      <w:r>
        <w:rPr>
          <w:spacing w:val="-5"/>
        </w:rPr>
        <w:t xml:space="preserve"> </w:t>
      </w:r>
      <w:r>
        <w:t>who</w:t>
      </w:r>
      <w:r>
        <w:rPr>
          <w:spacing w:val="-5"/>
        </w:rPr>
        <w:t xml:space="preserve"> </w:t>
      </w:r>
      <w:r>
        <w:t>had</w:t>
      </w:r>
      <w:r>
        <w:rPr>
          <w:spacing w:val="-2"/>
        </w:rPr>
        <w:t xml:space="preserve"> </w:t>
      </w:r>
      <w:r>
        <w:t>check-ups</w:t>
      </w:r>
      <w:r>
        <w:rPr>
          <w:spacing w:val="-3"/>
        </w:rPr>
        <w:t xml:space="preserve"> </w:t>
      </w:r>
      <w:r>
        <w:t>between</w:t>
      </w:r>
      <w:r>
        <w:rPr>
          <w:spacing w:val="-4"/>
        </w:rPr>
        <w:t xml:space="preserve"> </w:t>
      </w:r>
      <w:r>
        <w:t>8</w:t>
      </w:r>
      <w:r>
        <w:rPr>
          <w:spacing w:val="-4"/>
        </w:rPr>
        <w:t xml:space="preserve"> </w:t>
      </w:r>
      <w:r>
        <w:t>and 19 years after baseline assessment (8).</w:t>
      </w:r>
    </w:p>
    <w:p w14:paraId="7A4C2D49" w14:textId="77777777" w:rsidR="00E13D3F" w:rsidRDefault="00FB2D6A">
      <w:pPr>
        <w:pStyle w:val="BodyText"/>
        <w:spacing w:before="119" w:line="278" w:lineRule="auto"/>
        <w:ind w:right="1450"/>
      </w:pPr>
      <w:r>
        <w:t>At baseline most of the participants in both studies had a very low risk of cardiovascular events</w:t>
      </w:r>
      <w:r>
        <w:rPr>
          <w:spacing w:val="-4"/>
        </w:rPr>
        <w:t xml:space="preserve"> </w:t>
      </w:r>
      <w:r>
        <w:t>(&lt;5%</w:t>
      </w:r>
      <w:r>
        <w:rPr>
          <w:spacing w:val="-2"/>
        </w:rPr>
        <w:t xml:space="preserve"> </w:t>
      </w:r>
      <w:r>
        <w:t>10-year</w:t>
      </w:r>
      <w:r>
        <w:rPr>
          <w:spacing w:val="-1"/>
        </w:rPr>
        <w:t xml:space="preserve"> </w:t>
      </w:r>
      <w:r>
        <w:t>risk</w:t>
      </w:r>
      <w:r>
        <w:rPr>
          <w:spacing w:val="-5"/>
        </w:rPr>
        <w:t xml:space="preserve"> </w:t>
      </w:r>
      <w:r>
        <w:t>or</w:t>
      </w:r>
      <w:r>
        <w:rPr>
          <w:spacing w:val="-1"/>
        </w:rPr>
        <w:t xml:space="preserve"> </w:t>
      </w:r>
      <w:r>
        <w:t>5-&lt;10%</w:t>
      </w:r>
      <w:r>
        <w:rPr>
          <w:spacing w:val="-3"/>
        </w:rPr>
        <w:t xml:space="preserve"> </w:t>
      </w:r>
      <w:r>
        <w:t>10-year</w:t>
      </w:r>
      <w:r>
        <w:rPr>
          <w:spacing w:val="-4"/>
        </w:rPr>
        <w:t xml:space="preserve"> </w:t>
      </w:r>
      <w:r>
        <w:t>risk).</w:t>
      </w:r>
      <w:r>
        <w:rPr>
          <w:spacing w:val="-3"/>
        </w:rPr>
        <w:t xml:space="preserve"> </w:t>
      </w:r>
      <w:r>
        <w:t>The</w:t>
      </w:r>
      <w:r>
        <w:rPr>
          <w:spacing w:val="-3"/>
        </w:rPr>
        <w:t xml:space="preserve"> </w:t>
      </w:r>
      <w:r>
        <w:t>proportion</w:t>
      </w:r>
      <w:r>
        <w:rPr>
          <w:spacing w:val="-3"/>
        </w:rPr>
        <w:t xml:space="preserve"> </w:t>
      </w:r>
      <w:r>
        <w:t>of</w:t>
      </w:r>
      <w:r>
        <w:rPr>
          <w:spacing w:val="-3"/>
        </w:rPr>
        <w:t xml:space="preserve"> </w:t>
      </w:r>
      <w:r>
        <w:t>participants</w:t>
      </w:r>
      <w:r>
        <w:rPr>
          <w:spacing w:val="-2"/>
        </w:rPr>
        <w:t xml:space="preserve"> </w:t>
      </w:r>
      <w:r>
        <w:t>crossing</w:t>
      </w:r>
      <w:r>
        <w:rPr>
          <w:spacing w:val="-4"/>
        </w:rPr>
        <w:t xml:space="preserve"> </w:t>
      </w:r>
      <w:r>
        <w:t>a</w:t>
      </w:r>
    </w:p>
    <w:p w14:paraId="7A4C2D4A" w14:textId="77777777" w:rsidR="00E13D3F" w:rsidRDefault="00FB2D6A">
      <w:pPr>
        <w:pStyle w:val="BodyText"/>
        <w:spacing w:line="276" w:lineRule="auto"/>
        <w:ind w:right="1450"/>
      </w:pPr>
      <w:r>
        <w:t>&gt;20% 10-year risk treatment threshold at 3, 8, and 19 years is shown in Table 1.3. The proportion</w:t>
      </w:r>
      <w:r>
        <w:rPr>
          <w:spacing w:val="-1"/>
        </w:rPr>
        <w:t xml:space="preserve"> </w:t>
      </w:r>
      <w:r>
        <w:t>crossing</w:t>
      </w:r>
      <w:r>
        <w:rPr>
          <w:spacing w:val="-5"/>
        </w:rPr>
        <w:t xml:space="preserve"> </w:t>
      </w:r>
      <w:r>
        <w:t>the</w:t>
      </w:r>
      <w:r>
        <w:rPr>
          <w:spacing w:val="-5"/>
        </w:rPr>
        <w:t xml:space="preserve"> </w:t>
      </w:r>
      <w:r>
        <w:t>risk</w:t>
      </w:r>
      <w:r>
        <w:rPr>
          <w:spacing w:val="-4"/>
        </w:rPr>
        <w:t xml:space="preserve"> </w:t>
      </w:r>
      <w:r>
        <w:t>threshold</w:t>
      </w:r>
      <w:r>
        <w:rPr>
          <w:spacing w:val="-4"/>
        </w:rPr>
        <w:t xml:space="preserve"> </w:t>
      </w:r>
      <w:r>
        <w:t>at</w:t>
      </w:r>
      <w:r>
        <w:rPr>
          <w:spacing w:val="-4"/>
        </w:rPr>
        <w:t xml:space="preserve"> </w:t>
      </w:r>
      <w:r>
        <w:t>3</w:t>
      </w:r>
      <w:r>
        <w:rPr>
          <w:spacing w:val="-2"/>
        </w:rPr>
        <w:t xml:space="preserve"> </w:t>
      </w:r>
      <w:r>
        <w:t>years</w:t>
      </w:r>
      <w:r>
        <w:rPr>
          <w:spacing w:val="-5"/>
        </w:rPr>
        <w:t xml:space="preserve"> </w:t>
      </w:r>
      <w:r>
        <w:t>was</w:t>
      </w:r>
      <w:r>
        <w:rPr>
          <w:spacing w:val="-3"/>
        </w:rPr>
        <w:t xml:space="preserve"> </w:t>
      </w:r>
      <w:r>
        <w:t>low</w:t>
      </w:r>
      <w:r>
        <w:rPr>
          <w:spacing w:val="-2"/>
        </w:rPr>
        <w:t xml:space="preserve"> </w:t>
      </w:r>
      <w:r>
        <w:t>(less</w:t>
      </w:r>
      <w:r>
        <w:rPr>
          <w:spacing w:val="-6"/>
        </w:rPr>
        <w:t xml:space="preserve"> </w:t>
      </w:r>
      <w:r>
        <w:t>than</w:t>
      </w:r>
      <w:r>
        <w:rPr>
          <w:spacing w:val="-2"/>
        </w:rPr>
        <w:t xml:space="preserve"> </w:t>
      </w:r>
      <w:r>
        <w:t>1%).</w:t>
      </w:r>
      <w:r>
        <w:rPr>
          <w:spacing w:val="-4"/>
        </w:rPr>
        <w:t xml:space="preserve"> </w:t>
      </w:r>
      <w:r>
        <w:t>The</w:t>
      </w:r>
      <w:r>
        <w:rPr>
          <w:spacing w:val="-4"/>
        </w:rPr>
        <w:t xml:space="preserve"> </w:t>
      </w:r>
      <w:r>
        <w:t>proportion</w:t>
      </w:r>
      <w:r>
        <w:rPr>
          <w:spacing w:val="-3"/>
        </w:rPr>
        <w:t xml:space="preserve"> </w:t>
      </w:r>
      <w:r>
        <w:t>also differed by initial risk: the low-risk group rate at 8 years (0.5%) was similar to the intermediate group at 3 years (0.7%). This illustrates the need for shorter assessment intervals as risk increases.</w:t>
      </w:r>
    </w:p>
    <w:p w14:paraId="7A4C2D4B" w14:textId="77777777" w:rsidR="00E13D3F" w:rsidRDefault="00FB2D6A">
      <w:pPr>
        <w:spacing w:before="116" w:after="25"/>
        <w:ind w:left="1440"/>
        <w:rPr>
          <w:sz w:val="21"/>
        </w:rPr>
      </w:pPr>
      <w:r>
        <w:rPr>
          <w:b/>
          <w:sz w:val="21"/>
        </w:rPr>
        <w:t>Table</w:t>
      </w:r>
      <w:r>
        <w:rPr>
          <w:b/>
          <w:spacing w:val="-9"/>
          <w:sz w:val="21"/>
        </w:rPr>
        <w:t xml:space="preserve"> </w:t>
      </w:r>
      <w:r>
        <w:rPr>
          <w:b/>
          <w:sz w:val="21"/>
        </w:rPr>
        <w:t>1.3</w:t>
      </w:r>
      <w:r>
        <w:rPr>
          <w:sz w:val="21"/>
        </w:rPr>
        <w:t>.</w:t>
      </w:r>
      <w:r>
        <w:rPr>
          <w:spacing w:val="-9"/>
          <w:sz w:val="21"/>
        </w:rPr>
        <w:t xml:space="preserve"> </w:t>
      </w:r>
      <w:r>
        <w:rPr>
          <w:sz w:val="21"/>
        </w:rPr>
        <w:t>Proportion</w:t>
      </w:r>
      <w:r>
        <w:rPr>
          <w:spacing w:val="-6"/>
          <w:sz w:val="21"/>
        </w:rPr>
        <w:t xml:space="preserve"> </w:t>
      </w:r>
      <w:r>
        <w:rPr>
          <w:sz w:val="21"/>
        </w:rPr>
        <w:t>of</w:t>
      </w:r>
      <w:r>
        <w:rPr>
          <w:spacing w:val="-7"/>
          <w:sz w:val="21"/>
        </w:rPr>
        <w:t xml:space="preserve"> </w:t>
      </w:r>
      <w:r>
        <w:rPr>
          <w:sz w:val="21"/>
        </w:rPr>
        <w:t>participants</w:t>
      </w:r>
      <w:r>
        <w:rPr>
          <w:spacing w:val="-7"/>
          <w:sz w:val="21"/>
        </w:rPr>
        <w:t xml:space="preserve"> </w:t>
      </w:r>
      <w:r>
        <w:rPr>
          <w:sz w:val="21"/>
        </w:rPr>
        <w:t>crossing</w:t>
      </w:r>
      <w:r>
        <w:rPr>
          <w:spacing w:val="-7"/>
          <w:sz w:val="21"/>
        </w:rPr>
        <w:t xml:space="preserve"> </w:t>
      </w:r>
      <w:r>
        <w:rPr>
          <w:sz w:val="21"/>
        </w:rPr>
        <w:t>threshold</w:t>
      </w:r>
      <w:r>
        <w:rPr>
          <w:spacing w:val="-7"/>
          <w:sz w:val="21"/>
        </w:rPr>
        <w:t xml:space="preserve"> </w:t>
      </w:r>
      <w:r>
        <w:rPr>
          <w:sz w:val="21"/>
        </w:rPr>
        <w:t>stratified</w:t>
      </w:r>
      <w:r>
        <w:rPr>
          <w:spacing w:val="-7"/>
          <w:sz w:val="21"/>
        </w:rPr>
        <w:t xml:space="preserve"> </w:t>
      </w:r>
      <w:r>
        <w:rPr>
          <w:sz w:val="21"/>
        </w:rPr>
        <w:t>by</w:t>
      </w:r>
      <w:r>
        <w:rPr>
          <w:spacing w:val="-6"/>
          <w:sz w:val="21"/>
        </w:rPr>
        <w:t xml:space="preserve"> </w:t>
      </w:r>
      <w:r>
        <w:rPr>
          <w:sz w:val="21"/>
        </w:rPr>
        <w:t>baseline</w:t>
      </w:r>
      <w:r>
        <w:rPr>
          <w:spacing w:val="-8"/>
          <w:sz w:val="21"/>
        </w:rPr>
        <w:t xml:space="preserve"> </w:t>
      </w:r>
      <w:r>
        <w:rPr>
          <w:spacing w:val="-4"/>
          <w:sz w:val="21"/>
        </w:rPr>
        <w:t>risk</w:t>
      </w:r>
    </w:p>
    <w:tbl>
      <w:tblPr>
        <w:tblW w:w="0" w:type="auto"/>
        <w:tblInd w:w="1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2528"/>
        <w:gridCol w:w="2254"/>
        <w:gridCol w:w="2379"/>
      </w:tblGrid>
      <w:tr w:rsidR="00E13D3F" w14:paraId="7A4C2D51" w14:textId="77777777">
        <w:trPr>
          <w:trHeight w:val="390"/>
        </w:trPr>
        <w:tc>
          <w:tcPr>
            <w:tcW w:w="1980" w:type="dxa"/>
            <w:vMerge w:val="restart"/>
          </w:tcPr>
          <w:p w14:paraId="7A4C2D4C" w14:textId="77777777" w:rsidR="00E13D3F" w:rsidRDefault="00E13D3F">
            <w:pPr>
              <w:pStyle w:val="TableParagraph"/>
              <w:rPr>
                <w:sz w:val="20"/>
              </w:rPr>
            </w:pPr>
          </w:p>
          <w:p w14:paraId="7A4C2D4D" w14:textId="77777777" w:rsidR="00E13D3F" w:rsidRDefault="00E13D3F">
            <w:pPr>
              <w:pStyle w:val="TableParagraph"/>
              <w:rPr>
                <w:sz w:val="20"/>
              </w:rPr>
            </w:pPr>
          </w:p>
          <w:p w14:paraId="7A4C2D4E" w14:textId="77777777" w:rsidR="00E13D3F" w:rsidRDefault="00E13D3F">
            <w:pPr>
              <w:pStyle w:val="TableParagraph"/>
              <w:spacing w:before="68"/>
              <w:rPr>
                <w:sz w:val="20"/>
              </w:rPr>
            </w:pPr>
          </w:p>
          <w:p w14:paraId="7A4C2D4F" w14:textId="77777777" w:rsidR="00E13D3F" w:rsidRDefault="00FB2D6A">
            <w:pPr>
              <w:pStyle w:val="TableParagraph"/>
              <w:ind w:left="107"/>
              <w:rPr>
                <w:b/>
                <w:sz w:val="20"/>
              </w:rPr>
            </w:pPr>
            <w:r>
              <w:rPr>
                <w:b/>
                <w:sz w:val="20"/>
              </w:rPr>
              <w:t>Baseline</w:t>
            </w:r>
            <w:r>
              <w:rPr>
                <w:b/>
                <w:spacing w:val="-9"/>
                <w:sz w:val="20"/>
              </w:rPr>
              <w:t xml:space="preserve"> </w:t>
            </w:r>
            <w:r>
              <w:rPr>
                <w:b/>
                <w:spacing w:val="-4"/>
                <w:sz w:val="20"/>
              </w:rPr>
              <w:t>risk</w:t>
            </w:r>
          </w:p>
        </w:tc>
        <w:tc>
          <w:tcPr>
            <w:tcW w:w="7161" w:type="dxa"/>
            <w:gridSpan w:val="3"/>
          </w:tcPr>
          <w:p w14:paraId="7A4C2D50" w14:textId="77777777" w:rsidR="00E13D3F" w:rsidRDefault="00FB2D6A">
            <w:pPr>
              <w:pStyle w:val="TableParagraph"/>
              <w:spacing w:before="3"/>
              <w:ind w:left="288"/>
              <w:rPr>
                <w:b/>
                <w:sz w:val="20"/>
              </w:rPr>
            </w:pPr>
            <w:r>
              <w:rPr>
                <w:b/>
                <w:sz w:val="20"/>
              </w:rPr>
              <w:t>Proportion</w:t>
            </w:r>
            <w:r>
              <w:rPr>
                <w:b/>
                <w:spacing w:val="-8"/>
                <w:sz w:val="20"/>
              </w:rPr>
              <w:t xml:space="preserve"> </w:t>
            </w:r>
            <w:r>
              <w:rPr>
                <w:b/>
                <w:sz w:val="20"/>
              </w:rPr>
              <w:t>of</w:t>
            </w:r>
            <w:r>
              <w:rPr>
                <w:b/>
                <w:spacing w:val="-7"/>
                <w:sz w:val="20"/>
              </w:rPr>
              <w:t xml:space="preserve"> </w:t>
            </w:r>
            <w:r>
              <w:rPr>
                <w:b/>
                <w:sz w:val="20"/>
              </w:rPr>
              <w:t>participants</w:t>
            </w:r>
            <w:r>
              <w:rPr>
                <w:b/>
                <w:spacing w:val="-7"/>
                <w:sz w:val="20"/>
              </w:rPr>
              <w:t xml:space="preserve"> </w:t>
            </w:r>
            <w:r>
              <w:rPr>
                <w:b/>
                <w:sz w:val="20"/>
              </w:rPr>
              <w:t>crossing</w:t>
            </w:r>
            <w:r>
              <w:rPr>
                <w:b/>
                <w:spacing w:val="-8"/>
                <w:sz w:val="20"/>
              </w:rPr>
              <w:t xml:space="preserve"> </w:t>
            </w:r>
            <w:r>
              <w:rPr>
                <w:b/>
                <w:sz w:val="20"/>
              </w:rPr>
              <w:t>a</w:t>
            </w:r>
            <w:r>
              <w:rPr>
                <w:b/>
                <w:spacing w:val="-7"/>
                <w:sz w:val="20"/>
              </w:rPr>
              <w:t xml:space="preserve"> </w:t>
            </w:r>
            <w:r>
              <w:rPr>
                <w:b/>
                <w:sz w:val="20"/>
              </w:rPr>
              <w:t>&gt;20%</w:t>
            </w:r>
            <w:r>
              <w:rPr>
                <w:b/>
                <w:spacing w:val="-6"/>
                <w:sz w:val="20"/>
              </w:rPr>
              <w:t xml:space="preserve"> </w:t>
            </w:r>
            <w:r>
              <w:rPr>
                <w:b/>
                <w:sz w:val="20"/>
              </w:rPr>
              <w:t>10-year</w:t>
            </w:r>
            <w:r>
              <w:rPr>
                <w:b/>
                <w:spacing w:val="-7"/>
                <w:sz w:val="20"/>
              </w:rPr>
              <w:t xml:space="preserve"> </w:t>
            </w:r>
            <w:r>
              <w:rPr>
                <w:b/>
                <w:sz w:val="20"/>
              </w:rPr>
              <w:t>risk</w:t>
            </w:r>
            <w:r>
              <w:rPr>
                <w:b/>
                <w:spacing w:val="-6"/>
                <w:sz w:val="20"/>
              </w:rPr>
              <w:t xml:space="preserve"> </w:t>
            </w:r>
            <w:r>
              <w:rPr>
                <w:b/>
                <w:sz w:val="20"/>
              </w:rPr>
              <w:t>treatment</w:t>
            </w:r>
            <w:r>
              <w:rPr>
                <w:b/>
                <w:spacing w:val="-7"/>
                <w:sz w:val="20"/>
              </w:rPr>
              <w:t xml:space="preserve"> </w:t>
            </w:r>
            <w:r>
              <w:rPr>
                <w:b/>
                <w:sz w:val="20"/>
              </w:rPr>
              <w:t>threshold</w:t>
            </w:r>
            <w:r>
              <w:rPr>
                <w:b/>
                <w:spacing w:val="-6"/>
                <w:sz w:val="20"/>
              </w:rPr>
              <w:t xml:space="preserve"> </w:t>
            </w:r>
            <w:r>
              <w:rPr>
                <w:b/>
                <w:spacing w:val="-5"/>
                <w:sz w:val="20"/>
              </w:rPr>
              <w:t>(%)</w:t>
            </w:r>
          </w:p>
        </w:tc>
      </w:tr>
      <w:tr w:rsidR="00E13D3F" w14:paraId="7A4C2D54" w14:textId="77777777">
        <w:trPr>
          <w:trHeight w:val="388"/>
        </w:trPr>
        <w:tc>
          <w:tcPr>
            <w:tcW w:w="1980" w:type="dxa"/>
            <w:vMerge/>
            <w:tcBorders>
              <w:top w:val="nil"/>
            </w:tcBorders>
          </w:tcPr>
          <w:p w14:paraId="7A4C2D52" w14:textId="77777777" w:rsidR="00E13D3F" w:rsidRDefault="00E13D3F">
            <w:pPr>
              <w:rPr>
                <w:sz w:val="2"/>
                <w:szCs w:val="2"/>
              </w:rPr>
            </w:pPr>
          </w:p>
        </w:tc>
        <w:tc>
          <w:tcPr>
            <w:tcW w:w="7161" w:type="dxa"/>
            <w:gridSpan w:val="3"/>
          </w:tcPr>
          <w:p w14:paraId="7A4C2D53" w14:textId="77777777" w:rsidR="00E13D3F" w:rsidRDefault="00FB2D6A">
            <w:pPr>
              <w:pStyle w:val="TableParagraph"/>
              <w:spacing w:before="1"/>
              <w:ind w:left="7"/>
              <w:jc w:val="center"/>
              <w:rPr>
                <w:b/>
                <w:sz w:val="20"/>
              </w:rPr>
            </w:pPr>
            <w:r>
              <w:rPr>
                <w:b/>
                <w:sz w:val="20"/>
              </w:rPr>
              <w:t>Years</w:t>
            </w:r>
            <w:r>
              <w:rPr>
                <w:b/>
                <w:spacing w:val="-8"/>
                <w:sz w:val="20"/>
              </w:rPr>
              <w:t xml:space="preserve"> </w:t>
            </w:r>
            <w:r>
              <w:rPr>
                <w:b/>
                <w:sz w:val="20"/>
              </w:rPr>
              <w:t>of</w:t>
            </w:r>
            <w:r>
              <w:rPr>
                <w:b/>
                <w:spacing w:val="-8"/>
                <w:sz w:val="20"/>
              </w:rPr>
              <w:t xml:space="preserve"> </w:t>
            </w:r>
            <w:r>
              <w:rPr>
                <w:b/>
                <w:sz w:val="20"/>
              </w:rPr>
              <w:t>follow-</w:t>
            </w:r>
            <w:r>
              <w:rPr>
                <w:b/>
                <w:spacing w:val="-5"/>
                <w:sz w:val="20"/>
              </w:rPr>
              <w:t>up</w:t>
            </w:r>
          </w:p>
        </w:tc>
      </w:tr>
      <w:tr w:rsidR="00E13D3F" w14:paraId="7A4C2D59" w14:textId="77777777">
        <w:trPr>
          <w:trHeight w:val="388"/>
        </w:trPr>
        <w:tc>
          <w:tcPr>
            <w:tcW w:w="1980" w:type="dxa"/>
            <w:vMerge/>
            <w:tcBorders>
              <w:top w:val="nil"/>
            </w:tcBorders>
          </w:tcPr>
          <w:p w14:paraId="7A4C2D55" w14:textId="77777777" w:rsidR="00E13D3F" w:rsidRDefault="00E13D3F">
            <w:pPr>
              <w:rPr>
                <w:sz w:val="2"/>
                <w:szCs w:val="2"/>
              </w:rPr>
            </w:pPr>
          </w:p>
        </w:tc>
        <w:tc>
          <w:tcPr>
            <w:tcW w:w="2528" w:type="dxa"/>
          </w:tcPr>
          <w:p w14:paraId="7A4C2D56" w14:textId="77777777" w:rsidR="00E13D3F" w:rsidRDefault="00FB2D6A">
            <w:pPr>
              <w:pStyle w:val="TableParagraph"/>
              <w:spacing w:before="1"/>
              <w:ind w:left="8" w:right="1"/>
              <w:jc w:val="center"/>
              <w:rPr>
                <w:b/>
                <w:sz w:val="20"/>
              </w:rPr>
            </w:pPr>
            <w:r>
              <w:rPr>
                <w:b/>
                <w:sz w:val="20"/>
              </w:rPr>
              <w:t>3</w:t>
            </w:r>
            <w:r>
              <w:rPr>
                <w:b/>
                <w:spacing w:val="-3"/>
                <w:sz w:val="20"/>
              </w:rPr>
              <w:t xml:space="preserve"> </w:t>
            </w:r>
            <w:r>
              <w:rPr>
                <w:b/>
                <w:spacing w:val="-4"/>
                <w:sz w:val="20"/>
              </w:rPr>
              <w:t>years</w:t>
            </w:r>
          </w:p>
        </w:tc>
        <w:tc>
          <w:tcPr>
            <w:tcW w:w="2254" w:type="dxa"/>
          </w:tcPr>
          <w:p w14:paraId="7A4C2D57" w14:textId="77777777" w:rsidR="00E13D3F" w:rsidRDefault="00FB2D6A">
            <w:pPr>
              <w:pStyle w:val="TableParagraph"/>
              <w:spacing w:before="1"/>
              <w:ind w:left="8" w:right="2"/>
              <w:jc w:val="center"/>
              <w:rPr>
                <w:b/>
                <w:sz w:val="20"/>
              </w:rPr>
            </w:pPr>
            <w:r>
              <w:rPr>
                <w:b/>
                <w:sz w:val="20"/>
              </w:rPr>
              <w:t>8</w:t>
            </w:r>
            <w:r>
              <w:rPr>
                <w:b/>
                <w:spacing w:val="-3"/>
                <w:sz w:val="20"/>
              </w:rPr>
              <w:t xml:space="preserve"> </w:t>
            </w:r>
            <w:r>
              <w:rPr>
                <w:b/>
                <w:spacing w:val="-4"/>
                <w:sz w:val="20"/>
              </w:rPr>
              <w:t>years</w:t>
            </w:r>
          </w:p>
        </w:tc>
        <w:tc>
          <w:tcPr>
            <w:tcW w:w="2379" w:type="dxa"/>
          </w:tcPr>
          <w:p w14:paraId="7A4C2D58" w14:textId="77777777" w:rsidR="00E13D3F" w:rsidRDefault="00FB2D6A">
            <w:pPr>
              <w:pStyle w:val="TableParagraph"/>
              <w:spacing w:before="1"/>
              <w:ind w:left="8" w:right="2"/>
              <w:jc w:val="center"/>
              <w:rPr>
                <w:b/>
                <w:sz w:val="20"/>
              </w:rPr>
            </w:pPr>
            <w:r>
              <w:rPr>
                <w:b/>
                <w:sz w:val="20"/>
              </w:rPr>
              <w:t>19</w:t>
            </w:r>
            <w:r>
              <w:rPr>
                <w:b/>
                <w:spacing w:val="-4"/>
                <w:sz w:val="20"/>
              </w:rPr>
              <w:t xml:space="preserve"> </w:t>
            </w:r>
            <w:r>
              <w:rPr>
                <w:b/>
                <w:spacing w:val="-2"/>
                <w:sz w:val="20"/>
              </w:rPr>
              <w:t>years</w:t>
            </w:r>
          </w:p>
        </w:tc>
      </w:tr>
      <w:tr w:rsidR="00E13D3F" w14:paraId="7A4C2D5F" w14:textId="77777777">
        <w:trPr>
          <w:trHeight w:val="777"/>
        </w:trPr>
        <w:tc>
          <w:tcPr>
            <w:tcW w:w="1980" w:type="dxa"/>
          </w:tcPr>
          <w:p w14:paraId="7A4C2D5A" w14:textId="77777777" w:rsidR="00E13D3F" w:rsidRDefault="00FB2D6A">
            <w:pPr>
              <w:pStyle w:val="TableParagraph"/>
              <w:spacing w:before="1"/>
              <w:ind w:left="107"/>
              <w:rPr>
                <w:sz w:val="20"/>
              </w:rPr>
            </w:pPr>
            <w:r>
              <w:rPr>
                <w:sz w:val="20"/>
              </w:rPr>
              <w:t>Low</w:t>
            </w:r>
            <w:r>
              <w:rPr>
                <w:spacing w:val="-6"/>
                <w:sz w:val="20"/>
              </w:rPr>
              <w:t xml:space="preserve"> </w:t>
            </w:r>
            <w:r>
              <w:rPr>
                <w:spacing w:val="-4"/>
                <w:sz w:val="20"/>
              </w:rPr>
              <w:t>risk</w:t>
            </w:r>
          </w:p>
          <w:p w14:paraId="7A4C2D5B" w14:textId="77777777" w:rsidR="00E13D3F" w:rsidRDefault="00FB2D6A">
            <w:pPr>
              <w:pStyle w:val="TableParagraph"/>
              <w:spacing w:before="145"/>
              <w:ind w:left="107"/>
              <w:rPr>
                <w:sz w:val="20"/>
              </w:rPr>
            </w:pPr>
            <w:r>
              <w:rPr>
                <w:sz w:val="20"/>
              </w:rPr>
              <w:t>(&lt;5%</w:t>
            </w:r>
            <w:r>
              <w:rPr>
                <w:spacing w:val="-6"/>
                <w:sz w:val="20"/>
              </w:rPr>
              <w:t xml:space="preserve"> </w:t>
            </w:r>
            <w:r>
              <w:rPr>
                <w:sz w:val="20"/>
              </w:rPr>
              <w:t>10-year</w:t>
            </w:r>
            <w:r>
              <w:rPr>
                <w:spacing w:val="-5"/>
                <w:sz w:val="20"/>
              </w:rPr>
              <w:t xml:space="preserve"> </w:t>
            </w:r>
            <w:r>
              <w:rPr>
                <w:spacing w:val="-2"/>
                <w:sz w:val="20"/>
              </w:rPr>
              <w:t>risk)</w:t>
            </w:r>
          </w:p>
        </w:tc>
        <w:tc>
          <w:tcPr>
            <w:tcW w:w="2528" w:type="dxa"/>
          </w:tcPr>
          <w:p w14:paraId="7A4C2D5C" w14:textId="77777777" w:rsidR="00E13D3F" w:rsidRDefault="00FB2D6A">
            <w:pPr>
              <w:pStyle w:val="TableParagraph"/>
              <w:spacing w:before="195"/>
              <w:ind w:left="8"/>
              <w:jc w:val="center"/>
              <w:rPr>
                <w:sz w:val="20"/>
              </w:rPr>
            </w:pPr>
            <w:r>
              <w:rPr>
                <w:spacing w:val="-2"/>
                <w:sz w:val="20"/>
              </w:rPr>
              <w:t>0.05%</w:t>
            </w:r>
          </w:p>
        </w:tc>
        <w:tc>
          <w:tcPr>
            <w:tcW w:w="2254" w:type="dxa"/>
          </w:tcPr>
          <w:p w14:paraId="7A4C2D5D" w14:textId="77777777" w:rsidR="00E13D3F" w:rsidRDefault="00FB2D6A">
            <w:pPr>
              <w:pStyle w:val="TableParagraph"/>
              <w:spacing w:before="195"/>
              <w:ind w:left="8"/>
              <w:jc w:val="center"/>
              <w:rPr>
                <w:sz w:val="20"/>
              </w:rPr>
            </w:pPr>
            <w:r>
              <w:rPr>
                <w:spacing w:val="-4"/>
                <w:sz w:val="20"/>
              </w:rPr>
              <w:t>0.5%</w:t>
            </w:r>
          </w:p>
        </w:tc>
        <w:tc>
          <w:tcPr>
            <w:tcW w:w="2379" w:type="dxa"/>
          </w:tcPr>
          <w:p w14:paraId="7A4C2D5E" w14:textId="77777777" w:rsidR="00E13D3F" w:rsidRDefault="00FB2D6A">
            <w:pPr>
              <w:pStyle w:val="TableParagraph"/>
              <w:spacing w:before="195"/>
              <w:ind w:left="8"/>
              <w:jc w:val="center"/>
              <w:rPr>
                <w:sz w:val="20"/>
              </w:rPr>
            </w:pPr>
            <w:r>
              <w:rPr>
                <w:spacing w:val="-4"/>
                <w:sz w:val="20"/>
              </w:rPr>
              <w:t>6.8%</w:t>
            </w:r>
          </w:p>
        </w:tc>
      </w:tr>
      <w:tr w:rsidR="00E13D3F" w14:paraId="7A4C2D65" w14:textId="77777777">
        <w:trPr>
          <w:trHeight w:val="777"/>
        </w:trPr>
        <w:tc>
          <w:tcPr>
            <w:tcW w:w="1980" w:type="dxa"/>
          </w:tcPr>
          <w:p w14:paraId="7A4C2D60" w14:textId="77777777" w:rsidR="00E13D3F" w:rsidRDefault="00FB2D6A">
            <w:pPr>
              <w:pStyle w:val="TableParagraph"/>
              <w:spacing w:before="1"/>
              <w:ind w:left="107"/>
              <w:rPr>
                <w:sz w:val="20"/>
              </w:rPr>
            </w:pPr>
            <w:r>
              <w:rPr>
                <w:spacing w:val="-2"/>
                <w:sz w:val="20"/>
              </w:rPr>
              <w:t>Intermediate</w:t>
            </w:r>
            <w:r>
              <w:rPr>
                <w:spacing w:val="9"/>
                <w:sz w:val="20"/>
              </w:rPr>
              <w:t xml:space="preserve"> </w:t>
            </w:r>
            <w:r>
              <w:rPr>
                <w:spacing w:val="-4"/>
                <w:sz w:val="20"/>
              </w:rPr>
              <w:t>risk</w:t>
            </w:r>
          </w:p>
          <w:p w14:paraId="7A4C2D61" w14:textId="77777777" w:rsidR="00E13D3F" w:rsidRDefault="00FB2D6A">
            <w:pPr>
              <w:pStyle w:val="TableParagraph"/>
              <w:spacing w:before="145"/>
              <w:ind w:left="107"/>
              <w:rPr>
                <w:sz w:val="20"/>
              </w:rPr>
            </w:pPr>
            <w:r>
              <w:rPr>
                <w:sz w:val="20"/>
              </w:rPr>
              <w:t>(5-10%</w:t>
            </w:r>
            <w:r>
              <w:rPr>
                <w:spacing w:val="-9"/>
                <w:sz w:val="20"/>
              </w:rPr>
              <w:t xml:space="preserve"> </w:t>
            </w:r>
            <w:r>
              <w:rPr>
                <w:sz w:val="20"/>
              </w:rPr>
              <w:t>10-year</w:t>
            </w:r>
            <w:r>
              <w:rPr>
                <w:spacing w:val="-6"/>
                <w:sz w:val="20"/>
              </w:rPr>
              <w:t xml:space="preserve"> </w:t>
            </w:r>
            <w:r>
              <w:rPr>
                <w:spacing w:val="-4"/>
                <w:sz w:val="20"/>
              </w:rPr>
              <w:t>risk)</w:t>
            </w:r>
          </w:p>
        </w:tc>
        <w:tc>
          <w:tcPr>
            <w:tcW w:w="2528" w:type="dxa"/>
          </w:tcPr>
          <w:p w14:paraId="7A4C2D62" w14:textId="77777777" w:rsidR="00E13D3F" w:rsidRDefault="00FB2D6A">
            <w:pPr>
              <w:pStyle w:val="TableParagraph"/>
              <w:spacing w:before="195"/>
              <w:ind w:left="8"/>
              <w:jc w:val="center"/>
              <w:rPr>
                <w:sz w:val="20"/>
              </w:rPr>
            </w:pPr>
            <w:r>
              <w:rPr>
                <w:spacing w:val="-4"/>
                <w:sz w:val="20"/>
              </w:rPr>
              <w:t>0.7%</w:t>
            </w:r>
          </w:p>
        </w:tc>
        <w:tc>
          <w:tcPr>
            <w:tcW w:w="2254" w:type="dxa"/>
          </w:tcPr>
          <w:p w14:paraId="7A4C2D63" w14:textId="77777777" w:rsidR="00E13D3F" w:rsidRDefault="00FB2D6A">
            <w:pPr>
              <w:pStyle w:val="TableParagraph"/>
              <w:spacing w:before="195"/>
              <w:ind w:left="8"/>
              <w:jc w:val="center"/>
              <w:rPr>
                <w:sz w:val="20"/>
              </w:rPr>
            </w:pPr>
            <w:r>
              <w:rPr>
                <w:spacing w:val="-4"/>
                <w:sz w:val="20"/>
              </w:rPr>
              <w:t>9.1%</w:t>
            </w:r>
          </w:p>
        </w:tc>
        <w:tc>
          <w:tcPr>
            <w:tcW w:w="2379" w:type="dxa"/>
          </w:tcPr>
          <w:p w14:paraId="7A4C2D64" w14:textId="77777777" w:rsidR="00E13D3F" w:rsidRDefault="00FB2D6A">
            <w:pPr>
              <w:pStyle w:val="TableParagraph"/>
              <w:spacing w:before="195"/>
              <w:ind w:left="8" w:right="3"/>
              <w:jc w:val="center"/>
              <w:rPr>
                <w:sz w:val="20"/>
              </w:rPr>
            </w:pPr>
            <w:r>
              <w:rPr>
                <w:spacing w:val="-5"/>
                <w:sz w:val="20"/>
              </w:rPr>
              <w:t>40%</w:t>
            </w:r>
          </w:p>
        </w:tc>
      </w:tr>
    </w:tbl>
    <w:p w14:paraId="7A4C2D66" w14:textId="77777777" w:rsidR="00E13D3F" w:rsidRDefault="00FB2D6A">
      <w:pPr>
        <w:spacing w:before="1" w:line="264" w:lineRule="auto"/>
        <w:ind w:left="1440" w:right="1450" w:firstLine="48"/>
        <w:rPr>
          <w:i/>
          <w:sz w:val="21"/>
        </w:rPr>
      </w:pPr>
      <w:r>
        <w:rPr>
          <w:i/>
          <w:sz w:val="21"/>
        </w:rPr>
        <w:t>Both</w:t>
      </w:r>
      <w:r>
        <w:rPr>
          <w:i/>
          <w:spacing w:val="-4"/>
          <w:sz w:val="21"/>
        </w:rPr>
        <w:t xml:space="preserve"> </w:t>
      </w:r>
      <w:r>
        <w:rPr>
          <w:i/>
          <w:sz w:val="21"/>
        </w:rPr>
        <w:t>studies</w:t>
      </w:r>
      <w:r>
        <w:rPr>
          <w:i/>
          <w:spacing w:val="-4"/>
          <w:sz w:val="21"/>
        </w:rPr>
        <w:t xml:space="preserve"> </w:t>
      </w:r>
      <w:r>
        <w:rPr>
          <w:i/>
          <w:sz w:val="21"/>
        </w:rPr>
        <w:t>illustrate</w:t>
      </w:r>
      <w:r>
        <w:rPr>
          <w:i/>
          <w:spacing w:val="-3"/>
          <w:sz w:val="21"/>
        </w:rPr>
        <w:t xml:space="preserve"> </w:t>
      </w:r>
      <w:r>
        <w:rPr>
          <w:i/>
          <w:sz w:val="21"/>
        </w:rPr>
        <w:t>that</w:t>
      </w:r>
      <w:r>
        <w:rPr>
          <w:i/>
          <w:spacing w:val="-2"/>
          <w:sz w:val="21"/>
        </w:rPr>
        <w:t xml:space="preserve"> </w:t>
      </w:r>
      <w:r>
        <w:rPr>
          <w:i/>
          <w:sz w:val="21"/>
        </w:rPr>
        <w:t>a</w:t>
      </w:r>
      <w:r>
        <w:rPr>
          <w:i/>
          <w:spacing w:val="-4"/>
          <w:sz w:val="21"/>
        </w:rPr>
        <w:t xml:space="preserve"> </w:t>
      </w:r>
      <w:r>
        <w:rPr>
          <w:i/>
          <w:sz w:val="21"/>
        </w:rPr>
        <w:t>full</w:t>
      </w:r>
      <w:r>
        <w:rPr>
          <w:i/>
          <w:spacing w:val="-1"/>
          <w:sz w:val="21"/>
        </w:rPr>
        <w:t xml:space="preserve"> </w:t>
      </w:r>
      <w:r>
        <w:rPr>
          <w:i/>
          <w:sz w:val="21"/>
        </w:rPr>
        <w:t>CVD</w:t>
      </w:r>
      <w:r>
        <w:rPr>
          <w:i/>
          <w:spacing w:val="-4"/>
          <w:sz w:val="21"/>
        </w:rPr>
        <w:t xml:space="preserve"> </w:t>
      </w:r>
      <w:r>
        <w:rPr>
          <w:i/>
          <w:sz w:val="21"/>
        </w:rPr>
        <w:t>risk</w:t>
      </w:r>
      <w:r>
        <w:rPr>
          <w:i/>
          <w:spacing w:val="-2"/>
          <w:sz w:val="21"/>
        </w:rPr>
        <w:t xml:space="preserve"> </w:t>
      </w:r>
      <w:r>
        <w:rPr>
          <w:i/>
          <w:sz w:val="21"/>
        </w:rPr>
        <w:t>assessment every</w:t>
      </w:r>
      <w:r>
        <w:rPr>
          <w:i/>
          <w:spacing w:val="-3"/>
          <w:sz w:val="21"/>
        </w:rPr>
        <w:t xml:space="preserve"> </w:t>
      </w:r>
      <w:r>
        <w:rPr>
          <w:i/>
          <w:sz w:val="21"/>
        </w:rPr>
        <w:t>3-5</w:t>
      </w:r>
      <w:r>
        <w:rPr>
          <w:i/>
          <w:spacing w:val="-1"/>
          <w:sz w:val="21"/>
        </w:rPr>
        <w:t xml:space="preserve"> </w:t>
      </w:r>
      <w:r>
        <w:rPr>
          <w:i/>
          <w:sz w:val="21"/>
        </w:rPr>
        <w:t>years</w:t>
      </w:r>
      <w:r>
        <w:rPr>
          <w:i/>
          <w:spacing w:val="-1"/>
          <w:sz w:val="21"/>
        </w:rPr>
        <w:t xml:space="preserve"> </w:t>
      </w:r>
      <w:r>
        <w:rPr>
          <w:i/>
          <w:sz w:val="21"/>
        </w:rPr>
        <w:t>is</w:t>
      </w:r>
      <w:r>
        <w:rPr>
          <w:i/>
          <w:spacing w:val="-1"/>
          <w:sz w:val="21"/>
        </w:rPr>
        <w:t xml:space="preserve"> </w:t>
      </w:r>
      <w:r>
        <w:rPr>
          <w:i/>
          <w:sz w:val="21"/>
        </w:rPr>
        <w:t>reasonable</w:t>
      </w:r>
      <w:r>
        <w:rPr>
          <w:i/>
          <w:spacing w:val="-1"/>
          <w:sz w:val="21"/>
        </w:rPr>
        <w:t xml:space="preserve"> </w:t>
      </w:r>
      <w:r>
        <w:rPr>
          <w:i/>
          <w:sz w:val="21"/>
        </w:rPr>
        <w:t>(rather</w:t>
      </w:r>
      <w:r>
        <w:rPr>
          <w:i/>
          <w:spacing w:val="-4"/>
          <w:sz w:val="21"/>
        </w:rPr>
        <w:t xml:space="preserve"> </w:t>
      </w:r>
      <w:r>
        <w:rPr>
          <w:i/>
          <w:sz w:val="21"/>
        </w:rPr>
        <w:t>than</w:t>
      </w:r>
      <w:r>
        <w:rPr>
          <w:i/>
          <w:spacing w:val="-1"/>
          <w:sz w:val="21"/>
        </w:rPr>
        <w:t xml:space="preserve"> </w:t>
      </w:r>
      <w:r>
        <w:rPr>
          <w:i/>
          <w:sz w:val="21"/>
        </w:rPr>
        <w:t>yearly), but that the interval should shorten as CVD risk increases.</w:t>
      </w:r>
    </w:p>
    <w:p w14:paraId="7A4C2D67" w14:textId="77777777" w:rsidR="00E13D3F" w:rsidRDefault="00FB2D6A">
      <w:pPr>
        <w:pStyle w:val="Heading2"/>
        <w:spacing w:before="123"/>
      </w:pPr>
      <w:r>
        <w:rPr>
          <w:color w:val="2E5395"/>
          <w:spacing w:val="-2"/>
        </w:rPr>
        <w:t>Subpopulations</w:t>
      </w:r>
    </w:p>
    <w:p w14:paraId="7A4C2D68" w14:textId="77777777" w:rsidR="00E13D3F" w:rsidRDefault="00FB2D6A">
      <w:pPr>
        <w:pStyle w:val="BodyText"/>
        <w:spacing w:before="21" w:line="276" w:lineRule="auto"/>
        <w:ind w:right="1485"/>
      </w:pPr>
      <w:r>
        <w:t>The CVD risk stratification by age shown in Figure 1.1 above is for the overall population. However, this is different for different ethnicities, and might suggest an earlier start for the higher</w:t>
      </w:r>
      <w:r>
        <w:rPr>
          <w:spacing w:val="-4"/>
        </w:rPr>
        <w:t xml:space="preserve"> </w:t>
      </w:r>
      <w:r>
        <w:t>risk</w:t>
      </w:r>
      <w:r>
        <w:rPr>
          <w:spacing w:val="-4"/>
        </w:rPr>
        <w:t xml:space="preserve"> </w:t>
      </w:r>
      <w:r>
        <w:t>groups</w:t>
      </w:r>
      <w:r>
        <w:rPr>
          <w:spacing w:val="-3"/>
        </w:rPr>
        <w:t xml:space="preserve"> </w:t>
      </w:r>
      <w:r>
        <w:t>(or</w:t>
      </w:r>
      <w:r>
        <w:rPr>
          <w:spacing w:val="-5"/>
        </w:rPr>
        <w:t xml:space="preserve"> </w:t>
      </w:r>
      <w:r>
        <w:t>a</w:t>
      </w:r>
      <w:r>
        <w:rPr>
          <w:spacing w:val="-3"/>
        </w:rPr>
        <w:t xml:space="preserve"> </w:t>
      </w:r>
      <w:r>
        <w:t>later</w:t>
      </w:r>
      <w:r>
        <w:rPr>
          <w:spacing w:val="-2"/>
        </w:rPr>
        <w:t xml:space="preserve"> </w:t>
      </w:r>
      <w:r>
        <w:t>start</w:t>
      </w:r>
      <w:r>
        <w:rPr>
          <w:spacing w:val="-3"/>
        </w:rPr>
        <w:t xml:space="preserve"> </w:t>
      </w:r>
      <w:r>
        <w:t>age</w:t>
      </w:r>
      <w:r>
        <w:rPr>
          <w:spacing w:val="-5"/>
        </w:rPr>
        <w:t xml:space="preserve"> </w:t>
      </w:r>
      <w:r>
        <w:t>for</w:t>
      </w:r>
      <w:r>
        <w:rPr>
          <w:spacing w:val="-4"/>
        </w:rPr>
        <w:t xml:space="preserve"> </w:t>
      </w:r>
      <w:r>
        <w:t>the</w:t>
      </w:r>
      <w:r>
        <w:rPr>
          <w:spacing w:val="-2"/>
        </w:rPr>
        <w:t xml:space="preserve"> </w:t>
      </w:r>
      <w:r>
        <w:t>lower</w:t>
      </w:r>
      <w:r>
        <w:rPr>
          <w:spacing w:val="-2"/>
        </w:rPr>
        <w:t xml:space="preserve"> </w:t>
      </w:r>
      <w:r>
        <w:t>risk</w:t>
      </w:r>
      <w:r>
        <w:rPr>
          <w:spacing w:val="-4"/>
        </w:rPr>
        <w:t xml:space="preserve"> </w:t>
      </w:r>
      <w:r>
        <w:t>groups).</w:t>
      </w:r>
      <w:r>
        <w:rPr>
          <w:spacing w:val="-4"/>
        </w:rPr>
        <w:t xml:space="preserve"> </w:t>
      </w:r>
      <w:r>
        <w:t>Other</w:t>
      </w:r>
      <w:r>
        <w:rPr>
          <w:spacing w:val="-2"/>
        </w:rPr>
        <w:t xml:space="preserve"> </w:t>
      </w:r>
      <w:r>
        <w:t>subpopulations?</w:t>
      </w:r>
      <w:r>
        <w:rPr>
          <w:spacing w:val="-4"/>
        </w:rPr>
        <w:t xml:space="preserve"> </w:t>
      </w:r>
      <w:r>
        <w:t>that might be considered for early starting are known smokers and women with maternal conditions such as pre-eclampsia and gestational diabetes. Figure 1.2 below is a risk stratification by age for Aboriginal and Torres Strait Islander adults based on biomedical data</w:t>
      </w:r>
      <w:r>
        <w:rPr>
          <w:spacing w:val="-1"/>
        </w:rPr>
        <w:t xml:space="preserve"> </w:t>
      </w:r>
      <w:r>
        <w:t>provided for the</w:t>
      </w:r>
      <w:r>
        <w:rPr>
          <w:spacing w:val="-1"/>
        </w:rPr>
        <w:t xml:space="preserve"> </w:t>
      </w:r>
      <w:r>
        <w:t>National</w:t>
      </w:r>
      <w:r>
        <w:rPr>
          <w:spacing w:val="-1"/>
        </w:rPr>
        <w:t xml:space="preserve"> </w:t>
      </w:r>
      <w:r>
        <w:t>Aboriginal</w:t>
      </w:r>
      <w:r>
        <w:rPr>
          <w:spacing w:val="-1"/>
        </w:rPr>
        <w:t xml:space="preserve"> </w:t>
      </w:r>
      <w:r>
        <w:t>and Torres Strait Islander Health Measures Survey (NATSIHMS) component of the Australian Bureau of Statistics (ABS) 2012-13 Australian Aboriginal and Torres Strait Islander Health Survey (AATSIHS). Note that this is not exactly comparable to the Figure 1.1 above as different CVD risk equations are used. However, there is clearly a higher risk in the aboriginal and Torres Strait islander population, corresponding approximately to having the equivalent CVD risk about 10 years earlier. That suggests CVD health assessment should occur 10 years earlier also.</w:t>
      </w:r>
    </w:p>
    <w:p w14:paraId="7A4C2D69" w14:textId="77777777" w:rsidR="00E13D3F" w:rsidRDefault="00E13D3F">
      <w:pPr>
        <w:pStyle w:val="BodyText"/>
        <w:spacing w:line="276" w:lineRule="auto"/>
        <w:sectPr w:rsidR="00E13D3F">
          <w:pgSz w:w="11910" w:h="16840"/>
          <w:pgMar w:top="1380" w:right="0" w:bottom="1200" w:left="0" w:header="0" w:footer="1000" w:gutter="0"/>
          <w:cols w:space="720"/>
        </w:sectPr>
      </w:pPr>
    </w:p>
    <w:p w14:paraId="7A4C2D6A" w14:textId="77777777" w:rsidR="00E13D3F" w:rsidRDefault="00FB2D6A">
      <w:pPr>
        <w:ind w:left="1480"/>
        <w:rPr>
          <w:sz w:val="20"/>
        </w:rPr>
      </w:pPr>
      <w:r>
        <w:rPr>
          <w:noProof/>
          <w:sz w:val="20"/>
        </w:rPr>
        <w:lastRenderedPageBreak/>
        <w:drawing>
          <wp:inline distT="0" distB="0" distL="0" distR="0" wp14:anchorId="7A4C3C3C" wp14:editId="7A4C3C3D">
            <wp:extent cx="5670073" cy="1923669"/>
            <wp:effectExtent l="0" t="0" r="0" b="0"/>
            <wp:docPr id="48" name="Image 48" descr="Chart, bar char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descr="Chart, bar chart  Description automatically generated"/>
                    <pic:cNvPicPr/>
                  </pic:nvPicPr>
                  <pic:blipFill>
                    <a:blip r:embed="rId18" cstate="print"/>
                    <a:stretch>
                      <a:fillRect/>
                    </a:stretch>
                  </pic:blipFill>
                  <pic:spPr>
                    <a:xfrm>
                      <a:off x="0" y="0"/>
                      <a:ext cx="5670073" cy="1923669"/>
                    </a:xfrm>
                    <a:prstGeom prst="rect">
                      <a:avLst/>
                    </a:prstGeom>
                  </pic:spPr>
                </pic:pic>
              </a:graphicData>
            </a:graphic>
          </wp:inline>
        </w:drawing>
      </w:r>
    </w:p>
    <w:p w14:paraId="7A4C2D6B" w14:textId="77777777" w:rsidR="00E13D3F" w:rsidRDefault="00FB2D6A">
      <w:pPr>
        <w:spacing w:before="164"/>
        <w:ind w:left="1932" w:right="1450" w:hanging="452"/>
      </w:pPr>
      <w:r>
        <w:rPr>
          <w:b/>
        </w:rPr>
        <w:t>Figure</w:t>
      </w:r>
      <w:r>
        <w:rPr>
          <w:b/>
          <w:spacing w:val="-4"/>
        </w:rPr>
        <w:t xml:space="preserve"> </w:t>
      </w:r>
      <w:r>
        <w:rPr>
          <w:b/>
        </w:rPr>
        <w:t>1.2</w:t>
      </w:r>
      <w:r>
        <w:t>.</w:t>
      </w:r>
      <w:r>
        <w:rPr>
          <w:spacing w:val="-1"/>
        </w:rPr>
        <w:t xml:space="preserve"> </w:t>
      </w:r>
      <w:r>
        <w:t>Estimated</w:t>
      </w:r>
      <w:r>
        <w:rPr>
          <w:spacing w:val="-4"/>
        </w:rPr>
        <w:t xml:space="preserve"> </w:t>
      </w:r>
      <w:r>
        <w:t>weighted distribution</w:t>
      </w:r>
      <w:r>
        <w:rPr>
          <w:spacing w:val="-5"/>
        </w:rPr>
        <w:t xml:space="preserve"> </w:t>
      </w:r>
      <w:r>
        <w:t>of</w:t>
      </w:r>
      <w:r>
        <w:rPr>
          <w:spacing w:val="-4"/>
        </w:rPr>
        <w:t xml:space="preserve"> </w:t>
      </w:r>
      <w:r>
        <w:t>5-year</w:t>
      </w:r>
      <w:r>
        <w:rPr>
          <w:spacing w:val="-3"/>
        </w:rPr>
        <w:t xml:space="preserve"> </w:t>
      </w:r>
      <w:r>
        <w:t>absolute</w:t>
      </w:r>
      <w:r>
        <w:rPr>
          <w:spacing w:val="-3"/>
        </w:rPr>
        <w:t xml:space="preserve"> </w:t>
      </w:r>
      <w:r>
        <w:t>cardiovascular</w:t>
      </w:r>
      <w:r>
        <w:rPr>
          <w:spacing w:val="-4"/>
        </w:rPr>
        <w:t xml:space="preserve"> </w:t>
      </w:r>
      <w:r>
        <w:t>disease</w:t>
      </w:r>
      <w:r>
        <w:rPr>
          <w:spacing w:val="-1"/>
        </w:rPr>
        <w:t xml:space="preserve"> </w:t>
      </w:r>
      <w:r>
        <w:t>risk</w:t>
      </w:r>
      <w:r>
        <w:rPr>
          <w:spacing w:val="-1"/>
        </w:rPr>
        <w:t xml:space="preserve"> </w:t>
      </w:r>
      <w:r>
        <w:t>categories for Aboriginal and Torres Strait Islander adults aged 18-74 years, by sex and age group (9).</w:t>
      </w:r>
    </w:p>
    <w:p w14:paraId="7A4C2D6C" w14:textId="77777777" w:rsidR="00E13D3F" w:rsidRDefault="00E13D3F">
      <w:pPr>
        <w:pStyle w:val="BodyText"/>
        <w:spacing w:before="234"/>
        <w:ind w:left="0"/>
        <w:rPr>
          <w:sz w:val="22"/>
        </w:rPr>
      </w:pPr>
    </w:p>
    <w:p w14:paraId="7A4C2D6D" w14:textId="77777777" w:rsidR="00E13D3F" w:rsidRDefault="00FB2D6A">
      <w:pPr>
        <w:pStyle w:val="Heading2"/>
      </w:pPr>
      <w:r>
        <w:rPr>
          <w:color w:val="2E5395"/>
          <w:spacing w:val="-2"/>
        </w:rPr>
        <w:t>Comments</w:t>
      </w:r>
    </w:p>
    <w:p w14:paraId="7A4C2D6E" w14:textId="77777777" w:rsidR="00E13D3F" w:rsidRDefault="00FB2D6A">
      <w:pPr>
        <w:pStyle w:val="BodyText"/>
        <w:spacing w:before="26" w:line="276" w:lineRule="auto"/>
        <w:ind w:right="1450"/>
      </w:pPr>
      <w:r>
        <w:t>Assessment of CVD risk with the combined risk factors, using a CVD risk score, are clearly helpful</w:t>
      </w:r>
      <w:r>
        <w:rPr>
          <w:spacing w:val="-5"/>
        </w:rPr>
        <w:t xml:space="preserve"> </w:t>
      </w:r>
      <w:r>
        <w:t>in</w:t>
      </w:r>
      <w:r>
        <w:rPr>
          <w:spacing w:val="-4"/>
        </w:rPr>
        <w:t xml:space="preserve"> </w:t>
      </w:r>
      <w:r>
        <w:t>making</w:t>
      </w:r>
      <w:r>
        <w:rPr>
          <w:spacing w:val="-3"/>
        </w:rPr>
        <w:t xml:space="preserve"> </w:t>
      </w:r>
      <w:r>
        <w:t>decisions</w:t>
      </w:r>
      <w:r>
        <w:rPr>
          <w:spacing w:val="-3"/>
        </w:rPr>
        <w:t xml:space="preserve"> </w:t>
      </w:r>
      <w:r>
        <w:t>about</w:t>
      </w:r>
      <w:r>
        <w:rPr>
          <w:spacing w:val="-2"/>
        </w:rPr>
        <w:t xml:space="preserve"> </w:t>
      </w:r>
      <w:r>
        <w:t>the</w:t>
      </w:r>
      <w:r>
        <w:rPr>
          <w:spacing w:val="-2"/>
        </w:rPr>
        <w:t xml:space="preserve"> </w:t>
      </w:r>
      <w:r>
        <w:t>value</w:t>
      </w:r>
      <w:r>
        <w:rPr>
          <w:spacing w:val="-5"/>
        </w:rPr>
        <w:t xml:space="preserve"> </w:t>
      </w:r>
      <w:r>
        <w:t>of</w:t>
      </w:r>
      <w:r>
        <w:rPr>
          <w:spacing w:val="-4"/>
        </w:rPr>
        <w:t xml:space="preserve"> </w:t>
      </w:r>
      <w:r>
        <w:t>treatments</w:t>
      </w:r>
      <w:r>
        <w:rPr>
          <w:spacing w:val="-4"/>
        </w:rPr>
        <w:t xml:space="preserve"> </w:t>
      </w:r>
      <w:r>
        <w:t>for</w:t>
      </w:r>
      <w:r>
        <w:rPr>
          <w:spacing w:val="-4"/>
        </w:rPr>
        <w:t xml:space="preserve"> </w:t>
      </w:r>
      <w:r>
        <w:t>risk</w:t>
      </w:r>
      <w:r>
        <w:rPr>
          <w:spacing w:val="-4"/>
        </w:rPr>
        <w:t xml:space="preserve"> </w:t>
      </w:r>
      <w:r>
        <w:t>factors.</w:t>
      </w:r>
      <w:r>
        <w:rPr>
          <w:spacing w:val="-6"/>
        </w:rPr>
        <w:t xml:space="preserve"> </w:t>
      </w:r>
      <w:r>
        <w:t>Some</w:t>
      </w:r>
      <w:r>
        <w:rPr>
          <w:spacing w:val="-2"/>
        </w:rPr>
        <w:t xml:space="preserve"> </w:t>
      </w:r>
      <w:r>
        <w:t>assessments will be triggered by the detection of an individual risk factor, such as high blood pressure, but otherwise a full CVD risk assessment appears warranted based on an individual’s age.</w:t>
      </w:r>
    </w:p>
    <w:p w14:paraId="7A4C2D6F" w14:textId="77777777" w:rsidR="00E13D3F" w:rsidRDefault="00FB2D6A">
      <w:pPr>
        <w:pStyle w:val="Heading2"/>
        <w:spacing w:before="121"/>
      </w:pPr>
      <w:r>
        <w:rPr>
          <w:color w:val="2E5395"/>
          <w:spacing w:val="-2"/>
        </w:rPr>
        <w:t>Conclusion</w:t>
      </w:r>
    </w:p>
    <w:p w14:paraId="7A4C2D70" w14:textId="77777777" w:rsidR="00E13D3F" w:rsidRDefault="00FB2D6A">
      <w:pPr>
        <w:pStyle w:val="BodyText"/>
        <w:spacing w:before="23" w:line="276" w:lineRule="auto"/>
        <w:ind w:right="1450"/>
      </w:pPr>
      <w:r>
        <w:t>In middle aged and older adults, a CVD risk assessment appears warranted as part of a general</w:t>
      </w:r>
      <w:r>
        <w:rPr>
          <w:spacing w:val="-5"/>
        </w:rPr>
        <w:t xml:space="preserve"> </w:t>
      </w:r>
      <w:r>
        <w:t>health</w:t>
      </w:r>
      <w:r>
        <w:rPr>
          <w:spacing w:val="-4"/>
        </w:rPr>
        <w:t xml:space="preserve"> </w:t>
      </w:r>
      <w:r>
        <w:t>assessment.</w:t>
      </w:r>
      <w:r>
        <w:rPr>
          <w:spacing w:val="-4"/>
        </w:rPr>
        <w:t xml:space="preserve"> </w:t>
      </w:r>
      <w:r>
        <w:t>The</w:t>
      </w:r>
      <w:r>
        <w:rPr>
          <w:spacing w:val="-4"/>
        </w:rPr>
        <w:t xml:space="preserve"> </w:t>
      </w:r>
      <w:r>
        <w:t>frequency</w:t>
      </w:r>
      <w:r>
        <w:rPr>
          <w:spacing w:val="-3"/>
        </w:rPr>
        <w:t xml:space="preserve"> </w:t>
      </w:r>
      <w:r>
        <w:t>should</w:t>
      </w:r>
      <w:r>
        <w:rPr>
          <w:spacing w:val="-4"/>
        </w:rPr>
        <w:t xml:space="preserve"> </w:t>
      </w:r>
      <w:r>
        <w:t>depend</w:t>
      </w:r>
      <w:r>
        <w:rPr>
          <w:spacing w:val="-2"/>
        </w:rPr>
        <w:t xml:space="preserve"> </w:t>
      </w:r>
      <w:r>
        <w:t>on</w:t>
      </w:r>
      <w:r>
        <w:rPr>
          <w:spacing w:val="-4"/>
        </w:rPr>
        <w:t xml:space="preserve"> </w:t>
      </w:r>
      <w:r>
        <w:t>the</w:t>
      </w:r>
      <w:r>
        <w:rPr>
          <w:spacing w:val="-5"/>
        </w:rPr>
        <w:t xml:space="preserve"> </w:t>
      </w:r>
      <w:r>
        <w:t>initial</w:t>
      </w:r>
      <w:r>
        <w:rPr>
          <w:spacing w:val="-2"/>
        </w:rPr>
        <w:t xml:space="preserve"> </w:t>
      </w:r>
      <w:r>
        <w:t>level</w:t>
      </w:r>
      <w:r>
        <w:rPr>
          <w:spacing w:val="-2"/>
        </w:rPr>
        <w:t xml:space="preserve"> </w:t>
      </w:r>
      <w:r>
        <w:t>of</w:t>
      </w:r>
      <w:r>
        <w:rPr>
          <w:spacing w:val="-4"/>
        </w:rPr>
        <w:t xml:space="preserve"> </w:t>
      </w:r>
      <w:r>
        <w:t>risk, but</w:t>
      </w:r>
      <w:r>
        <w:rPr>
          <w:spacing w:val="-4"/>
        </w:rPr>
        <w:t xml:space="preserve"> </w:t>
      </w:r>
      <w:r>
        <w:t>for the low risk every 3 to 10 years is reasonable.</w:t>
      </w:r>
    </w:p>
    <w:p w14:paraId="7A4C2D71" w14:textId="77777777" w:rsidR="00E13D3F" w:rsidRDefault="00E13D3F">
      <w:pPr>
        <w:pStyle w:val="BodyText"/>
        <w:spacing w:line="276" w:lineRule="auto"/>
        <w:sectPr w:rsidR="00E13D3F">
          <w:pgSz w:w="11910" w:h="16840"/>
          <w:pgMar w:top="1420" w:right="0" w:bottom="1200" w:left="0" w:header="0" w:footer="1000" w:gutter="0"/>
          <w:cols w:space="720"/>
        </w:sectPr>
      </w:pPr>
    </w:p>
    <w:p w14:paraId="7A4C2D72" w14:textId="77777777" w:rsidR="00E13D3F" w:rsidRDefault="00FB2D6A">
      <w:pPr>
        <w:pStyle w:val="Heading2"/>
        <w:spacing w:before="24"/>
      </w:pPr>
      <w:r>
        <w:rPr>
          <w:color w:val="2E5395"/>
          <w:spacing w:val="-2"/>
        </w:rPr>
        <w:lastRenderedPageBreak/>
        <w:t>References</w:t>
      </w:r>
    </w:p>
    <w:p w14:paraId="7A4C2D73" w14:textId="77777777" w:rsidR="00E13D3F" w:rsidRDefault="00FB2D6A" w:rsidP="00990D2B">
      <w:pPr>
        <w:pStyle w:val="ListParagraph"/>
        <w:numPr>
          <w:ilvl w:val="0"/>
          <w:numId w:val="51"/>
        </w:numPr>
        <w:tabs>
          <w:tab w:val="left" w:pos="1798"/>
          <w:tab w:val="left" w:pos="1800"/>
        </w:tabs>
        <w:spacing w:before="23" w:line="276" w:lineRule="auto"/>
        <w:ind w:right="1511"/>
      </w:pPr>
      <w:proofErr w:type="spellStart"/>
      <w:r>
        <w:t>Dyakova</w:t>
      </w:r>
      <w:proofErr w:type="spellEnd"/>
      <w:r>
        <w:rPr>
          <w:spacing w:val="-3"/>
        </w:rPr>
        <w:t xml:space="preserve"> </w:t>
      </w:r>
      <w:r>
        <w:t>M,</w:t>
      </w:r>
      <w:r>
        <w:rPr>
          <w:spacing w:val="-1"/>
        </w:rPr>
        <w:t xml:space="preserve"> </w:t>
      </w:r>
      <w:proofErr w:type="spellStart"/>
      <w:r>
        <w:t>Shantikumar</w:t>
      </w:r>
      <w:proofErr w:type="spellEnd"/>
      <w:r>
        <w:rPr>
          <w:spacing w:val="-1"/>
        </w:rPr>
        <w:t xml:space="preserve"> </w:t>
      </w:r>
      <w:r>
        <w:t>S,</w:t>
      </w:r>
      <w:r>
        <w:rPr>
          <w:spacing w:val="-4"/>
        </w:rPr>
        <w:t xml:space="preserve"> </w:t>
      </w:r>
      <w:r>
        <w:t>Colquitt</w:t>
      </w:r>
      <w:r>
        <w:rPr>
          <w:spacing w:val="-3"/>
        </w:rPr>
        <w:t xml:space="preserve"> </w:t>
      </w:r>
      <w:r>
        <w:t>JL,</w:t>
      </w:r>
      <w:r>
        <w:rPr>
          <w:spacing w:val="-3"/>
        </w:rPr>
        <w:t xml:space="preserve"> </w:t>
      </w:r>
      <w:r>
        <w:t>Drew CM,</w:t>
      </w:r>
      <w:r>
        <w:rPr>
          <w:spacing w:val="-1"/>
        </w:rPr>
        <w:t xml:space="preserve"> </w:t>
      </w:r>
      <w:r>
        <w:t>Sime</w:t>
      </w:r>
      <w:r>
        <w:rPr>
          <w:spacing w:val="-3"/>
        </w:rPr>
        <w:t xml:space="preserve"> </w:t>
      </w:r>
      <w:r>
        <w:t>M,</w:t>
      </w:r>
      <w:r>
        <w:rPr>
          <w:spacing w:val="-3"/>
        </w:rPr>
        <w:t xml:space="preserve"> </w:t>
      </w:r>
      <w:r>
        <w:t>MacIver</w:t>
      </w:r>
      <w:r>
        <w:rPr>
          <w:spacing w:val="-1"/>
        </w:rPr>
        <w:t xml:space="preserve"> </w:t>
      </w:r>
      <w:r>
        <w:t>J,</w:t>
      </w:r>
      <w:r>
        <w:rPr>
          <w:spacing w:val="-4"/>
        </w:rPr>
        <w:t xml:space="preserve"> </w:t>
      </w:r>
      <w:r>
        <w:t>Wright</w:t>
      </w:r>
      <w:r>
        <w:rPr>
          <w:spacing w:val="-1"/>
        </w:rPr>
        <w:t xml:space="preserve"> </w:t>
      </w:r>
      <w:r>
        <w:t>N,</w:t>
      </w:r>
      <w:r>
        <w:rPr>
          <w:spacing w:val="-4"/>
        </w:rPr>
        <w:t xml:space="preserve"> </w:t>
      </w:r>
      <w:r>
        <w:t>Clarke</w:t>
      </w:r>
      <w:r>
        <w:rPr>
          <w:spacing w:val="-1"/>
        </w:rPr>
        <w:t xml:space="preserve"> </w:t>
      </w:r>
      <w:r>
        <w:t>A,</w:t>
      </w:r>
      <w:r>
        <w:rPr>
          <w:spacing w:val="-4"/>
        </w:rPr>
        <w:t xml:space="preserve"> </w:t>
      </w:r>
      <w:r>
        <w:t>Rees</w:t>
      </w:r>
      <w:r>
        <w:rPr>
          <w:spacing w:val="-1"/>
        </w:rPr>
        <w:t xml:space="preserve"> </w:t>
      </w:r>
      <w:r>
        <w:t>K. Systematic versus opportunistic risk assessment for the primary prevention of cardiovascular disease. Cochrane Database of Systematic Reviews 2016, Issue 1. Art. No.: CD010411.</w:t>
      </w:r>
    </w:p>
    <w:p w14:paraId="7A4C2D74" w14:textId="77777777" w:rsidR="00E13D3F" w:rsidRDefault="00FB2D6A" w:rsidP="00990D2B">
      <w:pPr>
        <w:pStyle w:val="ListParagraph"/>
        <w:numPr>
          <w:ilvl w:val="0"/>
          <w:numId w:val="51"/>
        </w:numPr>
        <w:tabs>
          <w:tab w:val="left" w:pos="1798"/>
          <w:tab w:val="left" w:pos="1800"/>
        </w:tabs>
        <w:spacing w:line="273" w:lineRule="auto"/>
        <w:ind w:right="1567"/>
      </w:pPr>
      <w:r>
        <w:t>Doust</w:t>
      </w:r>
      <w:r>
        <w:rPr>
          <w:spacing w:val="-1"/>
        </w:rPr>
        <w:t xml:space="preserve"> </w:t>
      </w:r>
      <w:r>
        <w:t>J,</w:t>
      </w:r>
      <w:r>
        <w:rPr>
          <w:spacing w:val="-1"/>
        </w:rPr>
        <w:t xml:space="preserve"> </w:t>
      </w:r>
      <w:r>
        <w:t>Sanders</w:t>
      </w:r>
      <w:r>
        <w:rPr>
          <w:spacing w:val="-1"/>
        </w:rPr>
        <w:t xml:space="preserve"> </w:t>
      </w:r>
      <w:r>
        <w:t>S,</w:t>
      </w:r>
      <w:r>
        <w:rPr>
          <w:spacing w:val="-4"/>
        </w:rPr>
        <w:t xml:space="preserve"> </w:t>
      </w:r>
      <w:r>
        <w:t>Shaw</w:t>
      </w:r>
      <w:r>
        <w:rPr>
          <w:spacing w:val="-1"/>
        </w:rPr>
        <w:t xml:space="preserve"> </w:t>
      </w:r>
      <w:r>
        <w:t>J,</w:t>
      </w:r>
      <w:r>
        <w:rPr>
          <w:spacing w:val="-3"/>
        </w:rPr>
        <w:t xml:space="preserve"> </w:t>
      </w:r>
      <w:proofErr w:type="spellStart"/>
      <w:r>
        <w:t>Glasziou</w:t>
      </w:r>
      <w:proofErr w:type="spellEnd"/>
      <w:r>
        <w:rPr>
          <w:spacing w:val="-4"/>
        </w:rPr>
        <w:t xml:space="preserve"> </w:t>
      </w:r>
      <w:r>
        <w:t>P.</w:t>
      </w:r>
      <w:r>
        <w:rPr>
          <w:spacing w:val="-1"/>
        </w:rPr>
        <w:t xml:space="preserve"> </w:t>
      </w:r>
      <w:proofErr w:type="spellStart"/>
      <w:r>
        <w:t>Prioritising</w:t>
      </w:r>
      <w:proofErr w:type="spellEnd"/>
      <w:r>
        <w:rPr>
          <w:spacing w:val="-2"/>
        </w:rPr>
        <w:t xml:space="preserve"> </w:t>
      </w:r>
      <w:r>
        <w:t>CVD</w:t>
      </w:r>
      <w:r>
        <w:rPr>
          <w:spacing w:val="-3"/>
        </w:rPr>
        <w:t xml:space="preserve"> </w:t>
      </w:r>
      <w:r>
        <w:t>prevention</w:t>
      </w:r>
      <w:r>
        <w:rPr>
          <w:spacing w:val="-4"/>
        </w:rPr>
        <w:t xml:space="preserve"> </w:t>
      </w:r>
      <w:r>
        <w:t>therapy -</w:t>
      </w:r>
      <w:r>
        <w:rPr>
          <w:spacing w:val="-1"/>
        </w:rPr>
        <w:t xml:space="preserve"> </w:t>
      </w:r>
      <w:r>
        <w:t>absolute</w:t>
      </w:r>
      <w:r>
        <w:rPr>
          <w:spacing w:val="-1"/>
        </w:rPr>
        <w:t xml:space="preserve"> </w:t>
      </w:r>
      <w:r>
        <w:t>risk</w:t>
      </w:r>
      <w:r>
        <w:rPr>
          <w:spacing w:val="-3"/>
        </w:rPr>
        <w:t xml:space="preserve"> </w:t>
      </w:r>
      <w:r>
        <w:t>versus individual risk factors. Aust Fam Physician. 2012 Oct;41(10):805-9. PMID: 23210106.</w:t>
      </w:r>
    </w:p>
    <w:p w14:paraId="7A4C2D75" w14:textId="77777777" w:rsidR="00E13D3F" w:rsidRDefault="00FB2D6A" w:rsidP="00990D2B">
      <w:pPr>
        <w:pStyle w:val="ListParagraph"/>
        <w:numPr>
          <w:ilvl w:val="0"/>
          <w:numId w:val="51"/>
        </w:numPr>
        <w:tabs>
          <w:tab w:val="left" w:pos="1798"/>
          <w:tab w:val="left" w:pos="1800"/>
        </w:tabs>
        <w:spacing w:before="4" w:line="276" w:lineRule="auto"/>
        <w:ind w:right="1524"/>
      </w:pPr>
      <w:r>
        <w:t xml:space="preserve">Yusuf S, Joseph P, Dans A, et al International </w:t>
      </w:r>
      <w:proofErr w:type="spellStart"/>
      <w:r>
        <w:t>Polycap</w:t>
      </w:r>
      <w:proofErr w:type="spellEnd"/>
      <w:r>
        <w:t xml:space="preserve"> Study 3 Investigators. Polypill with or without Aspirin in Persons without Cardiovascular Disease. N Engl J Med. 2021 Jan 21;384(3):216-228.</w:t>
      </w:r>
      <w:r>
        <w:rPr>
          <w:spacing w:val="-3"/>
        </w:rPr>
        <w:t xml:space="preserve"> </w:t>
      </w:r>
      <w:proofErr w:type="spellStart"/>
      <w:r>
        <w:t>doi</w:t>
      </w:r>
      <w:proofErr w:type="spellEnd"/>
      <w:r>
        <w:t>:</w:t>
      </w:r>
      <w:r>
        <w:rPr>
          <w:spacing w:val="-5"/>
        </w:rPr>
        <w:t xml:space="preserve"> </w:t>
      </w:r>
      <w:r>
        <w:t>10.1056/NEJMoa2028220.</w:t>
      </w:r>
      <w:r>
        <w:rPr>
          <w:spacing w:val="-3"/>
        </w:rPr>
        <w:t xml:space="preserve"> </w:t>
      </w:r>
      <w:proofErr w:type="spellStart"/>
      <w:r>
        <w:t>Epub</w:t>
      </w:r>
      <w:proofErr w:type="spellEnd"/>
      <w:r>
        <w:rPr>
          <w:spacing w:val="-4"/>
        </w:rPr>
        <w:t xml:space="preserve"> </w:t>
      </w:r>
      <w:r>
        <w:t>2020</w:t>
      </w:r>
      <w:r>
        <w:rPr>
          <w:spacing w:val="-3"/>
        </w:rPr>
        <w:t xml:space="preserve"> </w:t>
      </w:r>
      <w:r>
        <w:t>Nov</w:t>
      </w:r>
      <w:r>
        <w:rPr>
          <w:spacing w:val="-5"/>
        </w:rPr>
        <w:t xml:space="preserve"> </w:t>
      </w:r>
      <w:r>
        <w:t>13.</w:t>
      </w:r>
      <w:r>
        <w:rPr>
          <w:spacing w:val="-6"/>
        </w:rPr>
        <w:t xml:space="preserve"> </w:t>
      </w:r>
      <w:r>
        <w:t>PMID:</w:t>
      </w:r>
      <w:r>
        <w:rPr>
          <w:spacing w:val="-5"/>
        </w:rPr>
        <w:t xml:space="preserve"> </w:t>
      </w:r>
      <w:r>
        <w:t>33186492;</w:t>
      </w:r>
      <w:r>
        <w:rPr>
          <w:spacing w:val="-5"/>
        </w:rPr>
        <w:t xml:space="preserve"> </w:t>
      </w:r>
      <w:r>
        <w:t xml:space="preserve">PMCID: </w:t>
      </w:r>
      <w:r>
        <w:rPr>
          <w:spacing w:val="-2"/>
        </w:rPr>
        <w:t>PMC7116860.</w:t>
      </w:r>
    </w:p>
    <w:p w14:paraId="7A4C2D76" w14:textId="77777777" w:rsidR="00E13D3F" w:rsidRDefault="00FB2D6A" w:rsidP="00990D2B">
      <w:pPr>
        <w:pStyle w:val="ListParagraph"/>
        <w:numPr>
          <w:ilvl w:val="0"/>
          <w:numId w:val="51"/>
        </w:numPr>
        <w:tabs>
          <w:tab w:val="left" w:pos="1798"/>
          <w:tab w:val="left" w:pos="1800"/>
        </w:tabs>
        <w:spacing w:before="1" w:line="276" w:lineRule="auto"/>
        <w:ind w:right="1453"/>
      </w:pPr>
      <w:r>
        <w:t xml:space="preserve">Banks E, Crouch SR, Korda RJ, </w:t>
      </w:r>
      <w:proofErr w:type="spellStart"/>
      <w:r>
        <w:t>Stavreski</w:t>
      </w:r>
      <w:proofErr w:type="spellEnd"/>
      <w:r>
        <w:t xml:space="preserve"> B, Page K, Thurber KA, Grenfell R. Absolute risk of cardiovascular</w:t>
      </w:r>
      <w:r>
        <w:rPr>
          <w:spacing w:val="-2"/>
        </w:rPr>
        <w:t xml:space="preserve"> </w:t>
      </w:r>
      <w:r>
        <w:t>disease</w:t>
      </w:r>
      <w:r>
        <w:rPr>
          <w:spacing w:val="-4"/>
        </w:rPr>
        <w:t xml:space="preserve"> </w:t>
      </w:r>
      <w:r>
        <w:t>events,</w:t>
      </w:r>
      <w:r>
        <w:rPr>
          <w:spacing w:val="-2"/>
        </w:rPr>
        <w:t xml:space="preserve"> </w:t>
      </w:r>
      <w:r>
        <w:t>and</w:t>
      </w:r>
      <w:r>
        <w:rPr>
          <w:spacing w:val="-3"/>
        </w:rPr>
        <w:t xml:space="preserve"> </w:t>
      </w:r>
      <w:r>
        <w:t>blood</w:t>
      </w:r>
      <w:r>
        <w:rPr>
          <w:spacing w:val="-3"/>
        </w:rPr>
        <w:t xml:space="preserve"> </w:t>
      </w:r>
      <w:r>
        <w:t>pressure-</w:t>
      </w:r>
      <w:r>
        <w:rPr>
          <w:spacing w:val="-2"/>
        </w:rPr>
        <w:t xml:space="preserve"> </w:t>
      </w:r>
      <w:r>
        <w:t>and</w:t>
      </w:r>
      <w:r>
        <w:rPr>
          <w:spacing w:val="-3"/>
        </w:rPr>
        <w:t xml:space="preserve"> </w:t>
      </w:r>
      <w:r>
        <w:t>lipid-lowering</w:t>
      </w:r>
      <w:r>
        <w:rPr>
          <w:spacing w:val="-3"/>
        </w:rPr>
        <w:t xml:space="preserve"> </w:t>
      </w:r>
      <w:r>
        <w:t>therapy</w:t>
      </w:r>
      <w:r>
        <w:rPr>
          <w:spacing w:val="-2"/>
        </w:rPr>
        <w:t xml:space="preserve"> </w:t>
      </w:r>
      <w:r>
        <w:t>in</w:t>
      </w:r>
      <w:r>
        <w:rPr>
          <w:spacing w:val="-5"/>
        </w:rPr>
        <w:t xml:space="preserve"> </w:t>
      </w:r>
      <w:r>
        <w:t>Australia.</w:t>
      </w:r>
      <w:r>
        <w:rPr>
          <w:spacing w:val="-2"/>
        </w:rPr>
        <w:t xml:space="preserve"> </w:t>
      </w:r>
      <w:r>
        <w:t>Med</w:t>
      </w:r>
      <w:r>
        <w:rPr>
          <w:spacing w:val="-2"/>
        </w:rPr>
        <w:t xml:space="preserve"> </w:t>
      </w:r>
      <w:r>
        <w:t>J Aust. 2016 May 2;204(8):320. PMID: 27125809.</w:t>
      </w:r>
    </w:p>
    <w:p w14:paraId="7A4C2D77" w14:textId="77777777" w:rsidR="00E13D3F" w:rsidRDefault="00FB2D6A" w:rsidP="00990D2B">
      <w:pPr>
        <w:pStyle w:val="ListParagraph"/>
        <w:numPr>
          <w:ilvl w:val="0"/>
          <w:numId w:val="51"/>
        </w:numPr>
        <w:tabs>
          <w:tab w:val="left" w:pos="1798"/>
          <w:tab w:val="left" w:pos="1800"/>
        </w:tabs>
        <w:spacing w:line="276" w:lineRule="auto"/>
        <w:ind w:right="1518"/>
      </w:pPr>
      <w:r>
        <w:t>Ho CLB,</w:t>
      </w:r>
      <w:r>
        <w:rPr>
          <w:spacing w:val="-1"/>
        </w:rPr>
        <w:t xml:space="preserve"> </w:t>
      </w:r>
      <w:r>
        <w:t>Sanders</w:t>
      </w:r>
      <w:r>
        <w:rPr>
          <w:spacing w:val="-1"/>
        </w:rPr>
        <w:t xml:space="preserve"> </w:t>
      </w:r>
      <w:r>
        <w:t>S,</w:t>
      </w:r>
      <w:r>
        <w:rPr>
          <w:spacing w:val="-4"/>
        </w:rPr>
        <w:t xml:space="preserve"> </w:t>
      </w:r>
      <w:r>
        <w:t>Breslin</w:t>
      </w:r>
      <w:r>
        <w:rPr>
          <w:spacing w:val="-4"/>
        </w:rPr>
        <w:t xml:space="preserve"> </w:t>
      </w:r>
      <w:r>
        <w:t>M,</w:t>
      </w:r>
      <w:r>
        <w:rPr>
          <w:spacing w:val="-3"/>
        </w:rPr>
        <w:t xml:space="preserve"> </w:t>
      </w:r>
      <w:r>
        <w:t>Doust</w:t>
      </w:r>
      <w:r>
        <w:rPr>
          <w:spacing w:val="-1"/>
        </w:rPr>
        <w:t xml:space="preserve"> </w:t>
      </w:r>
      <w:r>
        <w:t>J,</w:t>
      </w:r>
      <w:r>
        <w:rPr>
          <w:spacing w:val="-1"/>
        </w:rPr>
        <w:t xml:space="preserve"> </w:t>
      </w:r>
      <w:r>
        <w:t>Reid</w:t>
      </w:r>
      <w:r>
        <w:rPr>
          <w:spacing w:val="-2"/>
        </w:rPr>
        <w:t xml:space="preserve"> </w:t>
      </w:r>
      <w:r>
        <w:t>CM,</w:t>
      </w:r>
      <w:r>
        <w:rPr>
          <w:spacing w:val="-1"/>
        </w:rPr>
        <w:t xml:space="preserve"> </w:t>
      </w:r>
      <w:r>
        <w:t>Davis</w:t>
      </w:r>
      <w:r>
        <w:rPr>
          <w:spacing w:val="-4"/>
        </w:rPr>
        <w:t xml:space="preserve"> </w:t>
      </w:r>
      <w:r>
        <w:t>BR,</w:t>
      </w:r>
      <w:r>
        <w:rPr>
          <w:spacing w:val="-1"/>
        </w:rPr>
        <w:t xml:space="preserve"> </w:t>
      </w:r>
      <w:r>
        <w:t>Simpson</w:t>
      </w:r>
      <w:r>
        <w:rPr>
          <w:spacing w:val="-4"/>
        </w:rPr>
        <w:t xml:space="preserve"> </w:t>
      </w:r>
      <w:r>
        <w:t>LM,</w:t>
      </w:r>
      <w:r>
        <w:rPr>
          <w:spacing w:val="-4"/>
        </w:rPr>
        <w:t xml:space="preserve"> </w:t>
      </w:r>
      <w:r>
        <w:t>Brouwers</w:t>
      </w:r>
      <w:r>
        <w:rPr>
          <w:spacing w:val="-6"/>
        </w:rPr>
        <w:t xml:space="preserve"> </w:t>
      </w:r>
      <w:r>
        <w:t>FP, Nelson</w:t>
      </w:r>
      <w:r>
        <w:rPr>
          <w:spacing w:val="-4"/>
        </w:rPr>
        <w:t xml:space="preserve"> </w:t>
      </w:r>
      <w:r>
        <w:t xml:space="preserve">MR. Legacy effect of delayed blood pressure lowering drug treatment in middle-aged adults with mildly elevated blood pressure: systematic review and meta-analysis. J Hum </w:t>
      </w:r>
      <w:proofErr w:type="spellStart"/>
      <w:r>
        <w:t>Hypertens</w:t>
      </w:r>
      <w:proofErr w:type="spellEnd"/>
      <w:r>
        <w:t xml:space="preserve">. 2020 Apr;34(4):261-270. </w:t>
      </w:r>
      <w:proofErr w:type="spellStart"/>
      <w:r>
        <w:t>doi</w:t>
      </w:r>
      <w:proofErr w:type="spellEnd"/>
      <w:r>
        <w:t xml:space="preserve">: 10.1038/s41371-020-0323-7. </w:t>
      </w:r>
      <w:proofErr w:type="spellStart"/>
      <w:r>
        <w:t>Epub</w:t>
      </w:r>
      <w:proofErr w:type="spellEnd"/>
      <w:r>
        <w:t xml:space="preserve"> 2020 Mar 9. PMID: 32152453</w:t>
      </w:r>
    </w:p>
    <w:p w14:paraId="7A4C2D78" w14:textId="77777777" w:rsidR="00E13D3F" w:rsidRDefault="00FB2D6A" w:rsidP="00990D2B">
      <w:pPr>
        <w:pStyle w:val="ListParagraph"/>
        <w:numPr>
          <w:ilvl w:val="0"/>
          <w:numId w:val="51"/>
        </w:numPr>
        <w:tabs>
          <w:tab w:val="left" w:pos="1798"/>
        </w:tabs>
        <w:spacing w:before="1"/>
        <w:ind w:left="1798" w:hanging="358"/>
      </w:pPr>
      <w:r>
        <w:t>Nayak,</w:t>
      </w:r>
      <w:r>
        <w:rPr>
          <w:spacing w:val="-4"/>
        </w:rPr>
        <w:t xml:space="preserve"> </w:t>
      </w:r>
      <w:r>
        <w:t>A.,</w:t>
      </w:r>
      <w:r>
        <w:rPr>
          <w:spacing w:val="-2"/>
        </w:rPr>
        <w:t xml:space="preserve"> </w:t>
      </w:r>
      <w:r>
        <w:t>Hayen,</w:t>
      </w:r>
      <w:r>
        <w:rPr>
          <w:spacing w:val="-4"/>
        </w:rPr>
        <w:t xml:space="preserve"> </w:t>
      </w:r>
      <w:r>
        <w:t>A.,</w:t>
      </w:r>
      <w:r>
        <w:rPr>
          <w:spacing w:val="-2"/>
        </w:rPr>
        <w:t xml:space="preserve"> </w:t>
      </w:r>
      <w:r>
        <w:t>Zhu,</w:t>
      </w:r>
      <w:r>
        <w:rPr>
          <w:spacing w:val="-1"/>
        </w:rPr>
        <w:t xml:space="preserve"> </w:t>
      </w:r>
      <w:r>
        <w:t>L.,</w:t>
      </w:r>
      <w:r>
        <w:rPr>
          <w:spacing w:val="-2"/>
        </w:rPr>
        <w:t xml:space="preserve"> </w:t>
      </w:r>
      <w:r>
        <w:t>McGeechan,</w:t>
      </w:r>
      <w:r>
        <w:rPr>
          <w:spacing w:val="-4"/>
        </w:rPr>
        <w:t xml:space="preserve"> </w:t>
      </w:r>
      <w:r>
        <w:t>K.,</w:t>
      </w:r>
      <w:r>
        <w:rPr>
          <w:spacing w:val="-1"/>
        </w:rPr>
        <w:t xml:space="preserve"> </w:t>
      </w:r>
      <w:proofErr w:type="spellStart"/>
      <w:r>
        <w:t>Glasziou</w:t>
      </w:r>
      <w:proofErr w:type="spellEnd"/>
      <w:r>
        <w:t>,</w:t>
      </w:r>
      <w:r>
        <w:rPr>
          <w:spacing w:val="-5"/>
        </w:rPr>
        <w:t xml:space="preserve"> </w:t>
      </w:r>
      <w:r>
        <w:t>P.,</w:t>
      </w:r>
      <w:r>
        <w:rPr>
          <w:spacing w:val="-1"/>
        </w:rPr>
        <w:t xml:space="preserve"> </w:t>
      </w:r>
      <w:proofErr w:type="spellStart"/>
      <w:r>
        <w:t>Irwig</w:t>
      </w:r>
      <w:proofErr w:type="spellEnd"/>
      <w:r>
        <w:t>,</w:t>
      </w:r>
      <w:r>
        <w:rPr>
          <w:spacing w:val="-2"/>
        </w:rPr>
        <w:t xml:space="preserve"> </w:t>
      </w:r>
      <w:r>
        <w:t>L.,</w:t>
      </w:r>
      <w:r>
        <w:rPr>
          <w:spacing w:val="-5"/>
        </w:rPr>
        <w:t xml:space="preserve"> </w:t>
      </w:r>
      <w:r>
        <w:t>Doust, J.,</w:t>
      </w:r>
      <w:r>
        <w:rPr>
          <w:spacing w:val="-5"/>
        </w:rPr>
        <w:t xml:space="preserve"> </w:t>
      </w:r>
      <w:r>
        <w:t>Gregory,</w:t>
      </w:r>
      <w:r>
        <w:rPr>
          <w:spacing w:val="-3"/>
        </w:rPr>
        <w:t xml:space="preserve"> </w:t>
      </w:r>
      <w:r>
        <w:t>G.,</w:t>
      </w:r>
      <w:r>
        <w:rPr>
          <w:spacing w:val="-2"/>
        </w:rPr>
        <w:t xml:space="preserve"> </w:t>
      </w:r>
      <w:r>
        <w:t>&amp;</w:t>
      </w:r>
      <w:r>
        <w:rPr>
          <w:spacing w:val="-3"/>
        </w:rPr>
        <w:t xml:space="preserve"> </w:t>
      </w:r>
      <w:r>
        <w:rPr>
          <w:spacing w:val="-2"/>
        </w:rPr>
        <w:t>Bell,</w:t>
      </w:r>
    </w:p>
    <w:p w14:paraId="7A4C2D79" w14:textId="77777777" w:rsidR="00E13D3F" w:rsidRDefault="00FB2D6A">
      <w:pPr>
        <w:spacing w:before="39" w:line="276" w:lineRule="auto"/>
        <w:ind w:left="1800" w:right="1519"/>
      </w:pPr>
      <w:r>
        <w:t>K.</w:t>
      </w:r>
      <w:r>
        <w:rPr>
          <w:spacing w:val="-1"/>
        </w:rPr>
        <w:t xml:space="preserve"> </w:t>
      </w:r>
      <w:r>
        <w:t>(2018).</w:t>
      </w:r>
      <w:r>
        <w:rPr>
          <w:spacing w:val="-3"/>
        </w:rPr>
        <w:t xml:space="preserve"> </w:t>
      </w:r>
      <w:r>
        <w:t>Legacy</w:t>
      </w:r>
      <w:r>
        <w:rPr>
          <w:spacing w:val="-1"/>
        </w:rPr>
        <w:t xml:space="preserve"> </w:t>
      </w:r>
      <w:r>
        <w:t>effects</w:t>
      </w:r>
      <w:r>
        <w:rPr>
          <w:spacing w:val="-4"/>
        </w:rPr>
        <w:t xml:space="preserve"> </w:t>
      </w:r>
      <w:r>
        <w:t>of</w:t>
      </w:r>
      <w:r>
        <w:rPr>
          <w:spacing w:val="-6"/>
        </w:rPr>
        <w:t xml:space="preserve"> </w:t>
      </w:r>
      <w:r>
        <w:t>statins</w:t>
      </w:r>
      <w:r>
        <w:rPr>
          <w:spacing w:val="-3"/>
        </w:rPr>
        <w:t xml:space="preserve"> </w:t>
      </w:r>
      <w:r>
        <w:t>on</w:t>
      </w:r>
      <w:r>
        <w:rPr>
          <w:spacing w:val="-2"/>
        </w:rPr>
        <w:t xml:space="preserve"> </w:t>
      </w:r>
      <w:r>
        <w:t>cardiovascular</w:t>
      </w:r>
      <w:r>
        <w:rPr>
          <w:spacing w:val="-1"/>
        </w:rPr>
        <w:t xml:space="preserve"> </w:t>
      </w:r>
      <w:r>
        <w:t>and</w:t>
      </w:r>
      <w:r>
        <w:rPr>
          <w:spacing w:val="-2"/>
        </w:rPr>
        <w:t xml:space="preserve"> </w:t>
      </w:r>
      <w:r>
        <w:t>all-cause</w:t>
      </w:r>
      <w:r>
        <w:rPr>
          <w:spacing w:val="-3"/>
        </w:rPr>
        <w:t xml:space="preserve"> </w:t>
      </w:r>
      <w:r>
        <w:t>mortality:</w:t>
      </w:r>
      <w:r>
        <w:rPr>
          <w:spacing w:val="-1"/>
        </w:rPr>
        <w:t xml:space="preserve"> </w:t>
      </w:r>
      <w:r>
        <w:t>a</w:t>
      </w:r>
      <w:r>
        <w:rPr>
          <w:spacing w:val="-3"/>
        </w:rPr>
        <w:t xml:space="preserve"> </w:t>
      </w:r>
      <w:r>
        <w:t xml:space="preserve">meta-analysis. BMJ open, 8(9), e020584. </w:t>
      </w:r>
      <w:hyperlink r:id="rId19">
        <w:r w:rsidR="00E13D3F">
          <w:rPr>
            <w:color w:val="0462C1"/>
            <w:u w:val="single" w:color="0462C1"/>
          </w:rPr>
          <w:t>https://doi.org/10.1136/bmjopen-2017-020584</w:t>
        </w:r>
      </w:hyperlink>
      <w:r>
        <w:t>.</w:t>
      </w:r>
    </w:p>
    <w:p w14:paraId="7A4C2D7A" w14:textId="77777777" w:rsidR="00E13D3F" w:rsidRDefault="00FB2D6A" w:rsidP="00990D2B">
      <w:pPr>
        <w:pStyle w:val="ListParagraph"/>
        <w:numPr>
          <w:ilvl w:val="0"/>
          <w:numId w:val="51"/>
        </w:numPr>
        <w:tabs>
          <w:tab w:val="left" w:pos="1798"/>
          <w:tab w:val="left" w:pos="1800"/>
        </w:tabs>
        <w:spacing w:before="1" w:line="276" w:lineRule="auto"/>
        <w:ind w:right="1837"/>
      </w:pPr>
      <w:proofErr w:type="spellStart"/>
      <w:r>
        <w:t>Lindbohm</w:t>
      </w:r>
      <w:proofErr w:type="spellEnd"/>
      <w:r>
        <w:t xml:space="preserve"> JV, Sipilä PN, Mars NJ, Pentti J, Ahmadi-Abhari S, Brunner EJ, Shipley MJ, Singh-</w:t>
      </w:r>
      <w:proofErr w:type="spellStart"/>
      <w:r>
        <w:t>Manoux</w:t>
      </w:r>
      <w:proofErr w:type="spellEnd"/>
      <w:r>
        <w:rPr>
          <w:spacing w:val="-1"/>
        </w:rPr>
        <w:t xml:space="preserve"> </w:t>
      </w:r>
      <w:r>
        <w:t>A, Tabak AG,</w:t>
      </w:r>
      <w:r>
        <w:rPr>
          <w:spacing w:val="-1"/>
        </w:rPr>
        <w:t xml:space="preserve"> </w:t>
      </w:r>
      <w:r>
        <w:t>Kivimäki</w:t>
      </w:r>
      <w:r>
        <w:rPr>
          <w:spacing w:val="-1"/>
        </w:rPr>
        <w:t xml:space="preserve"> </w:t>
      </w:r>
      <w:r>
        <w:t>M.</w:t>
      </w:r>
      <w:r>
        <w:rPr>
          <w:spacing w:val="-2"/>
        </w:rPr>
        <w:t xml:space="preserve"> </w:t>
      </w:r>
      <w:r>
        <w:t>5-year</w:t>
      </w:r>
      <w:r>
        <w:rPr>
          <w:spacing w:val="-1"/>
        </w:rPr>
        <w:t xml:space="preserve"> </w:t>
      </w:r>
      <w:r>
        <w:t>versus risk-category-specific screening</w:t>
      </w:r>
      <w:r>
        <w:rPr>
          <w:spacing w:val="-2"/>
        </w:rPr>
        <w:t xml:space="preserve"> </w:t>
      </w:r>
      <w:r>
        <w:t>intervals for cardiovascular</w:t>
      </w:r>
      <w:r>
        <w:rPr>
          <w:spacing w:val="-3"/>
        </w:rPr>
        <w:t xml:space="preserve"> </w:t>
      </w:r>
      <w:r>
        <w:t>disease</w:t>
      </w:r>
      <w:r>
        <w:rPr>
          <w:spacing w:val="-2"/>
        </w:rPr>
        <w:t xml:space="preserve"> </w:t>
      </w:r>
      <w:r>
        <w:t>prevention:</w:t>
      </w:r>
      <w:r>
        <w:rPr>
          <w:spacing w:val="-5"/>
        </w:rPr>
        <w:t xml:space="preserve"> </w:t>
      </w:r>
      <w:r>
        <w:t>a</w:t>
      </w:r>
      <w:r>
        <w:rPr>
          <w:spacing w:val="-3"/>
        </w:rPr>
        <w:t xml:space="preserve"> </w:t>
      </w:r>
      <w:r>
        <w:t>cohort</w:t>
      </w:r>
      <w:r>
        <w:rPr>
          <w:spacing w:val="-3"/>
        </w:rPr>
        <w:t xml:space="preserve"> </w:t>
      </w:r>
      <w:r>
        <w:t>study.</w:t>
      </w:r>
      <w:r>
        <w:rPr>
          <w:spacing w:val="-3"/>
        </w:rPr>
        <w:t xml:space="preserve"> </w:t>
      </w:r>
      <w:r>
        <w:t>Lancet</w:t>
      </w:r>
      <w:r>
        <w:rPr>
          <w:spacing w:val="-4"/>
        </w:rPr>
        <w:t xml:space="preserve"> </w:t>
      </w:r>
      <w:r>
        <w:t>Public</w:t>
      </w:r>
      <w:r>
        <w:rPr>
          <w:spacing w:val="-3"/>
        </w:rPr>
        <w:t xml:space="preserve"> </w:t>
      </w:r>
      <w:r>
        <w:t>Health. 2019</w:t>
      </w:r>
      <w:r>
        <w:rPr>
          <w:spacing w:val="-3"/>
        </w:rPr>
        <w:t xml:space="preserve"> </w:t>
      </w:r>
      <w:r>
        <w:t>Apr;4(4):e189-e199. PMID: 30954144; and</w:t>
      </w:r>
    </w:p>
    <w:p w14:paraId="7A4C2D7B" w14:textId="77777777" w:rsidR="00E13D3F" w:rsidRDefault="00FB2D6A" w:rsidP="00990D2B">
      <w:pPr>
        <w:pStyle w:val="ListParagraph"/>
        <w:numPr>
          <w:ilvl w:val="0"/>
          <w:numId w:val="51"/>
        </w:numPr>
        <w:tabs>
          <w:tab w:val="left" w:pos="1798"/>
          <w:tab w:val="left" w:pos="1800"/>
        </w:tabs>
        <w:spacing w:line="276" w:lineRule="auto"/>
        <w:ind w:right="1451"/>
      </w:pPr>
      <w:r>
        <w:t>Bell</w:t>
      </w:r>
      <w:r>
        <w:rPr>
          <w:spacing w:val="-2"/>
        </w:rPr>
        <w:t xml:space="preserve"> </w:t>
      </w:r>
      <w:r>
        <w:t>KJ,</w:t>
      </w:r>
      <w:r>
        <w:rPr>
          <w:spacing w:val="-2"/>
        </w:rPr>
        <w:t xml:space="preserve"> </w:t>
      </w:r>
      <w:r>
        <w:t>Hayen</w:t>
      </w:r>
      <w:r>
        <w:rPr>
          <w:spacing w:val="-2"/>
        </w:rPr>
        <w:t xml:space="preserve"> </w:t>
      </w:r>
      <w:r>
        <w:t>A,</w:t>
      </w:r>
      <w:r>
        <w:rPr>
          <w:spacing w:val="-5"/>
        </w:rPr>
        <w:t xml:space="preserve"> </w:t>
      </w:r>
      <w:proofErr w:type="spellStart"/>
      <w:r>
        <w:t>Irwig</w:t>
      </w:r>
      <w:proofErr w:type="spellEnd"/>
      <w:r>
        <w:rPr>
          <w:spacing w:val="-5"/>
        </w:rPr>
        <w:t xml:space="preserve"> </w:t>
      </w:r>
      <w:r>
        <w:t>L,</w:t>
      </w:r>
      <w:r>
        <w:rPr>
          <w:spacing w:val="-2"/>
        </w:rPr>
        <w:t xml:space="preserve"> </w:t>
      </w:r>
      <w:r>
        <w:t>Takahashi</w:t>
      </w:r>
      <w:r>
        <w:rPr>
          <w:spacing w:val="-3"/>
        </w:rPr>
        <w:t xml:space="preserve"> </w:t>
      </w:r>
      <w:r>
        <w:t>O,</w:t>
      </w:r>
      <w:r>
        <w:rPr>
          <w:spacing w:val="-4"/>
        </w:rPr>
        <w:t xml:space="preserve"> </w:t>
      </w:r>
      <w:r>
        <w:t>Ohde</w:t>
      </w:r>
      <w:r>
        <w:rPr>
          <w:spacing w:val="-2"/>
        </w:rPr>
        <w:t xml:space="preserve"> </w:t>
      </w:r>
      <w:r>
        <w:t>S,</w:t>
      </w:r>
      <w:r>
        <w:rPr>
          <w:spacing w:val="-2"/>
        </w:rPr>
        <w:t xml:space="preserve"> </w:t>
      </w:r>
      <w:proofErr w:type="spellStart"/>
      <w:r>
        <w:t>Glasziou</w:t>
      </w:r>
      <w:proofErr w:type="spellEnd"/>
      <w:r>
        <w:rPr>
          <w:spacing w:val="-3"/>
        </w:rPr>
        <w:t xml:space="preserve"> </w:t>
      </w:r>
      <w:r>
        <w:t>P.</w:t>
      </w:r>
      <w:r>
        <w:rPr>
          <w:spacing w:val="-2"/>
        </w:rPr>
        <w:t xml:space="preserve"> </w:t>
      </w:r>
      <w:r>
        <w:t>When</w:t>
      </w:r>
      <w:r>
        <w:rPr>
          <w:spacing w:val="-2"/>
        </w:rPr>
        <w:t xml:space="preserve"> </w:t>
      </w:r>
      <w:r>
        <w:t>to</w:t>
      </w:r>
      <w:r>
        <w:rPr>
          <w:spacing w:val="-1"/>
        </w:rPr>
        <w:t xml:space="preserve"> </w:t>
      </w:r>
      <w:r>
        <w:t>remeasure</w:t>
      </w:r>
      <w:r>
        <w:rPr>
          <w:spacing w:val="-2"/>
        </w:rPr>
        <w:t xml:space="preserve"> </w:t>
      </w:r>
      <w:r>
        <w:t>cardiovascular</w:t>
      </w:r>
      <w:r>
        <w:rPr>
          <w:spacing w:val="-2"/>
        </w:rPr>
        <w:t xml:space="preserve"> </w:t>
      </w:r>
      <w:r>
        <w:t>risk in untreated people at low and intermediate risk: observational study. BMJ 2013; 346: f1895.</w:t>
      </w:r>
    </w:p>
    <w:p w14:paraId="7A4C2D7C" w14:textId="77777777" w:rsidR="00E13D3F" w:rsidRDefault="00FB2D6A" w:rsidP="00990D2B">
      <w:pPr>
        <w:pStyle w:val="ListParagraph"/>
        <w:numPr>
          <w:ilvl w:val="0"/>
          <w:numId w:val="51"/>
        </w:numPr>
        <w:tabs>
          <w:tab w:val="left" w:pos="1798"/>
          <w:tab w:val="left" w:pos="1800"/>
        </w:tabs>
        <w:spacing w:line="276" w:lineRule="auto"/>
        <w:ind w:right="1448"/>
      </w:pPr>
      <w:r>
        <w:t xml:space="preserve">Calabria B, Korda RJ, Lovett RW, Fernando P, Martin T, </w:t>
      </w:r>
      <w:proofErr w:type="spellStart"/>
      <w:r>
        <w:t>Malamoo</w:t>
      </w:r>
      <w:proofErr w:type="spellEnd"/>
      <w:r>
        <w:t xml:space="preserve"> L, Welsh J, Banks E. Absolute cardiovascular disease risk and lipid-lowering therapy among Aboriginal and Torres Strait Islander</w:t>
      </w:r>
      <w:r>
        <w:rPr>
          <w:spacing w:val="-2"/>
        </w:rPr>
        <w:t xml:space="preserve"> </w:t>
      </w:r>
      <w:r>
        <w:t>Australians.</w:t>
      </w:r>
      <w:r>
        <w:rPr>
          <w:spacing w:val="-5"/>
        </w:rPr>
        <w:t xml:space="preserve"> </w:t>
      </w:r>
      <w:r>
        <w:t>Med</w:t>
      </w:r>
      <w:r>
        <w:rPr>
          <w:spacing w:val="-2"/>
        </w:rPr>
        <w:t xml:space="preserve"> </w:t>
      </w:r>
      <w:r>
        <w:t>J</w:t>
      </w:r>
      <w:r>
        <w:rPr>
          <w:spacing w:val="-5"/>
        </w:rPr>
        <w:t xml:space="preserve"> </w:t>
      </w:r>
      <w:r>
        <w:t>Aust.</w:t>
      </w:r>
      <w:r>
        <w:rPr>
          <w:spacing w:val="-2"/>
        </w:rPr>
        <w:t xml:space="preserve"> </w:t>
      </w:r>
      <w:r>
        <w:t>2018</w:t>
      </w:r>
      <w:r>
        <w:rPr>
          <w:spacing w:val="-2"/>
        </w:rPr>
        <w:t xml:space="preserve"> </w:t>
      </w:r>
      <w:r>
        <w:t>Jun</w:t>
      </w:r>
      <w:r>
        <w:rPr>
          <w:spacing w:val="-3"/>
        </w:rPr>
        <w:t xml:space="preserve"> </w:t>
      </w:r>
      <w:r>
        <w:t>2;209(1):35-41.</w:t>
      </w:r>
      <w:r>
        <w:rPr>
          <w:spacing w:val="-2"/>
        </w:rPr>
        <w:t xml:space="preserve"> </w:t>
      </w:r>
      <w:proofErr w:type="spellStart"/>
      <w:r>
        <w:t>doi</w:t>
      </w:r>
      <w:proofErr w:type="spellEnd"/>
      <w:r>
        <w:t>:</w:t>
      </w:r>
      <w:r>
        <w:rPr>
          <w:spacing w:val="-4"/>
        </w:rPr>
        <w:t xml:space="preserve"> </w:t>
      </w:r>
      <w:r>
        <w:t>10.5694/mja17.00897.</w:t>
      </w:r>
      <w:r>
        <w:rPr>
          <w:spacing w:val="-2"/>
        </w:rPr>
        <w:t xml:space="preserve"> </w:t>
      </w:r>
      <w:proofErr w:type="spellStart"/>
      <w:r>
        <w:t>Epub</w:t>
      </w:r>
      <w:proofErr w:type="spellEnd"/>
      <w:r>
        <w:rPr>
          <w:spacing w:val="-3"/>
        </w:rPr>
        <w:t xml:space="preserve"> </w:t>
      </w:r>
      <w:r>
        <w:t>2018 Jun 25. PMID: 29929455</w:t>
      </w:r>
    </w:p>
    <w:p w14:paraId="7A4C2D7D" w14:textId="77777777" w:rsidR="00E13D3F" w:rsidRDefault="00E13D3F">
      <w:pPr>
        <w:pStyle w:val="ListParagraph"/>
        <w:spacing w:line="276" w:lineRule="auto"/>
        <w:sectPr w:rsidR="00E13D3F">
          <w:pgSz w:w="11910" w:h="16840"/>
          <w:pgMar w:top="1400" w:right="0" w:bottom="1200" w:left="0" w:header="0" w:footer="1000" w:gutter="0"/>
          <w:cols w:space="720"/>
        </w:sectPr>
      </w:pPr>
    </w:p>
    <w:p w14:paraId="7A4C2D7E" w14:textId="77777777" w:rsidR="00E13D3F" w:rsidRDefault="00FB2D6A" w:rsidP="00990D2B">
      <w:pPr>
        <w:pStyle w:val="Heading1"/>
        <w:numPr>
          <w:ilvl w:val="0"/>
          <w:numId w:val="53"/>
        </w:numPr>
        <w:tabs>
          <w:tab w:val="left" w:pos="359"/>
        </w:tabs>
        <w:ind w:left="359" w:right="145" w:hanging="359"/>
        <w:jc w:val="center"/>
        <w:rPr>
          <w:color w:val="2E5395"/>
          <w:u w:color="2E5395"/>
        </w:rPr>
      </w:pPr>
      <w:r>
        <w:rPr>
          <w:color w:val="2E5395"/>
          <w:u w:color="2E5395"/>
        </w:rPr>
        <w:lastRenderedPageBreak/>
        <w:t>The</w:t>
      </w:r>
      <w:r>
        <w:rPr>
          <w:color w:val="2E5395"/>
          <w:spacing w:val="-10"/>
          <w:u w:color="2E5395"/>
        </w:rPr>
        <w:t xml:space="preserve"> </w:t>
      </w:r>
      <w:r>
        <w:rPr>
          <w:color w:val="2E5395"/>
          <w:u w:color="2E5395"/>
        </w:rPr>
        <w:t>Health</w:t>
      </w:r>
      <w:r>
        <w:rPr>
          <w:color w:val="2E5395"/>
          <w:spacing w:val="-10"/>
          <w:u w:color="2E5395"/>
        </w:rPr>
        <w:t xml:space="preserve"> </w:t>
      </w:r>
      <w:r>
        <w:rPr>
          <w:color w:val="2E5395"/>
          <w:u w:color="2E5395"/>
        </w:rPr>
        <w:t>Assessment</w:t>
      </w:r>
      <w:r>
        <w:rPr>
          <w:color w:val="2E5395"/>
          <w:spacing w:val="-9"/>
          <w:u w:color="2E5395"/>
        </w:rPr>
        <w:t xml:space="preserve"> </w:t>
      </w:r>
      <w:r>
        <w:rPr>
          <w:color w:val="2E5395"/>
          <w:u w:color="2E5395"/>
        </w:rPr>
        <w:t>component:</w:t>
      </w:r>
      <w:r>
        <w:rPr>
          <w:color w:val="2E5395"/>
          <w:spacing w:val="-10"/>
          <w:u w:color="2E5395"/>
        </w:rPr>
        <w:t xml:space="preserve"> </w:t>
      </w:r>
      <w:r>
        <w:rPr>
          <w:color w:val="2E5395"/>
          <w:u w:color="2E5395"/>
        </w:rPr>
        <w:t>Blood</w:t>
      </w:r>
      <w:r>
        <w:rPr>
          <w:color w:val="2E5395"/>
          <w:spacing w:val="-10"/>
          <w:u w:color="2E5395"/>
        </w:rPr>
        <w:t xml:space="preserve"> </w:t>
      </w:r>
      <w:r>
        <w:rPr>
          <w:color w:val="2E5395"/>
          <w:u w:color="2E5395"/>
        </w:rPr>
        <w:t>pressure</w:t>
      </w:r>
      <w:r>
        <w:rPr>
          <w:color w:val="2E5395"/>
          <w:spacing w:val="-11"/>
          <w:u w:color="2E5395"/>
        </w:rPr>
        <w:t xml:space="preserve"> </w:t>
      </w:r>
      <w:r>
        <w:rPr>
          <w:color w:val="2E5395"/>
          <w:spacing w:val="-2"/>
          <w:u w:color="2E5395"/>
        </w:rPr>
        <w:t>measurement</w:t>
      </w:r>
    </w:p>
    <w:p w14:paraId="7A4C2D7F" w14:textId="77777777" w:rsidR="00E13D3F" w:rsidRDefault="00FB2D6A">
      <w:pPr>
        <w:pStyle w:val="Heading2"/>
        <w:spacing w:before="72"/>
      </w:pPr>
      <w:r>
        <w:rPr>
          <w:color w:val="2E5395"/>
        </w:rPr>
        <w:t>Background</w:t>
      </w:r>
      <w:r>
        <w:rPr>
          <w:color w:val="2E5395"/>
          <w:spacing w:val="-11"/>
        </w:rPr>
        <w:t xml:space="preserve"> </w:t>
      </w:r>
      <w:r>
        <w:rPr>
          <w:color w:val="2E5395"/>
        </w:rPr>
        <w:t>and</w:t>
      </w:r>
      <w:r>
        <w:rPr>
          <w:color w:val="2E5395"/>
          <w:spacing w:val="-8"/>
        </w:rPr>
        <w:t xml:space="preserve"> </w:t>
      </w:r>
      <w:r>
        <w:rPr>
          <w:color w:val="2E5395"/>
          <w:spacing w:val="-2"/>
        </w:rPr>
        <w:t>Description</w:t>
      </w:r>
    </w:p>
    <w:p w14:paraId="7A4C2D80" w14:textId="77777777" w:rsidR="00E13D3F" w:rsidRDefault="00FB2D6A">
      <w:pPr>
        <w:pStyle w:val="BodyText"/>
        <w:spacing w:before="23" w:line="276" w:lineRule="auto"/>
        <w:ind w:right="1519"/>
      </w:pPr>
      <w:r>
        <w:t>Elevated</w:t>
      </w:r>
      <w:r>
        <w:rPr>
          <w:spacing w:val="-2"/>
        </w:rPr>
        <w:t xml:space="preserve"> </w:t>
      </w:r>
      <w:r>
        <w:t>blood</w:t>
      </w:r>
      <w:r>
        <w:rPr>
          <w:spacing w:val="-4"/>
        </w:rPr>
        <w:t xml:space="preserve"> </w:t>
      </w:r>
      <w:r>
        <w:t>pressure</w:t>
      </w:r>
      <w:r>
        <w:rPr>
          <w:spacing w:val="-7"/>
        </w:rPr>
        <w:t xml:space="preserve"> </w:t>
      </w:r>
      <w:r>
        <w:t>has</w:t>
      </w:r>
      <w:r>
        <w:rPr>
          <w:spacing w:val="-3"/>
        </w:rPr>
        <w:t xml:space="preserve"> </w:t>
      </w:r>
      <w:r>
        <w:t>been</w:t>
      </w:r>
      <w:r>
        <w:rPr>
          <w:spacing w:val="-4"/>
        </w:rPr>
        <w:t xml:space="preserve"> </w:t>
      </w:r>
      <w:r>
        <w:t>known</w:t>
      </w:r>
      <w:r>
        <w:rPr>
          <w:spacing w:val="-2"/>
        </w:rPr>
        <w:t xml:space="preserve"> </w:t>
      </w:r>
      <w:r>
        <w:t>as</w:t>
      </w:r>
      <w:r>
        <w:rPr>
          <w:spacing w:val="-5"/>
        </w:rPr>
        <w:t xml:space="preserve"> </w:t>
      </w:r>
      <w:r>
        <w:t>a</w:t>
      </w:r>
      <w:r>
        <w:rPr>
          <w:spacing w:val="-3"/>
        </w:rPr>
        <w:t xml:space="preserve"> </w:t>
      </w:r>
      <w:r>
        <w:t>key</w:t>
      </w:r>
      <w:r>
        <w:rPr>
          <w:spacing w:val="-5"/>
        </w:rPr>
        <w:t xml:space="preserve"> </w:t>
      </w:r>
      <w:r>
        <w:t>risk</w:t>
      </w:r>
      <w:r>
        <w:rPr>
          <w:spacing w:val="-4"/>
        </w:rPr>
        <w:t xml:space="preserve"> </w:t>
      </w:r>
      <w:r>
        <w:t>factor</w:t>
      </w:r>
      <w:r>
        <w:rPr>
          <w:spacing w:val="-2"/>
        </w:rPr>
        <w:t xml:space="preserve"> </w:t>
      </w:r>
      <w:r>
        <w:t>for</w:t>
      </w:r>
      <w:r>
        <w:rPr>
          <w:spacing w:val="-2"/>
        </w:rPr>
        <w:t xml:space="preserve"> </w:t>
      </w:r>
      <w:r>
        <w:t>stroke</w:t>
      </w:r>
      <w:r>
        <w:rPr>
          <w:spacing w:val="-2"/>
        </w:rPr>
        <w:t xml:space="preserve"> </w:t>
      </w:r>
      <w:r>
        <w:t>and</w:t>
      </w:r>
      <w:r>
        <w:rPr>
          <w:spacing w:val="-2"/>
        </w:rPr>
        <w:t xml:space="preserve"> </w:t>
      </w:r>
      <w:proofErr w:type="spellStart"/>
      <w:r>
        <w:t>ischaemic</w:t>
      </w:r>
      <w:proofErr w:type="spellEnd"/>
      <w:r>
        <w:rPr>
          <w:spacing w:val="-6"/>
        </w:rPr>
        <w:t xml:space="preserve"> </w:t>
      </w:r>
      <w:r>
        <w:t>heart disease since at least the</w:t>
      </w:r>
      <w:r>
        <w:rPr>
          <w:spacing w:val="-1"/>
        </w:rPr>
        <w:t xml:space="preserve"> </w:t>
      </w:r>
      <w:r>
        <w:t>1950s: the</w:t>
      </w:r>
      <w:r>
        <w:rPr>
          <w:spacing w:val="-1"/>
        </w:rPr>
        <w:t xml:space="preserve"> </w:t>
      </w:r>
      <w:r>
        <w:t>risk of cardiovascular events rises approximately</w:t>
      </w:r>
      <w:r>
        <w:rPr>
          <w:spacing w:val="-1"/>
        </w:rPr>
        <w:t xml:space="preserve"> </w:t>
      </w:r>
      <w:r>
        <w:t>1-2% per</w:t>
      </w:r>
      <w:r>
        <w:rPr>
          <w:spacing w:val="-1"/>
        </w:rPr>
        <w:t xml:space="preserve"> </w:t>
      </w:r>
      <w:r>
        <w:t>1 mm</w:t>
      </w:r>
      <w:r>
        <w:rPr>
          <w:spacing w:val="-2"/>
        </w:rPr>
        <w:t xml:space="preserve"> </w:t>
      </w:r>
      <w:r>
        <w:t>Hg increase</w:t>
      </w:r>
      <w:r>
        <w:rPr>
          <w:spacing w:val="-2"/>
        </w:rPr>
        <w:t xml:space="preserve"> </w:t>
      </w:r>
      <w:r>
        <w:t>in</w:t>
      </w:r>
      <w:r>
        <w:rPr>
          <w:spacing w:val="-3"/>
        </w:rPr>
        <w:t xml:space="preserve"> </w:t>
      </w:r>
      <w:r>
        <w:t>the</w:t>
      </w:r>
      <w:r>
        <w:rPr>
          <w:spacing w:val="-2"/>
        </w:rPr>
        <w:t xml:space="preserve"> </w:t>
      </w:r>
      <w:r>
        <w:t>systolic</w:t>
      </w:r>
      <w:r>
        <w:rPr>
          <w:spacing w:val="-2"/>
        </w:rPr>
        <w:t xml:space="preserve"> </w:t>
      </w:r>
      <w:r>
        <w:t>blood pressure.</w:t>
      </w:r>
      <w:r>
        <w:rPr>
          <w:spacing w:val="-1"/>
        </w:rPr>
        <w:t xml:space="preserve"> </w:t>
      </w:r>
      <w:r>
        <w:t>However,</w:t>
      </w:r>
      <w:r>
        <w:rPr>
          <w:spacing w:val="-2"/>
        </w:rPr>
        <w:t xml:space="preserve"> </w:t>
      </w:r>
      <w:r>
        <w:t>until</w:t>
      </w:r>
      <w:r>
        <w:rPr>
          <w:spacing w:val="-2"/>
        </w:rPr>
        <w:t xml:space="preserve"> </w:t>
      </w:r>
      <w:r>
        <w:t>the advent</w:t>
      </w:r>
      <w:r>
        <w:rPr>
          <w:spacing w:val="-1"/>
        </w:rPr>
        <w:t xml:space="preserve"> </w:t>
      </w:r>
      <w:r>
        <w:t>of</w:t>
      </w:r>
      <w:r>
        <w:rPr>
          <w:spacing w:val="-1"/>
        </w:rPr>
        <w:t xml:space="preserve"> </w:t>
      </w:r>
      <w:r>
        <w:t>diuretics in the late 1950’s treatments were limited. The Veterans Affairs (VA) co-operative trial, published in 1970, demonstrated that detection of, and treatment for, hypertension could reduce</w:t>
      </w:r>
      <w:r>
        <w:rPr>
          <w:spacing w:val="-1"/>
        </w:rPr>
        <w:t xml:space="preserve"> </w:t>
      </w:r>
      <w:r>
        <w:t>the risk of cardiovascular events (1). Since</w:t>
      </w:r>
      <w:r>
        <w:rPr>
          <w:spacing w:val="-1"/>
        </w:rPr>
        <w:t xml:space="preserve"> </w:t>
      </w:r>
      <w:r>
        <w:t>the VA</w:t>
      </w:r>
      <w:r>
        <w:rPr>
          <w:spacing w:val="-1"/>
        </w:rPr>
        <w:t xml:space="preserve"> </w:t>
      </w:r>
      <w:r>
        <w:t>trials dozens of randomized trials have refined and extended that finding.</w:t>
      </w:r>
    </w:p>
    <w:p w14:paraId="7A4C2D81" w14:textId="77777777" w:rsidR="00E13D3F" w:rsidRDefault="00FB2D6A">
      <w:pPr>
        <w:pStyle w:val="BodyText"/>
        <w:spacing w:before="1" w:line="276" w:lineRule="auto"/>
        <w:ind w:right="1450"/>
      </w:pPr>
      <w:r>
        <w:t>Office assessment has become simple and universal – usually now with automated machines. Virtually all professional bodies, including the RACGP recommends regular screening</w:t>
      </w:r>
      <w:r>
        <w:rPr>
          <w:spacing w:val="-5"/>
        </w:rPr>
        <w:t xml:space="preserve"> </w:t>
      </w:r>
      <w:r>
        <w:t>of</w:t>
      </w:r>
      <w:r>
        <w:rPr>
          <w:spacing w:val="-4"/>
        </w:rPr>
        <w:t xml:space="preserve"> </w:t>
      </w:r>
      <w:r>
        <w:t>adults</w:t>
      </w:r>
      <w:r>
        <w:rPr>
          <w:spacing w:val="-5"/>
        </w:rPr>
        <w:t xml:space="preserve"> </w:t>
      </w:r>
      <w:r>
        <w:t>for</w:t>
      </w:r>
      <w:r>
        <w:rPr>
          <w:spacing w:val="-4"/>
        </w:rPr>
        <w:t xml:space="preserve"> </w:t>
      </w:r>
      <w:r>
        <w:t>hypertension,</w:t>
      </w:r>
      <w:r>
        <w:rPr>
          <w:spacing w:val="-5"/>
        </w:rPr>
        <w:t xml:space="preserve"> </w:t>
      </w:r>
      <w:r>
        <w:t>but</w:t>
      </w:r>
      <w:r>
        <w:rPr>
          <w:spacing w:val="-4"/>
        </w:rPr>
        <w:t xml:space="preserve"> </w:t>
      </w:r>
      <w:r>
        <w:t>this</w:t>
      </w:r>
      <w:r>
        <w:rPr>
          <w:spacing w:val="-3"/>
        </w:rPr>
        <w:t xml:space="preserve"> </w:t>
      </w:r>
      <w:r>
        <w:t>would</w:t>
      </w:r>
      <w:r>
        <w:rPr>
          <w:spacing w:val="-2"/>
        </w:rPr>
        <w:t xml:space="preserve"> </w:t>
      </w:r>
      <w:r>
        <w:t>mostly</w:t>
      </w:r>
      <w:r>
        <w:rPr>
          <w:spacing w:val="-6"/>
        </w:rPr>
        <w:t xml:space="preserve"> </w:t>
      </w:r>
      <w:r>
        <w:t>be</w:t>
      </w:r>
      <w:r>
        <w:rPr>
          <w:spacing w:val="-4"/>
        </w:rPr>
        <w:t xml:space="preserve"> </w:t>
      </w:r>
      <w:r>
        <w:t>done</w:t>
      </w:r>
      <w:r>
        <w:rPr>
          <w:spacing w:val="-2"/>
        </w:rPr>
        <w:t xml:space="preserve"> </w:t>
      </w:r>
      <w:r>
        <w:t>opportunistically</w:t>
      </w:r>
      <w:r>
        <w:rPr>
          <w:spacing w:val="-3"/>
        </w:rPr>
        <w:t xml:space="preserve"> </w:t>
      </w:r>
      <w:r>
        <w:t>as</w:t>
      </w:r>
      <w:r>
        <w:rPr>
          <w:spacing w:val="-5"/>
        </w:rPr>
        <w:t xml:space="preserve"> </w:t>
      </w:r>
      <w:r>
        <w:t>part of a consultation for another reason.</w:t>
      </w:r>
    </w:p>
    <w:p w14:paraId="7A4C2D82" w14:textId="77777777" w:rsidR="00E13D3F" w:rsidRDefault="00E13D3F">
      <w:pPr>
        <w:pStyle w:val="BodyText"/>
        <w:spacing w:before="86"/>
        <w:ind w:left="0"/>
      </w:pPr>
    </w:p>
    <w:p w14:paraId="7A4C2D83" w14:textId="77777777" w:rsidR="00E13D3F" w:rsidRDefault="00FB2D6A">
      <w:pPr>
        <w:pStyle w:val="Heading2"/>
      </w:pPr>
      <w:r>
        <w:rPr>
          <w:color w:val="2E5395"/>
        </w:rPr>
        <w:t>Evidence</w:t>
      </w:r>
      <w:r>
        <w:rPr>
          <w:color w:val="2E5395"/>
          <w:spacing w:val="-9"/>
        </w:rPr>
        <w:t xml:space="preserve"> </w:t>
      </w:r>
      <w:r>
        <w:rPr>
          <w:color w:val="2E5395"/>
        </w:rPr>
        <w:t>of</w:t>
      </w:r>
      <w:r>
        <w:rPr>
          <w:color w:val="2E5395"/>
          <w:spacing w:val="-10"/>
        </w:rPr>
        <w:t xml:space="preserve"> </w:t>
      </w:r>
      <w:r>
        <w:rPr>
          <w:color w:val="2E5395"/>
          <w:spacing w:val="-2"/>
        </w:rPr>
        <w:t>Effectiveness</w:t>
      </w:r>
    </w:p>
    <w:p w14:paraId="7A4C2D84" w14:textId="77777777" w:rsidR="00E13D3F" w:rsidRDefault="00FB2D6A">
      <w:pPr>
        <w:pStyle w:val="BodyText"/>
        <w:spacing w:before="23" w:line="276" w:lineRule="auto"/>
        <w:ind w:right="1519"/>
      </w:pPr>
      <w:r>
        <w:t>The 2021 USPSTF review (AMSTAR rating 7/11) addressed several key questions on detection and treatment of high blood pressure (2). On the question of detection, they found</w:t>
      </w:r>
      <w:r>
        <w:rPr>
          <w:spacing w:val="-4"/>
        </w:rPr>
        <w:t xml:space="preserve"> </w:t>
      </w:r>
      <w:r>
        <w:t>no</w:t>
      </w:r>
      <w:r>
        <w:rPr>
          <w:spacing w:val="-5"/>
        </w:rPr>
        <w:t xml:space="preserve"> </w:t>
      </w:r>
      <w:r>
        <w:t>trials</w:t>
      </w:r>
      <w:r>
        <w:rPr>
          <w:spacing w:val="-5"/>
        </w:rPr>
        <w:t xml:space="preserve"> </w:t>
      </w:r>
      <w:r>
        <w:t>that</w:t>
      </w:r>
      <w:r>
        <w:rPr>
          <w:spacing w:val="-4"/>
        </w:rPr>
        <w:t xml:space="preserve"> </w:t>
      </w:r>
      <w:r>
        <w:t>examined</w:t>
      </w:r>
      <w:r>
        <w:rPr>
          <w:spacing w:val="-4"/>
        </w:rPr>
        <w:t xml:space="preserve"> </w:t>
      </w:r>
      <w:r>
        <w:t>the</w:t>
      </w:r>
      <w:r>
        <w:rPr>
          <w:spacing w:val="-4"/>
        </w:rPr>
        <w:t xml:space="preserve"> </w:t>
      </w:r>
      <w:r>
        <w:t>effectiveness</w:t>
      </w:r>
      <w:r>
        <w:rPr>
          <w:spacing w:val="-5"/>
        </w:rPr>
        <w:t xml:space="preserve"> </w:t>
      </w:r>
      <w:r>
        <w:t>of</w:t>
      </w:r>
      <w:r>
        <w:rPr>
          <w:spacing w:val="-1"/>
        </w:rPr>
        <w:t xml:space="preserve"> </w:t>
      </w:r>
      <w:r>
        <w:t>BP</w:t>
      </w:r>
      <w:r>
        <w:rPr>
          <w:spacing w:val="-2"/>
        </w:rPr>
        <w:t xml:space="preserve"> </w:t>
      </w:r>
      <w:r>
        <w:t>screening alone</w:t>
      </w:r>
      <w:r>
        <w:rPr>
          <w:spacing w:val="-2"/>
        </w:rPr>
        <w:t xml:space="preserve"> </w:t>
      </w:r>
      <w:r>
        <w:t>versus</w:t>
      </w:r>
      <w:r>
        <w:rPr>
          <w:spacing w:val="-3"/>
        </w:rPr>
        <w:t xml:space="preserve"> </w:t>
      </w:r>
      <w:r>
        <w:t>no</w:t>
      </w:r>
      <w:r>
        <w:rPr>
          <w:spacing w:val="-5"/>
        </w:rPr>
        <w:t xml:space="preserve"> </w:t>
      </w:r>
      <w:r>
        <w:t>screening. However,</w:t>
      </w:r>
      <w:r>
        <w:rPr>
          <w:spacing w:val="-5"/>
        </w:rPr>
        <w:t xml:space="preserve"> </w:t>
      </w:r>
      <w:r>
        <w:t>they</w:t>
      </w:r>
      <w:r>
        <w:rPr>
          <w:spacing w:val="-3"/>
        </w:rPr>
        <w:t xml:space="preserve"> </w:t>
      </w:r>
      <w:r>
        <w:t>found</w:t>
      </w:r>
      <w:r>
        <w:rPr>
          <w:spacing w:val="-4"/>
        </w:rPr>
        <w:t xml:space="preserve"> </w:t>
      </w:r>
      <w:r>
        <w:t>that</w:t>
      </w:r>
      <w:r>
        <w:rPr>
          <w:spacing w:val="-2"/>
        </w:rPr>
        <w:t xml:space="preserve"> </w:t>
      </w:r>
      <w:r>
        <w:t>screening</w:t>
      </w:r>
      <w:r>
        <w:rPr>
          <w:spacing w:val="-3"/>
        </w:rPr>
        <w:t xml:space="preserve"> </w:t>
      </w:r>
      <w:r>
        <w:t>and</w:t>
      </w:r>
      <w:r>
        <w:rPr>
          <w:spacing w:val="-4"/>
        </w:rPr>
        <w:t xml:space="preserve"> </w:t>
      </w:r>
      <w:r>
        <w:t>treatment</w:t>
      </w:r>
      <w:r>
        <w:rPr>
          <w:spacing w:val="-2"/>
        </w:rPr>
        <w:t xml:space="preserve"> </w:t>
      </w:r>
      <w:r>
        <w:t>substantially</w:t>
      </w:r>
      <w:r>
        <w:rPr>
          <w:spacing w:val="-3"/>
        </w:rPr>
        <w:t xml:space="preserve"> </w:t>
      </w:r>
      <w:r>
        <w:t>reduce</w:t>
      </w:r>
      <w:r>
        <w:rPr>
          <w:spacing w:val="-5"/>
        </w:rPr>
        <w:t xml:space="preserve"> </w:t>
      </w:r>
      <w:r>
        <w:t>CVD</w:t>
      </w:r>
      <w:r>
        <w:rPr>
          <w:spacing w:val="-2"/>
        </w:rPr>
        <w:t xml:space="preserve"> </w:t>
      </w:r>
      <w:r>
        <w:t>events</w:t>
      </w:r>
      <w:r>
        <w:rPr>
          <w:spacing w:val="-5"/>
        </w:rPr>
        <w:t xml:space="preserve"> </w:t>
      </w:r>
      <w:r>
        <w:t>based on two bodies of evidence:</w:t>
      </w:r>
    </w:p>
    <w:p w14:paraId="7A4C2D85" w14:textId="77777777" w:rsidR="00E13D3F" w:rsidRDefault="00E13D3F">
      <w:pPr>
        <w:pStyle w:val="BodyText"/>
        <w:spacing w:before="43"/>
        <w:ind w:left="0"/>
      </w:pPr>
    </w:p>
    <w:p w14:paraId="7A4C2D86" w14:textId="77777777" w:rsidR="00E13D3F" w:rsidRDefault="00FB2D6A">
      <w:pPr>
        <w:pStyle w:val="BodyText"/>
        <w:spacing w:before="1" w:line="276" w:lineRule="auto"/>
        <w:ind w:right="1519"/>
      </w:pPr>
      <w:r>
        <w:rPr>
          <w:b/>
        </w:rPr>
        <w:t xml:space="preserve">Direct evidence: </w:t>
      </w:r>
      <w:r>
        <w:t>1 large cluster RCT (CHAP) - conducted in participants ≥65 years, community</w:t>
      </w:r>
      <w:r>
        <w:rPr>
          <w:spacing w:val="-5"/>
        </w:rPr>
        <w:t xml:space="preserve"> </w:t>
      </w:r>
      <w:r>
        <w:t>pharmacy</w:t>
      </w:r>
      <w:r>
        <w:rPr>
          <w:spacing w:val="-5"/>
        </w:rPr>
        <w:t xml:space="preserve"> </w:t>
      </w:r>
      <w:r>
        <w:t>setting,</w:t>
      </w:r>
      <w:r>
        <w:rPr>
          <w:spacing w:val="-5"/>
        </w:rPr>
        <w:t xml:space="preserve"> </w:t>
      </w:r>
      <w:r>
        <w:t>multicomponent</w:t>
      </w:r>
      <w:r>
        <w:rPr>
          <w:spacing w:val="-6"/>
        </w:rPr>
        <w:t xml:space="preserve"> </w:t>
      </w:r>
      <w:r>
        <w:t>intervention.</w:t>
      </w:r>
      <w:r>
        <w:rPr>
          <w:spacing w:val="-2"/>
        </w:rPr>
        <w:t xml:space="preserve"> </w:t>
      </w:r>
      <w:r>
        <w:t>One</w:t>
      </w:r>
      <w:r>
        <w:rPr>
          <w:spacing w:val="-6"/>
        </w:rPr>
        <w:t xml:space="preserve"> </w:t>
      </w:r>
      <w:r>
        <w:t>community-based</w:t>
      </w:r>
      <w:r>
        <w:rPr>
          <w:spacing w:val="-6"/>
        </w:rPr>
        <w:t xml:space="preserve"> </w:t>
      </w:r>
      <w:r>
        <w:t>cluster RCT (n=140,642) of a multicomponent CVD health promotion trial reported a 9% relative reduction</w:t>
      </w:r>
      <w:r>
        <w:rPr>
          <w:spacing w:val="-1"/>
        </w:rPr>
        <w:t xml:space="preserve"> </w:t>
      </w:r>
      <w:r>
        <w:t>in</w:t>
      </w:r>
      <w:r>
        <w:rPr>
          <w:spacing w:val="-1"/>
        </w:rPr>
        <w:t xml:space="preserve"> </w:t>
      </w:r>
      <w:r>
        <w:t>the</w:t>
      </w:r>
      <w:r>
        <w:rPr>
          <w:spacing w:val="-1"/>
        </w:rPr>
        <w:t xml:space="preserve"> </w:t>
      </w:r>
      <w:r>
        <w:t>number</w:t>
      </w:r>
      <w:r>
        <w:rPr>
          <w:spacing w:val="-1"/>
        </w:rPr>
        <w:t xml:space="preserve"> </w:t>
      </w:r>
      <w:r>
        <w:t>of CVD-related hospital admissions (rate</w:t>
      </w:r>
      <w:r>
        <w:rPr>
          <w:spacing w:val="-1"/>
        </w:rPr>
        <w:t xml:space="preserve"> </w:t>
      </w:r>
      <w:r>
        <w:t>ratio 0.91, 95% CI 0.86</w:t>
      </w:r>
      <w:r>
        <w:rPr>
          <w:spacing w:val="-1"/>
        </w:rPr>
        <w:t xml:space="preserve"> </w:t>
      </w:r>
      <w:r>
        <w:t>to 0.97) but no difference in all-cause mortality.</w:t>
      </w:r>
    </w:p>
    <w:p w14:paraId="7A4C2D87" w14:textId="77777777" w:rsidR="00E13D3F" w:rsidRDefault="00E13D3F">
      <w:pPr>
        <w:pStyle w:val="BodyText"/>
        <w:spacing w:before="45"/>
        <w:ind w:left="0"/>
      </w:pPr>
    </w:p>
    <w:p w14:paraId="7A4C2D88" w14:textId="77777777" w:rsidR="00E13D3F" w:rsidRDefault="00FB2D6A">
      <w:pPr>
        <w:pStyle w:val="BodyText"/>
        <w:spacing w:line="276" w:lineRule="auto"/>
        <w:ind w:right="1542"/>
      </w:pPr>
      <w:r>
        <w:rPr>
          <w:b/>
        </w:rPr>
        <w:t>Linked</w:t>
      </w:r>
      <w:r>
        <w:rPr>
          <w:b/>
          <w:spacing w:val="-2"/>
        </w:rPr>
        <w:t xml:space="preserve"> </w:t>
      </w:r>
      <w:r>
        <w:rPr>
          <w:b/>
        </w:rPr>
        <w:t>evidence</w:t>
      </w:r>
      <w:r>
        <w:t>:</w:t>
      </w:r>
      <w:r>
        <w:rPr>
          <w:spacing w:val="-4"/>
        </w:rPr>
        <w:t xml:space="preserve"> </w:t>
      </w:r>
      <w:r>
        <w:t>An</w:t>
      </w:r>
      <w:r>
        <w:rPr>
          <w:spacing w:val="-2"/>
        </w:rPr>
        <w:t xml:space="preserve"> </w:t>
      </w:r>
      <w:r>
        <w:t>individual</w:t>
      </w:r>
      <w:r>
        <w:rPr>
          <w:spacing w:val="-5"/>
        </w:rPr>
        <w:t xml:space="preserve"> </w:t>
      </w:r>
      <w:r>
        <w:t>patient</w:t>
      </w:r>
      <w:r>
        <w:rPr>
          <w:spacing w:val="-2"/>
        </w:rPr>
        <w:t xml:space="preserve"> </w:t>
      </w:r>
      <w:r>
        <w:t>meta-analysis</w:t>
      </w:r>
      <w:r>
        <w:rPr>
          <w:spacing w:val="-3"/>
        </w:rPr>
        <w:t xml:space="preserve"> </w:t>
      </w:r>
      <w:r>
        <w:t>of</w:t>
      </w:r>
      <w:r>
        <w:rPr>
          <w:spacing w:val="-1"/>
        </w:rPr>
        <w:t xml:space="preserve"> </w:t>
      </w:r>
      <w:r>
        <w:t>randomized</w:t>
      </w:r>
      <w:r>
        <w:rPr>
          <w:spacing w:val="-4"/>
        </w:rPr>
        <w:t xml:space="preserve"> </w:t>
      </w:r>
      <w:r>
        <w:t>trials</w:t>
      </w:r>
      <w:r>
        <w:rPr>
          <w:spacing w:val="-5"/>
        </w:rPr>
        <w:t xml:space="preserve"> </w:t>
      </w:r>
      <w:r>
        <w:t>of</w:t>
      </w:r>
      <w:r>
        <w:rPr>
          <w:spacing w:val="-3"/>
        </w:rPr>
        <w:t xml:space="preserve"> </w:t>
      </w:r>
      <w:r>
        <w:t>blood</w:t>
      </w:r>
      <w:r>
        <w:rPr>
          <w:spacing w:val="-2"/>
        </w:rPr>
        <w:t xml:space="preserve"> </w:t>
      </w:r>
      <w:r>
        <w:t xml:space="preserve">pressure lowering (with 344 716 participants from 48 </w:t>
      </w:r>
      <w:proofErr w:type="spellStart"/>
      <w:r>
        <w:t>randomised</w:t>
      </w:r>
      <w:proofErr w:type="spellEnd"/>
      <w:r>
        <w:t xml:space="preserve"> clinical trials; median 4.15 years’ follow-up) by the BP Trialists collaboration (3) found about a 10% relative risk reduction in major cardiovascular event for each 5 mm Hg of systolic blood pressure (hazard ratio 0.91, 95% CI 0.89 to 0.94 for participants without previous cardiovascular disease). As shown in Table 2.1, the reductions in risk are consistent across different age categories.</w:t>
      </w:r>
    </w:p>
    <w:p w14:paraId="7A4C2D89" w14:textId="77777777" w:rsidR="00E13D3F" w:rsidRDefault="00E13D3F">
      <w:pPr>
        <w:pStyle w:val="BodyText"/>
        <w:spacing w:line="276" w:lineRule="auto"/>
        <w:sectPr w:rsidR="00E13D3F">
          <w:pgSz w:w="11910" w:h="16840"/>
          <w:pgMar w:top="1400" w:right="0" w:bottom="1200" w:left="0" w:header="0" w:footer="1000" w:gutter="0"/>
          <w:cols w:space="720"/>
        </w:sectPr>
      </w:pPr>
    </w:p>
    <w:p w14:paraId="7A4C2D8A" w14:textId="77777777" w:rsidR="00E13D3F" w:rsidRDefault="00FB2D6A">
      <w:pPr>
        <w:spacing w:before="41"/>
        <w:ind w:left="1440"/>
      </w:pPr>
      <w:r>
        <w:rPr>
          <w:b/>
        </w:rPr>
        <w:lastRenderedPageBreak/>
        <w:t>Table</w:t>
      </w:r>
      <w:r>
        <w:rPr>
          <w:b/>
          <w:spacing w:val="-3"/>
        </w:rPr>
        <w:t xml:space="preserve"> </w:t>
      </w:r>
      <w:r>
        <w:rPr>
          <w:b/>
        </w:rPr>
        <w:t>2.1.</w:t>
      </w:r>
      <w:r>
        <w:rPr>
          <w:b/>
          <w:spacing w:val="-2"/>
        </w:rPr>
        <w:t xml:space="preserve"> </w:t>
      </w:r>
      <w:r>
        <w:t>Impact</w:t>
      </w:r>
      <w:r>
        <w:rPr>
          <w:spacing w:val="-5"/>
        </w:rPr>
        <w:t xml:space="preserve"> </w:t>
      </w:r>
      <w:r>
        <w:t>of</w:t>
      </w:r>
      <w:r>
        <w:rPr>
          <w:spacing w:val="-6"/>
        </w:rPr>
        <w:t xml:space="preserve"> </w:t>
      </w:r>
      <w:r>
        <w:t>blood</w:t>
      </w:r>
      <w:r>
        <w:rPr>
          <w:spacing w:val="-5"/>
        </w:rPr>
        <w:t xml:space="preserve"> </w:t>
      </w:r>
      <w:r>
        <w:t>pressure</w:t>
      </w:r>
      <w:r>
        <w:rPr>
          <w:spacing w:val="-3"/>
        </w:rPr>
        <w:t xml:space="preserve"> </w:t>
      </w:r>
      <w:r>
        <w:t>reduction</w:t>
      </w:r>
      <w:r>
        <w:rPr>
          <w:spacing w:val="-6"/>
        </w:rPr>
        <w:t xml:space="preserve"> </w:t>
      </w:r>
      <w:r>
        <w:t>at</w:t>
      </w:r>
      <w:r>
        <w:rPr>
          <w:spacing w:val="-3"/>
        </w:rPr>
        <w:t xml:space="preserve"> </w:t>
      </w:r>
      <w:r>
        <w:t>different</w:t>
      </w:r>
      <w:r>
        <w:rPr>
          <w:spacing w:val="-3"/>
        </w:rPr>
        <w:t xml:space="preserve"> </w:t>
      </w:r>
      <w:r>
        <w:t>ages,</w:t>
      </w:r>
      <w:r>
        <w:rPr>
          <w:spacing w:val="-5"/>
        </w:rPr>
        <w:t xml:space="preserve"> </w:t>
      </w:r>
      <w:r>
        <w:t>with</w:t>
      </w:r>
      <w:r>
        <w:rPr>
          <w:spacing w:val="-7"/>
        </w:rPr>
        <w:t xml:space="preserve"> </w:t>
      </w:r>
      <w:r>
        <w:t>no</w:t>
      </w:r>
      <w:r>
        <w:rPr>
          <w:spacing w:val="-3"/>
        </w:rPr>
        <w:t xml:space="preserve"> </w:t>
      </w:r>
      <w:r>
        <w:t>prior</w:t>
      </w:r>
      <w:r>
        <w:rPr>
          <w:spacing w:val="-2"/>
        </w:rPr>
        <w:t xml:space="preserve"> </w:t>
      </w:r>
      <w:r>
        <w:rPr>
          <w:spacing w:val="-5"/>
        </w:rPr>
        <w:t>CVD</w:t>
      </w:r>
    </w:p>
    <w:p w14:paraId="7A4C2D8B" w14:textId="77777777" w:rsidR="00E13D3F" w:rsidRDefault="00E13D3F">
      <w:pPr>
        <w:pStyle w:val="BodyText"/>
        <w:spacing w:before="10"/>
        <w:ind w:left="0"/>
        <w:rPr>
          <w:sz w:val="14"/>
        </w:rPr>
      </w:pPr>
    </w:p>
    <w:tbl>
      <w:tblPr>
        <w:tblW w:w="0" w:type="auto"/>
        <w:tblInd w:w="145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1687"/>
        <w:gridCol w:w="1558"/>
        <w:gridCol w:w="1690"/>
        <w:gridCol w:w="1968"/>
        <w:gridCol w:w="2115"/>
      </w:tblGrid>
      <w:tr w:rsidR="00E13D3F" w14:paraId="7A4C2D91" w14:textId="77777777">
        <w:trPr>
          <w:trHeight w:val="244"/>
        </w:trPr>
        <w:tc>
          <w:tcPr>
            <w:tcW w:w="1687" w:type="dxa"/>
          </w:tcPr>
          <w:p w14:paraId="7A4C2D8C" w14:textId="77777777" w:rsidR="00E13D3F" w:rsidRDefault="00E13D3F">
            <w:pPr>
              <w:pStyle w:val="TableParagraph"/>
              <w:rPr>
                <w:rFonts w:ascii="Times New Roman"/>
                <w:sz w:val="16"/>
              </w:rPr>
            </w:pPr>
          </w:p>
        </w:tc>
        <w:tc>
          <w:tcPr>
            <w:tcW w:w="1558" w:type="dxa"/>
          </w:tcPr>
          <w:p w14:paraId="7A4C2D8D" w14:textId="77777777" w:rsidR="00E13D3F" w:rsidRDefault="00FB2D6A">
            <w:pPr>
              <w:pStyle w:val="TableParagraph"/>
              <w:spacing w:before="1" w:line="223" w:lineRule="exact"/>
              <w:ind w:left="3" w:right="37"/>
              <w:jc w:val="center"/>
              <w:rPr>
                <w:b/>
                <w:sz w:val="20"/>
              </w:rPr>
            </w:pPr>
            <w:r>
              <w:rPr>
                <w:b/>
                <w:spacing w:val="-2"/>
                <w:sz w:val="20"/>
              </w:rPr>
              <w:t>Intervention</w:t>
            </w:r>
          </w:p>
        </w:tc>
        <w:tc>
          <w:tcPr>
            <w:tcW w:w="1690" w:type="dxa"/>
          </w:tcPr>
          <w:p w14:paraId="7A4C2D8E" w14:textId="77777777" w:rsidR="00E13D3F" w:rsidRDefault="00FB2D6A">
            <w:pPr>
              <w:pStyle w:val="TableParagraph"/>
              <w:spacing w:before="1" w:line="223" w:lineRule="exact"/>
              <w:ind w:left="2" w:right="35"/>
              <w:jc w:val="center"/>
              <w:rPr>
                <w:b/>
                <w:sz w:val="20"/>
              </w:rPr>
            </w:pPr>
            <w:r>
              <w:rPr>
                <w:b/>
                <w:spacing w:val="-2"/>
                <w:sz w:val="20"/>
              </w:rPr>
              <w:t>Comparator</w:t>
            </w:r>
          </w:p>
        </w:tc>
        <w:tc>
          <w:tcPr>
            <w:tcW w:w="1968" w:type="dxa"/>
          </w:tcPr>
          <w:p w14:paraId="7A4C2D8F" w14:textId="77777777" w:rsidR="00E13D3F" w:rsidRDefault="00FB2D6A">
            <w:pPr>
              <w:pStyle w:val="TableParagraph"/>
              <w:spacing w:before="1" w:line="223" w:lineRule="exact"/>
              <w:ind w:left="4" w:right="37"/>
              <w:jc w:val="center"/>
              <w:rPr>
                <w:b/>
                <w:sz w:val="20"/>
              </w:rPr>
            </w:pPr>
            <w:r>
              <w:rPr>
                <w:b/>
                <w:spacing w:val="-5"/>
                <w:sz w:val="20"/>
              </w:rPr>
              <w:t>RRR</w:t>
            </w:r>
          </w:p>
        </w:tc>
        <w:tc>
          <w:tcPr>
            <w:tcW w:w="2115" w:type="dxa"/>
          </w:tcPr>
          <w:p w14:paraId="7A4C2D90" w14:textId="77777777" w:rsidR="00E13D3F" w:rsidRDefault="00FB2D6A">
            <w:pPr>
              <w:pStyle w:val="TableParagraph"/>
              <w:spacing w:before="1" w:line="223" w:lineRule="exact"/>
              <w:ind w:right="41"/>
              <w:jc w:val="center"/>
              <w:rPr>
                <w:b/>
                <w:sz w:val="20"/>
              </w:rPr>
            </w:pPr>
            <w:r>
              <w:rPr>
                <w:b/>
                <w:spacing w:val="-4"/>
                <w:sz w:val="20"/>
              </w:rPr>
              <w:t>ARR%</w:t>
            </w:r>
          </w:p>
        </w:tc>
      </w:tr>
      <w:tr w:rsidR="00E13D3F" w14:paraId="7A4C2D97" w14:textId="77777777">
        <w:trPr>
          <w:trHeight w:val="489"/>
        </w:trPr>
        <w:tc>
          <w:tcPr>
            <w:tcW w:w="1687" w:type="dxa"/>
            <w:shd w:val="clear" w:color="auto" w:fill="F1F1F1"/>
          </w:tcPr>
          <w:p w14:paraId="7A4C2D92" w14:textId="77777777" w:rsidR="00E13D3F" w:rsidRDefault="00E13D3F">
            <w:pPr>
              <w:pStyle w:val="TableParagraph"/>
              <w:rPr>
                <w:rFonts w:ascii="Times New Roman"/>
              </w:rPr>
            </w:pPr>
          </w:p>
        </w:tc>
        <w:tc>
          <w:tcPr>
            <w:tcW w:w="1558" w:type="dxa"/>
            <w:shd w:val="clear" w:color="auto" w:fill="F1F1F1"/>
          </w:tcPr>
          <w:p w14:paraId="7A4C2D93" w14:textId="77777777" w:rsidR="00E13D3F" w:rsidRDefault="00FB2D6A">
            <w:pPr>
              <w:pStyle w:val="TableParagraph"/>
              <w:spacing w:line="240" w:lineRule="atLeast"/>
              <w:ind w:left="275" w:right="355"/>
              <w:jc w:val="center"/>
              <w:rPr>
                <w:b/>
                <w:sz w:val="20"/>
              </w:rPr>
            </w:pPr>
            <w:r>
              <w:rPr>
                <w:b/>
                <w:spacing w:val="-2"/>
                <w:sz w:val="20"/>
              </w:rPr>
              <w:t>Event/ Total</w:t>
            </w:r>
          </w:p>
        </w:tc>
        <w:tc>
          <w:tcPr>
            <w:tcW w:w="1690" w:type="dxa"/>
            <w:shd w:val="clear" w:color="auto" w:fill="F1F1F1"/>
          </w:tcPr>
          <w:p w14:paraId="7A4C2D94" w14:textId="77777777" w:rsidR="00E13D3F" w:rsidRDefault="00FB2D6A">
            <w:pPr>
              <w:pStyle w:val="TableParagraph"/>
              <w:spacing w:line="240" w:lineRule="atLeast"/>
              <w:ind w:left="340" w:right="422"/>
              <w:jc w:val="center"/>
              <w:rPr>
                <w:b/>
                <w:sz w:val="20"/>
              </w:rPr>
            </w:pPr>
            <w:r>
              <w:rPr>
                <w:b/>
                <w:spacing w:val="-2"/>
                <w:sz w:val="20"/>
              </w:rPr>
              <w:t>Event/ Total</w:t>
            </w:r>
          </w:p>
        </w:tc>
        <w:tc>
          <w:tcPr>
            <w:tcW w:w="1968" w:type="dxa"/>
            <w:shd w:val="clear" w:color="auto" w:fill="F1F1F1"/>
          </w:tcPr>
          <w:p w14:paraId="7A4C2D95" w14:textId="77777777" w:rsidR="00E13D3F" w:rsidRDefault="00FB2D6A">
            <w:pPr>
              <w:pStyle w:val="TableParagraph"/>
              <w:spacing w:before="1"/>
              <w:ind w:left="1" w:right="37"/>
              <w:jc w:val="center"/>
              <w:rPr>
                <w:b/>
                <w:sz w:val="20"/>
              </w:rPr>
            </w:pPr>
            <w:r>
              <w:rPr>
                <w:b/>
                <w:sz w:val="20"/>
              </w:rPr>
              <w:t>(95%</w:t>
            </w:r>
            <w:r>
              <w:rPr>
                <w:b/>
                <w:spacing w:val="-5"/>
                <w:sz w:val="20"/>
              </w:rPr>
              <w:t xml:space="preserve"> Cl)</w:t>
            </w:r>
          </w:p>
        </w:tc>
        <w:tc>
          <w:tcPr>
            <w:tcW w:w="2115" w:type="dxa"/>
            <w:shd w:val="clear" w:color="auto" w:fill="F1F1F1"/>
          </w:tcPr>
          <w:p w14:paraId="7A4C2D96" w14:textId="77777777" w:rsidR="00E13D3F" w:rsidRDefault="00FB2D6A">
            <w:pPr>
              <w:pStyle w:val="TableParagraph"/>
              <w:spacing w:before="1"/>
              <w:ind w:left="3" w:right="41"/>
              <w:jc w:val="center"/>
              <w:rPr>
                <w:b/>
                <w:sz w:val="20"/>
              </w:rPr>
            </w:pPr>
            <w:r>
              <w:rPr>
                <w:b/>
                <w:sz w:val="20"/>
              </w:rPr>
              <w:t>(95%</w:t>
            </w:r>
            <w:r>
              <w:rPr>
                <w:b/>
                <w:spacing w:val="-5"/>
                <w:sz w:val="20"/>
              </w:rPr>
              <w:t xml:space="preserve"> CI)</w:t>
            </w:r>
          </w:p>
        </w:tc>
      </w:tr>
      <w:tr w:rsidR="00E13D3F" w14:paraId="7A4C2D99" w14:textId="77777777">
        <w:trPr>
          <w:trHeight w:val="390"/>
        </w:trPr>
        <w:tc>
          <w:tcPr>
            <w:tcW w:w="9018" w:type="dxa"/>
            <w:gridSpan w:val="5"/>
          </w:tcPr>
          <w:p w14:paraId="7A4C2D98" w14:textId="77777777" w:rsidR="00E13D3F" w:rsidRDefault="00FB2D6A">
            <w:pPr>
              <w:pStyle w:val="TableParagraph"/>
              <w:spacing w:before="1"/>
              <w:ind w:left="107"/>
              <w:rPr>
                <w:b/>
                <w:sz w:val="20"/>
              </w:rPr>
            </w:pPr>
            <w:r>
              <w:rPr>
                <w:b/>
                <w:sz w:val="20"/>
              </w:rPr>
              <w:t>BP</w:t>
            </w:r>
            <w:r>
              <w:rPr>
                <w:b/>
                <w:spacing w:val="-6"/>
                <w:sz w:val="20"/>
              </w:rPr>
              <w:t xml:space="preserve"> </w:t>
            </w:r>
            <w:r>
              <w:rPr>
                <w:b/>
                <w:sz w:val="20"/>
              </w:rPr>
              <w:t>lowering:</w:t>
            </w:r>
            <w:r>
              <w:rPr>
                <w:b/>
                <w:spacing w:val="-6"/>
                <w:sz w:val="20"/>
              </w:rPr>
              <w:t xml:space="preserve"> </w:t>
            </w:r>
            <w:r>
              <w:rPr>
                <w:b/>
                <w:sz w:val="20"/>
              </w:rPr>
              <w:t>effect</w:t>
            </w:r>
            <w:r>
              <w:rPr>
                <w:b/>
                <w:spacing w:val="-6"/>
                <w:sz w:val="20"/>
              </w:rPr>
              <w:t xml:space="preserve"> </w:t>
            </w:r>
            <w:r>
              <w:rPr>
                <w:b/>
                <w:sz w:val="20"/>
              </w:rPr>
              <w:t>on</w:t>
            </w:r>
            <w:r>
              <w:rPr>
                <w:b/>
                <w:spacing w:val="-5"/>
                <w:sz w:val="20"/>
              </w:rPr>
              <w:t xml:space="preserve"> </w:t>
            </w:r>
            <w:r>
              <w:rPr>
                <w:b/>
                <w:sz w:val="20"/>
              </w:rPr>
              <w:t>major</w:t>
            </w:r>
            <w:r>
              <w:rPr>
                <w:b/>
                <w:spacing w:val="-5"/>
                <w:sz w:val="20"/>
              </w:rPr>
              <w:t xml:space="preserve"> </w:t>
            </w:r>
            <w:r>
              <w:rPr>
                <w:b/>
                <w:sz w:val="20"/>
              </w:rPr>
              <w:t>cardiovascular</w:t>
            </w:r>
            <w:r>
              <w:rPr>
                <w:b/>
                <w:spacing w:val="-6"/>
                <w:sz w:val="20"/>
              </w:rPr>
              <w:t xml:space="preserve"> </w:t>
            </w:r>
            <w:r>
              <w:rPr>
                <w:b/>
                <w:sz w:val="20"/>
              </w:rPr>
              <w:t>events</w:t>
            </w:r>
            <w:r>
              <w:rPr>
                <w:b/>
                <w:spacing w:val="-6"/>
                <w:sz w:val="20"/>
              </w:rPr>
              <w:t xml:space="preserve"> </w:t>
            </w:r>
            <w:r>
              <w:rPr>
                <w:b/>
                <w:sz w:val="20"/>
              </w:rPr>
              <w:t>per</w:t>
            </w:r>
            <w:r>
              <w:rPr>
                <w:b/>
                <w:spacing w:val="-5"/>
                <w:sz w:val="20"/>
              </w:rPr>
              <w:t xml:space="preserve"> </w:t>
            </w:r>
            <w:r>
              <w:rPr>
                <w:b/>
                <w:sz w:val="20"/>
              </w:rPr>
              <w:t>5</w:t>
            </w:r>
            <w:r>
              <w:rPr>
                <w:b/>
                <w:spacing w:val="-8"/>
                <w:sz w:val="20"/>
              </w:rPr>
              <w:t xml:space="preserve"> </w:t>
            </w:r>
            <w:r>
              <w:rPr>
                <w:b/>
                <w:sz w:val="20"/>
              </w:rPr>
              <w:t>mm</w:t>
            </w:r>
            <w:r>
              <w:rPr>
                <w:b/>
                <w:spacing w:val="-6"/>
                <w:sz w:val="20"/>
              </w:rPr>
              <w:t xml:space="preserve"> </w:t>
            </w:r>
            <w:r>
              <w:rPr>
                <w:b/>
                <w:sz w:val="20"/>
              </w:rPr>
              <w:t>Hg</w:t>
            </w:r>
            <w:r>
              <w:rPr>
                <w:b/>
                <w:spacing w:val="-7"/>
                <w:sz w:val="20"/>
              </w:rPr>
              <w:t xml:space="preserve"> </w:t>
            </w:r>
            <w:r>
              <w:rPr>
                <w:b/>
                <w:spacing w:val="-2"/>
                <w:sz w:val="20"/>
              </w:rPr>
              <w:t>reduction</w:t>
            </w:r>
          </w:p>
        </w:tc>
      </w:tr>
      <w:tr w:rsidR="00E13D3F" w14:paraId="7A4C2D9F" w14:textId="77777777">
        <w:trPr>
          <w:trHeight w:val="299"/>
        </w:trPr>
        <w:tc>
          <w:tcPr>
            <w:tcW w:w="1687" w:type="dxa"/>
            <w:shd w:val="clear" w:color="auto" w:fill="F1F1F1"/>
          </w:tcPr>
          <w:p w14:paraId="7A4C2D9A" w14:textId="77777777" w:rsidR="00E13D3F" w:rsidRDefault="00FB2D6A">
            <w:pPr>
              <w:pStyle w:val="TableParagraph"/>
              <w:spacing w:line="243" w:lineRule="exact"/>
              <w:ind w:left="379"/>
              <w:rPr>
                <w:b/>
                <w:sz w:val="20"/>
              </w:rPr>
            </w:pPr>
            <w:r>
              <w:rPr>
                <w:b/>
                <w:sz w:val="20"/>
              </w:rPr>
              <w:t>Age</w:t>
            </w:r>
            <w:r>
              <w:rPr>
                <w:b/>
                <w:spacing w:val="-6"/>
                <w:sz w:val="20"/>
              </w:rPr>
              <w:t xml:space="preserve"> </w:t>
            </w:r>
            <w:r>
              <w:rPr>
                <w:b/>
                <w:spacing w:val="-2"/>
                <w:sz w:val="20"/>
              </w:rPr>
              <w:t>Group</w:t>
            </w:r>
          </w:p>
        </w:tc>
        <w:tc>
          <w:tcPr>
            <w:tcW w:w="1558" w:type="dxa"/>
            <w:shd w:val="clear" w:color="auto" w:fill="F1F1F1"/>
          </w:tcPr>
          <w:p w14:paraId="7A4C2D9B" w14:textId="77777777" w:rsidR="00E13D3F" w:rsidRDefault="00E13D3F">
            <w:pPr>
              <w:pStyle w:val="TableParagraph"/>
              <w:rPr>
                <w:rFonts w:ascii="Times New Roman"/>
              </w:rPr>
            </w:pPr>
          </w:p>
        </w:tc>
        <w:tc>
          <w:tcPr>
            <w:tcW w:w="1690" w:type="dxa"/>
            <w:shd w:val="clear" w:color="auto" w:fill="F1F1F1"/>
          </w:tcPr>
          <w:p w14:paraId="7A4C2D9C" w14:textId="77777777" w:rsidR="00E13D3F" w:rsidRDefault="00E13D3F">
            <w:pPr>
              <w:pStyle w:val="TableParagraph"/>
              <w:rPr>
                <w:rFonts w:ascii="Times New Roman"/>
              </w:rPr>
            </w:pPr>
          </w:p>
        </w:tc>
        <w:tc>
          <w:tcPr>
            <w:tcW w:w="1968" w:type="dxa"/>
            <w:shd w:val="clear" w:color="auto" w:fill="F1F1F1"/>
          </w:tcPr>
          <w:p w14:paraId="7A4C2D9D" w14:textId="77777777" w:rsidR="00E13D3F" w:rsidRDefault="00E13D3F">
            <w:pPr>
              <w:pStyle w:val="TableParagraph"/>
              <w:rPr>
                <w:rFonts w:ascii="Times New Roman"/>
              </w:rPr>
            </w:pPr>
          </w:p>
        </w:tc>
        <w:tc>
          <w:tcPr>
            <w:tcW w:w="2115" w:type="dxa"/>
            <w:shd w:val="clear" w:color="auto" w:fill="F1F1F1"/>
          </w:tcPr>
          <w:p w14:paraId="7A4C2D9E" w14:textId="77777777" w:rsidR="00E13D3F" w:rsidRDefault="00E13D3F">
            <w:pPr>
              <w:pStyle w:val="TableParagraph"/>
              <w:rPr>
                <w:rFonts w:ascii="Times New Roman"/>
              </w:rPr>
            </w:pPr>
          </w:p>
        </w:tc>
      </w:tr>
      <w:tr w:rsidR="00E13D3F" w14:paraId="7A4C2DA7" w14:textId="77777777">
        <w:trPr>
          <w:trHeight w:val="553"/>
        </w:trPr>
        <w:tc>
          <w:tcPr>
            <w:tcW w:w="1687" w:type="dxa"/>
          </w:tcPr>
          <w:p w14:paraId="7A4C2DA0" w14:textId="77777777" w:rsidR="00E13D3F" w:rsidRDefault="00FB2D6A">
            <w:pPr>
              <w:pStyle w:val="TableParagraph"/>
              <w:spacing w:before="1"/>
              <w:ind w:left="477"/>
              <w:rPr>
                <w:b/>
                <w:sz w:val="20"/>
              </w:rPr>
            </w:pPr>
            <w:r>
              <w:rPr>
                <w:b/>
                <w:sz w:val="20"/>
              </w:rPr>
              <w:t>&lt;</w:t>
            </w:r>
            <w:r>
              <w:rPr>
                <w:b/>
                <w:spacing w:val="-3"/>
                <w:sz w:val="20"/>
              </w:rPr>
              <w:t xml:space="preserve"> </w:t>
            </w:r>
            <w:r>
              <w:rPr>
                <w:b/>
                <w:sz w:val="20"/>
              </w:rPr>
              <w:t>55</w:t>
            </w:r>
            <w:r>
              <w:rPr>
                <w:b/>
                <w:spacing w:val="-2"/>
                <w:sz w:val="20"/>
              </w:rPr>
              <w:t xml:space="preserve"> years</w:t>
            </w:r>
          </w:p>
        </w:tc>
        <w:tc>
          <w:tcPr>
            <w:tcW w:w="1558" w:type="dxa"/>
          </w:tcPr>
          <w:p w14:paraId="7A4C2DA1" w14:textId="77777777" w:rsidR="00E13D3F" w:rsidRDefault="00FB2D6A">
            <w:pPr>
              <w:pStyle w:val="TableParagraph"/>
              <w:spacing w:before="1"/>
              <w:ind w:right="37"/>
              <w:jc w:val="center"/>
              <w:rPr>
                <w:sz w:val="20"/>
              </w:rPr>
            </w:pPr>
            <w:r>
              <w:rPr>
                <w:spacing w:val="-4"/>
                <w:sz w:val="20"/>
              </w:rPr>
              <w:t>6.9%</w:t>
            </w:r>
          </w:p>
        </w:tc>
        <w:tc>
          <w:tcPr>
            <w:tcW w:w="1690" w:type="dxa"/>
          </w:tcPr>
          <w:p w14:paraId="7A4C2DA2" w14:textId="77777777" w:rsidR="00E13D3F" w:rsidRDefault="00FB2D6A">
            <w:pPr>
              <w:pStyle w:val="TableParagraph"/>
              <w:spacing w:before="1"/>
              <w:ind w:right="35"/>
              <w:jc w:val="center"/>
              <w:rPr>
                <w:sz w:val="20"/>
              </w:rPr>
            </w:pPr>
            <w:r>
              <w:rPr>
                <w:spacing w:val="-4"/>
                <w:sz w:val="20"/>
              </w:rPr>
              <w:t>8.4%</w:t>
            </w:r>
          </w:p>
        </w:tc>
        <w:tc>
          <w:tcPr>
            <w:tcW w:w="1968" w:type="dxa"/>
          </w:tcPr>
          <w:p w14:paraId="7A4C2DA3" w14:textId="77777777" w:rsidR="00E13D3F" w:rsidRDefault="00FB2D6A">
            <w:pPr>
              <w:pStyle w:val="TableParagraph"/>
              <w:spacing w:before="1" w:line="243" w:lineRule="exact"/>
              <w:ind w:left="3" w:right="37"/>
              <w:jc w:val="center"/>
              <w:rPr>
                <w:sz w:val="20"/>
              </w:rPr>
            </w:pPr>
            <w:r>
              <w:rPr>
                <w:spacing w:val="-2"/>
                <w:sz w:val="20"/>
              </w:rPr>
              <w:t>18.2%</w:t>
            </w:r>
          </w:p>
          <w:p w14:paraId="7A4C2DA4" w14:textId="77777777" w:rsidR="00E13D3F" w:rsidRDefault="00FB2D6A">
            <w:pPr>
              <w:pStyle w:val="TableParagraph"/>
              <w:spacing w:line="243" w:lineRule="exact"/>
              <w:ind w:right="37"/>
              <w:jc w:val="center"/>
              <w:rPr>
                <w:sz w:val="20"/>
              </w:rPr>
            </w:pPr>
            <w:r>
              <w:rPr>
                <w:spacing w:val="-2"/>
                <w:sz w:val="20"/>
              </w:rPr>
              <w:t>(12%-</w:t>
            </w:r>
            <w:r>
              <w:rPr>
                <w:spacing w:val="-4"/>
                <w:sz w:val="20"/>
              </w:rPr>
              <w:t>24%)</w:t>
            </w:r>
          </w:p>
        </w:tc>
        <w:tc>
          <w:tcPr>
            <w:tcW w:w="2115" w:type="dxa"/>
          </w:tcPr>
          <w:p w14:paraId="7A4C2DA5" w14:textId="77777777" w:rsidR="00E13D3F" w:rsidRDefault="00FB2D6A">
            <w:pPr>
              <w:pStyle w:val="TableParagraph"/>
              <w:spacing w:before="1" w:line="243" w:lineRule="exact"/>
              <w:ind w:right="41"/>
              <w:jc w:val="center"/>
              <w:rPr>
                <w:sz w:val="20"/>
              </w:rPr>
            </w:pPr>
            <w:r>
              <w:rPr>
                <w:spacing w:val="-4"/>
                <w:sz w:val="20"/>
              </w:rPr>
              <w:t>1.5%</w:t>
            </w:r>
          </w:p>
          <w:p w14:paraId="7A4C2DA6" w14:textId="77777777" w:rsidR="00E13D3F" w:rsidRDefault="00FB2D6A">
            <w:pPr>
              <w:pStyle w:val="TableParagraph"/>
              <w:spacing w:line="243" w:lineRule="exact"/>
              <w:ind w:left="2" w:right="41"/>
              <w:jc w:val="center"/>
              <w:rPr>
                <w:sz w:val="20"/>
              </w:rPr>
            </w:pPr>
            <w:r>
              <w:rPr>
                <w:spacing w:val="-2"/>
                <w:sz w:val="20"/>
              </w:rPr>
              <w:t>(1%-</w:t>
            </w:r>
            <w:r>
              <w:rPr>
                <w:spacing w:val="-5"/>
                <w:sz w:val="20"/>
              </w:rPr>
              <w:t>2%)</w:t>
            </w:r>
          </w:p>
        </w:tc>
      </w:tr>
      <w:tr w:rsidR="00E13D3F" w14:paraId="7A4C2DAF" w14:textId="77777777">
        <w:trPr>
          <w:trHeight w:val="556"/>
        </w:trPr>
        <w:tc>
          <w:tcPr>
            <w:tcW w:w="1687" w:type="dxa"/>
            <w:shd w:val="clear" w:color="auto" w:fill="F1F1F1"/>
          </w:tcPr>
          <w:p w14:paraId="7A4C2DA8" w14:textId="77777777" w:rsidR="00E13D3F" w:rsidRDefault="00FB2D6A">
            <w:pPr>
              <w:pStyle w:val="TableParagraph"/>
              <w:spacing w:before="1"/>
              <w:ind w:left="417"/>
              <w:rPr>
                <w:b/>
                <w:sz w:val="20"/>
              </w:rPr>
            </w:pPr>
            <w:r>
              <w:rPr>
                <w:b/>
                <w:sz w:val="20"/>
              </w:rPr>
              <w:t>55-64</w:t>
            </w:r>
            <w:r>
              <w:rPr>
                <w:b/>
                <w:spacing w:val="-6"/>
                <w:sz w:val="20"/>
              </w:rPr>
              <w:t xml:space="preserve"> </w:t>
            </w:r>
            <w:r>
              <w:rPr>
                <w:b/>
                <w:spacing w:val="-2"/>
                <w:sz w:val="20"/>
              </w:rPr>
              <w:t>years</w:t>
            </w:r>
          </w:p>
        </w:tc>
        <w:tc>
          <w:tcPr>
            <w:tcW w:w="1558" w:type="dxa"/>
            <w:shd w:val="clear" w:color="auto" w:fill="F1F1F1"/>
          </w:tcPr>
          <w:p w14:paraId="7A4C2DA9" w14:textId="77777777" w:rsidR="00E13D3F" w:rsidRDefault="00FB2D6A">
            <w:pPr>
              <w:pStyle w:val="TableParagraph"/>
              <w:spacing w:before="1"/>
              <w:ind w:right="37"/>
              <w:jc w:val="center"/>
              <w:rPr>
                <w:sz w:val="20"/>
              </w:rPr>
            </w:pPr>
            <w:r>
              <w:rPr>
                <w:spacing w:val="-4"/>
                <w:sz w:val="20"/>
              </w:rPr>
              <w:t>9.4%</w:t>
            </w:r>
          </w:p>
        </w:tc>
        <w:tc>
          <w:tcPr>
            <w:tcW w:w="1690" w:type="dxa"/>
            <w:shd w:val="clear" w:color="auto" w:fill="F1F1F1"/>
          </w:tcPr>
          <w:p w14:paraId="7A4C2DAA" w14:textId="77777777" w:rsidR="00E13D3F" w:rsidRDefault="00FB2D6A">
            <w:pPr>
              <w:pStyle w:val="TableParagraph"/>
              <w:spacing w:before="1"/>
              <w:ind w:left="1" w:right="35"/>
              <w:jc w:val="center"/>
              <w:rPr>
                <w:sz w:val="20"/>
              </w:rPr>
            </w:pPr>
            <w:r>
              <w:rPr>
                <w:spacing w:val="-2"/>
                <w:sz w:val="20"/>
              </w:rPr>
              <w:t>10.5%</w:t>
            </w:r>
          </w:p>
        </w:tc>
        <w:tc>
          <w:tcPr>
            <w:tcW w:w="1968" w:type="dxa"/>
            <w:shd w:val="clear" w:color="auto" w:fill="F1F1F1"/>
          </w:tcPr>
          <w:p w14:paraId="7A4C2DAB" w14:textId="77777777" w:rsidR="00E13D3F" w:rsidRDefault="00FB2D6A">
            <w:pPr>
              <w:pStyle w:val="TableParagraph"/>
              <w:spacing w:before="1"/>
              <w:ind w:left="3" w:right="37"/>
              <w:jc w:val="center"/>
              <w:rPr>
                <w:sz w:val="20"/>
              </w:rPr>
            </w:pPr>
            <w:r>
              <w:rPr>
                <w:spacing w:val="-4"/>
                <w:sz w:val="20"/>
              </w:rPr>
              <w:t>9.9%</w:t>
            </w:r>
          </w:p>
          <w:p w14:paraId="7A4C2DAC" w14:textId="77777777" w:rsidR="00E13D3F" w:rsidRDefault="00FB2D6A">
            <w:pPr>
              <w:pStyle w:val="TableParagraph"/>
              <w:spacing w:before="1"/>
              <w:ind w:right="37"/>
              <w:jc w:val="center"/>
              <w:rPr>
                <w:sz w:val="20"/>
              </w:rPr>
            </w:pPr>
            <w:r>
              <w:rPr>
                <w:spacing w:val="-2"/>
                <w:sz w:val="20"/>
              </w:rPr>
              <w:t>(5%-</w:t>
            </w:r>
            <w:r>
              <w:rPr>
                <w:spacing w:val="-4"/>
                <w:sz w:val="20"/>
              </w:rPr>
              <w:t>12%)</w:t>
            </w:r>
          </w:p>
        </w:tc>
        <w:tc>
          <w:tcPr>
            <w:tcW w:w="2115" w:type="dxa"/>
            <w:shd w:val="clear" w:color="auto" w:fill="F1F1F1"/>
          </w:tcPr>
          <w:p w14:paraId="7A4C2DAD" w14:textId="77777777" w:rsidR="00E13D3F" w:rsidRDefault="00FB2D6A">
            <w:pPr>
              <w:pStyle w:val="TableParagraph"/>
              <w:spacing w:before="1"/>
              <w:ind w:right="41"/>
              <w:jc w:val="center"/>
              <w:rPr>
                <w:sz w:val="20"/>
              </w:rPr>
            </w:pPr>
            <w:r>
              <w:rPr>
                <w:spacing w:val="-4"/>
                <w:sz w:val="20"/>
              </w:rPr>
              <w:t>1.0%</w:t>
            </w:r>
          </w:p>
          <w:p w14:paraId="7A4C2DAE" w14:textId="77777777" w:rsidR="00E13D3F" w:rsidRDefault="00FB2D6A">
            <w:pPr>
              <w:pStyle w:val="TableParagraph"/>
              <w:spacing w:before="1"/>
              <w:ind w:left="2" w:right="41"/>
              <w:jc w:val="center"/>
              <w:rPr>
                <w:sz w:val="20"/>
              </w:rPr>
            </w:pPr>
            <w:r>
              <w:rPr>
                <w:spacing w:val="-2"/>
                <w:sz w:val="20"/>
              </w:rPr>
              <w:t>(0.7%-1.4%)</w:t>
            </w:r>
          </w:p>
        </w:tc>
      </w:tr>
      <w:tr w:rsidR="00E13D3F" w14:paraId="7A4C2DB7" w14:textId="77777777">
        <w:trPr>
          <w:trHeight w:val="554"/>
        </w:trPr>
        <w:tc>
          <w:tcPr>
            <w:tcW w:w="1687" w:type="dxa"/>
          </w:tcPr>
          <w:p w14:paraId="7A4C2DB0" w14:textId="77777777" w:rsidR="00E13D3F" w:rsidRDefault="00FB2D6A">
            <w:pPr>
              <w:pStyle w:val="TableParagraph"/>
              <w:spacing w:line="243" w:lineRule="exact"/>
              <w:ind w:left="417"/>
              <w:rPr>
                <w:b/>
                <w:sz w:val="20"/>
              </w:rPr>
            </w:pPr>
            <w:r>
              <w:rPr>
                <w:b/>
                <w:sz w:val="20"/>
              </w:rPr>
              <w:t>65-74</w:t>
            </w:r>
            <w:r>
              <w:rPr>
                <w:b/>
                <w:spacing w:val="-6"/>
                <w:sz w:val="20"/>
              </w:rPr>
              <w:t xml:space="preserve"> </w:t>
            </w:r>
            <w:r>
              <w:rPr>
                <w:b/>
                <w:spacing w:val="-2"/>
                <w:sz w:val="20"/>
              </w:rPr>
              <w:t>years</w:t>
            </w:r>
          </w:p>
        </w:tc>
        <w:tc>
          <w:tcPr>
            <w:tcW w:w="1558" w:type="dxa"/>
          </w:tcPr>
          <w:p w14:paraId="7A4C2DB1" w14:textId="77777777" w:rsidR="00E13D3F" w:rsidRDefault="00FB2D6A">
            <w:pPr>
              <w:pStyle w:val="TableParagraph"/>
              <w:spacing w:line="243" w:lineRule="exact"/>
              <w:ind w:right="37"/>
              <w:jc w:val="center"/>
              <w:rPr>
                <w:sz w:val="20"/>
              </w:rPr>
            </w:pPr>
            <w:r>
              <w:rPr>
                <w:spacing w:val="-2"/>
                <w:sz w:val="20"/>
              </w:rPr>
              <w:t>12.4%</w:t>
            </w:r>
          </w:p>
        </w:tc>
        <w:tc>
          <w:tcPr>
            <w:tcW w:w="1690" w:type="dxa"/>
          </w:tcPr>
          <w:p w14:paraId="7A4C2DB2" w14:textId="77777777" w:rsidR="00E13D3F" w:rsidRDefault="00FB2D6A">
            <w:pPr>
              <w:pStyle w:val="TableParagraph"/>
              <w:spacing w:line="243" w:lineRule="exact"/>
              <w:ind w:left="1" w:right="35"/>
              <w:jc w:val="center"/>
              <w:rPr>
                <w:sz w:val="20"/>
              </w:rPr>
            </w:pPr>
            <w:r>
              <w:rPr>
                <w:spacing w:val="-2"/>
                <w:sz w:val="20"/>
              </w:rPr>
              <w:t>14.1%</w:t>
            </w:r>
          </w:p>
        </w:tc>
        <w:tc>
          <w:tcPr>
            <w:tcW w:w="1968" w:type="dxa"/>
          </w:tcPr>
          <w:p w14:paraId="7A4C2DB3" w14:textId="77777777" w:rsidR="00E13D3F" w:rsidRDefault="00FB2D6A">
            <w:pPr>
              <w:pStyle w:val="TableParagraph"/>
              <w:spacing w:line="243" w:lineRule="exact"/>
              <w:ind w:left="3" w:right="37"/>
              <w:jc w:val="center"/>
              <w:rPr>
                <w:sz w:val="20"/>
              </w:rPr>
            </w:pPr>
            <w:r>
              <w:rPr>
                <w:spacing w:val="-2"/>
                <w:sz w:val="20"/>
              </w:rPr>
              <w:t>11.5%</w:t>
            </w:r>
          </w:p>
          <w:p w14:paraId="7A4C2DB4" w14:textId="77777777" w:rsidR="00E13D3F" w:rsidRDefault="00FB2D6A">
            <w:pPr>
              <w:pStyle w:val="TableParagraph"/>
              <w:ind w:right="37"/>
              <w:jc w:val="center"/>
              <w:rPr>
                <w:sz w:val="20"/>
              </w:rPr>
            </w:pPr>
            <w:r>
              <w:rPr>
                <w:spacing w:val="-2"/>
                <w:sz w:val="20"/>
              </w:rPr>
              <w:t>(5%-</w:t>
            </w:r>
            <w:r>
              <w:rPr>
                <w:spacing w:val="-4"/>
                <w:sz w:val="20"/>
              </w:rPr>
              <w:t>12%)</w:t>
            </w:r>
          </w:p>
        </w:tc>
        <w:tc>
          <w:tcPr>
            <w:tcW w:w="2115" w:type="dxa"/>
          </w:tcPr>
          <w:p w14:paraId="7A4C2DB5" w14:textId="77777777" w:rsidR="00E13D3F" w:rsidRDefault="00FB2D6A">
            <w:pPr>
              <w:pStyle w:val="TableParagraph"/>
              <w:spacing w:line="243" w:lineRule="exact"/>
              <w:ind w:right="41"/>
              <w:jc w:val="center"/>
              <w:rPr>
                <w:sz w:val="20"/>
              </w:rPr>
            </w:pPr>
            <w:r>
              <w:rPr>
                <w:spacing w:val="-4"/>
                <w:sz w:val="20"/>
              </w:rPr>
              <w:t>1.6%</w:t>
            </w:r>
          </w:p>
          <w:p w14:paraId="7A4C2DB6" w14:textId="77777777" w:rsidR="00E13D3F" w:rsidRDefault="00FB2D6A">
            <w:pPr>
              <w:pStyle w:val="TableParagraph"/>
              <w:ind w:left="5" w:right="41"/>
              <w:jc w:val="center"/>
              <w:rPr>
                <w:sz w:val="20"/>
              </w:rPr>
            </w:pPr>
            <w:r>
              <w:rPr>
                <w:spacing w:val="-2"/>
                <w:sz w:val="20"/>
              </w:rPr>
              <w:t>(1.2%-</w:t>
            </w:r>
            <w:r>
              <w:rPr>
                <w:spacing w:val="-5"/>
                <w:sz w:val="20"/>
              </w:rPr>
              <w:t>2%</w:t>
            </w:r>
          </w:p>
        </w:tc>
      </w:tr>
      <w:tr w:rsidR="00E13D3F" w14:paraId="7A4C2DBF" w14:textId="77777777">
        <w:trPr>
          <w:trHeight w:val="556"/>
        </w:trPr>
        <w:tc>
          <w:tcPr>
            <w:tcW w:w="1687" w:type="dxa"/>
            <w:shd w:val="clear" w:color="auto" w:fill="F1F1F1"/>
          </w:tcPr>
          <w:p w14:paraId="7A4C2DB8" w14:textId="77777777" w:rsidR="00E13D3F" w:rsidRDefault="00FB2D6A">
            <w:pPr>
              <w:pStyle w:val="TableParagraph"/>
              <w:spacing w:before="2"/>
              <w:ind w:left="417"/>
              <w:rPr>
                <w:b/>
                <w:sz w:val="20"/>
              </w:rPr>
            </w:pPr>
            <w:r>
              <w:rPr>
                <w:b/>
                <w:sz w:val="20"/>
              </w:rPr>
              <w:t>75-84</w:t>
            </w:r>
            <w:r>
              <w:rPr>
                <w:b/>
                <w:spacing w:val="-6"/>
                <w:sz w:val="20"/>
              </w:rPr>
              <w:t xml:space="preserve"> </w:t>
            </w:r>
            <w:r>
              <w:rPr>
                <w:b/>
                <w:spacing w:val="-2"/>
                <w:sz w:val="20"/>
              </w:rPr>
              <w:t>years</w:t>
            </w:r>
          </w:p>
        </w:tc>
        <w:tc>
          <w:tcPr>
            <w:tcW w:w="1558" w:type="dxa"/>
            <w:shd w:val="clear" w:color="auto" w:fill="F1F1F1"/>
          </w:tcPr>
          <w:p w14:paraId="7A4C2DB9" w14:textId="77777777" w:rsidR="00E13D3F" w:rsidRDefault="00FB2D6A">
            <w:pPr>
              <w:pStyle w:val="TableParagraph"/>
              <w:spacing w:before="2"/>
              <w:ind w:right="37"/>
              <w:jc w:val="center"/>
              <w:rPr>
                <w:sz w:val="20"/>
              </w:rPr>
            </w:pPr>
            <w:r>
              <w:rPr>
                <w:spacing w:val="-2"/>
                <w:sz w:val="20"/>
              </w:rPr>
              <w:t>15.5%</w:t>
            </w:r>
          </w:p>
        </w:tc>
        <w:tc>
          <w:tcPr>
            <w:tcW w:w="1690" w:type="dxa"/>
            <w:shd w:val="clear" w:color="auto" w:fill="F1F1F1"/>
          </w:tcPr>
          <w:p w14:paraId="7A4C2DBA" w14:textId="77777777" w:rsidR="00E13D3F" w:rsidRDefault="00FB2D6A">
            <w:pPr>
              <w:pStyle w:val="TableParagraph"/>
              <w:spacing w:before="2"/>
              <w:ind w:left="1" w:right="35"/>
              <w:jc w:val="center"/>
              <w:rPr>
                <w:sz w:val="20"/>
              </w:rPr>
            </w:pPr>
            <w:r>
              <w:rPr>
                <w:spacing w:val="-2"/>
                <w:sz w:val="20"/>
              </w:rPr>
              <w:t>17.9%</w:t>
            </w:r>
          </w:p>
        </w:tc>
        <w:tc>
          <w:tcPr>
            <w:tcW w:w="1968" w:type="dxa"/>
            <w:shd w:val="clear" w:color="auto" w:fill="F1F1F1"/>
          </w:tcPr>
          <w:p w14:paraId="7A4C2DBB" w14:textId="77777777" w:rsidR="00E13D3F" w:rsidRDefault="00FB2D6A">
            <w:pPr>
              <w:pStyle w:val="TableParagraph"/>
              <w:spacing w:before="2"/>
              <w:ind w:left="3" w:right="37"/>
              <w:jc w:val="center"/>
              <w:rPr>
                <w:sz w:val="20"/>
              </w:rPr>
            </w:pPr>
            <w:r>
              <w:rPr>
                <w:spacing w:val="-2"/>
                <w:sz w:val="20"/>
              </w:rPr>
              <w:t>13.5%</w:t>
            </w:r>
          </w:p>
          <w:p w14:paraId="7A4C2DBC" w14:textId="77777777" w:rsidR="00E13D3F" w:rsidRDefault="00FB2D6A">
            <w:pPr>
              <w:pStyle w:val="TableParagraph"/>
              <w:ind w:right="37"/>
              <w:jc w:val="center"/>
              <w:rPr>
                <w:sz w:val="20"/>
              </w:rPr>
            </w:pPr>
            <w:r>
              <w:rPr>
                <w:spacing w:val="-2"/>
                <w:sz w:val="20"/>
              </w:rPr>
              <w:t>(4%-</w:t>
            </w:r>
            <w:r>
              <w:rPr>
                <w:spacing w:val="-4"/>
                <w:sz w:val="20"/>
              </w:rPr>
              <w:t>13%)</w:t>
            </w:r>
          </w:p>
        </w:tc>
        <w:tc>
          <w:tcPr>
            <w:tcW w:w="2115" w:type="dxa"/>
            <w:shd w:val="clear" w:color="auto" w:fill="F1F1F1"/>
          </w:tcPr>
          <w:p w14:paraId="7A4C2DBD" w14:textId="77777777" w:rsidR="00E13D3F" w:rsidRDefault="00FB2D6A">
            <w:pPr>
              <w:pStyle w:val="TableParagraph"/>
              <w:spacing w:before="2"/>
              <w:ind w:right="41"/>
              <w:jc w:val="center"/>
              <w:rPr>
                <w:sz w:val="20"/>
              </w:rPr>
            </w:pPr>
            <w:r>
              <w:rPr>
                <w:spacing w:val="-4"/>
                <w:sz w:val="20"/>
              </w:rPr>
              <w:t>2.4%</w:t>
            </w:r>
          </w:p>
          <w:p w14:paraId="7A4C2DBE" w14:textId="77777777" w:rsidR="00E13D3F" w:rsidRDefault="00FB2D6A">
            <w:pPr>
              <w:pStyle w:val="TableParagraph"/>
              <w:ind w:left="2" w:right="41"/>
              <w:jc w:val="center"/>
              <w:rPr>
                <w:sz w:val="20"/>
              </w:rPr>
            </w:pPr>
            <w:r>
              <w:rPr>
                <w:spacing w:val="-2"/>
                <w:sz w:val="20"/>
              </w:rPr>
              <w:t>(1.7%-3.1%)</w:t>
            </w:r>
          </w:p>
        </w:tc>
      </w:tr>
    </w:tbl>
    <w:p w14:paraId="7A4C2DC0" w14:textId="77777777" w:rsidR="00E13D3F" w:rsidRDefault="00FB2D6A">
      <w:pPr>
        <w:spacing w:before="1"/>
        <w:ind w:left="1490"/>
      </w:pPr>
      <w:r>
        <w:t>RRR</w:t>
      </w:r>
      <w:r>
        <w:rPr>
          <w:spacing w:val="-6"/>
        </w:rPr>
        <w:t xml:space="preserve"> </w:t>
      </w:r>
      <w:r>
        <w:t>=</w:t>
      </w:r>
      <w:r>
        <w:rPr>
          <w:spacing w:val="-4"/>
        </w:rPr>
        <w:t xml:space="preserve"> </w:t>
      </w:r>
      <w:r>
        <w:t>Relative</w:t>
      </w:r>
      <w:r>
        <w:rPr>
          <w:spacing w:val="-3"/>
        </w:rPr>
        <w:t xml:space="preserve"> </w:t>
      </w:r>
      <w:r>
        <w:t>Risk</w:t>
      </w:r>
      <w:r>
        <w:rPr>
          <w:spacing w:val="-4"/>
        </w:rPr>
        <w:t xml:space="preserve"> </w:t>
      </w:r>
      <w:r>
        <w:t>Reduction;</w:t>
      </w:r>
      <w:r>
        <w:rPr>
          <w:spacing w:val="-3"/>
        </w:rPr>
        <w:t xml:space="preserve"> </w:t>
      </w:r>
      <w:r>
        <w:t>ARR</w:t>
      </w:r>
      <w:r>
        <w:rPr>
          <w:spacing w:val="-4"/>
        </w:rPr>
        <w:t xml:space="preserve"> </w:t>
      </w:r>
      <w:r>
        <w:t>=</w:t>
      </w:r>
      <w:r>
        <w:rPr>
          <w:spacing w:val="-3"/>
        </w:rPr>
        <w:t xml:space="preserve"> </w:t>
      </w:r>
      <w:r>
        <w:t>Absolute</w:t>
      </w:r>
      <w:r>
        <w:rPr>
          <w:spacing w:val="-4"/>
        </w:rPr>
        <w:t xml:space="preserve"> </w:t>
      </w:r>
      <w:r>
        <w:t>Risk</w:t>
      </w:r>
      <w:r>
        <w:rPr>
          <w:spacing w:val="-5"/>
        </w:rPr>
        <w:t xml:space="preserve"> </w:t>
      </w:r>
      <w:r>
        <w:rPr>
          <w:spacing w:val="-2"/>
        </w:rPr>
        <w:t>Reduction</w:t>
      </w:r>
    </w:p>
    <w:p w14:paraId="7A4C2DC1" w14:textId="77777777" w:rsidR="00E13D3F" w:rsidRDefault="00E13D3F">
      <w:pPr>
        <w:pStyle w:val="BodyText"/>
        <w:spacing w:before="41"/>
        <w:ind w:left="0"/>
        <w:rPr>
          <w:sz w:val="22"/>
        </w:rPr>
      </w:pPr>
    </w:p>
    <w:p w14:paraId="7A4C2DC2" w14:textId="77777777" w:rsidR="00E13D3F" w:rsidRDefault="00FB2D6A">
      <w:pPr>
        <w:pStyle w:val="Heading2"/>
      </w:pPr>
      <w:r>
        <w:rPr>
          <w:color w:val="2E5395"/>
        </w:rPr>
        <w:t>Starting</w:t>
      </w:r>
      <w:r>
        <w:rPr>
          <w:color w:val="2E5395"/>
          <w:spacing w:val="-8"/>
        </w:rPr>
        <w:t xml:space="preserve"> </w:t>
      </w:r>
      <w:r>
        <w:rPr>
          <w:color w:val="2E5395"/>
        </w:rPr>
        <w:t>and</w:t>
      </w:r>
      <w:r>
        <w:rPr>
          <w:color w:val="2E5395"/>
          <w:spacing w:val="-8"/>
        </w:rPr>
        <w:t xml:space="preserve"> </w:t>
      </w:r>
      <w:r>
        <w:rPr>
          <w:color w:val="2E5395"/>
        </w:rPr>
        <w:t>Stopping</w:t>
      </w:r>
      <w:r>
        <w:rPr>
          <w:color w:val="2E5395"/>
          <w:spacing w:val="-8"/>
        </w:rPr>
        <w:t xml:space="preserve"> </w:t>
      </w:r>
      <w:r>
        <w:rPr>
          <w:color w:val="2E5395"/>
          <w:spacing w:val="-4"/>
        </w:rPr>
        <w:t>Ages</w:t>
      </w:r>
    </w:p>
    <w:p w14:paraId="7A4C2DC3" w14:textId="77777777" w:rsidR="00E13D3F" w:rsidRDefault="00FB2D6A">
      <w:pPr>
        <w:pStyle w:val="BodyText"/>
        <w:spacing w:before="26" w:line="276" w:lineRule="auto"/>
        <w:ind w:right="1616"/>
        <w:jc w:val="both"/>
      </w:pPr>
      <w:r>
        <w:t>In the BP</w:t>
      </w:r>
      <w:r>
        <w:rPr>
          <w:spacing w:val="-2"/>
        </w:rPr>
        <w:t xml:space="preserve"> </w:t>
      </w:r>
      <w:r>
        <w:t>Trialists study –</w:t>
      </w:r>
      <w:r>
        <w:rPr>
          <w:spacing w:val="-2"/>
        </w:rPr>
        <w:t xml:space="preserve"> </w:t>
      </w:r>
      <w:r>
        <w:t>data</w:t>
      </w:r>
      <w:r>
        <w:rPr>
          <w:spacing w:val="-1"/>
        </w:rPr>
        <w:t xml:space="preserve"> </w:t>
      </w:r>
      <w:r>
        <w:t>from</w:t>
      </w:r>
      <w:r>
        <w:rPr>
          <w:spacing w:val="-3"/>
        </w:rPr>
        <w:t xml:space="preserve"> </w:t>
      </w:r>
      <w:r>
        <w:t>358</w:t>
      </w:r>
      <w:r>
        <w:rPr>
          <w:spacing w:val="-2"/>
        </w:rPr>
        <w:t xml:space="preserve"> </w:t>
      </w:r>
      <w:r>
        <w:t>707 participants</w:t>
      </w:r>
      <w:r>
        <w:rPr>
          <w:spacing w:val="-3"/>
        </w:rPr>
        <w:t xml:space="preserve"> </w:t>
      </w:r>
      <w:r>
        <w:t>from</w:t>
      </w:r>
      <w:r>
        <w:rPr>
          <w:spacing w:val="-1"/>
        </w:rPr>
        <w:t xml:space="preserve"> </w:t>
      </w:r>
      <w:r>
        <w:t xml:space="preserve">51 </w:t>
      </w:r>
      <w:proofErr w:type="spellStart"/>
      <w:r>
        <w:t>randomised</w:t>
      </w:r>
      <w:proofErr w:type="spellEnd"/>
      <w:r>
        <w:t xml:space="preserve"> clinical</w:t>
      </w:r>
      <w:r>
        <w:rPr>
          <w:spacing w:val="-3"/>
        </w:rPr>
        <w:t xml:space="preserve"> </w:t>
      </w:r>
      <w:r>
        <w:t>trials (4),</w:t>
      </w:r>
      <w:r>
        <w:rPr>
          <w:spacing w:val="-2"/>
        </w:rPr>
        <w:t xml:space="preserve"> </w:t>
      </w:r>
      <w:r>
        <w:t>the</w:t>
      </w:r>
      <w:r>
        <w:rPr>
          <w:spacing w:val="-5"/>
        </w:rPr>
        <w:t xml:space="preserve"> </w:t>
      </w:r>
      <w:r>
        <w:t>age</w:t>
      </w:r>
      <w:r>
        <w:rPr>
          <w:spacing w:val="-4"/>
        </w:rPr>
        <w:t xml:space="preserve"> </w:t>
      </w:r>
      <w:r>
        <w:t>of</w:t>
      </w:r>
      <w:r>
        <w:rPr>
          <w:spacing w:val="-3"/>
        </w:rPr>
        <w:t xml:space="preserve"> </w:t>
      </w:r>
      <w:r>
        <w:t>participants</w:t>
      </w:r>
      <w:r>
        <w:rPr>
          <w:spacing w:val="-3"/>
        </w:rPr>
        <w:t xml:space="preserve"> </w:t>
      </w:r>
      <w:r>
        <w:t>at</w:t>
      </w:r>
      <w:r>
        <w:rPr>
          <w:spacing w:val="-4"/>
        </w:rPr>
        <w:t xml:space="preserve"> </w:t>
      </w:r>
      <w:proofErr w:type="spellStart"/>
      <w:r>
        <w:t>randomisation</w:t>
      </w:r>
      <w:proofErr w:type="spellEnd"/>
      <w:r>
        <w:rPr>
          <w:spacing w:val="-2"/>
        </w:rPr>
        <w:t xml:space="preserve"> </w:t>
      </w:r>
      <w:r>
        <w:t>ranged</w:t>
      </w:r>
      <w:r>
        <w:rPr>
          <w:spacing w:val="-4"/>
        </w:rPr>
        <w:t xml:space="preserve"> </w:t>
      </w:r>
      <w:r>
        <w:t>from</w:t>
      </w:r>
      <w:r>
        <w:rPr>
          <w:spacing w:val="-5"/>
        </w:rPr>
        <w:t xml:space="preserve"> </w:t>
      </w:r>
      <w:r>
        <w:t>21</w:t>
      </w:r>
      <w:r>
        <w:rPr>
          <w:spacing w:val="-2"/>
        </w:rPr>
        <w:t xml:space="preserve"> </w:t>
      </w:r>
      <w:r>
        <w:t>years</w:t>
      </w:r>
      <w:r>
        <w:rPr>
          <w:spacing w:val="-3"/>
        </w:rPr>
        <w:t xml:space="preserve"> </w:t>
      </w:r>
      <w:r>
        <w:t>to</w:t>
      </w:r>
      <w:r>
        <w:rPr>
          <w:spacing w:val="-2"/>
        </w:rPr>
        <w:t xml:space="preserve"> </w:t>
      </w:r>
      <w:r>
        <w:t>105</w:t>
      </w:r>
      <w:r>
        <w:rPr>
          <w:spacing w:val="-4"/>
        </w:rPr>
        <w:t xml:space="preserve"> </w:t>
      </w:r>
      <w:r>
        <w:t>years</w:t>
      </w:r>
      <w:r>
        <w:rPr>
          <w:spacing w:val="-3"/>
        </w:rPr>
        <w:t xml:space="preserve"> </w:t>
      </w:r>
      <w:r>
        <w:t>(median</w:t>
      </w:r>
      <w:r>
        <w:rPr>
          <w:spacing w:val="-2"/>
        </w:rPr>
        <w:t xml:space="preserve"> </w:t>
      </w:r>
      <w:r>
        <w:t>65 years [IQR 59–75]),</w:t>
      </w:r>
      <w:r>
        <w:rPr>
          <w:spacing w:val="-1"/>
        </w:rPr>
        <w:t xml:space="preserve"> </w:t>
      </w:r>
      <w:r>
        <w:t>with 12.0% participants younger than 55 years, 36% aged 55–64 years,</w:t>
      </w:r>
    </w:p>
    <w:p w14:paraId="7A4C2DC4" w14:textId="77777777" w:rsidR="00E13D3F" w:rsidRDefault="00FB2D6A">
      <w:pPr>
        <w:pStyle w:val="BodyText"/>
        <w:spacing w:line="276" w:lineRule="auto"/>
        <w:ind w:right="1450"/>
      </w:pPr>
      <w:r>
        <w:t>36%</w:t>
      </w:r>
      <w:r>
        <w:rPr>
          <w:spacing w:val="-3"/>
        </w:rPr>
        <w:t xml:space="preserve"> </w:t>
      </w:r>
      <w:r>
        <w:t>65–74</w:t>
      </w:r>
      <w:r>
        <w:rPr>
          <w:spacing w:val="-1"/>
        </w:rPr>
        <w:t xml:space="preserve"> </w:t>
      </w:r>
      <w:r>
        <w:t>years,</w:t>
      </w:r>
      <w:r>
        <w:rPr>
          <w:spacing w:val="-2"/>
        </w:rPr>
        <w:t xml:space="preserve"> </w:t>
      </w:r>
      <w:r>
        <w:t>15%</w:t>
      </w:r>
      <w:r>
        <w:rPr>
          <w:spacing w:val="-2"/>
        </w:rPr>
        <w:t xml:space="preserve"> </w:t>
      </w:r>
      <w:r>
        <w:t>75–84</w:t>
      </w:r>
      <w:r>
        <w:rPr>
          <w:spacing w:val="-3"/>
        </w:rPr>
        <w:t xml:space="preserve"> </w:t>
      </w:r>
      <w:r>
        <w:t>years,</w:t>
      </w:r>
      <w:r>
        <w:rPr>
          <w:spacing w:val="-2"/>
        </w:rPr>
        <w:t xml:space="preserve"> </w:t>
      </w:r>
      <w:r>
        <w:t>and</w:t>
      </w:r>
      <w:r>
        <w:rPr>
          <w:spacing w:val="-3"/>
        </w:rPr>
        <w:t xml:space="preserve"> </w:t>
      </w:r>
      <w:r>
        <w:t>1%</w:t>
      </w:r>
      <w:r>
        <w:rPr>
          <w:spacing w:val="-2"/>
        </w:rPr>
        <w:t xml:space="preserve"> </w:t>
      </w:r>
      <w:r>
        <w:t>85</w:t>
      </w:r>
      <w:r>
        <w:rPr>
          <w:spacing w:val="-3"/>
        </w:rPr>
        <w:t xml:space="preserve"> </w:t>
      </w:r>
      <w:r>
        <w:t>years and</w:t>
      </w:r>
      <w:r>
        <w:rPr>
          <w:spacing w:val="-1"/>
        </w:rPr>
        <w:t xml:space="preserve"> </w:t>
      </w:r>
      <w:r>
        <w:t>older.</w:t>
      </w:r>
      <w:r>
        <w:rPr>
          <w:spacing w:val="-5"/>
        </w:rPr>
        <w:t xml:space="preserve"> </w:t>
      </w:r>
      <w:r>
        <w:t>The</w:t>
      </w:r>
      <w:r>
        <w:rPr>
          <w:spacing w:val="-4"/>
        </w:rPr>
        <w:t xml:space="preserve"> </w:t>
      </w:r>
      <w:r>
        <w:t>hazard</w:t>
      </w:r>
      <w:r>
        <w:rPr>
          <w:spacing w:val="-1"/>
        </w:rPr>
        <w:t xml:space="preserve"> </w:t>
      </w:r>
      <w:r>
        <w:t>ratios</w:t>
      </w:r>
      <w:r>
        <w:rPr>
          <w:spacing w:val="-3"/>
        </w:rPr>
        <w:t xml:space="preserve"> </w:t>
      </w:r>
      <w:r>
        <w:t>for</w:t>
      </w:r>
      <w:r>
        <w:rPr>
          <w:spacing w:val="-3"/>
        </w:rPr>
        <w:t xml:space="preserve"> </w:t>
      </w:r>
      <w:r>
        <w:t>the</w:t>
      </w:r>
      <w:r>
        <w:rPr>
          <w:spacing w:val="-1"/>
        </w:rPr>
        <w:t xml:space="preserve"> </w:t>
      </w:r>
      <w:r>
        <w:t>risk of major cardiovascular events per 5 mm Hg reduction in systolic blood pressure for each age group are shown in the Table 2.1 above, and as a forest plot below (Figure 2.1).</w:t>
      </w:r>
    </w:p>
    <w:p w14:paraId="7A4C2DC5" w14:textId="77777777" w:rsidR="00E13D3F" w:rsidRDefault="00FB2D6A">
      <w:pPr>
        <w:pStyle w:val="BodyText"/>
        <w:spacing w:before="98"/>
        <w:ind w:left="0"/>
        <w:rPr>
          <w:sz w:val="20"/>
        </w:rPr>
      </w:pPr>
      <w:r>
        <w:rPr>
          <w:noProof/>
          <w:sz w:val="20"/>
        </w:rPr>
        <w:drawing>
          <wp:anchor distT="0" distB="0" distL="0" distR="0" simplePos="0" relativeHeight="251658241" behindDoc="1" locked="0" layoutInCell="1" allowOverlap="1" wp14:anchorId="7A4C3C3E" wp14:editId="7A4C3C3F">
            <wp:simplePos x="0" y="0"/>
            <wp:positionH relativeFrom="page">
              <wp:posOffset>914400</wp:posOffset>
            </wp:positionH>
            <wp:positionV relativeFrom="paragraph">
              <wp:posOffset>232551</wp:posOffset>
            </wp:positionV>
            <wp:extent cx="5718545" cy="1481137"/>
            <wp:effectExtent l="0" t="0" r="0" b="0"/>
            <wp:wrapTopAndBottom/>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20" cstate="print"/>
                    <a:stretch>
                      <a:fillRect/>
                    </a:stretch>
                  </pic:blipFill>
                  <pic:spPr>
                    <a:xfrm>
                      <a:off x="0" y="0"/>
                      <a:ext cx="5718545" cy="1481137"/>
                    </a:xfrm>
                    <a:prstGeom prst="rect">
                      <a:avLst/>
                    </a:prstGeom>
                  </pic:spPr>
                </pic:pic>
              </a:graphicData>
            </a:graphic>
          </wp:anchor>
        </w:drawing>
      </w:r>
    </w:p>
    <w:p w14:paraId="7A4C2DC6" w14:textId="77777777" w:rsidR="00E13D3F" w:rsidRDefault="00FB2D6A">
      <w:pPr>
        <w:spacing w:before="34"/>
        <w:ind w:left="1603" w:right="1602" w:firstLine="1"/>
        <w:jc w:val="center"/>
        <w:rPr>
          <w:sz w:val="24"/>
        </w:rPr>
      </w:pPr>
      <w:r>
        <w:rPr>
          <w:b/>
        </w:rPr>
        <w:t xml:space="preserve">Figure 2.1. </w:t>
      </w:r>
      <w:r>
        <w:t>Forest plot of hazard ratios for the risk of major cardiovascular events per 5mm Hg reduction</w:t>
      </w:r>
      <w:r>
        <w:rPr>
          <w:spacing w:val="-3"/>
        </w:rPr>
        <w:t xml:space="preserve"> </w:t>
      </w:r>
      <w:r>
        <w:t>in</w:t>
      </w:r>
      <w:r>
        <w:rPr>
          <w:spacing w:val="-2"/>
        </w:rPr>
        <w:t xml:space="preserve"> </w:t>
      </w:r>
      <w:r>
        <w:t>blood</w:t>
      </w:r>
      <w:r>
        <w:rPr>
          <w:spacing w:val="-3"/>
        </w:rPr>
        <w:t xml:space="preserve"> </w:t>
      </w:r>
      <w:r>
        <w:t>pressure</w:t>
      </w:r>
      <w:r>
        <w:rPr>
          <w:spacing w:val="-2"/>
        </w:rPr>
        <w:t xml:space="preserve"> </w:t>
      </w:r>
      <w:r>
        <w:t>for</w:t>
      </w:r>
      <w:r>
        <w:rPr>
          <w:spacing w:val="-5"/>
        </w:rPr>
        <w:t xml:space="preserve"> </w:t>
      </w:r>
      <w:r>
        <w:t>different</w:t>
      </w:r>
      <w:r>
        <w:rPr>
          <w:spacing w:val="-5"/>
        </w:rPr>
        <w:t xml:space="preserve"> </w:t>
      </w:r>
      <w:r>
        <w:t>age</w:t>
      </w:r>
      <w:r>
        <w:rPr>
          <w:spacing w:val="-2"/>
        </w:rPr>
        <w:t xml:space="preserve"> </w:t>
      </w:r>
      <w:r>
        <w:t>groups</w:t>
      </w:r>
      <w:r>
        <w:rPr>
          <w:spacing w:val="-1"/>
        </w:rPr>
        <w:t xml:space="preserve"> </w:t>
      </w:r>
      <w:r>
        <w:rPr>
          <w:sz w:val="24"/>
        </w:rPr>
        <w:t>(adjusted</w:t>
      </w:r>
      <w:r>
        <w:rPr>
          <w:spacing w:val="-4"/>
          <w:sz w:val="24"/>
        </w:rPr>
        <w:t xml:space="preserve"> </w:t>
      </w:r>
      <w:r>
        <w:rPr>
          <w:sz w:val="24"/>
        </w:rPr>
        <w:t>p</w:t>
      </w:r>
      <w:r>
        <w:rPr>
          <w:spacing w:val="-4"/>
          <w:sz w:val="24"/>
        </w:rPr>
        <w:t xml:space="preserve"> </w:t>
      </w:r>
      <w:r>
        <w:rPr>
          <w:sz w:val="24"/>
        </w:rPr>
        <w:t>for</w:t>
      </w:r>
      <w:r>
        <w:rPr>
          <w:spacing w:val="-4"/>
          <w:sz w:val="24"/>
        </w:rPr>
        <w:t xml:space="preserve"> </w:t>
      </w:r>
      <w:r>
        <w:rPr>
          <w:sz w:val="24"/>
        </w:rPr>
        <w:t>interaction=0·050)</w:t>
      </w:r>
      <w:r>
        <w:rPr>
          <w:spacing w:val="-3"/>
          <w:sz w:val="24"/>
        </w:rPr>
        <w:t xml:space="preserve"> </w:t>
      </w:r>
      <w:r>
        <w:rPr>
          <w:sz w:val="24"/>
        </w:rPr>
        <w:t>similar effects at different ages (but fewer folk in the &lt; 55 age band as HT less common).</w:t>
      </w:r>
    </w:p>
    <w:p w14:paraId="7A4C2DC7" w14:textId="77777777" w:rsidR="00E13D3F" w:rsidRDefault="00E13D3F">
      <w:pPr>
        <w:pStyle w:val="BodyText"/>
        <w:spacing w:before="68"/>
        <w:ind w:left="0"/>
        <w:rPr>
          <w:sz w:val="22"/>
        </w:rPr>
      </w:pPr>
    </w:p>
    <w:p w14:paraId="7A4C2DC8" w14:textId="77777777" w:rsidR="00E13D3F" w:rsidRDefault="00FB2D6A">
      <w:pPr>
        <w:pStyle w:val="BodyText"/>
        <w:spacing w:line="276" w:lineRule="auto"/>
        <w:ind w:right="1519"/>
      </w:pPr>
      <w:r>
        <w:t>The</w:t>
      </w:r>
      <w:r>
        <w:rPr>
          <w:spacing w:val="-2"/>
        </w:rPr>
        <w:t xml:space="preserve"> </w:t>
      </w:r>
      <w:r>
        <w:t>risks</w:t>
      </w:r>
      <w:r>
        <w:rPr>
          <w:spacing w:val="-3"/>
        </w:rPr>
        <w:t xml:space="preserve"> </w:t>
      </w:r>
      <w:r>
        <w:t>of</w:t>
      </w:r>
      <w:r>
        <w:rPr>
          <w:spacing w:val="-3"/>
        </w:rPr>
        <w:t xml:space="preserve"> </w:t>
      </w:r>
      <w:r>
        <w:t>hypertension</w:t>
      </w:r>
      <w:r>
        <w:rPr>
          <w:spacing w:val="-4"/>
        </w:rPr>
        <w:t xml:space="preserve"> </w:t>
      </w:r>
      <w:r>
        <w:t>increase</w:t>
      </w:r>
      <w:r>
        <w:rPr>
          <w:spacing w:val="-5"/>
        </w:rPr>
        <w:t xml:space="preserve"> </w:t>
      </w:r>
      <w:r>
        <w:t>steadily</w:t>
      </w:r>
      <w:r>
        <w:rPr>
          <w:spacing w:val="-3"/>
        </w:rPr>
        <w:t xml:space="preserve"> </w:t>
      </w:r>
      <w:r>
        <w:t>in</w:t>
      </w:r>
      <w:r>
        <w:rPr>
          <w:spacing w:val="-2"/>
        </w:rPr>
        <w:t xml:space="preserve"> </w:t>
      </w:r>
      <w:r>
        <w:t>adulthood,</w:t>
      </w:r>
      <w:r>
        <w:rPr>
          <w:spacing w:val="-3"/>
        </w:rPr>
        <w:t xml:space="preserve"> </w:t>
      </w:r>
      <w:r>
        <w:t>so</w:t>
      </w:r>
      <w:r>
        <w:rPr>
          <w:spacing w:val="-2"/>
        </w:rPr>
        <w:t xml:space="preserve"> </w:t>
      </w:r>
      <w:r>
        <w:t>the</w:t>
      </w:r>
      <w:r>
        <w:rPr>
          <w:spacing w:val="-5"/>
        </w:rPr>
        <w:t xml:space="preserve"> </w:t>
      </w:r>
      <w:r>
        <w:t>numbers</w:t>
      </w:r>
      <w:r>
        <w:rPr>
          <w:spacing w:val="-5"/>
        </w:rPr>
        <w:t xml:space="preserve"> </w:t>
      </w:r>
      <w:r>
        <w:t>detected</w:t>
      </w:r>
      <w:r>
        <w:rPr>
          <w:spacing w:val="-2"/>
        </w:rPr>
        <w:t xml:space="preserve"> </w:t>
      </w:r>
      <w:r>
        <w:t>increase with increase starting age. The trials mentioned above include some patients down to the age of 21, but most evidence is for the over 55 years of age. The RACGP and other key bodies recommend blood pressure measurement from the young adulthood.</w:t>
      </w:r>
    </w:p>
    <w:p w14:paraId="7A4C2DC9" w14:textId="77777777" w:rsidR="00E13D3F" w:rsidRDefault="00E13D3F">
      <w:pPr>
        <w:pStyle w:val="BodyText"/>
        <w:spacing w:before="85"/>
        <w:ind w:left="0"/>
      </w:pPr>
    </w:p>
    <w:p w14:paraId="7A4C2DCA" w14:textId="77777777" w:rsidR="00E13D3F" w:rsidRDefault="00FB2D6A">
      <w:pPr>
        <w:pStyle w:val="Heading2"/>
        <w:spacing w:before="1"/>
      </w:pPr>
      <w:r>
        <w:rPr>
          <w:color w:val="2E5395"/>
        </w:rPr>
        <w:t>Interval</w:t>
      </w:r>
      <w:r>
        <w:rPr>
          <w:color w:val="2E5395"/>
          <w:spacing w:val="-6"/>
        </w:rPr>
        <w:t xml:space="preserve"> </w:t>
      </w:r>
      <w:r>
        <w:rPr>
          <w:color w:val="2E5395"/>
        </w:rPr>
        <w:t>for</w:t>
      </w:r>
      <w:r>
        <w:rPr>
          <w:color w:val="2E5395"/>
          <w:spacing w:val="-8"/>
        </w:rPr>
        <w:t xml:space="preserve"> </w:t>
      </w:r>
      <w:r>
        <w:rPr>
          <w:color w:val="2E5395"/>
          <w:spacing w:val="-2"/>
        </w:rPr>
        <w:t>Assessment</w:t>
      </w:r>
    </w:p>
    <w:p w14:paraId="7A4C2DCB" w14:textId="77777777" w:rsidR="00E13D3F" w:rsidRDefault="00FB2D6A">
      <w:pPr>
        <w:pStyle w:val="BodyText"/>
        <w:spacing w:before="25" w:line="276" w:lineRule="auto"/>
        <w:ind w:right="1519"/>
      </w:pPr>
      <w:r>
        <w:t>The current RACGP guidelines suggest re-measurement of blood pressure every 2 years. Few</w:t>
      </w:r>
      <w:r>
        <w:rPr>
          <w:spacing w:val="-2"/>
        </w:rPr>
        <w:t xml:space="preserve"> </w:t>
      </w:r>
      <w:r>
        <w:t>studies</w:t>
      </w:r>
      <w:r>
        <w:rPr>
          <w:spacing w:val="-5"/>
        </w:rPr>
        <w:t xml:space="preserve"> </w:t>
      </w:r>
      <w:r>
        <w:t>have</w:t>
      </w:r>
      <w:r>
        <w:rPr>
          <w:spacing w:val="-5"/>
        </w:rPr>
        <w:t xml:space="preserve"> </w:t>
      </w:r>
      <w:r>
        <w:t>directly</w:t>
      </w:r>
      <w:r>
        <w:rPr>
          <w:spacing w:val="-3"/>
        </w:rPr>
        <w:t xml:space="preserve"> </w:t>
      </w:r>
      <w:r>
        <w:t>addressed</w:t>
      </w:r>
      <w:r>
        <w:rPr>
          <w:spacing w:val="-4"/>
        </w:rPr>
        <w:t xml:space="preserve"> </w:t>
      </w:r>
      <w:r>
        <w:t>the</w:t>
      </w:r>
      <w:r>
        <w:rPr>
          <w:spacing w:val="-2"/>
        </w:rPr>
        <w:t xml:space="preserve"> </w:t>
      </w:r>
      <w:r>
        <w:t>question</w:t>
      </w:r>
      <w:r>
        <w:rPr>
          <w:spacing w:val="-4"/>
        </w:rPr>
        <w:t xml:space="preserve"> </w:t>
      </w:r>
      <w:r>
        <w:t>of</w:t>
      </w:r>
      <w:r>
        <w:rPr>
          <w:spacing w:val="-4"/>
        </w:rPr>
        <w:t xml:space="preserve"> </w:t>
      </w:r>
      <w:r>
        <w:t>appropriate</w:t>
      </w:r>
      <w:r>
        <w:rPr>
          <w:spacing w:val="-5"/>
        </w:rPr>
        <w:t xml:space="preserve"> </w:t>
      </w:r>
      <w:r>
        <w:t>interval.</w:t>
      </w:r>
      <w:r>
        <w:rPr>
          <w:spacing w:val="-6"/>
        </w:rPr>
        <w:t xml:space="preserve"> </w:t>
      </w:r>
      <w:r>
        <w:t>Examination</w:t>
      </w:r>
      <w:r>
        <w:rPr>
          <w:spacing w:val="-4"/>
        </w:rPr>
        <w:t xml:space="preserve"> </w:t>
      </w:r>
      <w:r>
        <w:t>of</w:t>
      </w:r>
    </w:p>
    <w:p w14:paraId="7A4C2DCC" w14:textId="77777777" w:rsidR="00E13D3F" w:rsidRDefault="00E13D3F">
      <w:pPr>
        <w:pStyle w:val="BodyText"/>
        <w:spacing w:line="276" w:lineRule="auto"/>
        <w:sectPr w:rsidR="00E13D3F">
          <w:pgSz w:w="11910" w:h="16840"/>
          <w:pgMar w:top="1380" w:right="0" w:bottom="1200" w:left="0" w:header="0" w:footer="1000" w:gutter="0"/>
          <w:cols w:space="720"/>
        </w:sectPr>
      </w:pPr>
    </w:p>
    <w:p w14:paraId="7A4C2DCD" w14:textId="77777777" w:rsidR="00E13D3F" w:rsidRDefault="00FB2D6A">
      <w:pPr>
        <w:pStyle w:val="BodyText"/>
        <w:spacing w:before="41" w:line="276" w:lineRule="auto"/>
        <w:ind w:right="1137"/>
      </w:pPr>
      <w:r>
        <w:lastRenderedPageBreak/>
        <w:t>the</w:t>
      </w:r>
      <w:r>
        <w:rPr>
          <w:spacing w:val="-4"/>
        </w:rPr>
        <w:t xml:space="preserve"> </w:t>
      </w:r>
      <w:r>
        <w:t>changes</w:t>
      </w:r>
      <w:r>
        <w:rPr>
          <w:spacing w:val="-4"/>
        </w:rPr>
        <w:t xml:space="preserve"> </w:t>
      </w:r>
      <w:r>
        <w:t>in</w:t>
      </w:r>
      <w:r>
        <w:rPr>
          <w:spacing w:val="-3"/>
        </w:rPr>
        <w:t xml:space="preserve"> </w:t>
      </w:r>
      <w:r>
        <w:t>blood</w:t>
      </w:r>
      <w:r>
        <w:rPr>
          <w:spacing w:val="-3"/>
        </w:rPr>
        <w:t xml:space="preserve"> </w:t>
      </w:r>
      <w:r>
        <w:t>pressure</w:t>
      </w:r>
      <w:r>
        <w:rPr>
          <w:spacing w:val="-1"/>
        </w:rPr>
        <w:t xml:space="preserve"> </w:t>
      </w:r>
      <w:r>
        <w:t>over</w:t>
      </w:r>
      <w:r>
        <w:rPr>
          <w:spacing w:val="-4"/>
        </w:rPr>
        <w:t xml:space="preserve"> </w:t>
      </w:r>
      <w:r>
        <w:t>time</w:t>
      </w:r>
      <w:r>
        <w:rPr>
          <w:spacing w:val="-1"/>
        </w:rPr>
        <w:t xml:space="preserve"> </w:t>
      </w:r>
      <w:r>
        <w:t>in</w:t>
      </w:r>
      <w:r>
        <w:rPr>
          <w:spacing w:val="-1"/>
        </w:rPr>
        <w:t xml:space="preserve"> </w:t>
      </w:r>
      <w:r>
        <w:t>a</w:t>
      </w:r>
      <w:r>
        <w:rPr>
          <w:spacing w:val="-4"/>
        </w:rPr>
        <w:t xml:space="preserve"> </w:t>
      </w:r>
      <w:r>
        <w:t>large</w:t>
      </w:r>
      <w:r>
        <w:rPr>
          <w:spacing w:val="-3"/>
        </w:rPr>
        <w:t xml:space="preserve"> </w:t>
      </w:r>
      <w:r>
        <w:t>Japanese</w:t>
      </w:r>
      <w:r>
        <w:rPr>
          <w:spacing w:val="-1"/>
        </w:rPr>
        <w:t xml:space="preserve"> </w:t>
      </w:r>
      <w:r>
        <w:t>cohort (5)</w:t>
      </w:r>
      <w:r>
        <w:rPr>
          <w:spacing w:val="-2"/>
        </w:rPr>
        <w:t xml:space="preserve"> </w:t>
      </w:r>
      <w:r>
        <w:t>suggested</w:t>
      </w:r>
      <w:r>
        <w:rPr>
          <w:spacing w:val="-3"/>
        </w:rPr>
        <w:t xml:space="preserve"> </w:t>
      </w:r>
      <w:r>
        <w:t>that</w:t>
      </w:r>
      <w:r>
        <w:rPr>
          <w:spacing w:val="-3"/>
        </w:rPr>
        <w:t xml:space="preserve"> </w:t>
      </w:r>
      <w:r>
        <w:t>the optimal interval should be:</w:t>
      </w:r>
    </w:p>
    <w:p w14:paraId="7A4C2DCE" w14:textId="77777777" w:rsidR="00E13D3F" w:rsidRDefault="00FB2D6A" w:rsidP="00990D2B">
      <w:pPr>
        <w:pStyle w:val="ListParagraph"/>
        <w:numPr>
          <w:ilvl w:val="0"/>
          <w:numId w:val="50"/>
        </w:numPr>
        <w:tabs>
          <w:tab w:val="left" w:pos="1751"/>
        </w:tabs>
        <w:spacing w:before="1"/>
        <w:ind w:left="1751" w:hanging="311"/>
        <w:rPr>
          <w:sz w:val="24"/>
        </w:rPr>
      </w:pPr>
      <w:r>
        <w:rPr>
          <w:sz w:val="24"/>
        </w:rPr>
        <w:t>3</w:t>
      </w:r>
      <w:r>
        <w:rPr>
          <w:spacing w:val="-1"/>
          <w:sz w:val="24"/>
        </w:rPr>
        <w:t xml:space="preserve"> </w:t>
      </w:r>
      <w:r>
        <w:rPr>
          <w:sz w:val="24"/>
        </w:rPr>
        <w:t>years</w:t>
      </w:r>
      <w:r>
        <w:rPr>
          <w:spacing w:val="-2"/>
          <w:sz w:val="24"/>
        </w:rPr>
        <w:t xml:space="preserve"> </w:t>
      </w:r>
      <w:r>
        <w:rPr>
          <w:sz w:val="24"/>
        </w:rPr>
        <w:t>or</w:t>
      </w:r>
      <w:r>
        <w:rPr>
          <w:spacing w:val="-3"/>
          <w:sz w:val="24"/>
        </w:rPr>
        <w:t xml:space="preserve"> </w:t>
      </w:r>
      <w:r>
        <w:rPr>
          <w:sz w:val="24"/>
        </w:rPr>
        <w:t>more</w:t>
      </w:r>
      <w:r>
        <w:rPr>
          <w:spacing w:val="-1"/>
          <w:sz w:val="24"/>
        </w:rPr>
        <w:t xml:space="preserve"> </w:t>
      </w:r>
      <w:r>
        <w:rPr>
          <w:sz w:val="24"/>
        </w:rPr>
        <w:t>for</w:t>
      </w:r>
      <w:r>
        <w:rPr>
          <w:spacing w:val="-3"/>
          <w:sz w:val="24"/>
        </w:rPr>
        <w:t xml:space="preserve"> </w:t>
      </w:r>
      <w:r>
        <w:rPr>
          <w:sz w:val="24"/>
        </w:rPr>
        <w:t>those with</w:t>
      </w:r>
      <w:r>
        <w:rPr>
          <w:spacing w:val="-3"/>
          <w:sz w:val="24"/>
        </w:rPr>
        <w:t xml:space="preserve"> </w:t>
      </w:r>
      <w:r>
        <w:rPr>
          <w:sz w:val="24"/>
        </w:rPr>
        <w:t>SBP&lt;130</w:t>
      </w:r>
      <w:r>
        <w:rPr>
          <w:spacing w:val="-1"/>
          <w:sz w:val="24"/>
        </w:rPr>
        <w:t xml:space="preserve"> </w:t>
      </w:r>
      <w:r>
        <w:rPr>
          <w:sz w:val="24"/>
        </w:rPr>
        <w:t>mm</w:t>
      </w:r>
      <w:r>
        <w:rPr>
          <w:spacing w:val="-4"/>
          <w:sz w:val="24"/>
        </w:rPr>
        <w:t xml:space="preserve"> </w:t>
      </w:r>
      <w:r>
        <w:rPr>
          <w:sz w:val="24"/>
        </w:rPr>
        <w:t>Hg</w:t>
      </w:r>
      <w:r>
        <w:rPr>
          <w:spacing w:val="-1"/>
          <w:sz w:val="24"/>
        </w:rPr>
        <w:t xml:space="preserve"> </w:t>
      </w:r>
      <w:r>
        <w:rPr>
          <w:spacing w:val="-5"/>
          <w:sz w:val="24"/>
        </w:rPr>
        <w:t>and</w:t>
      </w:r>
    </w:p>
    <w:p w14:paraId="7A4C2DCF" w14:textId="77777777" w:rsidR="00E13D3F" w:rsidRDefault="00FB2D6A" w:rsidP="00990D2B">
      <w:pPr>
        <w:pStyle w:val="ListParagraph"/>
        <w:numPr>
          <w:ilvl w:val="0"/>
          <w:numId w:val="50"/>
        </w:numPr>
        <w:tabs>
          <w:tab w:val="left" w:pos="1763"/>
        </w:tabs>
        <w:spacing w:before="43"/>
        <w:ind w:left="1763" w:hanging="323"/>
        <w:rPr>
          <w:sz w:val="24"/>
        </w:rPr>
      </w:pPr>
      <w:r>
        <w:rPr>
          <w:sz w:val="24"/>
        </w:rPr>
        <w:t>2</w:t>
      </w:r>
      <w:r>
        <w:rPr>
          <w:spacing w:val="-2"/>
          <w:sz w:val="24"/>
        </w:rPr>
        <w:t xml:space="preserve"> </w:t>
      </w:r>
      <w:r>
        <w:rPr>
          <w:sz w:val="24"/>
        </w:rPr>
        <w:t>years</w:t>
      </w:r>
      <w:r>
        <w:rPr>
          <w:spacing w:val="-3"/>
          <w:sz w:val="24"/>
        </w:rPr>
        <w:t xml:space="preserve"> </w:t>
      </w:r>
      <w:r>
        <w:rPr>
          <w:sz w:val="24"/>
        </w:rPr>
        <w:t>for</w:t>
      </w:r>
      <w:r>
        <w:rPr>
          <w:spacing w:val="-2"/>
          <w:sz w:val="24"/>
        </w:rPr>
        <w:t xml:space="preserve"> </w:t>
      </w:r>
      <w:r>
        <w:rPr>
          <w:sz w:val="24"/>
        </w:rPr>
        <w:t>those</w:t>
      </w:r>
      <w:r>
        <w:rPr>
          <w:spacing w:val="-2"/>
          <w:sz w:val="24"/>
        </w:rPr>
        <w:t xml:space="preserve"> </w:t>
      </w:r>
      <w:r>
        <w:rPr>
          <w:sz w:val="24"/>
        </w:rPr>
        <w:t>with</w:t>
      </w:r>
      <w:r>
        <w:rPr>
          <w:spacing w:val="-1"/>
          <w:sz w:val="24"/>
        </w:rPr>
        <w:t xml:space="preserve"> </w:t>
      </w:r>
      <w:r>
        <w:rPr>
          <w:sz w:val="24"/>
        </w:rPr>
        <w:t>SBP ≥</w:t>
      </w:r>
      <w:r>
        <w:rPr>
          <w:spacing w:val="-2"/>
          <w:sz w:val="24"/>
        </w:rPr>
        <w:t xml:space="preserve"> </w:t>
      </w:r>
      <w:r>
        <w:rPr>
          <w:sz w:val="24"/>
        </w:rPr>
        <w:t>130</w:t>
      </w:r>
      <w:r>
        <w:rPr>
          <w:spacing w:val="-2"/>
          <w:sz w:val="24"/>
        </w:rPr>
        <w:t xml:space="preserve"> </w:t>
      </w:r>
      <w:r>
        <w:rPr>
          <w:sz w:val="24"/>
        </w:rPr>
        <w:t>mm</w:t>
      </w:r>
      <w:r>
        <w:rPr>
          <w:spacing w:val="1"/>
          <w:sz w:val="24"/>
        </w:rPr>
        <w:t xml:space="preserve"> </w:t>
      </w:r>
      <w:r>
        <w:rPr>
          <w:spacing w:val="-5"/>
          <w:sz w:val="24"/>
        </w:rPr>
        <w:t>Hg.</w:t>
      </w:r>
    </w:p>
    <w:p w14:paraId="7A4C2DD0" w14:textId="77777777" w:rsidR="00E13D3F" w:rsidRDefault="00FB2D6A">
      <w:pPr>
        <w:pStyle w:val="BodyText"/>
        <w:spacing w:before="45" w:line="276" w:lineRule="auto"/>
        <w:ind w:right="1519"/>
      </w:pPr>
      <w:r>
        <w:t>For</w:t>
      </w:r>
      <w:r>
        <w:rPr>
          <w:spacing w:val="-1"/>
        </w:rPr>
        <w:t xml:space="preserve"> </w:t>
      </w:r>
      <w:r>
        <w:t>simplicity,</w:t>
      </w:r>
      <w:r>
        <w:rPr>
          <w:spacing w:val="-2"/>
        </w:rPr>
        <w:t xml:space="preserve"> </w:t>
      </w:r>
      <w:r>
        <w:t>using</w:t>
      </w:r>
      <w:r>
        <w:rPr>
          <w:spacing w:val="-4"/>
        </w:rPr>
        <w:t xml:space="preserve"> </w:t>
      </w:r>
      <w:r>
        <w:t>the</w:t>
      </w:r>
      <w:r>
        <w:rPr>
          <w:spacing w:val="-6"/>
        </w:rPr>
        <w:t xml:space="preserve"> </w:t>
      </w:r>
      <w:r>
        <w:t>2-year</w:t>
      </w:r>
      <w:r>
        <w:rPr>
          <w:spacing w:val="-4"/>
        </w:rPr>
        <w:t xml:space="preserve"> </w:t>
      </w:r>
      <w:r>
        <w:t>option</w:t>
      </w:r>
      <w:r>
        <w:rPr>
          <w:spacing w:val="-3"/>
        </w:rPr>
        <w:t xml:space="preserve"> </w:t>
      </w:r>
      <w:r>
        <w:t>seems</w:t>
      </w:r>
      <w:r>
        <w:rPr>
          <w:spacing w:val="-4"/>
        </w:rPr>
        <w:t xml:space="preserve"> </w:t>
      </w:r>
      <w:r>
        <w:t>appropriate,</w:t>
      </w:r>
      <w:r>
        <w:rPr>
          <w:spacing w:val="-3"/>
        </w:rPr>
        <w:t xml:space="preserve"> </w:t>
      </w:r>
      <w:r>
        <w:t>which</w:t>
      </w:r>
      <w:r>
        <w:rPr>
          <w:spacing w:val="-3"/>
        </w:rPr>
        <w:t xml:space="preserve"> </w:t>
      </w:r>
      <w:r>
        <w:t>is</w:t>
      </w:r>
      <w:r>
        <w:rPr>
          <w:spacing w:val="-2"/>
        </w:rPr>
        <w:t xml:space="preserve"> </w:t>
      </w:r>
      <w:r>
        <w:t>similar</w:t>
      </w:r>
      <w:r>
        <w:rPr>
          <w:spacing w:val="-4"/>
        </w:rPr>
        <w:t xml:space="preserve"> </w:t>
      </w:r>
      <w:r>
        <w:t>to</w:t>
      </w:r>
      <w:r>
        <w:rPr>
          <w:spacing w:val="-3"/>
        </w:rPr>
        <w:t xml:space="preserve"> </w:t>
      </w:r>
      <w:r>
        <w:t>that</w:t>
      </w:r>
      <w:r>
        <w:rPr>
          <w:spacing w:val="-3"/>
        </w:rPr>
        <w:t xml:space="preserve"> </w:t>
      </w:r>
      <w:r>
        <w:t>for patients with stable treated hypertension (6).</w:t>
      </w:r>
    </w:p>
    <w:p w14:paraId="7A4C2DD1" w14:textId="77777777" w:rsidR="00E13D3F" w:rsidRDefault="00FB2D6A">
      <w:pPr>
        <w:pStyle w:val="Heading2"/>
        <w:spacing w:before="39"/>
      </w:pPr>
      <w:r>
        <w:rPr>
          <w:color w:val="2E5395"/>
          <w:spacing w:val="-2"/>
        </w:rPr>
        <w:t>Subpopulations</w:t>
      </w:r>
    </w:p>
    <w:p w14:paraId="7A4C2DD2" w14:textId="77777777" w:rsidR="00E13D3F" w:rsidRDefault="00FB2D6A">
      <w:pPr>
        <w:pStyle w:val="BodyText"/>
        <w:spacing w:before="26" w:line="276" w:lineRule="auto"/>
        <w:ind w:right="1519"/>
      </w:pPr>
      <w:r>
        <w:t>The BP Trialists individual patient meta-analysis has analysed population subgroups on a variety</w:t>
      </w:r>
      <w:r>
        <w:rPr>
          <w:spacing w:val="-4"/>
        </w:rPr>
        <w:t xml:space="preserve"> </w:t>
      </w:r>
      <w:r>
        <w:t>of</w:t>
      </w:r>
      <w:r>
        <w:rPr>
          <w:spacing w:val="-5"/>
        </w:rPr>
        <w:t xml:space="preserve"> </w:t>
      </w:r>
      <w:r>
        <w:t>factors</w:t>
      </w:r>
      <w:r>
        <w:rPr>
          <w:spacing w:val="-5"/>
        </w:rPr>
        <w:t xml:space="preserve"> </w:t>
      </w:r>
      <w:r>
        <w:t>–</w:t>
      </w:r>
      <w:r>
        <w:rPr>
          <w:spacing w:val="-3"/>
        </w:rPr>
        <w:t xml:space="preserve"> </w:t>
      </w:r>
      <w:r>
        <w:t>including</w:t>
      </w:r>
      <w:r>
        <w:rPr>
          <w:spacing w:val="-4"/>
        </w:rPr>
        <w:t xml:space="preserve"> </w:t>
      </w:r>
      <w:r>
        <w:t>age,</w:t>
      </w:r>
      <w:r>
        <w:rPr>
          <w:spacing w:val="-3"/>
        </w:rPr>
        <w:t xml:space="preserve"> </w:t>
      </w:r>
      <w:r>
        <w:t>prior</w:t>
      </w:r>
      <w:r>
        <w:rPr>
          <w:spacing w:val="-3"/>
        </w:rPr>
        <w:t xml:space="preserve"> </w:t>
      </w:r>
      <w:r>
        <w:t>cardiovascular</w:t>
      </w:r>
      <w:r>
        <w:rPr>
          <w:spacing w:val="-3"/>
        </w:rPr>
        <w:t xml:space="preserve"> </w:t>
      </w:r>
      <w:r>
        <w:t>disease,</w:t>
      </w:r>
      <w:r>
        <w:rPr>
          <w:spacing w:val="-3"/>
        </w:rPr>
        <w:t xml:space="preserve"> </w:t>
      </w:r>
      <w:r>
        <w:t>cardiovascular</w:t>
      </w:r>
      <w:r>
        <w:rPr>
          <w:spacing w:val="-3"/>
        </w:rPr>
        <w:t xml:space="preserve"> </w:t>
      </w:r>
      <w:r>
        <w:t>risk</w:t>
      </w:r>
      <w:r>
        <w:rPr>
          <w:spacing w:val="-5"/>
        </w:rPr>
        <w:t xml:space="preserve"> </w:t>
      </w:r>
      <w:r>
        <w:t>score</w:t>
      </w:r>
      <w:r>
        <w:rPr>
          <w:spacing w:val="-5"/>
        </w:rPr>
        <w:t xml:space="preserve"> </w:t>
      </w:r>
      <w:r>
        <w:t>and others - and not identified any important differences in the relative risk reduction – that is the</w:t>
      </w:r>
      <w:r>
        <w:rPr>
          <w:spacing w:val="-5"/>
        </w:rPr>
        <w:t xml:space="preserve"> </w:t>
      </w:r>
      <w:r>
        <w:t>relative</w:t>
      </w:r>
      <w:r>
        <w:rPr>
          <w:spacing w:val="-3"/>
        </w:rPr>
        <w:t xml:space="preserve"> </w:t>
      </w:r>
      <w:r>
        <w:t>effects</w:t>
      </w:r>
      <w:r>
        <w:rPr>
          <w:spacing w:val="-3"/>
        </w:rPr>
        <w:t xml:space="preserve"> </w:t>
      </w:r>
      <w:r>
        <w:t>of</w:t>
      </w:r>
      <w:r>
        <w:rPr>
          <w:spacing w:val="-4"/>
        </w:rPr>
        <w:t xml:space="preserve"> </w:t>
      </w:r>
      <w:r>
        <w:t>treatment</w:t>
      </w:r>
      <w:r>
        <w:rPr>
          <w:spacing w:val="-2"/>
        </w:rPr>
        <w:t xml:space="preserve"> </w:t>
      </w:r>
      <w:r>
        <w:t>are</w:t>
      </w:r>
      <w:r>
        <w:rPr>
          <w:spacing w:val="-2"/>
        </w:rPr>
        <w:t xml:space="preserve"> </w:t>
      </w:r>
      <w:r>
        <w:t>similar</w:t>
      </w:r>
      <w:r>
        <w:rPr>
          <w:spacing w:val="-2"/>
        </w:rPr>
        <w:t xml:space="preserve"> </w:t>
      </w:r>
      <w:r>
        <w:t>across</w:t>
      </w:r>
      <w:r>
        <w:rPr>
          <w:spacing w:val="-3"/>
        </w:rPr>
        <w:t xml:space="preserve"> </w:t>
      </w:r>
      <w:r>
        <w:t>all</w:t>
      </w:r>
      <w:r>
        <w:rPr>
          <w:spacing w:val="-2"/>
        </w:rPr>
        <w:t xml:space="preserve"> </w:t>
      </w:r>
      <w:r>
        <w:t>population</w:t>
      </w:r>
      <w:r>
        <w:rPr>
          <w:spacing w:val="-2"/>
        </w:rPr>
        <w:t xml:space="preserve"> </w:t>
      </w:r>
      <w:r>
        <w:t>subgroups.</w:t>
      </w:r>
      <w:r>
        <w:rPr>
          <w:spacing w:val="-4"/>
        </w:rPr>
        <w:t xml:space="preserve"> </w:t>
      </w:r>
      <w:r>
        <w:t>Thus,</w:t>
      </w:r>
      <w:r>
        <w:rPr>
          <w:spacing w:val="-3"/>
        </w:rPr>
        <w:t xml:space="preserve"> </w:t>
      </w:r>
      <w:r>
        <w:t>the</w:t>
      </w:r>
      <w:r>
        <w:rPr>
          <w:spacing w:val="-5"/>
        </w:rPr>
        <w:t xml:space="preserve"> </w:t>
      </w:r>
      <w:r>
        <w:t>main consideration for different assessments in subpopulations is the absolute cardiovascular risk. For example, Aboriginal and Torres Strait Islander populations have a higher CVD risk and hence would warrant assessment at an earlier age.</w:t>
      </w:r>
    </w:p>
    <w:p w14:paraId="7A4C2DD3" w14:textId="77777777" w:rsidR="00E13D3F" w:rsidRDefault="00E13D3F">
      <w:pPr>
        <w:pStyle w:val="BodyText"/>
        <w:spacing w:before="114"/>
        <w:ind w:left="0"/>
      </w:pPr>
    </w:p>
    <w:p w14:paraId="7A4C2DD4" w14:textId="77777777" w:rsidR="00E13D3F" w:rsidRDefault="00FB2D6A">
      <w:pPr>
        <w:pStyle w:val="Heading2"/>
      </w:pPr>
      <w:r>
        <w:rPr>
          <w:color w:val="2E5395"/>
          <w:spacing w:val="-2"/>
        </w:rPr>
        <w:t>Conclusion</w:t>
      </w:r>
    </w:p>
    <w:p w14:paraId="7A4C2DD5" w14:textId="77777777" w:rsidR="00E13D3F" w:rsidRDefault="00FB2D6A">
      <w:pPr>
        <w:pStyle w:val="BodyText"/>
        <w:spacing w:before="26" w:line="276" w:lineRule="auto"/>
        <w:ind w:right="1450"/>
      </w:pPr>
      <w:r>
        <w:t>There</w:t>
      </w:r>
      <w:r>
        <w:rPr>
          <w:spacing w:val="-5"/>
        </w:rPr>
        <w:t xml:space="preserve"> </w:t>
      </w:r>
      <w:r>
        <w:t>is</w:t>
      </w:r>
      <w:r>
        <w:rPr>
          <w:spacing w:val="-3"/>
        </w:rPr>
        <w:t xml:space="preserve"> </w:t>
      </w:r>
      <w:r>
        <w:t>strong</w:t>
      </w:r>
      <w:r>
        <w:rPr>
          <w:spacing w:val="-5"/>
        </w:rPr>
        <w:t xml:space="preserve"> </w:t>
      </w:r>
      <w:r>
        <w:t>evidence</w:t>
      </w:r>
      <w:r>
        <w:rPr>
          <w:spacing w:val="-4"/>
        </w:rPr>
        <w:t xml:space="preserve"> </w:t>
      </w:r>
      <w:r>
        <w:t>that</w:t>
      </w:r>
      <w:r>
        <w:rPr>
          <w:spacing w:val="-2"/>
        </w:rPr>
        <w:t xml:space="preserve"> </w:t>
      </w:r>
      <w:r>
        <w:t>detecting</w:t>
      </w:r>
      <w:r>
        <w:rPr>
          <w:spacing w:val="-5"/>
        </w:rPr>
        <w:t xml:space="preserve"> </w:t>
      </w:r>
      <w:r>
        <w:t>and</w:t>
      </w:r>
      <w:r>
        <w:rPr>
          <w:spacing w:val="-4"/>
        </w:rPr>
        <w:t xml:space="preserve"> </w:t>
      </w:r>
      <w:r>
        <w:t>treating</w:t>
      </w:r>
      <w:r>
        <w:rPr>
          <w:spacing w:val="-3"/>
        </w:rPr>
        <w:t xml:space="preserve"> </w:t>
      </w:r>
      <w:r>
        <w:t>high</w:t>
      </w:r>
      <w:r>
        <w:rPr>
          <w:spacing w:val="-4"/>
        </w:rPr>
        <w:t xml:space="preserve"> </w:t>
      </w:r>
      <w:r>
        <w:t>blood</w:t>
      </w:r>
      <w:r>
        <w:rPr>
          <w:spacing w:val="-2"/>
        </w:rPr>
        <w:t xml:space="preserve"> </w:t>
      </w:r>
      <w:r>
        <w:t>pressure</w:t>
      </w:r>
      <w:r>
        <w:rPr>
          <w:spacing w:val="-4"/>
        </w:rPr>
        <w:t xml:space="preserve"> </w:t>
      </w:r>
      <w:r>
        <w:t>in</w:t>
      </w:r>
      <w:r>
        <w:rPr>
          <w:spacing w:val="-2"/>
        </w:rPr>
        <w:t xml:space="preserve"> </w:t>
      </w:r>
      <w:r>
        <w:t>adulthood reduces cardiovascular events, and the assessment every 2-3 years is reasonable.</w:t>
      </w:r>
    </w:p>
    <w:p w14:paraId="7A4C2DD6" w14:textId="77777777" w:rsidR="00E13D3F" w:rsidRDefault="00E13D3F">
      <w:pPr>
        <w:pStyle w:val="BodyText"/>
        <w:spacing w:before="204"/>
        <w:ind w:left="0"/>
      </w:pPr>
    </w:p>
    <w:p w14:paraId="7A4C2DD7" w14:textId="77777777" w:rsidR="00E13D3F" w:rsidRDefault="00FB2D6A">
      <w:pPr>
        <w:pStyle w:val="Heading2"/>
      </w:pPr>
      <w:r>
        <w:rPr>
          <w:color w:val="2E5395"/>
          <w:spacing w:val="-2"/>
        </w:rPr>
        <w:t>References</w:t>
      </w:r>
    </w:p>
    <w:p w14:paraId="7A4C2DD8" w14:textId="77777777" w:rsidR="00E13D3F" w:rsidRDefault="00FB2D6A" w:rsidP="00990D2B">
      <w:pPr>
        <w:pStyle w:val="ListParagraph"/>
        <w:numPr>
          <w:ilvl w:val="0"/>
          <w:numId w:val="49"/>
        </w:numPr>
        <w:tabs>
          <w:tab w:val="left" w:pos="1798"/>
          <w:tab w:val="left" w:pos="1800"/>
        </w:tabs>
        <w:spacing w:before="24" w:line="276" w:lineRule="auto"/>
        <w:ind w:right="1762"/>
      </w:pPr>
      <w:r>
        <w:t>Effects</w:t>
      </w:r>
      <w:r>
        <w:rPr>
          <w:spacing w:val="-4"/>
        </w:rPr>
        <w:t xml:space="preserve"> </w:t>
      </w:r>
      <w:r>
        <w:t>Morbidity</w:t>
      </w:r>
      <w:r>
        <w:rPr>
          <w:spacing w:val="-3"/>
        </w:rPr>
        <w:t xml:space="preserve"> </w:t>
      </w:r>
      <w:r>
        <w:t>of</w:t>
      </w:r>
      <w:r>
        <w:rPr>
          <w:spacing w:val="-4"/>
        </w:rPr>
        <w:t xml:space="preserve"> </w:t>
      </w:r>
      <w:r>
        <w:t>Treatment</w:t>
      </w:r>
      <w:r>
        <w:rPr>
          <w:spacing w:val="-4"/>
        </w:rPr>
        <w:t xml:space="preserve"> </w:t>
      </w:r>
      <w:r>
        <w:t>on</w:t>
      </w:r>
      <w:r>
        <w:rPr>
          <w:spacing w:val="-2"/>
        </w:rPr>
        <w:t xml:space="preserve"> </w:t>
      </w:r>
      <w:r>
        <w:t>in</w:t>
      </w:r>
      <w:r>
        <w:rPr>
          <w:spacing w:val="-1"/>
        </w:rPr>
        <w:t xml:space="preserve"> </w:t>
      </w:r>
      <w:r>
        <w:t>Hypertension:</w:t>
      </w:r>
      <w:r>
        <w:rPr>
          <w:spacing w:val="-1"/>
        </w:rPr>
        <w:t xml:space="preserve"> </w:t>
      </w:r>
      <w:r>
        <w:t>II.</w:t>
      </w:r>
      <w:r>
        <w:rPr>
          <w:spacing w:val="-1"/>
        </w:rPr>
        <w:t xml:space="preserve"> </w:t>
      </w:r>
      <w:r>
        <w:t>Results</w:t>
      </w:r>
      <w:r>
        <w:rPr>
          <w:spacing w:val="-1"/>
        </w:rPr>
        <w:t xml:space="preserve"> </w:t>
      </w:r>
      <w:r>
        <w:t>in</w:t>
      </w:r>
      <w:r>
        <w:rPr>
          <w:spacing w:val="-4"/>
        </w:rPr>
        <w:t xml:space="preserve"> </w:t>
      </w:r>
      <w:r>
        <w:t>Patients</w:t>
      </w:r>
      <w:r>
        <w:rPr>
          <w:spacing w:val="-3"/>
        </w:rPr>
        <w:t xml:space="preserve"> </w:t>
      </w:r>
      <w:r>
        <w:t>With</w:t>
      </w:r>
      <w:r>
        <w:rPr>
          <w:spacing w:val="-4"/>
        </w:rPr>
        <w:t xml:space="preserve"> </w:t>
      </w:r>
      <w:r>
        <w:t>Diastolic</w:t>
      </w:r>
      <w:r>
        <w:rPr>
          <w:spacing w:val="-4"/>
        </w:rPr>
        <w:t xml:space="preserve"> </w:t>
      </w:r>
      <w:r>
        <w:t xml:space="preserve">Blood Pressure Averaging 90 Through 114 mm Hg. JAMA. 1970;213(7):1143–1152. </w:t>
      </w:r>
      <w:r>
        <w:rPr>
          <w:spacing w:val="-2"/>
        </w:rPr>
        <w:t>doi:10.1001/jama.1970.03170330025003</w:t>
      </w:r>
    </w:p>
    <w:p w14:paraId="7A4C2DD9" w14:textId="77777777" w:rsidR="00E13D3F" w:rsidRDefault="00FB2D6A" w:rsidP="00990D2B">
      <w:pPr>
        <w:pStyle w:val="ListParagraph"/>
        <w:numPr>
          <w:ilvl w:val="0"/>
          <w:numId w:val="49"/>
        </w:numPr>
        <w:tabs>
          <w:tab w:val="left" w:pos="1798"/>
          <w:tab w:val="left" w:pos="1800"/>
        </w:tabs>
        <w:spacing w:line="276" w:lineRule="auto"/>
        <w:ind w:right="1583"/>
        <w:jc w:val="both"/>
      </w:pPr>
      <w:r>
        <w:t>Guirguis-Blake</w:t>
      </w:r>
      <w:r>
        <w:rPr>
          <w:spacing w:val="-1"/>
        </w:rPr>
        <w:t xml:space="preserve"> </w:t>
      </w:r>
      <w:r>
        <w:t>JM,</w:t>
      </w:r>
      <w:r>
        <w:rPr>
          <w:spacing w:val="-3"/>
        </w:rPr>
        <w:t xml:space="preserve"> </w:t>
      </w:r>
      <w:r>
        <w:t>et</w:t>
      </w:r>
      <w:r>
        <w:rPr>
          <w:spacing w:val="-3"/>
        </w:rPr>
        <w:t xml:space="preserve"> </w:t>
      </w:r>
      <w:r>
        <w:t>al.</w:t>
      </w:r>
      <w:r>
        <w:rPr>
          <w:spacing w:val="-1"/>
        </w:rPr>
        <w:t xml:space="preserve"> </w:t>
      </w:r>
      <w:r>
        <w:t>Screening</w:t>
      </w:r>
      <w:r>
        <w:rPr>
          <w:spacing w:val="-2"/>
        </w:rPr>
        <w:t xml:space="preserve"> </w:t>
      </w:r>
      <w:r>
        <w:t>for</w:t>
      </w:r>
      <w:r>
        <w:rPr>
          <w:spacing w:val="-4"/>
        </w:rPr>
        <w:t xml:space="preserve"> </w:t>
      </w:r>
      <w:r>
        <w:t>Hypertension</w:t>
      </w:r>
      <w:r>
        <w:rPr>
          <w:spacing w:val="-5"/>
        </w:rPr>
        <w:t xml:space="preserve"> </w:t>
      </w:r>
      <w:r>
        <w:t>in</w:t>
      </w:r>
      <w:r>
        <w:rPr>
          <w:spacing w:val="-2"/>
        </w:rPr>
        <w:t xml:space="preserve"> </w:t>
      </w:r>
      <w:r>
        <w:t>Adults:</w:t>
      </w:r>
      <w:r>
        <w:rPr>
          <w:spacing w:val="-1"/>
        </w:rPr>
        <w:t xml:space="preserve"> </w:t>
      </w:r>
      <w:r>
        <w:t>An</w:t>
      </w:r>
      <w:r>
        <w:rPr>
          <w:spacing w:val="-2"/>
        </w:rPr>
        <w:t xml:space="preserve"> </w:t>
      </w:r>
      <w:r>
        <w:t>Updated</w:t>
      </w:r>
      <w:r>
        <w:rPr>
          <w:spacing w:val="-1"/>
        </w:rPr>
        <w:t xml:space="preserve"> </w:t>
      </w:r>
      <w:r>
        <w:t>Systematic</w:t>
      </w:r>
      <w:r>
        <w:rPr>
          <w:spacing w:val="-4"/>
        </w:rPr>
        <w:t xml:space="preserve"> </w:t>
      </w:r>
      <w:r>
        <w:t>Evidence Review</w:t>
      </w:r>
      <w:r>
        <w:rPr>
          <w:spacing w:val="-2"/>
        </w:rPr>
        <w:t xml:space="preserve"> </w:t>
      </w:r>
      <w:r>
        <w:t>for</w:t>
      </w:r>
      <w:r>
        <w:rPr>
          <w:spacing w:val="-4"/>
        </w:rPr>
        <w:t xml:space="preserve"> </w:t>
      </w:r>
      <w:r>
        <w:t>the</w:t>
      </w:r>
      <w:r>
        <w:rPr>
          <w:spacing w:val="-2"/>
        </w:rPr>
        <w:t xml:space="preserve"> </w:t>
      </w:r>
      <w:r>
        <w:t>U.S.</w:t>
      </w:r>
      <w:r>
        <w:rPr>
          <w:spacing w:val="-5"/>
        </w:rPr>
        <w:t xml:space="preserve"> </w:t>
      </w:r>
      <w:r>
        <w:t>Preventive</w:t>
      </w:r>
      <w:r>
        <w:rPr>
          <w:spacing w:val="-1"/>
        </w:rPr>
        <w:t xml:space="preserve"> </w:t>
      </w:r>
      <w:r>
        <w:t>Services</w:t>
      </w:r>
      <w:r>
        <w:rPr>
          <w:spacing w:val="-1"/>
        </w:rPr>
        <w:t xml:space="preserve"> </w:t>
      </w:r>
      <w:r>
        <w:t>Task</w:t>
      </w:r>
      <w:r>
        <w:rPr>
          <w:spacing w:val="-2"/>
        </w:rPr>
        <w:t xml:space="preserve"> </w:t>
      </w:r>
      <w:r>
        <w:t>Force.</w:t>
      </w:r>
      <w:r>
        <w:rPr>
          <w:spacing w:val="-5"/>
        </w:rPr>
        <w:t xml:space="preserve"> </w:t>
      </w:r>
      <w:r>
        <w:t>Agency</w:t>
      </w:r>
      <w:r>
        <w:rPr>
          <w:spacing w:val="-2"/>
        </w:rPr>
        <w:t xml:space="preserve"> </w:t>
      </w:r>
      <w:r>
        <w:t>for</w:t>
      </w:r>
      <w:r>
        <w:rPr>
          <w:spacing w:val="-2"/>
        </w:rPr>
        <w:t xml:space="preserve"> </w:t>
      </w:r>
      <w:r>
        <w:t>Healthcare</w:t>
      </w:r>
      <w:r>
        <w:rPr>
          <w:spacing w:val="-5"/>
        </w:rPr>
        <w:t xml:space="preserve"> </w:t>
      </w:r>
      <w:r>
        <w:t>Research</w:t>
      </w:r>
      <w:r>
        <w:rPr>
          <w:spacing w:val="-2"/>
        </w:rPr>
        <w:t xml:space="preserve"> </w:t>
      </w:r>
      <w:r>
        <w:t>and</w:t>
      </w:r>
      <w:r>
        <w:rPr>
          <w:spacing w:val="-3"/>
        </w:rPr>
        <w:t xml:space="preserve"> </w:t>
      </w:r>
      <w:r>
        <w:t>Quality (US), 2021</w:t>
      </w:r>
    </w:p>
    <w:p w14:paraId="7A4C2DDA" w14:textId="77777777" w:rsidR="00E13D3F" w:rsidRDefault="00FB2D6A" w:rsidP="00990D2B">
      <w:pPr>
        <w:pStyle w:val="ListParagraph"/>
        <w:numPr>
          <w:ilvl w:val="0"/>
          <w:numId w:val="49"/>
        </w:numPr>
        <w:tabs>
          <w:tab w:val="left" w:pos="1798"/>
          <w:tab w:val="left" w:pos="1800"/>
        </w:tabs>
        <w:spacing w:line="276" w:lineRule="auto"/>
        <w:ind w:right="1590"/>
      </w:pPr>
      <w:r>
        <w:t>Blood Pressure Lowering Treatment Trialists' Collaboration. Pharmacological blood pressure lowering</w:t>
      </w:r>
      <w:r>
        <w:rPr>
          <w:spacing w:val="-3"/>
        </w:rPr>
        <w:t xml:space="preserve"> </w:t>
      </w:r>
      <w:r>
        <w:t>for</w:t>
      </w:r>
      <w:r>
        <w:rPr>
          <w:spacing w:val="-2"/>
        </w:rPr>
        <w:t xml:space="preserve"> </w:t>
      </w:r>
      <w:r>
        <w:t>primary</w:t>
      </w:r>
      <w:r>
        <w:rPr>
          <w:spacing w:val="-2"/>
        </w:rPr>
        <w:t xml:space="preserve"> </w:t>
      </w:r>
      <w:r>
        <w:t>and</w:t>
      </w:r>
      <w:r>
        <w:rPr>
          <w:spacing w:val="-4"/>
        </w:rPr>
        <w:t xml:space="preserve"> </w:t>
      </w:r>
      <w:r>
        <w:t>secondary</w:t>
      </w:r>
      <w:r>
        <w:rPr>
          <w:spacing w:val="-2"/>
        </w:rPr>
        <w:t xml:space="preserve"> </w:t>
      </w:r>
      <w:r>
        <w:t>prevention</w:t>
      </w:r>
      <w:r>
        <w:rPr>
          <w:spacing w:val="-5"/>
        </w:rPr>
        <w:t xml:space="preserve"> </w:t>
      </w:r>
      <w:r>
        <w:t>of</w:t>
      </w:r>
      <w:r>
        <w:rPr>
          <w:spacing w:val="-2"/>
        </w:rPr>
        <w:t xml:space="preserve"> </w:t>
      </w:r>
      <w:r>
        <w:t>cardiovascular</w:t>
      </w:r>
      <w:r>
        <w:rPr>
          <w:spacing w:val="-2"/>
        </w:rPr>
        <w:t xml:space="preserve"> </w:t>
      </w:r>
      <w:r>
        <w:t>disease</w:t>
      </w:r>
      <w:r>
        <w:rPr>
          <w:spacing w:val="-2"/>
        </w:rPr>
        <w:t xml:space="preserve"> </w:t>
      </w:r>
      <w:r>
        <w:t>across</w:t>
      </w:r>
      <w:r>
        <w:rPr>
          <w:spacing w:val="-7"/>
        </w:rPr>
        <w:t xml:space="preserve"> </w:t>
      </w:r>
      <w:r>
        <w:t>different</w:t>
      </w:r>
      <w:r>
        <w:rPr>
          <w:spacing w:val="-2"/>
        </w:rPr>
        <w:t xml:space="preserve"> </w:t>
      </w:r>
      <w:r>
        <w:t xml:space="preserve">levels of blood pressure: an individual participant-level data meta-analysis. Lancet. 2021 May 1;397(10285):1625-1636. </w:t>
      </w:r>
      <w:proofErr w:type="spellStart"/>
      <w:r>
        <w:t>doi</w:t>
      </w:r>
      <w:proofErr w:type="spellEnd"/>
      <w:r>
        <w:t>: 10.1016/S0140-6736(21)00590-0.</w:t>
      </w:r>
    </w:p>
    <w:p w14:paraId="7A4C2DDB" w14:textId="77777777" w:rsidR="00E13D3F" w:rsidRDefault="00FB2D6A" w:rsidP="00990D2B">
      <w:pPr>
        <w:pStyle w:val="ListParagraph"/>
        <w:numPr>
          <w:ilvl w:val="0"/>
          <w:numId w:val="49"/>
        </w:numPr>
        <w:tabs>
          <w:tab w:val="left" w:pos="1798"/>
          <w:tab w:val="left" w:pos="1800"/>
        </w:tabs>
        <w:spacing w:line="276" w:lineRule="auto"/>
        <w:ind w:right="1664"/>
      </w:pPr>
      <w:r>
        <w:t>Blood</w:t>
      </w:r>
      <w:r>
        <w:rPr>
          <w:spacing w:val="-6"/>
        </w:rPr>
        <w:t xml:space="preserve"> </w:t>
      </w:r>
      <w:r>
        <w:t>Pressure</w:t>
      </w:r>
      <w:r>
        <w:rPr>
          <w:spacing w:val="-4"/>
        </w:rPr>
        <w:t xml:space="preserve"> </w:t>
      </w:r>
      <w:r>
        <w:t>Lowering</w:t>
      </w:r>
      <w:r>
        <w:rPr>
          <w:spacing w:val="-5"/>
        </w:rPr>
        <w:t xml:space="preserve"> </w:t>
      </w:r>
      <w:r>
        <w:t>Treatment</w:t>
      </w:r>
      <w:r>
        <w:rPr>
          <w:spacing w:val="-4"/>
        </w:rPr>
        <w:t xml:space="preserve"> </w:t>
      </w:r>
      <w:r>
        <w:t>Trialists'</w:t>
      </w:r>
      <w:r>
        <w:rPr>
          <w:spacing w:val="-2"/>
        </w:rPr>
        <w:t xml:space="preserve"> </w:t>
      </w:r>
      <w:r>
        <w:t>Collaboration.</w:t>
      </w:r>
      <w:r>
        <w:rPr>
          <w:spacing w:val="-2"/>
        </w:rPr>
        <w:t xml:space="preserve"> </w:t>
      </w:r>
      <w:r>
        <w:t>Age-stratified</w:t>
      </w:r>
      <w:r>
        <w:rPr>
          <w:spacing w:val="-3"/>
        </w:rPr>
        <w:t xml:space="preserve"> </w:t>
      </w:r>
      <w:r>
        <w:t>and</w:t>
      </w:r>
      <w:r>
        <w:rPr>
          <w:spacing w:val="-4"/>
        </w:rPr>
        <w:t xml:space="preserve"> </w:t>
      </w:r>
      <w:r>
        <w:t>blood-pressure-stratified effects of blood-pressure-lowering pharmacotherapy for the prevention of cardiovascular disease and death: an individual participant-level data meta-analysis. Lancet. 2021</w:t>
      </w:r>
      <w:r>
        <w:rPr>
          <w:spacing w:val="-3"/>
        </w:rPr>
        <w:t xml:space="preserve"> </w:t>
      </w:r>
      <w:r>
        <w:t>Sep</w:t>
      </w:r>
      <w:r>
        <w:rPr>
          <w:spacing w:val="-3"/>
        </w:rPr>
        <w:t xml:space="preserve"> </w:t>
      </w:r>
      <w:r>
        <w:t>18;398(10305):1053-1064.</w:t>
      </w:r>
      <w:r>
        <w:rPr>
          <w:spacing w:val="-3"/>
        </w:rPr>
        <w:t xml:space="preserve"> </w:t>
      </w:r>
      <w:proofErr w:type="spellStart"/>
      <w:r>
        <w:t>doi</w:t>
      </w:r>
      <w:proofErr w:type="spellEnd"/>
      <w:r>
        <w:t>:</w:t>
      </w:r>
      <w:r>
        <w:rPr>
          <w:spacing w:val="-5"/>
        </w:rPr>
        <w:t xml:space="preserve"> </w:t>
      </w:r>
      <w:r>
        <w:t>10.1016/S0140-6736(21)01921-8.</w:t>
      </w:r>
      <w:r>
        <w:rPr>
          <w:spacing w:val="-6"/>
        </w:rPr>
        <w:t xml:space="preserve"> </w:t>
      </w:r>
      <w:proofErr w:type="spellStart"/>
      <w:r>
        <w:t>Epub</w:t>
      </w:r>
      <w:proofErr w:type="spellEnd"/>
      <w:r>
        <w:rPr>
          <w:spacing w:val="-4"/>
        </w:rPr>
        <w:t xml:space="preserve"> </w:t>
      </w:r>
      <w:r>
        <w:t>2021</w:t>
      </w:r>
      <w:r>
        <w:rPr>
          <w:spacing w:val="-5"/>
        </w:rPr>
        <w:t xml:space="preserve"> </w:t>
      </w:r>
      <w:r>
        <w:t>Aug</w:t>
      </w:r>
      <w:r>
        <w:rPr>
          <w:spacing w:val="-4"/>
        </w:rPr>
        <w:t xml:space="preserve"> </w:t>
      </w:r>
      <w:r>
        <w:t>27. PMID: 34461040; PMCID: PMC8473559.</w:t>
      </w:r>
    </w:p>
    <w:p w14:paraId="7A4C2DDC" w14:textId="77777777" w:rsidR="00E13D3F" w:rsidRDefault="00FB2D6A" w:rsidP="00990D2B">
      <w:pPr>
        <w:pStyle w:val="ListParagraph"/>
        <w:numPr>
          <w:ilvl w:val="0"/>
          <w:numId w:val="49"/>
        </w:numPr>
        <w:tabs>
          <w:tab w:val="left" w:pos="1798"/>
          <w:tab w:val="left" w:pos="1800"/>
        </w:tabs>
        <w:spacing w:line="276" w:lineRule="auto"/>
        <w:ind w:right="1695"/>
      </w:pPr>
      <w:r>
        <w:t>Takahashi</w:t>
      </w:r>
      <w:r>
        <w:rPr>
          <w:spacing w:val="-1"/>
        </w:rPr>
        <w:t xml:space="preserve"> </w:t>
      </w:r>
      <w:r>
        <w:t>O,</w:t>
      </w:r>
      <w:r>
        <w:rPr>
          <w:spacing w:val="-3"/>
        </w:rPr>
        <w:t xml:space="preserve"> </w:t>
      </w:r>
      <w:proofErr w:type="spellStart"/>
      <w:r>
        <w:t>Glasziou</w:t>
      </w:r>
      <w:proofErr w:type="spellEnd"/>
      <w:r>
        <w:rPr>
          <w:spacing w:val="-5"/>
        </w:rPr>
        <w:t xml:space="preserve"> </w:t>
      </w:r>
      <w:r>
        <w:t>PP,</w:t>
      </w:r>
      <w:r>
        <w:rPr>
          <w:spacing w:val="-3"/>
        </w:rPr>
        <w:t xml:space="preserve"> </w:t>
      </w:r>
      <w:r>
        <w:t>Perera</w:t>
      </w:r>
      <w:r>
        <w:rPr>
          <w:spacing w:val="-1"/>
        </w:rPr>
        <w:t xml:space="preserve"> </w:t>
      </w:r>
      <w:r>
        <w:t>R,</w:t>
      </w:r>
      <w:r>
        <w:rPr>
          <w:spacing w:val="-1"/>
        </w:rPr>
        <w:t xml:space="preserve"> </w:t>
      </w:r>
      <w:proofErr w:type="spellStart"/>
      <w:r>
        <w:t>Shimbo</w:t>
      </w:r>
      <w:proofErr w:type="spellEnd"/>
      <w:r>
        <w:t xml:space="preserve"> T,</w:t>
      </w:r>
      <w:r>
        <w:rPr>
          <w:spacing w:val="-1"/>
        </w:rPr>
        <w:t xml:space="preserve"> </w:t>
      </w:r>
      <w:r>
        <w:t>Fukui</w:t>
      </w:r>
      <w:r>
        <w:rPr>
          <w:spacing w:val="-2"/>
        </w:rPr>
        <w:t xml:space="preserve"> </w:t>
      </w:r>
      <w:r>
        <w:t>T.</w:t>
      </w:r>
      <w:r>
        <w:rPr>
          <w:spacing w:val="-4"/>
        </w:rPr>
        <w:t xml:space="preserve"> </w:t>
      </w:r>
      <w:r>
        <w:t>Blood</w:t>
      </w:r>
      <w:r>
        <w:rPr>
          <w:spacing w:val="-5"/>
        </w:rPr>
        <w:t xml:space="preserve"> </w:t>
      </w:r>
      <w:r>
        <w:t>pressure</w:t>
      </w:r>
      <w:r>
        <w:rPr>
          <w:spacing w:val="-3"/>
        </w:rPr>
        <w:t xml:space="preserve"> </w:t>
      </w:r>
      <w:r>
        <w:t>re-screening</w:t>
      </w:r>
      <w:r>
        <w:rPr>
          <w:spacing w:val="-2"/>
        </w:rPr>
        <w:t xml:space="preserve"> </w:t>
      </w:r>
      <w:r>
        <w:t>for</w:t>
      </w:r>
      <w:r>
        <w:rPr>
          <w:spacing w:val="-1"/>
        </w:rPr>
        <w:t xml:space="preserve"> </w:t>
      </w:r>
      <w:r>
        <w:t xml:space="preserve">healthy adults: what is the best measure and interval? J Hum </w:t>
      </w:r>
      <w:proofErr w:type="spellStart"/>
      <w:r>
        <w:t>Hypertens</w:t>
      </w:r>
      <w:proofErr w:type="spellEnd"/>
      <w:r>
        <w:t xml:space="preserve">. 2012 Sep;26(9):540-6. </w:t>
      </w:r>
      <w:proofErr w:type="spellStart"/>
      <w:r>
        <w:t>doi</w:t>
      </w:r>
      <w:proofErr w:type="spellEnd"/>
      <w:r>
        <w:t xml:space="preserve">: 10.1038/jhh.2011.72. </w:t>
      </w:r>
      <w:proofErr w:type="spellStart"/>
      <w:r>
        <w:t>Epub</w:t>
      </w:r>
      <w:proofErr w:type="spellEnd"/>
      <w:r>
        <w:t xml:space="preserve"> 2011 Aug 4. PMID: 21814284.</w:t>
      </w:r>
    </w:p>
    <w:p w14:paraId="7A4C2DDD" w14:textId="77777777" w:rsidR="00E13D3F" w:rsidRDefault="00FB2D6A" w:rsidP="00990D2B">
      <w:pPr>
        <w:pStyle w:val="ListParagraph"/>
        <w:numPr>
          <w:ilvl w:val="0"/>
          <w:numId w:val="49"/>
        </w:numPr>
        <w:tabs>
          <w:tab w:val="left" w:pos="1798"/>
          <w:tab w:val="left" w:pos="1800"/>
        </w:tabs>
        <w:spacing w:line="276" w:lineRule="auto"/>
        <w:ind w:right="1815"/>
        <w:rPr>
          <w:sz w:val="24"/>
        </w:rPr>
      </w:pPr>
      <w:r>
        <w:t>Keenan</w:t>
      </w:r>
      <w:r>
        <w:rPr>
          <w:spacing w:val="-6"/>
        </w:rPr>
        <w:t xml:space="preserve"> </w:t>
      </w:r>
      <w:r>
        <w:t>K,</w:t>
      </w:r>
      <w:r>
        <w:rPr>
          <w:spacing w:val="-2"/>
        </w:rPr>
        <w:t xml:space="preserve"> </w:t>
      </w:r>
      <w:r>
        <w:t>Hayen</w:t>
      </w:r>
      <w:r>
        <w:rPr>
          <w:spacing w:val="-2"/>
        </w:rPr>
        <w:t xml:space="preserve"> </w:t>
      </w:r>
      <w:r>
        <w:t>A,</w:t>
      </w:r>
      <w:r>
        <w:rPr>
          <w:spacing w:val="-2"/>
        </w:rPr>
        <w:t xml:space="preserve"> </w:t>
      </w:r>
      <w:r>
        <w:t>Neal</w:t>
      </w:r>
      <w:r>
        <w:rPr>
          <w:spacing w:val="-2"/>
        </w:rPr>
        <w:t xml:space="preserve"> </w:t>
      </w:r>
      <w:r>
        <w:t>BC,</w:t>
      </w:r>
      <w:r>
        <w:rPr>
          <w:spacing w:val="-2"/>
        </w:rPr>
        <w:t xml:space="preserve"> </w:t>
      </w:r>
      <w:proofErr w:type="spellStart"/>
      <w:r>
        <w:t>Irwig</w:t>
      </w:r>
      <w:proofErr w:type="spellEnd"/>
      <w:r>
        <w:rPr>
          <w:spacing w:val="-3"/>
        </w:rPr>
        <w:t xml:space="preserve"> </w:t>
      </w:r>
      <w:r>
        <w:t>L.</w:t>
      </w:r>
      <w:r>
        <w:rPr>
          <w:spacing w:val="-5"/>
        </w:rPr>
        <w:t xml:space="preserve"> </w:t>
      </w:r>
      <w:r>
        <w:t>Long</w:t>
      </w:r>
      <w:r>
        <w:rPr>
          <w:spacing w:val="-3"/>
        </w:rPr>
        <w:t xml:space="preserve"> </w:t>
      </w:r>
      <w:r>
        <w:t>term</w:t>
      </w:r>
      <w:r>
        <w:rPr>
          <w:spacing w:val="-3"/>
        </w:rPr>
        <w:t xml:space="preserve"> </w:t>
      </w:r>
      <w:r>
        <w:t>monitoring</w:t>
      </w:r>
      <w:r>
        <w:rPr>
          <w:spacing w:val="-3"/>
        </w:rPr>
        <w:t xml:space="preserve"> </w:t>
      </w:r>
      <w:r>
        <w:t>in</w:t>
      </w:r>
      <w:r>
        <w:rPr>
          <w:spacing w:val="-2"/>
        </w:rPr>
        <w:t xml:space="preserve"> </w:t>
      </w:r>
      <w:r>
        <w:t>patients</w:t>
      </w:r>
      <w:r>
        <w:rPr>
          <w:spacing w:val="-2"/>
        </w:rPr>
        <w:t xml:space="preserve"> </w:t>
      </w:r>
      <w:r>
        <w:t>receiving</w:t>
      </w:r>
      <w:r>
        <w:rPr>
          <w:spacing w:val="-5"/>
        </w:rPr>
        <w:t xml:space="preserve"> </w:t>
      </w:r>
      <w:r>
        <w:t>treatment</w:t>
      </w:r>
      <w:r>
        <w:rPr>
          <w:spacing w:val="-4"/>
        </w:rPr>
        <w:t xml:space="preserve"> </w:t>
      </w:r>
      <w:r>
        <w:t>to lower</w:t>
      </w:r>
      <w:r>
        <w:rPr>
          <w:spacing w:val="-1"/>
        </w:rPr>
        <w:t xml:space="preserve"> </w:t>
      </w:r>
      <w:r>
        <w:t>blood</w:t>
      </w:r>
      <w:r>
        <w:rPr>
          <w:spacing w:val="-2"/>
        </w:rPr>
        <w:t xml:space="preserve"> </w:t>
      </w:r>
      <w:r>
        <w:t>pressure:</w:t>
      </w:r>
      <w:r>
        <w:rPr>
          <w:spacing w:val="-2"/>
        </w:rPr>
        <w:t xml:space="preserve"> </w:t>
      </w:r>
      <w:r>
        <w:t>analysis</w:t>
      </w:r>
      <w:r>
        <w:rPr>
          <w:spacing w:val="-4"/>
        </w:rPr>
        <w:t xml:space="preserve"> </w:t>
      </w:r>
      <w:r>
        <w:t>of</w:t>
      </w:r>
      <w:r>
        <w:rPr>
          <w:spacing w:val="-1"/>
        </w:rPr>
        <w:t xml:space="preserve"> </w:t>
      </w:r>
      <w:r>
        <w:t>data</w:t>
      </w:r>
      <w:r>
        <w:rPr>
          <w:spacing w:val="-4"/>
        </w:rPr>
        <w:t xml:space="preserve"> </w:t>
      </w:r>
      <w:r>
        <w:t>from placebo</w:t>
      </w:r>
      <w:r>
        <w:rPr>
          <w:spacing w:val="-3"/>
        </w:rPr>
        <w:t xml:space="preserve"> </w:t>
      </w:r>
      <w:r>
        <w:t>controlled</w:t>
      </w:r>
      <w:r>
        <w:rPr>
          <w:spacing w:val="-1"/>
        </w:rPr>
        <w:t xml:space="preserve"> </w:t>
      </w:r>
      <w:proofErr w:type="spellStart"/>
      <w:r>
        <w:t>randomised</w:t>
      </w:r>
      <w:proofErr w:type="spellEnd"/>
      <w:r>
        <w:t xml:space="preserve"> </w:t>
      </w:r>
      <w:r>
        <w:rPr>
          <w:sz w:val="24"/>
        </w:rPr>
        <w:t>controlled</w:t>
      </w:r>
      <w:r>
        <w:rPr>
          <w:spacing w:val="-2"/>
          <w:sz w:val="24"/>
        </w:rPr>
        <w:t xml:space="preserve"> </w:t>
      </w:r>
      <w:r>
        <w:rPr>
          <w:sz w:val="24"/>
        </w:rPr>
        <w:t xml:space="preserve">trial. BMJ. 2009 Apr 30;338:b1492. </w:t>
      </w:r>
      <w:proofErr w:type="spellStart"/>
      <w:r>
        <w:rPr>
          <w:sz w:val="24"/>
        </w:rPr>
        <w:t>doi</w:t>
      </w:r>
      <w:proofErr w:type="spellEnd"/>
      <w:r>
        <w:rPr>
          <w:sz w:val="24"/>
        </w:rPr>
        <w:t xml:space="preserve">: 10.1136/bmj.b1492. PMID: 19406886; PMCID: </w:t>
      </w:r>
      <w:r>
        <w:rPr>
          <w:spacing w:val="-2"/>
          <w:sz w:val="24"/>
        </w:rPr>
        <w:t>PMC2675695.</w:t>
      </w:r>
    </w:p>
    <w:p w14:paraId="7A4C2DDE" w14:textId="77777777" w:rsidR="00E13D3F" w:rsidRDefault="00E13D3F">
      <w:pPr>
        <w:pStyle w:val="ListParagraph"/>
        <w:spacing w:line="276" w:lineRule="auto"/>
        <w:rPr>
          <w:sz w:val="24"/>
        </w:rPr>
        <w:sectPr w:rsidR="00E13D3F">
          <w:pgSz w:w="11910" w:h="16840"/>
          <w:pgMar w:top="1380" w:right="0" w:bottom="1200" w:left="0" w:header="0" w:footer="1000" w:gutter="0"/>
          <w:cols w:space="720"/>
        </w:sectPr>
      </w:pPr>
    </w:p>
    <w:p w14:paraId="7A4C2DDF" w14:textId="77777777" w:rsidR="00E13D3F" w:rsidRDefault="00FB2D6A" w:rsidP="00990D2B">
      <w:pPr>
        <w:pStyle w:val="Heading1"/>
        <w:numPr>
          <w:ilvl w:val="0"/>
          <w:numId w:val="53"/>
        </w:numPr>
        <w:tabs>
          <w:tab w:val="left" w:pos="1799"/>
        </w:tabs>
        <w:ind w:left="1799" w:hanging="359"/>
        <w:rPr>
          <w:color w:val="2E5395"/>
          <w:u w:color="2E5395"/>
        </w:rPr>
      </w:pPr>
      <w:r>
        <w:rPr>
          <w:color w:val="2E5395"/>
          <w:u w:color="2E5395"/>
        </w:rPr>
        <w:lastRenderedPageBreak/>
        <w:t>The</w:t>
      </w:r>
      <w:r>
        <w:rPr>
          <w:color w:val="2E5395"/>
          <w:spacing w:val="-10"/>
          <w:u w:color="2E5395"/>
        </w:rPr>
        <w:t xml:space="preserve"> </w:t>
      </w:r>
      <w:r>
        <w:rPr>
          <w:color w:val="2E5395"/>
          <w:u w:color="2E5395"/>
        </w:rPr>
        <w:t>Health</w:t>
      </w:r>
      <w:r>
        <w:rPr>
          <w:color w:val="2E5395"/>
          <w:spacing w:val="-10"/>
          <w:u w:color="2E5395"/>
        </w:rPr>
        <w:t xml:space="preserve"> </w:t>
      </w:r>
      <w:r>
        <w:rPr>
          <w:color w:val="2E5395"/>
          <w:u w:color="2E5395"/>
        </w:rPr>
        <w:t>Assessment</w:t>
      </w:r>
      <w:r>
        <w:rPr>
          <w:color w:val="2E5395"/>
          <w:spacing w:val="-10"/>
          <w:u w:color="2E5395"/>
        </w:rPr>
        <w:t xml:space="preserve"> </w:t>
      </w:r>
      <w:r>
        <w:rPr>
          <w:color w:val="2E5395"/>
          <w:u w:color="2E5395"/>
        </w:rPr>
        <w:t>component:</w:t>
      </w:r>
      <w:r>
        <w:rPr>
          <w:color w:val="2E5395"/>
          <w:spacing w:val="-9"/>
          <w:u w:color="2E5395"/>
        </w:rPr>
        <w:t xml:space="preserve"> </w:t>
      </w:r>
      <w:r>
        <w:rPr>
          <w:color w:val="2E5395"/>
          <w:spacing w:val="-2"/>
          <w:u w:color="2E5395"/>
        </w:rPr>
        <w:t>Cholesterol</w:t>
      </w:r>
    </w:p>
    <w:p w14:paraId="7A4C2DE0" w14:textId="77777777" w:rsidR="00E13D3F" w:rsidRDefault="00FB2D6A">
      <w:pPr>
        <w:pStyle w:val="Heading2"/>
        <w:spacing w:before="72"/>
      </w:pPr>
      <w:r>
        <w:rPr>
          <w:color w:val="2E5395"/>
        </w:rPr>
        <w:t>Background</w:t>
      </w:r>
      <w:r>
        <w:rPr>
          <w:color w:val="2E5395"/>
          <w:spacing w:val="-11"/>
        </w:rPr>
        <w:t xml:space="preserve"> </w:t>
      </w:r>
      <w:r>
        <w:rPr>
          <w:color w:val="2E5395"/>
        </w:rPr>
        <w:t>and</w:t>
      </w:r>
      <w:r>
        <w:rPr>
          <w:color w:val="2E5395"/>
          <w:spacing w:val="-8"/>
        </w:rPr>
        <w:t xml:space="preserve"> </w:t>
      </w:r>
      <w:r>
        <w:rPr>
          <w:color w:val="2E5395"/>
          <w:spacing w:val="-2"/>
        </w:rPr>
        <w:t>Description</w:t>
      </w:r>
    </w:p>
    <w:p w14:paraId="7A4C2DE1" w14:textId="77777777" w:rsidR="00E13D3F" w:rsidRDefault="00FB2D6A">
      <w:pPr>
        <w:pStyle w:val="BodyText"/>
        <w:spacing w:before="23" w:line="276" w:lineRule="auto"/>
        <w:ind w:right="1450"/>
      </w:pPr>
      <w:r>
        <w:t>Abnormal levels of blood lipids are one of the key modifiable risk factors for cardiovascular disease</w:t>
      </w:r>
      <w:r>
        <w:rPr>
          <w:spacing w:val="-1"/>
        </w:rPr>
        <w:t xml:space="preserve"> </w:t>
      </w:r>
      <w:r>
        <w:t>and</w:t>
      </w:r>
      <w:r>
        <w:rPr>
          <w:spacing w:val="-3"/>
        </w:rPr>
        <w:t xml:space="preserve"> </w:t>
      </w:r>
      <w:r>
        <w:t>diabetes.</w:t>
      </w:r>
      <w:r>
        <w:rPr>
          <w:spacing w:val="-3"/>
        </w:rPr>
        <w:t xml:space="preserve"> </w:t>
      </w:r>
      <w:r>
        <w:t>Over</w:t>
      </w:r>
      <w:r>
        <w:rPr>
          <w:spacing w:val="-1"/>
        </w:rPr>
        <w:t xml:space="preserve"> </w:t>
      </w:r>
      <w:r>
        <w:t>8.5</w:t>
      </w:r>
      <w:r>
        <w:rPr>
          <w:spacing w:val="-3"/>
        </w:rPr>
        <w:t xml:space="preserve"> </w:t>
      </w:r>
      <w:r>
        <w:t>million (63%)</w:t>
      </w:r>
      <w:r>
        <w:rPr>
          <w:spacing w:val="-2"/>
        </w:rPr>
        <w:t xml:space="preserve"> </w:t>
      </w:r>
      <w:r>
        <w:t>Australian</w:t>
      </w:r>
      <w:r>
        <w:rPr>
          <w:spacing w:val="-1"/>
        </w:rPr>
        <w:t xml:space="preserve"> </w:t>
      </w:r>
      <w:r>
        <w:t>adults</w:t>
      </w:r>
      <w:r>
        <w:rPr>
          <w:spacing w:val="-4"/>
        </w:rPr>
        <w:t xml:space="preserve"> </w:t>
      </w:r>
      <w:r>
        <w:t>have</w:t>
      </w:r>
      <w:r>
        <w:rPr>
          <w:spacing w:val="-1"/>
        </w:rPr>
        <w:t xml:space="preserve"> </w:t>
      </w:r>
      <w:r>
        <w:t>abnormal</w:t>
      </w:r>
      <w:r>
        <w:rPr>
          <w:spacing w:val="-1"/>
        </w:rPr>
        <w:t xml:space="preserve"> </w:t>
      </w:r>
      <w:r>
        <w:t>levels</w:t>
      </w:r>
      <w:r>
        <w:rPr>
          <w:spacing w:val="-4"/>
        </w:rPr>
        <w:t xml:space="preserve"> </w:t>
      </w:r>
      <w:r>
        <w:t>of</w:t>
      </w:r>
      <w:r>
        <w:rPr>
          <w:spacing w:val="-2"/>
        </w:rPr>
        <w:t xml:space="preserve"> </w:t>
      </w:r>
      <w:r>
        <w:t>blood lipids</w:t>
      </w:r>
      <w:r>
        <w:rPr>
          <w:spacing w:val="-3"/>
        </w:rPr>
        <w:t xml:space="preserve"> </w:t>
      </w:r>
      <w:r>
        <w:t>such</w:t>
      </w:r>
      <w:r>
        <w:rPr>
          <w:spacing w:val="-2"/>
        </w:rPr>
        <w:t xml:space="preserve"> </w:t>
      </w:r>
      <w:r>
        <w:t>as</w:t>
      </w:r>
      <w:r>
        <w:rPr>
          <w:spacing w:val="-5"/>
        </w:rPr>
        <w:t xml:space="preserve"> </w:t>
      </w:r>
      <w:r>
        <w:t>cholesterol.</w:t>
      </w:r>
      <w:r>
        <w:rPr>
          <w:spacing w:val="-4"/>
        </w:rPr>
        <w:t xml:space="preserve"> </w:t>
      </w:r>
      <w:r>
        <w:t>Regular</w:t>
      </w:r>
      <w:r>
        <w:rPr>
          <w:spacing w:val="-2"/>
        </w:rPr>
        <w:t xml:space="preserve"> </w:t>
      </w:r>
      <w:r>
        <w:t>assessment</w:t>
      </w:r>
      <w:r>
        <w:rPr>
          <w:spacing w:val="-4"/>
        </w:rPr>
        <w:t xml:space="preserve"> </w:t>
      </w:r>
      <w:r>
        <w:t>for</w:t>
      </w:r>
      <w:r>
        <w:rPr>
          <w:spacing w:val="-5"/>
        </w:rPr>
        <w:t xml:space="preserve"> </w:t>
      </w:r>
      <w:r>
        <w:t>the</w:t>
      </w:r>
      <w:r>
        <w:rPr>
          <w:spacing w:val="-5"/>
        </w:rPr>
        <w:t xml:space="preserve"> </w:t>
      </w:r>
      <w:r>
        <w:t>presence</w:t>
      </w:r>
      <w:r>
        <w:rPr>
          <w:spacing w:val="-4"/>
        </w:rPr>
        <w:t xml:space="preserve"> </w:t>
      </w:r>
      <w:r>
        <w:t>of</w:t>
      </w:r>
      <w:r>
        <w:rPr>
          <w:spacing w:val="-3"/>
        </w:rPr>
        <w:t xml:space="preserve"> </w:t>
      </w:r>
      <w:r>
        <w:t>abnormal</w:t>
      </w:r>
      <w:r>
        <w:rPr>
          <w:spacing w:val="-2"/>
        </w:rPr>
        <w:t xml:space="preserve"> </w:t>
      </w:r>
      <w:r>
        <w:t>blood</w:t>
      </w:r>
      <w:r>
        <w:rPr>
          <w:spacing w:val="-1"/>
        </w:rPr>
        <w:t xml:space="preserve"> </w:t>
      </w:r>
      <w:r>
        <w:t>lipids</w:t>
      </w:r>
      <w:r>
        <w:rPr>
          <w:spacing w:val="-5"/>
        </w:rPr>
        <w:t xml:space="preserve"> </w:t>
      </w:r>
      <w:r>
        <w:t>may allow earlier identification and management and hence reduce subsequent cardiovascular events. Lipid tests such as cholesterol blood tests is a simple lost-cost test to assess the presence of abnormal blood levels. Cardiovascular risk assessment equations usually use either the Total/HDL cholesterol ratio or the non-HDL cholesterol as more accurate predictors than total cholesterol (1-2).</w:t>
      </w:r>
    </w:p>
    <w:p w14:paraId="7A4C2DE2" w14:textId="77777777" w:rsidR="00E13D3F" w:rsidRDefault="00E13D3F">
      <w:pPr>
        <w:pStyle w:val="BodyText"/>
        <w:spacing w:before="84"/>
        <w:ind w:left="0"/>
      </w:pPr>
    </w:p>
    <w:p w14:paraId="7A4C2DE3" w14:textId="77777777" w:rsidR="00E13D3F" w:rsidRDefault="00FB2D6A">
      <w:pPr>
        <w:pStyle w:val="Heading2"/>
        <w:spacing w:before="1"/>
      </w:pPr>
      <w:r>
        <w:rPr>
          <w:color w:val="2E5395"/>
        </w:rPr>
        <w:t>Evidence</w:t>
      </w:r>
      <w:r>
        <w:rPr>
          <w:color w:val="2E5395"/>
          <w:spacing w:val="-9"/>
        </w:rPr>
        <w:t xml:space="preserve"> </w:t>
      </w:r>
      <w:r>
        <w:rPr>
          <w:color w:val="2E5395"/>
        </w:rPr>
        <w:t>of</w:t>
      </w:r>
      <w:r>
        <w:rPr>
          <w:color w:val="2E5395"/>
          <w:spacing w:val="-10"/>
        </w:rPr>
        <w:t xml:space="preserve"> </w:t>
      </w:r>
      <w:r>
        <w:rPr>
          <w:color w:val="2E5395"/>
          <w:spacing w:val="-2"/>
        </w:rPr>
        <w:t>Effectiveness</w:t>
      </w:r>
    </w:p>
    <w:p w14:paraId="7A4C2DE4" w14:textId="77777777" w:rsidR="00E13D3F" w:rsidRDefault="00FB2D6A">
      <w:pPr>
        <w:pStyle w:val="BodyText"/>
        <w:spacing w:before="25" w:line="276" w:lineRule="auto"/>
        <w:ind w:right="1137"/>
      </w:pPr>
      <w:r>
        <w:t>In 2016, USPSTF published evidence review (AMSTAR rating 7) that addressed several key questions</w:t>
      </w:r>
      <w:r>
        <w:rPr>
          <w:spacing w:val="-5"/>
        </w:rPr>
        <w:t xml:space="preserve"> </w:t>
      </w:r>
      <w:r>
        <w:t>on</w:t>
      </w:r>
      <w:r>
        <w:rPr>
          <w:spacing w:val="-4"/>
        </w:rPr>
        <w:t xml:space="preserve"> </w:t>
      </w:r>
      <w:r>
        <w:t>the</w:t>
      </w:r>
      <w:r>
        <w:rPr>
          <w:spacing w:val="-4"/>
        </w:rPr>
        <w:t xml:space="preserve"> </w:t>
      </w:r>
      <w:r>
        <w:t>benefits</w:t>
      </w:r>
      <w:r>
        <w:rPr>
          <w:spacing w:val="-3"/>
        </w:rPr>
        <w:t xml:space="preserve"> </w:t>
      </w:r>
      <w:r>
        <w:t>and</w:t>
      </w:r>
      <w:r>
        <w:rPr>
          <w:spacing w:val="-4"/>
        </w:rPr>
        <w:t xml:space="preserve"> </w:t>
      </w:r>
      <w:r>
        <w:t>harms</w:t>
      </w:r>
      <w:r>
        <w:rPr>
          <w:spacing w:val="-5"/>
        </w:rPr>
        <w:t xml:space="preserve"> </w:t>
      </w:r>
      <w:r>
        <w:t>of</w:t>
      </w:r>
      <w:r>
        <w:rPr>
          <w:spacing w:val="-4"/>
        </w:rPr>
        <w:t xml:space="preserve"> </w:t>
      </w:r>
      <w:r>
        <w:t>statins</w:t>
      </w:r>
      <w:r>
        <w:rPr>
          <w:spacing w:val="-5"/>
        </w:rPr>
        <w:t xml:space="preserve"> </w:t>
      </w:r>
      <w:r>
        <w:t>therapy</w:t>
      </w:r>
      <w:r>
        <w:rPr>
          <w:spacing w:val="-6"/>
        </w:rPr>
        <w:t xml:space="preserve"> </w:t>
      </w:r>
      <w:r>
        <w:t>for</w:t>
      </w:r>
      <w:r>
        <w:rPr>
          <w:spacing w:val="-4"/>
        </w:rPr>
        <w:t xml:space="preserve"> </w:t>
      </w:r>
      <w:r>
        <w:t>the</w:t>
      </w:r>
      <w:r>
        <w:rPr>
          <w:spacing w:val="-2"/>
        </w:rPr>
        <w:t xml:space="preserve"> </w:t>
      </w:r>
      <w:r>
        <w:t>prevention</w:t>
      </w:r>
      <w:r>
        <w:rPr>
          <w:spacing w:val="-4"/>
        </w:rPr>
        <w:t xml:space="preserve"> </w:t>
      </w:r>
      <w:r>
        <w:t>of</w:t>
      </w:r>
      <w:r>
        <w:rPr>
          <w:spacing w:val="-1"/>
        </w:rPr>
        <w:t xml:space="preserve"> </w:t>
      </w:r>
      <w:r>
        <w:t>cardiovascular disease (CVD) in adults in primary care (3).</w:t>
      </w:r>
    </w:p>
    <w:p w14:paraId="7A4C2DE5" w14:textId="77777777" w:rsidR="00E13D3F" w:rsidRDefault="00E13D3F">
      <w:pPr>
        <w:pStyle w:val="BodyText"/>
        <w:spacing w:before="43"/>
        <w:ind w:left="0"/>
      </w:pPr>
    </w:p>
    <w:p w14:paraId="7A4C2DE6" w14:textId="77777777" w:rsidR="00E13D3F" w:rsidRDefault="00FB2D6A">
      <w:pPr>
        <w:pStyle w:val="BodyText"/>
        <w:spacing w:line="276" w:lineRule="auto"/>
        <w:ind w:right="1450"/>
      </w:pPr>
      <w:r>
        <w:rPr>
          <w:b/>
        </w:rPr>
        <w:t>Direct</w:t>
      </w:r>
      <w:r>
        <w:rPr>
          <w:b/>
          <w:spacing w:val="-3"/>
        </w:rPr>
        <w:t xml:space="preserve"> </w:t>
      </w:r>
      <w:r>
        <w:rPr>
          <w:b/>
        </w:rPr>
        <w:t>Evidence</w:t>
      </w:r>
      <w:r>
        <w:t>:</w:t>
      </w:r>
      <w:r>
        <w:rPr>
          <w:spacing w:val="-3"/>
        </w:rPr>
        <w:t xml:space="preserve"> </w:t>
      </w:r>
      <w:r>
        <w:t>The</w:t>
      </w:r>
      <w:r>
        <w:rPr>
          <w:spacing w:val="-4"/>
        </w:rPr>
        <w:t xml:space="preserve"> </w:t>
      </w:r>
      <w:r>
        <w:t>2016</w:t>
      </w:r>
      <w:r>
        <w:rPr>
          <w:spacing w:val="-1"/>
        </w:rPr>
        <w:t xml:space="preserve"> </w:t>
      </w:r>
      <w:r>
        <w:t>USPSTF</w:t>
      </w:r>
      <w:r>
        <w:rPr>
          <w:spacing w:val="-2"/>
        </w:rPr>
        <w:t xml:space="preserve"> </w:t>
      </w:r>
      <w:r>
        <w:t>review and</w:t>
      </w:r>
      <w:r>
        <w:rPr>
          <w:spacing w:val="-3"/>
        </w:rPr>
        <w:t xml:space="preserve"> </w:t>
      </w:r>
      <w:r>
        <w:t>its</w:t>
      </w:r>
      <w:r>
        <w:rPr>
          <w:spacing w:val="-4"/>
        </w:rPr>
        <w:t xml:space="preserve"> </w:t>
      </w:r>
      <w:r>
        <w:t>previous</w:t>
      </w:r>
      <w:r>
        <w:rPr>
          <w:spacing w:val="-4"/>
        </w:rPr>
        <w:t xml:space="preserve"> </w:t>
      </w:r>
      <w:r>
        <w:t>versions</w:t>
      </w:r>
      <w:r>
        <w:rPr>
          <w:spacing w:val="-2"/>
        </w:rPr>
        <w:t xml:space="preserve"> </w:t>
      </w:r>
      <w:r>
        <w:t>(2008</w:t>
      </w:r>
      <w:r>
        <w:rPr>
          <w:spacing w:val="-3"/>
        </w:rPr>
        <w:t xml:space="preserve"> </w:t>
      </w:r>
      <w:r>
        <w:t>and</w:t>
      </w:r>
      <w:r>
        <w:rPr>
          <w:spacing w:val="-3"/>
        </w:rPr>
        <w:t xml:space="preserve"> </w:t>
      </w:r>
      <w:r>
        <w:t>2001)</w:t>
      </w:r>
      <w:r>
        <w:rPr>
          <w:spacing w:val="-2"/>
        </w:rPr>
        <w:t xml:space="preserve"> </w:t>
      </w:r>
      <w:r>
        <w:t xml:space="preserve">could not identify any RCTs that directly evaluated the benefits and harms of cholesterol assessment in primary care (4-5). Therefore, the main evidence underpinning the recent 2016 USPSTF recommendations derived from </w:t>
      </w:r>
      <w:r>
        <w:rPr>
          <w:i/>
        </w:rPr>
        <w:t xml:space="preserve">the </w:t>
      </w:r>
      <w:r>
        <w:t xml:space="preserve">indirect or </w:t>
      </w:r>
      <w:r>
        <w:rPr>
          <w:i/>
        </w:rPr>
        <w:t xml:space="preserve">‘linked’ </w:t>
      </w:r>
      <w:r>
        <w:t>evidence on the effectiveness of treating screened adults to reduce CVD in primary care.</w:t>
      </w:r>
    </w:p>
    <w:p w14:paraId="7A4C2DE7" w14:textId="77777777" w:rsidR="00E13D3F" w:rsidRDefault="00E13D3F">
      <w:pPr>
        <w:pStyle w:val="BodyText"/>
        <w:spacing w:before="46"/>
        <w:ind w:left="0"/>
      </w:pPr>
    </w:p>
    <w:p w14:paraId="7A4C2DE8" w14:textId="77777777" w:rsidR="00E13D3F" w:rsidRDefault="00FB2D6A">
      <w:pPr>
        <w:pStyle w:val="BodyText"/>
        <w:spacing w:line="276" w:lineRule="auto"/>
        <w:ind w:right="1450"/>
      </w:pPr>
      <w:r>
        <w:rPr>
          <w:b/>
        </w:rPr>
        <w:t>Linked</w:t>
      </w:r>
      <w:r>
        <w:rPr>
          <w:b/>
          <w:spacing w:val="-2"/>
        </w:rPr>
        <w:t xml:space="preserve"> </w:t>
      </w:r>
      <w:r>
        <w:rPr>
          <w:b/>
        </w:rPr>
        <w:t>Evidence</w:t>
      </w:r>
      <w:r>
        <w:t>:</w:t>
      </w:r>
      <w:r>
        <w:rPr>
          <w:spacing w:val="-3"/>
        </w:rPr>
        <w:t xml:space="preserve"> </w:t>
      </w:r>
      <w:r>
        <w:t>The</w:t>
      </w:r>
      <w:r>
        <w:rPr>
          <w:spacing w:val="-3"/>
        </w:rPr>
        <w:t xml:space="preserve"> </w:t>
      </w:r>
      <w:r>
        <w:t>Cholesterol</w:t>
      </w:r>
      <w:r>
        <w:rPr>
          <w:spacing w:val="-3"/>
        </w:rPr>
        <w:t xml:space="preserve"> </w:t>
      </w:r>
      <w:r>
        <w:t>Treatment</w:t>
      </w:r>
      <w:r>
        <w:rPr>
          <w:spacing w:val="-3"/>
        </w:rPr>
        <w:t xml:space="preserve"> </w:t>
      </w:r>
      <w:r>
        <w:t>Trialists’</w:t>
      </w:r>
      <w:r>
        <w:rPr>
          <w:spacing w:val="-4"/>
        </w:rPr>
        <w:t xml:space="preserve"> </w:t>
      </w:r>
      <w:r>
        <w:t>Collaboration</w:t>
      </w:r>
      <w:r>
        <w:rPr>
          <w:spacing w:val="-4"/>
        </w:rPr>
        <w:t xml:space="preserve"> </w:t>
      </w:r>
      <w:r>
        <w:t>individual</w:t>
      </w:r>
      <w:r>
        <w:rPr>
          <w:spacing w:val="-6"/>
        </w:rPr>
        <w:t xml:space="preserve"> </w:t>
      </w:r>
      <w:r>
        <w:t>patient</w:t>
      </w:r>
      <w:r>
        <w:rPr>
          <w:spacing w:val="-3"/>
        </w:rPr>
        <w:t xml:space="preserve"> </w:t>
      </w:r>
      <w:r>
        <w:t>meta-analysis of 27 RCTs of lipid lowering medications included 174,000 participants mostly detected through screening or regular assessment with a median of 4.9 years of follow-up duration. This meta-analysis found that lipid lowering treatment is associated with a statistically significant reduction of 21% in major cardiovascular events per 1.0 mmol/L LDL cholesterol reduction (rate ratio [RR] 0.79, 95%CI 0.77 to 0.81; p&lt;0.0001). The relative risk reductions in major cardiovascular events were consistent across different cardiovascular risk and previous history of CVD at baseline (</w:t>
      </w:r>
      <w:r>
        <w:rPr>
          <w:b/>
        </w:rPr>
        <w:t>Table 3.1</w:t>
      </w:r>
      <w:r>
        <w:t>). They also found a 10% relative risk reduction in all-cause mortality per 1.0 mmol/L reduction in LDL (RR 0.90, 95%CI 0.87 to 0.93; p&lt;0.0001). Of note is the increase in the absolute risk reduction across the 4 baseline CVD risk strata.</w:t>
      </w:r>
    </w:p>
    <w:p w14:paraId="7A4C2DE9" w14:textId="77777777" w:rsidR="00E13D3F" w:rsidRDefault="00E13D3F">
      <w:pPr>
        <w:pStyle w:val="BodyText"/>
        <w:spacing w:line="276" w:lineRule="auto"/>
        <w:sectPr w:rsidR="00E13D3F">
          <w:pgSz w:w="11910" w:h="16840"/>
          <w:pgMar w:top="1400" w:right="0" w:bottom="1200" w:left="0" w:header="0" w:footer="1000" w:gutter="0"/>
          <w:cols w:space="720"/>
        </w:sectPr>
      </w:pPr>
    </w:p>
    <w:p w14:paraId="7A4C2DEA" w14:textId="77777777" w:rsidR="00E13D3F" w:rsidRDefault="00FB2D6A">
      <w:pPr>
        <w:spacing w:before="41"/>
        <w:ind w:left="1440"/>
      </w:pPr>
      <w:r>
        <w:rPr>
          <w:b/>
        </w:rPr>
        <w:lastRenderedPageBreak/>
        <w:t>Table</w:t>
      </w:r>
      <w:r>
        <w:rPr>
          <w:b/>
          <w:spacing w:val="-6"/>
        </w:rPr>
        <w:t xml:space="preserve"> </w:t>
      </w:r>
      <w:r>
        <w:rPr>
          <w:b/>
        </w:rPr>
        <w:t>3.1</w:t>
      </w:r>
      <w:r>
        <w:t>.</w:t>
      </w:r>
      <w:r>
        <w:rPr>
          <w:spacing w:val="-3"/>
        </w:rPr>
        <w:t xml:space="preserve"> </w:t>
      </w:r>
      <w:r>
        <w:t>Summary</w:t>
      </w:r>
      <w:r>
        <w:rPr>
          <w:spacing w:val="-5"/>
        </w:rPr>
        <w:t xml:space="preserve"> </w:t>
      </w:r>
      <w:r>
        <w:t>of</w:t>
      </w:r>
      <w:r>
        <w:rPr>
          <w:spacing w:val="-6"/>
        </w:rPr>
        <w:t xml:space="preserve"> </w:t>
      </w:r>
      <w:r>
        <w:t>the</w:t>
      </w:r>
      <w:r>
        <w:rPr>
          <w:spacing w:val="-5"/>
        </w:rPr>
        <w:t xml:space="preserve"> </w:t>
      </w:r>
      <w:r>
        <w:t>evidence</w:t>
      </w:r>
      <w:r>
        <w:rPr>
          <w:spacing w:val="-5"/>
        </w:rPr>
        <w:t xml:space="preserve"> </w:t>
      </w:r>
      <w:r>
        <w:t>of</w:t>
      </w:r>
      <w:r>
        <w:rPr>
          <w:spacing w:val="-3"/>
        </w:rPr>
        <w:t xml:space="preserve"> </w:t>
      </w:r>
      <w:r>
        <w:t>the</w:t>
      </w:r>
      <w:r>
        <w:rPr>
          <w:spacing w:val="-5"/>
        </w:rPr>
        <w:t xml:space="preserve"> </w:t>
      </w:r>
      <w:r>
        <w:t>benefits</w:t>
      </w:r>
      <w:r>
        <w:rPr>
          <w:spacing w:val="-3"/>
        </w:rPr>
        <w:t xml:space="preserve"> </w:t>
      </w:r>
      <w:r>
        <w:t>and</w:t>
      </w:r>
      <w:r>
        <w:rPr>
          <w:spacing w:val="-4"/>
        </w:rPr>
        <w:t xml:space="preserve"> </w:t>
      </w:r>
      <w:r>
        <w:t>harms</w:t>
      </w:r>
      <w:r>
        <w:rPr>
          <w:spacing w:val="-5"/>
        </w:rPr>
        <w:t xml:space="preserve"> </w:t>
      </w:r>
      <w:r>
        <w:t>of</w:t>
      </w:r>
      <w:r>
        <w:rPr>
          <w:spacing w:val="-3"/>
        </w:rPr>
        <w:t xml:space="preserve"> </w:t>
      </w:r>
      <w:r>
        <w:t>lipid</w:t>
      </w:r>
      <w:r>
        <w:rPr>
          <w:spacing w:val="-5"/>
        </w:rPr>
        <w:t xml:space="preserve"> </w:t>
      </w:r>
      <w:r>
        <w:t>lowering</w:t>
      </w:r>
      <w:r>
        <w:rPr>
          <w:spacing w:val="-5"/>
        </w:rPr>
        <w:t xml:space="preserve"> </w:t>
      </w:r>
      <w:r>
        <w:t>medications</w:t>
      </w:r>
      <w:r>
        <w:rPr>
          <w:spacing w:val="-5"/>
        </w:rPr>
        <w:t xml:space="preserve"> in</w:t>
      </w:r>
    </w:p>
    <w:p w14:paraId="7A4C2DEB" w14:textId="77777777" w:rsidR="00E13D3F" w:rsidRDefault="00FB2D6A">
      <w:pPr>
        <w:ind w:left="1440"/>
      </w:pPr>
      <w:r>
        <w:t>primary</w:t>
      </w:r>
      <w:r>
        <w:rPr>
          <w:spacing w:val="-4"/>
        </w:rPr>
        <w:t xml:space="preserve"> </w:t>
      </w:r>
      <w:r>
        <w:t>care</w:t>
      </w:r>
      <w:r>
        <w:rPr>
          <w:spacing w:val="-5"/>
        </w:rPr>
        <w:t xml:space="preserve"> </w:t>
      </w:r>
      <w:r>
        <w:t>(‘</w:t>
      </w:r>
      <w:r>
        <w:rPr>
          <w:i/>
        </w:rPr>
        <w:t>linked</w:t>
      </w:r>
      <w:r>
        <w:rPr>
          <w:i/>
          <w:spacing w:val="-4"/>
        </w:rPr>
        <w:t xml:space="preserve"> </w:t>
      </w:r>
      <w:r>
        <w:rPr>
          <w:i/>
          <w:spacing w:val="-2"/>
        </w:rPr>
        <w:t>evidence</w:t>
      </w:r>
      <w:r>
        <w:rPr>
          <w:spacing w:val="-2"/>
        </w:rPr>
        <w:t>’)</w:t>
      </w:r>
    </w:p>
    <w:tbl>
      <w:tblPr>
        <w:tblW w:w="0" w:type="auto"/>
        <w:tblInd w:w="145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1980"/>
        <w:gridCol w:w="1755"/>
        <w:gridCol w:w="1757"/>
        <w:gridCol w:w="1754"/>
        <w:gridCol w:w="1769"/>
      </w:tblGrid>
      <w:tr w:rsidR="00E13D3F" w14:paraId="7A4C2DF5" w14:textId="77777777">
        <w:trPr>
          <w:trHeight w:val="731"/>
        </w:trPr>
        <w:tc>
          <w:tcPr>
            <w:tcW w:w="1980" w:type="dxa"/>
          </w:tcPr>
          <w:p w14:paraId="7A4C2DEC" w14:textId="77777777" w:rsidR="00E13D3F" w:rsidRDefault="00E13D3F">
            <w:pPr>
              <w:pStyle w:val="TableParagraph"/>
              <w:rPr>
                <w:rFonts w:ascii="Times New Roman"/>
                <w:sz w:val="18"/>
              </w:rPr>
            </w:pPr>
          </w:p>
        </w:tc>
        <w:tc>
          <w:tcPr>
            <w:tcW w:w="1755" w:type="dxa"/>
          </w:tcPr>
          <w:p w14:paraId="7A4C2DED" w14:textId="77777777" w:rsidR="00E13D3F" w:rsidRDefault="00FB2D6A">
            <w:pPr>
              <w:pStyle w:val="TableParagraph"/>
              <w:spacing w:before="1" w:line="243" w:lineRule="exact"/>
              <w:ind w:left="357"/>
              <w:rPr>
                <w:b/>
                <w:sz w:val="20"/>
              </w:rPr>
            </w:pPr>
            <w:r>
              <w:rPr>
                <w:b/>
                <w:spacing w:val="-2"/>
                <w:sz w:val="20"/>
              </w:rPr>
              <w:t>Intervention</w:t>
            </w:r>
          </w:p>
          <w:p w14:paraId="7A4C2DEE" w14:textId="77777777" w:rsidR="00E13D3F" w:rsidRDefault="00FB2D6A">
            <w:pPr>
              <w:pStyle w:val="TableParagraph"/>
              <w:spacing w:line="243" w:lineRule="exact"/>
              <w:ind w:left="261"/>
              <w:rPr>
                <w:sz w:val="20"/>
              </w:rPr>
            </w:pPr>
            <w:r>
              <w:rPr>
                <w:sz w:val="20"/>
              </w:rPr>
              <w:t>(Statin</w:t>
            </w:r>
            <w:r>
              <w:rPr>
                <w:spacing w:val="-5"/>
                <w:sz w:val="20"/>
              </w:rPr>
              <w:t xml:space="preserve"> </w:t>
            </w:r>
            <w:r>
              <w:rPr>
                <w:sz w:val="20"/>
              </w:rPr>
              <w:t>or</w:t>
            </w:r>
            <w:r>
              <w:rPr>
                <w:spacing w:val="-4"/>
                <w:sz w:val="20"/>
              </w:rPr>
              <w:t xml:space="preserve"> more</w:t>
            </w:r>
          </w:p>
          <w:p w14:paraId="7A4C2DEF" w14:textId="77777777" w:rsidR="00E13D3F" w:rsidRDefault="00FB2D6A">
            <w:pPr>
              <w:pStyle w:val="TableParagraph"/>
              <w:spacing w:before="1" w:line="223" w:lineRule="exact"/>
              <w:ind w:left="456"/>
              <w:rPr>
                <w:sz w:val="20"/>
              </w:rPr>
            </w:pPr>
            <w:r>
              <w:rPr>
                <w:spacing w:val="-2"/>
                <w:sz w:val="20"/>
              </w:rPr>
              <w:t>intensive)</w:t>
            </w:r>
          </w:p>
        </w:tc>
        <w:tc>
          <w:tcPr>
            <w:tcW w:w="1757" w:type="dxa"/>
          </w:tcPr>
          <w:p w14:paraId="7A4C2DF0" w14:textId="77777777" w:rsidR="00E13D3F" w:rsidRDefault="00FB2D6A">
            <w:pPr>
              <w:pStyle w:val="TableParagraph"/>
              <w:spacing w:before="1" w:line="243" w:lineRule="exact"/>
              <w:ind w:left="43" w:right="37"/>
              <w:jc w:val="center"/>
              <w:rPr>
                <w:b/>
                <w:sz w:val="20"/>
              </w:rPr>
            </w:pPr>
            <w:r>
              <w:rPr>
                <w:b/>
                <w:spacing w:val="-2"/>
                <w:sz w:val="20"/>
              </w:rPr>
              <w:t>Comparator</w:t>
            </w:r>
          </w:p>
          <w:p w14:paraId="7A4C2DF1" w14:textId="77777777" w:rsidR="00E13D3F" w:rsidRDefault="00FB2D6A">
            <w:pPr>
              <w:pStyle w:val="TableParagraph"/>
              <w:spacing w:line="243" w:lineRule="exact"/>
              <w:ind w:left="38" w:right="37"/>
              <w:jc w:val="center"/>
              <w:rPr>
                <w:sz w:val="20"/>
              </w:rPr>
            </w:pPr>
            <w:r>
              <w:rPr>
                <w:sz w:val="20"/>
              </w:rPr>
              <w:t>(Control</w:t>
            </w:r>
            <w:r>
              <w:rPr>
                <w:spacing w:val="-8"/>
                <w:sz w:val="20"/>
              </w:rPr>
              <w:t xml:space="preserve"> </w:t>
            </w:r>
            <w:r>
              <w:rPr>
                <w:sz w:val="20"/>
              </w:rPr>
              <w:t>or</w:t>
            </w:r>
            <w:r>
              <w:rPr>
                <w:spacing w:val="-7"/>
                <w:sz w:val="20"/>
              </w:rPr>
              <w:t xml:space="preserve"> </w:t>
            </w:r>
            <w:r>
              <w:rPr>
                <w:spacing w:val="-4"/>
                <w:sz w:val="20"/>
              </w:rPr>
              <w:t>less</w:t>
            </w:r>
          </w:p>
          <w:p w14:paraId="7A4C2DF2" w14:textId="77777777" w:rsidR="00E13D3F" w:rsidRDefault="00FB2D6A">
            <w:pPr>
              <w:pStyle w:val="TableParagraph"/>
              <w:spacing w:before="1" w:line="223" w:lineRule="exact"/>
              <w:ind w:left="6" w:right="43"/>
              <w:jc w:val="center"/>
              <w:rPr>
                <w:sz w:val="20"/>
              </w:rPr>
            </w:pPr>
            <w:r>
              <w:rPr>
                <w:spacing w:val="-2"/>
                <w:sz w:val="20"/>
              </w:rPr>
              <w:t>intensive)</w:t>
            </w:r>
          </w:p>
        </w:tc>
        <w:tc>
          <w:tcPr>
            <w:tcW w:w="1754" w:type="dxa"/>
          </w:tcPr>
          <w:p w14:paraId="7A4C2DF3" w14:textId="77777777" w:rsidR="00E13D3F" w:rsidRDefault="00FB2D6A">
            <w:pPr>
              <w:pStyle w:val="TableParagraph"/>
              <w:spacing w:before="243"/>
              <w:ind w:left="249"/>
              <w:rPr>
                <w:b/>
                <w:sz w:val="20"/>
              </w:rPr>
            </w:pPr>
            <w:r>
              <w:rPr>
                <w:b/>
                <w:sz w:val="20"/>
              </w:rPr>
              <w:t>RRR</w:t>
            </w:r>
            <w:r>
              <w:rPr>
                <w:b/>
                <w:spacing w:val="-3"/>
                <w:sz w:val="20"/>
              </w:rPr>
              <w:t xml:space="preserve"> </w:t>
            </w:r>
            <w:r>
              <w:rPr>
                <w:b/>
                <w:sz w:val="20"/>
              </w:rPr>
              <w:t>%</w:t>
            </w:r>
            <w:r>
              <w:rPr>
                <w:b/>
                <w:spacing w:val="-2"/>
                <w:sz w:val="20"/>
              </w:rPr>
              <w:t xml:space="preserve"> </w:t>
            </w:r>
            <w:r>
              <w:rPr>
                <w:b/>
                <w:sz w:val="20"/>
              </w:rPr>
              <w:t>(95%</w:t>
            </w:r>
            <w:r>
              <w:rPr>
                <w:b/>
                <w:spacing w:val="-3"/>
                <w:sz w:val="20"/>
              </w:rPr>
              <w:t xml:space="preserve"> </w:t>
            </w:r>
            <w:r>
              <w:rPr>
                <w:b/>
                <w:spacing w:val="-5"/>
                <w:sz w:val="20"/>
              </w:rPr>
              <w:t>CI)</w:t>
            </w:r>
          </w:p>
        </w:tc>
        <w:tc>
          <w:tcPr>
            <w:tcW w:w="1769" w:type="dxa"/>
          </w:tcPr>
          <w:p w14:paraId="7A4C2DF4" w14:textId="77777777" w:rsidR="00E13D3F" w:rsidRDefault="00FB2D6A">
            <w:pPr>
              <w:pStyle w:val="TableParagraph"/>
              <w:spacing w:before="243"/>
              <w:ind w:left="10" w:right="2"/>
              <w:jc w:val="center"/>
              <w:rPr>
                <w:b/>
                <w:sz w:val="20"/>
              </w:rPr>
            </w:pPr>
            <w:r>
              <w:rPr>
                <w:b/>
                <w:sz w:val="20"/>
              </w:rPr>
              <w:t>ARR</w:t>
            </w:r>
            <w:r>
              <w:rPr>
                <w:b/>
                <w:spacing w:val="-2"/>
                <w:sz w:val="20"/>
              </w:rPr>
              <w:t xml:space="preserve"> </w:t>
            </w:r>
            <w:r>
              <w:rPr>
                <w:b/>
                <w:sz w:val="20"/>
              </w:rPr>
              <w:t>%</w:t>
            </w:r>
            <w:r>
              <w:rPr>
                <w:b/>
                <w:spacing w:val="-3"/>
                <w:sz w:val="20"/>
              </w:rPr>
              <w:t xml:space="preserve"> </w:t>
            </w:r>
            <w:r>
              <w:rPr>
                <w:b/>
                <w:sz w:val="20"/>
              </w:rPr>
              <w:t>at</w:t>
            </w:r>
            <w:r>
              <w:rPr>
                <w:b/>
                <w:spacing w:val="-2"/>
                <w:sz w:val="20"/>
              </w:rPr>
              <w:t xml:space="preserve"> </w:t>
            </w:r>
            <w:r>
              <w:rPr>
                <w:b/>
                <w:sz w:val="20"/>
              </w:rPr>
              <w:t>4.9</w:t>
            </w:r>
            <w:r>
              <w:rPr>
                <w:b/>
                <w:spacing w:val="-4"/>
                <w:sz w:val="20"/>
              </w:rPr>
              <w:t xml:space="preserve"> </w:t>
            </w:r>
            <w:r>
              <w:rPr>
                <w:b/>
                <w:spacing w:val="-2"/>
                <w:sz w:val="20"/>
              </w:rPr>
              <w:t>years</w:t>
            </w:r>
          </w:p>
        </w:tc>
      </w:tr>
      <w:tr w:rsidR="00E13D3F" w14:paraId="7A4C2DFE" w14:textId="77777777">
        <w:trPr>
          <w:trHeight w:val="652"/>
        </w:trPr>
        <w:tc>
          <w:tcPr>
            <w:tcW w:w="1980" w:type="dxa"/>
            <w:shd w:val="clear" w:color="auto" w:fill="F1F1F1"/>
          </w:tcPr>
          <w:p w14:paraId="7A4C2DF6" w14:textId="77777777" w:rsidR="00E13D3F" w:rsidRDefault="00FB2D6A">
            <w:pPr>
              <w:pStyle w:val="TableParagraph"/>
              <w:spacing w:before="83"/>
              <w:ind w:left="107" w:right="460"/>
              <w:rPr>
                <w:b/>
                <w:sz w:val="20"/>
              </w:rPr>
            </w:pPr>
            <w:r>
              <w:rPr>
                <w:b/>
                <w:sz w:val="20"/>
              </w:rPr>
              <w:t>Overall</w:t>
            </w:r>
            <w:r>
              <w:rPr>
                <w:b/>
                <w:spacing w:val="-12"/>
                <w:sz w:val="20"/>
              </w:rPr>
              <w:t xml:space="preserve"> </w:t>
            </w:r>
            <w:r>
              <w:rPr>
                <w:b/>
                <w:sz w:val="20"/>
              </w:rPr>
              <w:t xml:space="preserve">All-cause </w:t>
            </w:r>
            <w:r>
              <w:rPr>
                <w:b/>
                <w:spacing w:val="-2"/>
                <w:sz w:val="20"/>
              </w:rPr>
              <w:t>mortality</w:t>
            </w:r>
          </w:p>
        </w:tc>
        <w:tc>
          <w:tcPr>
            <w:tcW w:w="1755" w:type="dxa"/>
            <w:shd w:val="clear" w:color="auto" w:fill="F1F1F1"/>
          </w:tcPr>
          <w:p w14:paraId="7A4C2DF7" w14:textId="77777777" w:rsidR="00E13D3F" w:rsidRDefault="00FB2D6A">
            <w:pPr>
              <w:pStyle w:val="TableParagraph"/>
              <w:spacing w:before="83"/>
              <w:ind w:left="9" w:right="2"/>
              <w:jc w:val="center"/>
              <w:rPr>
                <w:b/>
                <w:sz w:val="20"/>
              </w:rPr>
            </w:pPr>
            <w:r>
              <w:rPr>
                <w:b/>
                <w:spacing w:val="-4"/>
                <w:sz w:val="20"/>
              </w:rPr>
              <w:t>8370</w:t>
            </w:r>
          </w:p>
          <w:p w14:paraId="7A4C2DF8" w14:textId="77777777" w:rsidR="00E13D3F" w:rsidRDefault="00FB2D6A">
            <w:pPr>
              <w:pStyle w:val="TableParagraph"/>
              <w:ind w:left="9"/>
              <w:jc w:val="center"/>
              <w:rPr>
                <w:b/>
                <w:sz w:val="20"/>
              </w:rPr>
            </w:pPr>
            <w:r>
              <w:rPr>
                <w:b/>
                <w:spacing w:val="-2"/>
                <w:sz w:val="20"/>
              </w:rPr>
              <w:t>(2.3%)</w:t>
            </w:r>
          </w:p>
        </w:tc>
        <w:tc>
          <w:tcPr>
            <w:tcW w:w="1757" w:type="dxa"/>
            <w:shd w:val="clear" w:color="auto" w:fill="F1F1F1"/>
          </w:tcPr>
          <w:p w14:paraId="7A4C2DF9" w14:textId="77777777" w:rsidR="00E13D3F" w:rsidRDefault="00FB2D6A">
            <w:pPr>
              <w:pStyle w:val="TableParagraph"/>
              <w:spacing w:before="83"/>
              <w:ind w:left="41" w:right="37"/>
              <w:jc w:val="center"/>
              <w:rPr>
                <w:b/>
                <w:sz w:val="20"/>
              </w:rPr>
            </w:pPr>
            <w:r>
              <w:rPr>
                <w:b/>
                <w:spacing w:val="-4"/>
                <w:sz w:val="20"/>
              </w:rPr>
              <w:t>9087</w:t>
            </w:r>
          </w:p>
          <w:p w14:paraId="7A4C2DFA" w14:textId="77777777" w:rsidR="00E13D3F" w:rsidRDefault="00FB2D6A">
            <w:pPr>
              <w:pStyle w:val="TableParagraph"/>
              <w:ind w:left="43" w:right="37"/>
              <w:jc w:val="center"/>
              <w:rPr>
                <w:b/>
                <w:sz w:val="20"/>
              </w:rPr>
            </w:pPr>
            <w:r>
              <w:rPr>
                <w:b/>
                <w:spacing w:val="-2"/>
                <w:sz w:val="20"/>
              </w:rPr>
              <w:t>(2.5%)</w:t>
            </w:r>
          </w:p>
        </w:tc>
        <w:tc>
          <w:tcPr>
            <w:tcW w:w="1754" w:type="dxa"/>
            <w:shd w:val="clear" w:color="auto" w:fill="F1F1F1"/>
          </w:tcPr>
          <w:p w14:paraId="7A4C2DFB" w14:textId="77777777" w:rsidR="00E13D3F" w:rsidRDefault="00FB2D6A">
            <w:pPr>
              <w:pStyle w:val="TableParagraph"/>
              <w:spacing w:before="83"/>
              <w:ind w:left="9" w:right="1"/>
              <w:jc w:val="center"/>
              <w:rPr>
                <w:b/>
                <w:sz w:val="20"/>
              </w:rPr>
            </w:pPr>
            <w:r>
              <w:rPr>
                <w:b/>
                <w:spacing w:val="-5"/>
                <w:sz w:val="20"/>
              </w:rPr>
              <w:t>9%</w:t>
            </w:r>
          </w:p>
          <w:p w14:paraId="7A4C2DFC" w14:textId="77777777" w:rsidR="00E13D3F" w:rsidRDefault="00FB2D6A">
            <w:pPr>
              <w:pStyle w:val="TableParagraph"/>
              <w:ind w:left="9"/>
              <w:jc w:val="center"/>
              <w:rPr>
                <w:b/>
                <w:sz w:val="20"/>
              </w:rPr>
            </w:pPr>
            <w:r>
              <w:rPr>
                <w:b/>
                <w:sz w:val="20"/>
              </w:rPr>
              <w:t>(7%</w:t>
            </w:r>
            <w:r>
              <w:rPr>
                <w:b/>
                <w:spacing w:val="-1"/>
                <w:sz w:val="20"/>
              </w:rPr>
              <w:t xml:space="preserve"> </w:t>
            </w:r>
            <w:r>
              <w:rPr>
                <w:b/>
                <w:sz w:val="20"/>
              </w:rPr>
              <w:t>-</w:t>
            </w:r>
            <w:r>
              <w:rPr>
                <w:b/>
                <w:spacing w:val="-3"/>
                <w:sz w:val="20"/>
              </w:rPr>
              <w:t xml:space="preserve"> </w:t>
            </w:r>
            <w:r>
              <w:rPr>
                <w:b/>
                <w:spacing w:val="-4"/>
                <w:sz w:val="20"/>
              </w:rPr>
              <w:t>12%)</w:t>
            </w:r>
          </w:p>
        </w:tc>
        <w:tc>
          <w:tcPr>
            <w:tcW w:w="1769" w:type="dxa"/>
            <w:shd w:val="clear" w:color="auto" w:fill="F1F1F1"/>
          </w:tcPr>
          <w:p w14:paraId="7A4C2DFD" w14:textId="77777777" w:rsidR="00E13D3F" w:rsidRDefault="00FB2D6A">
            <w:pPr>
              <w:pStyle w:val="TableParagraph"/>
              <w:spacing w:before="205"/>
              <w:ind w:left="10"/>
              <w:jc w:val="center"/>
              <w:rPr>
                <w:b/>
                <w:sz w:val="20"/>
              </w:rPr>
            </w:pPr>
            <w:r>
              <w:rPr>
                <w:b/>
                <w:spacing w:val="-4"/>
                <w:sz w:val="20"/>
              </w:rPr>
              <w:t>0.2%</w:t>
            </w:r>
          </w:p>
        </w:tc>
      </w:tr>
      <w:tr w:rsidR="00E13D3F" w14:paraId="7A4C2E08" w14:textId="77777777">
        <w:trPr>
          <w:trHeight w:val="880"/>
        </w:trPr>
        <w:tc>
          <w:tcPr>
            <w:tcW w:w="1980" w:type="dxa"/>
          </w:tcPr>
          <w:p w14:paraId="7A4C2DFF" w14:textId="77777777" w:rsidR="00E13D3F" w:rsidRDefault="00FB2D6A">
            <w:pPr>
              <w:pStyle w:val="TableParagraph"/>
              <w:spacing w:before="75"/>
              <w:ind w:left="107" w:right="662"/>
              <w:jc w:val="both"/>
              <w:rPr>
                <w:b/>
                <w:sz w:val="20"/>
              </w:rPr>
            </w:pPr>
            <w:r>
              <w:rPr>
                <w:b/>
                <w:sz w:val="20"/>
              </w:rPr>
              <w:t xml:space="preserve">Overall Major </w:t>
            </w:r>
            <w:r>
              <w:rPr>
                <w:b/>
                <w:spacing w:val="-2"/>
                <w:sz w:val="20"/>
              </w:rPr>
              <w:t>cardiovascular events</w:t>
            </w:r>
          </w:p>
        </w:tc>
        <w:tc>
          <w:tcPr>
            <w:tcW w:w="1755" w:type="dxa"/>
          </w:tcPr>
          <w:p w14:paraId="7A4C2E00" w14:textId="77777777" w:rsidR="00E13D3F" w:rsidRDefault="00FB2D6A">
            <w:pPr>
              <w:pStyle w:val="TableParagraph"/>
              <w:spacing w:before="195"/>
              <w:ind w:left="9" w:right="2"/>
              <w:jc w:val="center"/>
              <w:rPr>
                <w:b/>
                <w:sz w:val="20"/>
              </w:rPr>
            </w:pPr>
            <w:r>
              <w:rPr>
                <w:b/>
                <w:spacing w:val="-2"/>
                <w:sz w:val="20"/>
              </w:rPr>
              <w:t>11284</w:t>
            </w:r>
          </w:p>
          <w:p w14:paraId="7A4C2E01" w14:textId="77777777" w:rsidR="00E13D3F" w:rsidRDefault="00FB2D6A">
            <w:pPr>
              <w:pStyle w:val="TableParagraph"/>
              <w:spacing w:before="1"/>
              <w:ind w:left="9"/>
              <w:jc w:val="center"/>
              <w:rPr>
                <w:b/>
                <w:sz w:val="20"/>
              </w:rPr>
            </w:pPr>
            <w:r>
              <w:rPr>
                <w:b/>
                <w:spacing w:val="-2"/>
                <w:sz w:val="20"/>
              </w:rPr>
              <w:t>(3.3%)</w:t>
            </w:r>
          </w:p>
        </w:tc>
        <w:tc>
          <w:tcPr>
            <w:tcW w:w="1757" w:type="dxa"/>
          </w:tcPr>
          <w:p w14:paraId="7A4C2E02" w14:textId="77777777" w:rsidR="00E13D3F" w:rsidRDefault="00FB2D6A">
            <w:pPr>
              <w:pStyle w:val="TableParagraph"/>
              <w:spacing w:before="195"/>
              <w:ind w:left="41" w:right="37"/>
              <w:jc w:val="center"/>
              <w:rPr>
                <w:b/>
                <w:sz w:val="20"/>
              </w:rPr>
            </w:pPr>
            <w:r>
              <w:rPr>
                <w:b/>
                <w:spacing w:val="-2"/>
                <w:sz w:val="20"/>
              </w:rPr>
              <w:t>13673</w:t>
            </w:r>
          </w:p>
          <w:p w14:paraId="7A4C2E03" w14:textId="77777777" w:rsidR="00E13D3F" w:rsidRDefault="00FB2D6A">
            <w:pPr>
              <w:pStyle w:val="TableParagraph"/>
              <w:spacing w:before="1"/>
              <w:ind w:left="43" w:right="37"/>
              <w:jc w:val="center"/>
              <w:rPr>
                <w:b/>
                <w:sz w:val="20"/>
              </w:rPr>
            </w:pPr>
            <w:r>
              <w:rPr>
                <w:b/>
                <w:spacing w:val="-2"/>
                <w:sz w:val="20"/>
              </w:rPr>
              <w:t>(4.0%)</w:t>
            </w:r>
          </w:p>
        </w:tc>
        <w:tc>
          <w:tcPr>
            <w:tcW w:w="1754" w:type="dxa"/>
          </w:tcPr>
          <w:p w14:paraId="7A4C2E04" w14:textId="77777777" w:rsidR="00E13D3F" w:rsidRDefault="00FB2D6A">
            <w:pPr>
              <w:pStyle w:val="TableParagraph"/>
              <w:spacing w:before="195"/>
              <w:ind w:left="9" w:right="1"/>
              <w:jc w:val="center"/>
              <w:rPr>
                <w:b/>
                <w:sz w:val="20"/>
              </w:rPr>
            </w:pPr>
            <w:r>
              <w:rPr>
                <w:b/>
                <w:spacing w:val="-5"/>
                <w:sz w:val="20"/>
              </w:rPr>
              <w:t>21%</w:t>
            </w:r>
          </w:p>
          <w:p w14:paraId="7A4C2E05" w14:textId="77777777" w:rsidR="00E13D3F" w:rsidRDefault="00FB2D6A">
            <w:pPr>
              <w:pStyle w:val="TableParagraph"/>
              <w:spacing w:before="1"/>
              <w:ind w:left="9" w:right="5"/>
              <w:jc w:val="center"/>
              <w:rPr>
                <w:b/>
                <w:sz w:val="20"/>
              </w:rPr>
            </w:pPr>
            <w:r>
              <w:rPr>
                <w:b/>
                <w:sz w:val="20"/>
              </w:rPr>
              <w:t>(19%</w:t>
            </w:r>
            <w:r>
              <w:rPr>
                <w:b/>
                <w:spacing w:val="-2"/>
                <w:sz w:val="20"/>
              </w:rPr>
              <w:t xml:space="preserve"> </w:t>
            </w:r>
            <w:r>
              <w:rPr>
                <w:b/>
                <w:sz w:val="20"/>
              </w:rPr>
              <w:t>–</w:t>
            </w:r>
            <w:r>
              <w:rPr>
                <w:b/>
                <w:spacing w:val="-4"/>
                <w:sz w:val="20"/>
              </w:rPr>
              <w:t xml:space="preserve"> 23%)</w:t>
            </w:r>
          </w:p>
        </w:tc>
        <w:tc>
          <w:tcPr>
            <w:tcW w:w="1769" w:type="dxa"/>
          </w:tcPr>
          <w:p w14:paraId="7A4C2E06" w14:textId="77777777" w:rsidR="00E13D3F" w:rsidRDefault="00E13D3F">
            <w:pPr>
              <w:pStyle w:val="TableParagraph"/>
              <w:spacing w:before="74"/>
              <w:rPr>
                <w:sz w:val="20"/>
              </w:rPr>
            </w:pPr>
          </w:p>
          <w:p w14:paraId="7A4C2E07" w14:textId="77777777" w:rsidR="00E13D3F" w:rsidRDefault="00FB2D6A">
            <w:pPr>
              <w:pStyle w:val="TableParagraph"/>
              <w:ind w:left="10"/>
              <w:jc w:val="center"/>
              <w:rPr>
                <w:b/>
                <w:sz w:val="20"/>
              </w:rPr>
            </w:pPr>
            <w:r>
              <w:rPr>
                <w:b/>
                <w:spacing w:val="-4"/>
                <w:sz w:val="20"/>
              </w:rPr>
              <w:t>0.7%</w:t>
            </w:r>
          </w:p>
        </w:tc>
      </w:tr>
      <w:tr w:rsidR="00E13D3F" w14:paraId="7A4C2E0A" w14:textId="77777777">
        <w:trPr>
          <w:trHeight w:val="316"/>
        </w:trPr>
        <w:tc>
          <w:tcPr>
            <w:tcW w:w="9015" w:type="dxa"/>
            <w:gridSpan w:val="5"/>
            <w:shd w:val="clear" w:color="auto" w:fill="F1F1F1"/>
          </w:tcPr>
          <w:p w14:paraId="7A4C2E09" w14:textId="77777777" w:rsidR="00E13D3F" w:rsidRDefault="00FB2D6A">
            <w:pPr>
              <w:pStyle w:val="TableParagraph"/>
              <w:spacing w:before="1"/>
              <w:ind w:left="107"/>
              <w:rPr>
                <w:b/>
                <w:sz w:val="20"/>
              </w:rPr>
            </w:pPr>
            <w:r>
              <w:rPr>
                <w:b/>
                <w:sz w:val="20"/>
              </w:rPr>
              <w:t>Major</w:t>
            </w:r>
            <w:r>
              <w:rPr>
                <w:b/>
                <w:spacing w:val="-7"/>
                <w:sz w:val="20"/>
              </w:rPr>
              <w:t xml:space="preserve"> </w:t>
            </w:r>
            <w:r>
              <w:rPr>
                <w:b/>
                <w:sz w:val="20"/>
              </w:rPr>
              <w:t>cardiovascular</w:t>
            </w:r>
            <w:r>
              <w:rPr>
                <w:b/>
                <w:spacing w:val="-8"/>
                <w:sz w:val="20"/>
              </w:rPr>
              <w:t xml:space="preserve"> </w:t>
            </w:r>
            <w:r>
              <w:rPr>
                <w:b/>
                <w:sz w:val="20"/>
              </w:rPr>
              <w:t>events</w:t>
            </w:r>
            <w:r>
              <w:rPr>
                <w:b/>
                <w:spacing w:val="-5"/>
                <w:sz w:val="20"/>
              </w:rPr>
              <w:t xml:space="preserve"> </w:t>
            </w:r>
            <w:r>
              <w:rPr>
                <w:b/>
                <w:sz w:val="20"/>
              </w:rPr>
              <w:t>by</w:t>
            </w:r>
            <w:r>
              <w:rPr>
                <w:b/>
                <w:spacing w:val="-8"/>
                <w:sz w:val="20"/>
              </w:rPr>
              <w:t xml:space="preserve"> </w:t>
            </w:r>
            <w:r>
              <w:rPr>
                <w:b/>
                <w:spacing w:val="-2"/>
                <w:sz w:val="20"/>
              </w:rPr>
              <w:t>subgroups</w:t>
            </w:r>
          </w:p>
        </w:tc>
      </w:tr>
      <w:tr w:rsidR="00E13D3F" w14:paraId="7A4C2E0C" w14:textId="77777777">
        <w:trPr>
          <w:trHeight w:val="388"/>
        </w:trPr>
        <w:tc>
          <w:tcPr>
            <w:tcW w:w="9015" w:type="dxa"/>
            <w:gridSpan w:val="5"/>
          </w:tcPr>
          <w:p w14:paraId="7A4C2E0B" w14:textId="77777777" w:rsidR="00E13D3F" w:rsidRDefault="00FB2D6A">
            <w:pPr>
              <w:pStyle w:val="TableParagraph"/>
              <w:spacing w:before="73"/>
              <w:ind w:left="107"/>
              <w:rPr>
                <w:b/>
                <w:sz w:val="20"/>
              </w:rPr>
            </w:pPr>
            <w:r>
              <w:rPr>
                <w:b/>
                <w:spacing w:val="-2"/>
                <w:sz w:val="20"/>
              </w:rPr>
              <w:t>Gender</w:t>
            </w:r>
          </w:p>
        </w:tc>
      </w:tr>
      <w:tr w:rsidR="00E13D3F" w14:paraId="7A4C2E15" w14:textId="77777777">
        <w:trPr>
          <w:trHeight w:val="617"/>
        </w:trPr>
        <w:tc>
          <w:tcPr>
            <w:tcW w:w="1980" w:type="dxa"/>
            <w:shd w:val="clear" w:color="auto" w:fill="F1F1F1"/>
          </w:tcPr>
          <w:p w14:paraId="7A4C2E0D" w14:textId="77777777" w:rsidR="00E13D3F" w:rsidRDefault="00FB2D6A">
            <w:pPr>
              <w:pStyle w:val="TableParagraph"/>
              <w:spacing w:before="186"/>
              <w:ind w:left="107"/>
              <w:rPr>
                <w:sz w:val="20"/>
              </w:rPr>
            </w:pPr>
            <w:r>
              <w:rPr>
                <w:spacing w:val="-5"/>
                <w:sz w:val="20"/>
              </w:rPr>
              <w:t>Men</w:t>
            </w:r>
          </w:p>
        </w:tc>
        <w:tc>
          <w:tcPr>
            <w:tcW w:w="1755" w:type="dxa"/>
            <w:shd w:val="clear" w:color="auto" w:fill="F1F1F1"/>
          </w:tcPr>
          <w:p w14:paraId="7A4C2E0E" w14:textId="77777777" w:rsidR="00E13D3F" w:rsidRDefault="00FB2D6A">
            <w:pPr>
              <w:pStyle w:val="TableParagraph"/>
              <w:spacing w:before="66" w:line="243" w:lineRule="exact"/>
              <w:ind w:left="9" w:right="2"/>
              <w:jc w:val="center"/>
              <w:rPr>
                <w:sz w:val="20"/>
              </w:rPr>
            </w:pPr>
            <w:r>
              <w:rPr>
                <w:spacing w:val="-4"/>
                <w:sz w:val="20"/>
              </w:rPr>
              <w:t>8943</w:t>
            </w:r>
          </w:p>
          <w:p w14:paraId="7A4C2E0F" w14:textId="77777777" w:rsidR="00E13D3F" w:rsidRDefault="00FB2D6A">
            <w:pPr>
              <w:pStyle w:val="TableParagraph"/>
              <w:spacing w:line="243" w:lineRule="exact"/>
              <w:ind w:left="9" w:right="4"/>
              <w:jc w:val="center"/>
              <w:rPr>
                <w:sz w:val="20"/>
              </w:rPr>
            </w:pPr>
            <w:r>
              <w:rPr>
                <w:spacing w:val="-2"/>
                <w:sz w:val="20"/>
              </w:rPr>
              <w:t>(3.5%)</w:t>
            </w:r>
          </w:p>
        </w:tc>
        <w:tc>
          <w:tcPr>
            <w:tcW w:w="1757" w:type="dxa"/>
            <w:shd w:val="clear" w:color="auto" w:fill="F1F1F1"/>
          </w:tcPr>
          <w:p w14:paraId="7A4C2E10" w14:textId="77777777" w:rsidR="00E13D3F" w:rsidRDefault="00FB2D6A">
            <w:pPr>
              <w:pStyle w:val="TableParagraph"/>
              <w:spacing w:before="66" w:line="243" w:lineRule="exact"/>
              <w:ind w:left="41" w:right="37"/>
              <w:jc w:val="center"/>
              <w:rPr>
                <w:sz w:val="20"/>
              </w:rPr>
            </w:pPr>
            <w:r>
              <w:rPr>
                <w:spacing w:val="-2"/>
                <w:sz w:val="20"/>
              </w:rPr>
              <w:t>10979</w:t>
            </w:r>
          </w:p>
          <w:p w14:paraId="7A4C2E11" w14:textId="77777777" w:rsidR="00E13D3F" w:rsidRDefault="00FB2D6A">
            <w:pPr>
              <w:pStyle w:val="TableParagraph"/>
              <w:spacing w:line="243" w:lineRule="exact"/>
              <w:ind w:left="39" w:right="37"/>
              <w:jc w:val="center"/>
              <w:rPr>
                <w:sz w:val="20"/>
              </w:rPr>
            </w:pPr>
            <w:r>
              <w:rPr>
                <w:spacing w:val="-2"/>
                <w:sz w:val="20"/>
              </w:rPr>
              <w:t>(4.4%)</w:t>
            </w:r>
          </w:p>
        </w:tc>
        <w:tc>
          <w:tcPr>
            <w:tcW w:w="1754" w:type="dxa"/>
            <w:shd w:val="clear" w:color="auto" w:fill="F1F1F1"/>
          </w:tcPr>
          <w:p w14:paraId="7A4C2E12" w14:textId="77777777" w:rsidR="00E13D3F" w:rsidRDefault="00FB2D6A">
            <w:pPr>
              <w:pStyle w:val="TableParagraph"/>
              <w:spacing w:before="66" w:line="243" w:lineRule="exact"/>
              <w:ind w:left="9" w:right="3"/>
              <w:jc w:val="center"/>
              <w:rPr>
                <w:sz w:val="20"/>
              </w:rPr>
            </w:pPr>
            <w:r>
              <w:rPr>
                <w:spacing w:val="-5"/>
                <w:sz w:val="20"/>
              </w:rPr>
              <w:t>22%</w:t>
            </w:r>
          </w:p>
          <w:p w14:paraId="7A4C2E13" w14:textId="77777777" w:rsidR="00E13D3F" w:rsidRDefault="00FB2D6A">
            <w:pPr>
              <w:pStyle w:val="TableParagraph"/>
              <w:spacing w:line="243" w:lineRule="exact"/>
              <w:ind w:left="9" w:right="4"/>
              <w:jc w:val="center"/>
              <w:rPr>
                <w:sz w:val="20"/>
              </w:rPr>
            </w:pPr>
            <w:r>
              <w:rPr>
                <w:sz w:val="20"/>
              </w:rPr>
              <w:t>(19%</w:t>
            </w:r>
            <w:r>
              <w:rPr>
                <w:spacing w:val="-2"/>
                <w:sz w:val="20"/>
              </w:rPr>
              <w:t xml:space="preserve"> </w:t>
            </w:r>
            <w:r>
              <w:rPr>
                <w:sz w:val="20"/>
              </w:rPr>
              <w:t>-</w:t>
            </w:r>
            <w:r>
              <w:rPr>
                <w:spacing w:val="-4"/>
                <w:sz w:val="20"/>
              </w:rPr>
              <w:t xml:space="preserve"> 25%)</w:t>
            </w:r>
          </w:p>
        </w:tc>
        <w:tc>
          <w:tcPr>
            <w:tcW w:w="1769" w:type="dxa"/>
            <w:shd w:val="clear" w:color="auto" w:fill="F1F1F1"/>
          </w:tcPr>
          <w:p w14:paraId="7A4C2E14" w14:textId="77777777" w:rsidR="00E13D3F" w:rsidRDefault="00FB2D6A">
            <w:pPr>
              <w:pStyle w:val="TableParagraph"/>
              <w:spacing w:before="186"/>
              <w:ind w:left="10"/>
              <w:jc w:val="center"/>
              <w:rPr>
                <w:sz w:val="20"/>
              </w:rPr>
            </w:pPr>
            <w:r>
              <w:rPr>
                <w:spacing w:val="-4"/>
                <w:sz w:val="20"/>
              </w:rPr>
              <w:t>0.9%</w:t>
            </w:r>
          </w:p>
        </w:tc>
      </w:tr>
      <w:tr w:rsidR="00E13D3F" w14:paraId="7A4C2E1E" w14:textId="77777777">
        <w:trPr>
          <w:trHeight w:val="613"/>
        </w:trPr>
        <w:tc>
          <w:tcPr>
            <w:tcW w:w="1980" w:type="dxa"/>
          </w:tcPr>
          <w:p w14:paraId="7A4C2E16" w14:textId="77777777" w:rsidR="00E13D3F" w:rsidRDefault="00FB2D6A">
            <w:pPr>
              <w:pStyle w:val="TableParagraph"/>
              <w:spacing w:before="186"/>
              <w:ind w:left="107"/>
              <w:rPr>
                <w:sz w:val="20"/>
              </w:rPr>
            </w:pPr>
            <w:r>
              <w:rPr>
                <w:spacing w:val="-2"/>
                <w:sz w:val="20"/>
              </w:rPr>
              <w:t>Women</w:t>
            </w:r>
          </w:p>
        </w:tc>
        <w:tc>
          <w:tcPr>
            <w:tcW w:w="1755" w:type="dxa"/>
          </w:tcPr>
          <w:p w14:paraId="7A4C2E17" w14:textId="77777777" w:rsidR="00E13D3F" w:rsidRDefault="00FB2D6A">
            <w:pPr>
              <w:pStyle w:val="TableParagraph"/>
              <w:spacing w:before="63"/>
              <w:ind w:left="9" w:right="2"/>
              <w:jc w:val="center"/>
              <w:rPr>
                <w:sz w:val="20"/>
              </w:rPr>
            </w:pPr>
            <w:r>
              <w:rPr>
                <w:spacing w:val="-4"/>
                <w:sz w:val="20"/>
              </w:rPr>
              <w:t>2341</w:t>
            </w:r>
          </w:p>
          <w:p w14:paraId="7A4C2E18" w14:textId="77777777" w:rsidR="00E13D3F" w:rsidRDefault="00FB2D6A">
            <w:pPr>
              <w:pStyle w:val="TableParagraph"/>
              <w:spacing w:before="1"/>
              <w:ind w:left="9" w:right="4"/>
              <w:jc w:val="center"/>
              <w:rPr>
                <w:sz w:val="20"/>
              </w:rPr>
            </w:pPr>
            <w:r>
              <w:rPr>
                <w:spacing w:val="-2"/>
                <w:sz w:val="20"/>
              </w:rPr>
              <w:t>(2.6%)</w:t>
            </w:r>
          </w:p>
        </w:tc>
        <w:tc>
          <w:tcPr>
            <w:tcW w:w="1757" w:type="dxa"/>
          </w:tcPr>
          <w:p w14:paraId="7A4C2E19" w14:textId="77777777" w:rsidR="00E13D3F" w:rsidRDefault="00FB2D6A">
            <w:pPr>
              <w:pStyle w:val="TableParagraph"/>
              <w:spacing w:before="63"/>
              <w:ind w:left="41" w:right="37"/>
              <w:jc w:val="center"/>
              <w:rPr>
                <w:sz w:val="20"/>
              </w:rPr>
            </w:pPr>
            <w:r>
              <w:rPr>
                <w:spacing w:val="-4"/>
                <w:sz w:val="20"/>
              </w:rPr>
              <w:t>2694</w:t>
            </w:r>
          </w:p>
          <w:p w14:paraId="7A4C2E1A" w14:textId="77777777" w:rsidR="00E13D3F" w:rsidRDefault="00FB2D6A">
            <w:pPr>
              <w:pStyle w:val="TableParagraph"/>
              <w:spacing w:before="1"/>
              <w:ind w:left="39" w:right="37"/>
              <w:jc w:val="center"/>
              <w:rPr>
                <w:sz w:val="20"/>
              </w:rPr>
            </w:pPr>
            <w:r>
              <w:rPr>
                <w:spacing w:val="-2"/>
                <w:sz w:val="20"/>
              </w:rPr>
              <w:t>(3.0%)</w:t>
            </w:r>
          </w:p>
        </w:tc>
        <w:tc>
          <w:tcPr>
            <w:tcW w:w="1754" w:type="dxa"/>
          </w:tcPr>
          <w:p w14:paraId="7A4C2E1B" w14:textId="77777777" w:rsidR="00E13D3F" w:rsidRDefault="00FB2D6A">
            <w:pPr>
              <w:pStyle w:val="TableParagraph"/>
              <w:spacing w:before="63"/>
              <w:ind w:left="9" w:right="3"/>
              <w:jc w:val="center"/>
              <w:rPr>
                <w:sz w:val="20"/>
              </w:rPr>
            </w:pPr>
            <w:r>
              <w:rPr>
                <w:spacing w:val="-5"/>
                <w:sz w:val="20"/>
              </w:rPr>
              <w:t>16%</w:t>
            </w:r>
          </w:p>
          <w:p w14:paraId="7A4C2E1C" w14:textId="77777777" w:rsidR="00E13D3F" w:rsidRDefault="00FB2D6A">
            <w:pPr>
              <w:pStyle w:val="TableParagraph"/>
              <w:spacing w:before="1"/>
              <w:ind w:left="9" w:right="4"/>
              <w:jc w:val="center"/>
              <w:rPr>
                <w:sz w:val="20"/>
              </w:rPr>
            </w:pPr>
            <w:r>
              <w:rPr>
                <w:sz w:val="20"/>
              </w:rPr>
              <w:t>(9%</w:t>
            </w:r>
            <w:r>
              <w:rPr>
                <w:spacing w:val="-4"/>
                <w:sz w:val="20"/>
              </w:rPr>
              <w:t xml:space="preserve"> </w:t>
            </w:r>
            <w:r>
              <w:rPr>
                <w:sz w:val="20"/>
              </w:rPr>
              <w:t>-</w:t>
            </w:r>
            <w:r>
              <w:rPr>
                <w:spacing w:val="-1"/>
                <w:sz w:val="20"/>
              </w:rPr>
              <w:t xml:space="preserve"> </w:t>
            </w:r>
            <w:r>
              <w:rPr>
                <w:spacing w:val="-4"/>
                <w:sz w:val="20"/>
              </w:rPr>
              <w:t>22%)</w:t>
            </w:r>
          </w:p>
        </w:tc>
        <w:tc>
          <w:tcPr>
            <w:tcW w:w="1769" w:type="dxa"/>
          </w:tcPr>
          <w:p w14:paraId="7A4C2E1D" w14:textId="77777777" w:rsidR="00E13D3F" w:rsidRDefault="00FB2D6A">
            <w:pPr>
              <w:pStyle w:val="TableParagraph"/>
              <w:spacing w:before="186"/>
              <w:ind w:left="10"/>
              <w:jc w:val="center"/>
              <w:rPr>
                <w:sz w:val="20"/>
              </w:rPr>
            </w:pPr>
            <w:r>
              <w:rPr>
                <w:spacing w:val="-4"/>
                <w:sz w:val="20"/>
              </w:rPr>
              <w:t>0.4%</w:t>
            </w:r>
          </w:p>
        </w:tc>
      </w:tr>
      <w:tr w:rsidR="00E13D3F" w14:paraId="7A4C2E20" w14:textId="77777777">
        <w:trPr>
          <w:trHeight w:val="424"/>
        </w:trPr>
        <w:tc>
          <w:tcPr>
            <w:tcW w:w="9015" w:type="dxa"/>
            <w:gridSpan w:val="5"/>
            <w:shd w:val="clear" w:color="auto" w:fill="F1F1F1"/>
          </w:tcPr>
          <w:p w14:paraId="7A4C2E1F" w14:textId="77777777" w:rsidR="00E13D3F" w:rsidRDefault="00FB2D6A">
            <w:pPr>
              <w:pStyle w:val="TableParagraph"/>
              <w:spacing w:before="92"/>
              <w:ind w:left="107"/>
              <w:rPr>
                <w:b/>
                <w:sz w:val="20"/>
              </w:rPr>
            </w:pPr>
            <w:r>
              <w:rPr>
                <w:b/>
                <w:sz w:val="20"/>
              </w:rPr>
              <w:t>Age</w:t>
            </w:r>
            <w:r>
              <w:rPr>
                <w:b/>
                <w:spacing w:val="-6"/>
                <w:sz w:val="20"/>
              </w:rPr>
              <w:t xml:space="preserve"> </w:t>
            </w:r>
            <w:r>
              <w:rPr>
                <w:b/>
                <w:spacing w:val="-2"/>
                <w:sz w:val="20"/>
              </w:rPr>
              <w:t>groups*</w:t>
            </w:r>
          </w:p>
        </w:tc>
      </w:tr>
      <w:tr w:rsidR="00E13D3F" w14:paraId="7A4C2E29" w14:textId="77777777">
        <w:trPr>
          <w:trHeight w:val="616"/>
        </w:trPr>
        <w:tc>
          <w:tcPr>
            <w:tcW w:w="1980" w:type="dxa"/>
          </w:tcPr>
          <w:p w14:paraId="7A4C2E21" w14:textId="77777777" w:rsidR="00E13D3F" w:rsidRDefault="00FB2D6A">
            <w:pPr>
              <w:pStyle w:val="TableParagraph"/>
              <w:spacing w:before="194"/>
              <w:ind w:left="107"/>
              <w:rPr>
                <w:rFonts w:ascii="Times New Roman" w:hAnsi="Times New Roman"/>
                <w:sz w:val="20"/>
              </w:rPr>
            </w:pPr>
            <w:r>
              <w:rPr>
                <w:rFonts w:ascii="Times New Roman" w:hAnsi="Times New Roman"/>
                <w:spacing w:val="-5"/>
                <w:sz w:val="20"/>
              </w:rPr>
              <w:t>≤65</w:t>
            </w:r>
          </w:p>
        </w:tc>
        <w:tc>
          <w:tcPr>
            <w:tcW w:w="1755" w:type="dxa"/>
          </w:tcPr>
          <w:p w14:paraId="7A4C2E22" w14:textId="77777777" w:rsidR="00E13D3F" w:rsidRDefault="00FB2D6A">
            <w:pPr>
              <w:pStyle w:val="TableParagraph"/>
              <w:spacing w:before="66" w:line="243" w:lineRule="exact"/>
              <w:ind w:left="9" w:right="2"/>
              <w:jc w:val="center"/>
              <w:rPr>
                <w:sz w:val="20"/>
              </w:rPr>
            </w:pPr>
            <w:r>
              <w:rPr>
                <w:spacing w:val="-4"/>
                <w:sz w:val="20"/>
              </w:rPr>
              <w:t>6056</w:t>
            </w:r>
          </w:p>
          <w:p w14:paraId="7A4C2E23" w14:textId="77777777" w:rsidR="00E13D3F" w:rsidRDefault="00FB2D6A">
            <w:pPr>
              <w:pStyle w:val="TableParagraph"/>
              <w:spacing w:line="243" w:lineRule="exact"/>
              <w:ind w:left="9" w:right="4"/>
              <w:jc w:val="center"/>
              <w:rPr>
                <w:sz w:val="20"/>
              </w:rPr>
            </w:pPr>
            <w:r>
              <w:rPr>
                <w:spacing w:val="-2"/>
                <w:sz w:val="20"/>
              </w:rPr>
              <w:t>(3.7%)</w:t>
            </w:r>
          </w:p>
        </w:tc>
        <w:tc>
          <w:tcPr>
            <w:tcW w:w="1757" w:type="dxa"/>
          </w:tcPr>
          <w:p w14:paraId="7A4C2E24" w14:textId="77777777" w:rsidR="00E13D3F" w:rsidRDefault="00FB2D6A">
            <w:pPr>
              <w:pStyle w:val="TableParagraph"/>
              <w:spacing w:before="66" w:line="243" w:lineRule="exact"/>
              <w:ind w:left="41" w:right="37"/>
              <w:jc w:val="center"/>
              <w:rPr>
                <w:sz w:val="20"/>
              </w:rPr>
            </w:pPr>
            <w:r>
              <w:rPr>
                <w:spacing w:val="-4"/>
                <w:sz w:val="20"/>
              </w:rPr>
              <w:t>7455</w:t>
            </w:r>
          </w:p>
          <w:p w14:paraId="7A4C2E25" w14:textId="77777777" w:rsidR="00E13D3F" w:rsidRDefault="00FB2D6A">
            <w:pPr>
              <w:pStyle w:val="TableParagraph"/>
              <w:spacing w:line="243" w:lineRule="exact"/>
              <w:ind w:left="39" w:right="37"/>
              <w:jc w:val="center"/>
              <w:rPr>
                <w:sz w:val="20"/>
              </w:rPr>
            </w:pPr>
            <w:r>
              <w:rPr>
                <w:spacing w:val="-2"/>
                <w:sz w:val="20"/>
              </w:rPr>
              <w:t>(3.6%)</w:t>
            </w:r>
          </w:p>
        </w:tc>
        <w:tc>
          <w:tcPr>
            <w:tcW w:w="1754" w:type="dxa"/>
          </w:tcPr>
          <w:p w14:paraId="7A4C2E26" w14:textId="77777777" w:rsidR="00E13D3F" w:rsidRDefault="00FB2D6A">
            <w:pPr>
              <w:pStyle w:val="TableParagraph"/>
              <w:spacing w:before="66" w:line="243" w:lineRule="exact"/>
              <w:ind w:left="9" w:right="3"/>
              <w:jc w:val="center"/>
              <w:rPr>
                <w:sz w:val="20"/>
              </w:rPr>
            </w:pPr>
            <w:r>
              <w:rPr>
                <w:spacing w:val="-5"/>
                <w:sz w:val="20"/>
              </w:rPr>
              <w:t>22%</w:t>
            </w:r>
          </w:p>
          <w:p w14:paraId="7A4C2E27" w14:textId="77777777" w:rsidR="00E13D3F" w:rsidRDefault="00FB2D6A">
            <w:pPr>
              <w:pStyle w:val="TableParagraph"/>
              <w:spacing w:line="243" w:lineRule="exact"/>
              <w:ind w:left="9" w:right="4"/>
              <w:jc w:val="center"/>
              <w:rPr>
                <w:sz w:val="20"/>
              </w:rPr>
            </w:pPr>
            <w:r>
              <w:rPr>
                <w:sz w:val="20"/>
              </w:rPr>
              <w:t>(20%</w:t>
            </w:r>
            <w:r>
              <w:rPr>
                <w:spacing w:val="-2"/>
                <w:sz w:val="20"/>
              </w:rPr>
              <w:t xml:space="preserve"> </w:t>
            </w:r>
            <w:r>
              <w:rPr>
                <w:sz w:val="20"/>
              </w:rPr>
              <w:t>-</w:t>
            </w:r>
            <w:r>
              <w:rPr>
                <w:spacing w:val="-4"/>
                <w:sz w:val="20"/>
              </w:rPr>
              <w:t xml:space="preserve"> 26%)</w:t>
            </w:r>
          </w:p>
        </w:tc>
        <w:tc>
          <w:tcPr>
            <w:tcW w:w="1769" w:type="dxa"/>
          </w:tcPr>
          <w:p w14:paraId="7A4C2E28" w14:textId="77777777" w:rsidR="00E13D3F" w:rsidRDefault="00FB2D6A">
            <w:pPr>
              <w:pStyle w:val="TableParagraph"/>
              <w:spacing w:before="188"/>
              <w:ind w:left="10"/>
              <w:jc w:val="center"/>
              <w:rPr>
                <w:sz w:val="20"/>
              </w:rPr>
            </w:pPr>
            <w:r>
              <w:rPr>
                <w:spacing w:val="-4"/>
                <w:sz w:val="20"/>
              </w:rPr>
              <w:t>0.1%</w:t>
            </w:r>
          </w:p>
        </w:tc>
      </w:tr>
      <w:tr w:rsidR="00E13D3F" w14:paraId="7A4C2E32" w14:textId="77777777">
        <w:trPr>
          <w:trHeight w:val="614"/>
        </w:trPr>
        <w:tc>
          <w:tcPr>
            <w:tcW w:w="1980" w:type="dxa"/>
            <w:shd w:val="clear" w:color="auto" w:fill="F1F1F1"/>
          </w:tcPr>
          <w:p w14:paraId="7A4C2E2A" w14:textId="77777777" w:rsidR="00E13D3F" w:rsidRDefault="00FB2D6A">
            <w:pPr>
              <w:pStyle w:val="TableParagraph"/>
              <w:spacing w:before="186"/>
              <w:ind w:left="107"/>
              <w:rPr>
                <w:sz w:val="20"/>
              </w:rPr>
            </w:pPr>
            <w:r>
              <w:rPr>
                <w:sz w:val="20"/>
              </w:rPr>
              <w:t>&gt;65</w:t>
            </w:r>
            <w:r>
              <w:rPr>
                <w:spacing w:val="-4"/>
                <w:sz w:val="20"/>
              </w:rPr>
              <w:t xml:space="preserve"> </w:t>
            </w:r>
            <w:r>
              <w:rPr>
                <w:sz w:val="20"/>
              </w:rPr>
              <w:t>to</w:t>
            </w:r>
            <w:r>
              <w:rPr>
                <w:spacing w:val="-3"/>
                <w:sz w:val="20"/>
              </w:rPr>
              <w:t xml:space="preserve"> </w:t>
            </w:r>
            <w:r>
              <w:rPr>
                <w:spacing w:val="-5"/>
                <w:sz w:val="20"/>
              </w:rPr>
              <w:t>≤75</w:t>
            </w:r>
          </w:p>
        </w:tc>
        <w:tc>
          <w:tcPr>
            <w:tcW w:w="1755" w:type="dxa"/>
            <w:shd w:val="clear" w:color="auto" w:fill="F1F1F1"/>
          </w:tcPr>
          <w:p w14:paraId="7A4C2E2B" w14:textId="77777777" w:rsidR="00E13D3F" w:rsidRDefault="00FB2D6A">
            <w:pPr>
              <w:pStyle w:val="TableParagraph"/>
              <w:spacing w:before="63"/>
              <w:ind w:left="9" w:right="2"/>
              <w:jc w:val="center"/>
              <w:rPr>
                <w:sz w:val="20"/>
              </w:rPr>
            </w:pPr>
            <w:r>
              <w:rPr>
                <w:spacing w:val="-4"/>
                <w:sz w:val="20"/>
              </w:rPr>
              <w:t>4032</w:t>
            </w:r>
          </w:p>
          <w:p w14:paraId="7A4C2E2C" w14:textId="77777777" w:rsidR="00E13D3F" w:rsidRDefault="00FB2D6A">
            <w:pPr>
              <w:pStyle w:val="TableParagraph"/>
              <w:spacing w:before="1"/>
              <w:ind w:left="9" w:right="4"/>
              <w:jc w:val="center"/>
              <w:rPr>
                <w:sz w:val="20"/>
              </w:rPr>
            </w:pPr>
            <w:r>
              <w:rPr>
                <w:spacing w:val="-2"/>
                <w:sz w:val="20"/>
              </w:rPr>
              <w:t>(3.7%)</w:t>
            </w:r>
          </w:p>
        </w:tc>
        <w:tc>
          <w:tcPr>
            <w:tcW w:w="1757" w:type="dxa"/>
            <w:shd w:val="clear" w:color="auto" w:fill="F1F1F1"/>
          </w:tcPr>
          <w:p w14:paraId="7A4C2E2D" w14:textId="77777777" w:rsidR="00E13D3F" w:rsidRDefault="00FB2D6A">
            <w:pPr>
              <w:pStyle w:val="TableParagraph"/>
              <w:spacing w:before="63"/>
              <w:ind w:left="41" w:right="37"/>
              <w:jc w:val="center"/>
              <w:rPr>
                <w:sz w:val="20"/>
              </w:rPr>
            </w:pPr>
            <w:r>
              <w:rPr>
                <w:spacing w:val="-4"/>
                <w:sz w:val="20"/>
              </w:rPr>
              <w:t>4908</w:t>
            </w:r>
          </w:p>
          <w:p w14:paraId="7A4C2E2E" w14:textId="77777777" w:rsidR="00E13D3F" w:rsidRDefault="00FB2D6A">
            <w:pPr>
              <w:pStyle w:val="TableParagraph"/>
              <w:spacing w:before="1"/>
              <w:ind w:left="39" w:right="37"/>
              <w:jc w:val="center"/>
              <w:rPr>
                <w:sz w:val="20"/>
              </w:rPr>
            </w:pPr>
            <w:r>
              <w:rPr>
                <w:spacing w:val="-2"/>
                <w:sz w:val="20"/>
              </w:rPr>
              <w:t>(4.6%)</w:t>
            </w:r>
          </w:p>
        </w:tc>
        <w:tc>
          <w:tcPr>
            <w:tcW w:w="1754" w:type="dxa"/>
            <w:shd w:val="clear" w:color="auto" w:fill="F1F1F1"/>
          </w:tcPr>
          <w:p w14:paraId="7A4C2E2F" w14:textId="77777777" w:rsidR="00E13D3F" w:rsidRDefault="00FB2D6A">
            <w:pPr>
              <w:pStyle w:val="TableParagraph"/>
              <w:spacing w:before="63"/>
              <w:ind w:left="9" w:right="3"/>
              <w:jc w:val="center"/>
              <w:rPr>
                <w:sz w:val="20"/>
              </w:rPr>
            </w:pPr>
            <w:r>
              <w:rPr>
                <w:spacing w:val="-5"/>
                <w:sz w:val="20"/>
              </w:rPr>
              <w:t>22%</w:t>
            </w:r>
          </w:p>
          <w:p w14:paraId="7A4C2E30" w14:textId="77777777" w:rsidR="00E13D3F" w:rsidRDefault="00FB2D6A">
            <w:pPr>
              <w:pStyle w:val="TableParagraph"/>
              <w:spacing w:before="1"/>
              <w:ind w:left="9" w:right="4"/>
              <w:jc w:val="center"/>
              <w:rPr>
                <w:sz w:val="20"/>
              </w:rPr>
            </w:pPr>
            <w:r>
              <w:rPr>
                <w:sz w:val="20"/>
              </w:rPr>
              <w:t>(17%</w:t>
            </w:r>
            <w:r>
              <w:rPr>
                <w:spacing w:val="-2"/>
                <w:sz w:val="20"/>
              </w:rPr>
              <w:t xml:space="preserve"> </w:t>
            </w:r>
            <w:r>
              <w:rPr>
                <w:sz w:val="20"/>
              </w:rPr>
              <w:t>-</w:t>
            </w:r>
            <w:r>
              <w:rPr>
                <w:spacing w:val="-4"/>
                <w:sz w:val="20"/>
              </w:rPr>
              <w:t xml:space="preserve"> 26%)</w:t>
            </w:r>
          </w:p>
        </w:tc>
        <w:tc>
          <w:tcPr>
            <w:tcW w:w="1769" w:type="dxa"/>
            <w:shd w:val="clear" w:color="auto" w:fill="F1F1F1"/>
          </w:tcPr>
          <w:p w14:paraId="7A4C2E31" w14:textId="77777777" w:rsidR="00E13D3F" w:rsidRDefault="00FB2D6A">
            <w:pPr>
              <w:pStyle w:val="TableParagraph"/>
              <w:spacing w:before="186"/>
              <w:ind w:left="10"/>
              <w:jc w:val="center"/>
              <w:rPr>
                <w:sz w:val="20"/>
              </w:rPr>
            </w:pPr>
            <w:r>
              <w:rPr>
                <w:spacing w:val="-4"/>
                <w:sz w:val="20"/>
              </w:rPr>
              <w:t>0.9%</w:t>
            </w:r>
          </w:p>
        </w:tc>
      </w:tr>
      <w:tr w:rsidR="00E13D3F" w14:paraId="7A4C2E3B" w14:textId="77777777">
        <w:trPr>
          <w:trHeight w:val="616"/>
        </w:trPr>
        <w:tc>
          <w:tcPr>
            <w:tcW w:w="1980" w:type="dxa"/>
          </w:tcPr>
          <w:p w14:paraId="7A4C2E33" w14:textId="77777777" w:rsidR="00E13D3F" w:rsidRDefault="00FB2D6A">
            <w:pPr>
              <w:pStyle w:val="TableParagraph"/>
              <w:spacing w:before="186"/>
              <w:ind w:left="107"/>
              <w:rPr>
                <w:sz w:val="20"/>
              </w:rPr>
            </w:pPr>
            <w:r>
              <w:rPr>
                <w:spacing w:val="-5"/>
                <w:sz w:val="20"/>
              </w:rPr>
              <w:t>&gt;75</w:t>
            </w:r>
          </w:p>
        </w:tc>
        <w:tc>
          <w:tcPr>
            <w:tcW w:w="1755" w:type="dxa"/>
          </w:tcPr>
          <w:p w14:paraId="7A4C2E34" w14:textId="77777777" w:rsidR="00E13D3F" w:rsidRDefault="00FB2D6A">
            <w:pPr>
              <w:pStyle w:val="TableParagraph"/>
              <w:spacing w:before="66" w:line="243" w:lineRule="exact"/>
              <w:ind w:left="9" w:right="2"/>
              <w:jc w:val="center"/>
              <w:rPr>
                <w:sz w:val="20"/>
              </w:rPr>
            </w:pPr>
            <w:r>
              <w:rPr>
                <w:spacing w:val="-5"/>
                <w:sz w:val="20"/>
              </w:rPr>
              <w:t>885</w:t>
            </w:r>
          </w:p>
          <w:p w14:paraId="7A4C2E35" w14:textId="77777777" w:rsidR="00E13D3F" w:rsidRDefault="00FB2D6A">
            <w:pPr>
              <w:pStyle w:val="TableParagraph"/>
              <w:spacing w:line="243" w:lineRule="exact"/>
              <w:ind w:left="9" w:right="4"/>
              <w:jc w:val="center"/>
              <w:rPr>
                <w:sz w:val="20"/>
              </w:rPr>
            </w:pPr>
            <w:r>
              <w:rPr>
                <w:spacing w:val="-2"/>
                <w:sz w:val="20"/>
              </w:rPr>
              <w:t>(4.8%)</w:t>
            </w:r>
          </w:p>
        </w:tc>
        <w:tc>
          <w:tcPr>
            <w:tcW w:w="1757" w:type="dxa"/>
          </w:tcPr>
          <w:p w14:paraId="7A4C2E36" w14:textId="77777777" w:rsidR="00E13D3F" w:rsidRDefault="00FB2D6A">
            <w:pPr>
              <w:pStyle w:val="TableParagraph"/>
              <w:spacing w:before="66" w:line="243" w:lineRule="exact"/>
              <w:ind w:left="41" w:right="37"/>
              <w:jc w:val="center"/>
              <w:rPr>
                <w:sz w:val="20"/>
              </w:rPr>
            </w:pPr>
            <w:r>
              <w:rPr>
                <w:spacing w:val="-5"/>
                <w:sz w:val="20"/>
              </w:rPr>
              <w:t>987</w:t>
            </w:r>
          </w:p>
          <w:p w14:paraId="7A4C2E37" w14:textId="77777777" w:rsidR="00E13D3F" w:rsidRDefault="00FB2D6A">
            <w:pPr>
              <w:pStyle w:val="TableParagraph"/>
              <w:spacing w:line="243" w:lineRule="exact"/>
              <w:ind w:left="39" w:right="37"/>
              <w:jc w:val="center"/>
              <w:rPr>
                <w:sz w:val="20"/>
              </w:rPr>
            </w:pPr>
            <w:r>
              <w:rPr>
                <w:spacing w:val="-2"/>
                <w:sz w:val="20"/>
              </w:rPr>
              <w:t>(5.4%)</w:t>
            </w:r>
          </w:p>
        </w:tc>
        <w:tc>
          <w:tcPr>
            <w:tcW w:w="1754" w:type="dxa"/>
          </w:tcPr>
          <w:p w14:paraId="7A4C2E38" w14:textId="77777777" w:rsidR="00E13D3F" w:rsidRDefault="00FB2D6A">
            <w:pPr>
              <w:pStyle w:val="TableParagraph"/>
              <w:spacing w:before="66" w:line="243" w:lineRule="exact"/>
              <w:ind w:left="9" w:right="3"/>
              <w:jc w:val="center"/>
              <w:rPr>
                <w:sz w:val="20"/>
              </w:rPr>
            </w:pPr>
            <w:r>
              <w:rPr>
                <w:spacing w:val="-5"/>
                <w:sz w:val="20"/>
              </w:rPr>
              <w:t>16%</w:t>
            </w:r>
          </w:p>
          <w:p w14:paraId="7A4C2E39" w14:textId="77777777" w:rsidR="00E13D3F" w:rsidRDefault="00FB2D6A">
            <w:pPr>
              <w:pStyle w:val="TableParagraph"/>
              <w:spacing w:line="243" w:lineRule="exact"/>
              <w:ind w:left="9" w:right="4"/>
              <w:jc w:val="center"/>
              <w:rPr>
                <w:sz w:val="20"/>
              </w:rPr>
            </w:pPr>
            <w:r>
              <w:rPr>
                <w:sz w:val="20"/>
              </w:rPr>
              <w:t>(3%</w:t>
            </w:r>
            <w:r>
              <w:rPr>
                <w:spacing w:val="-4"/>
                <w:sz w:val="20"/>
              </w:rPr>
              <w:t xml:space="preserve"> </w:t>
            </w:r>
            <w:r>
              <w:rPr>
                <w:sz w:val="20"/>
              </w:rPr>
              <w:t>-</w:t>
            </w:r>
            <w:r>
              <w:rPr>
                <w:spacing w:val="-1"/>
                <w:sz w:val="20"/>
              </w:rPr>
              <w:t xml:space="preserve"> </w:t>
            </w:r>
            <w:r>
              <w:rPr>
                <w:spacing w:val="-4"/>
                <w:sz w:val="20"/>
              </w:rPr>
              <w:t>27%)</w:t>
            </w:r>
          </w:p>
        </w:tc>
        <w:tc>
          <w:tcPr>
            <w:tcW w:w="1769" w:type="dxa"/>
          </w:tcPr>
          <w:p w14:paraId="7A4C2E3A" w14:textId="77777777" w:rsidR="00E13D3F" w:rsidRDefault="00FB2D6A">
            <w:pPr>
              <w:pStyle w:val="TableParagraph"/>
              <w:spacing w:before="186"/>
              <w:ind w:left="10"/>
              <w:jc w:val="center"/>
              <w:rPr>
                <w:sz w:val="20"/>
              </w:rPr>
            </w:pPr>
            <w:r>
              <w:rPr>
                <w:spacing w:val="-4"/>
                <w:sz w:val="20"/>
              </w:rPr>
              <w:t>0.6%</w:t>
            </w:r>
          </w:p>
        </w:tc>
      </w:tr>
      <w:tr w:rsidR="00E13D3F" w14:paraId="7A4C2E3D" w14:textId="77777777">
        <w:trPr>
          <w:trHeight w:val="285"/>
        </w:trPr>
        <w:tc>
          <w:tcPr>
            <w:tcW w:w="9015" w:type="dxa"/>
            <w:gridSpan w:val="5"/>
            <w:shd w:val="clear" w:color="auto" w:fill="F1F1F1"/>
          </w:tcPr>
          <w:p w14:paraId="7A4C2E3C" w14:textId="77777777" w:rsidR="00E13D3F" w:rsidRDefault="00FB2D6A">
            <w:pPr>
              <w:pStyle w:val="TableParagraph"/>
              <w:spacing w:before="20"/>
              <w:ind w:left="107"/>
              <w:rPr>
                <w:b/>
                <w:sz w:val="20"/>
              </w:rPr>
            </w:pPr>
            <w:r>
              <w:rPr>
                <w:b/>
                <w:sz w:val="20"/>
              </w:rPr>
              <w:t>Baseline</w:t>
            </w:r>
            <w:r>
              <w:rPr>
                <w:b/>
                <w:spacing w:val="-7"/>
                <w:sz w:val="20"/>
              </w:rPr>
              <w:t xml:space="preserve"> </w:t>
            </w:r>
            <w:r>
              <w:rPr>
                <w:b/>
                <w:sz w:val="20"/>
              </w:rPr>
              <w:t>estimated</w:t>
            </w:r>
            <w:r>
              <w:rPr>
                <w:b/>
                <w:spacing w:val="-7"/>
                <w:sz w:val="20"/>
              </w:rPr>
              <w:t xml:space="preserve"> </w:t>
            </w:r>
            <w:r>
              <w:rPr>
                <w:b/>
                <w:sz w:val="20"/>
              </w:rPr>
              <w:t>5-yr</w:t>
            </w:r>
            <w:r>
              <w:rPr>
                <w:b/>
                <w:spacing w:val="-7"/>
                <w:sz w:val="20"/>
              </w:rPr>
              <w:t xml:space="preserve"> </w:t>
            </w:r>
            <w:r>
              <w:rPr>
                <w:b/>
                <w:sz w:val="20"/>
              </w:rPr>
              <w:t>CVD</w:t>
            </w:r>
            <w:r>
              <w:rPr>
                <w:b/>
                <w:spacing w:val="-6"/>
                <w:sz w:val="20"/>
              </w:rPr>
              <w:t xml:space="preserve"> </w:t>
            </w:r>
            <w:r>
              <w:rPr>
                <w:b/>
                <w:spacing w:val="-4"/>
                <w:sz w:val="20"/>
              </w:rPr>
              <w:t>risk</w:t>
            </w:r>
          </w:p>
        </w:tc>
      </w:tr>
      <w:tr w:rsidR="00E13D3F" w14:paraId="7A4C2E46" w14:textId="77777777">
        <w:trPr>
          <w:trHeight w:val="616"/>
        </w:trPr>
        <w:tc>
          <w:tcPr>
            <w:tcW w:w="1980" w:type="dxa"/>
          </w:tcPr>
          <w:p w14:paraId="7A4C2E3E" w14:textId="77777777" w:rsidR="00E13D3F" w:rsidRDefault="00FB2D6A">
            <w:pPr>
              <w:pStyle w:val="TableParagraph"/>
              <w:spacing w:before="188"/>
              <w:ind w:left="107"/>
              <w:rPr>
                <w:sz w:val="20"/>
              </w:rPr>
            </w:pPr>
            <w:r>
              <w:rPr>
                <w:spacing w:val="-4"/>
                <w:sz w:val="20"/>
              </w:rPr>
              <w:t>&lt;10%</w:t>
            </w:r>
          </w:p>
        </w:tc>
        <w:tc>
          <w:tcPr>
            <w:tcW w:w="1755" w:type="dxa"/>
          </w:tcPr>
          <w:p w14:paraId="7A4C2E3F" w14:textId="77777777" w:rsidR="00E13D3F" w:rsidRDefault="00FB2D6A">
            <w:pPr>
              <w:pStyle w:val="TableParagraph"/>
              <w:spacing w:before="66" w:line="243" w:lineRule="exact"/>
              <w:ind w:left="9" w:right="2"/>
              <w:jc w:val="center"/>
              <w:rPr>
                <w:sz w:val="20"/>
              </w:rPr>
            </w:pPr>
            <w:r>
              <w:rPr>
                <w:spacing w:val="-5"/>
                <w:sz w:val="20"/>
              </w:rPr>
              <w:t>773</w:t>
            </w:r>
          </w:p>
          <w:p w14:paraId="7A4C2E40" w14:textId="77777777" w:rsidR="00E13D3F" w:rsidRDefault="00FB2D6A">
            <w:pPr>
              <w:pStyle w:val="TableParagraph"/>
              <w:spacing w:line="243" w:lineRule="exact"/>
              <w:ind w:left="9" w:right="4"/>
              <w:jc w:val="center"/>
              <w:rPr>
                <w:sz w:val="20"/>
              </w:rPr>
            </w:pPr>
            <w:r>
              <w:rPr>
                <w:spacing w:val="-2"/>
                <w:sz w:val="20"/>
              </w:rPr>
              <w:t>(0.8%)</w:t>
            </w:r>
          </w:p>
        </w:tc>
        <w:tc>
          <w:tcPr>
            <w:tcW w:w="1757" w:type="dxa"/>
          </w:tcPr>
          <w:p w14:paraId="7A4C2E41" w14:textId="77777777" w:rsidR="00E13D3F" w:rsidRDefault="00FB2D6A">
            <w:pPr>
              <w:pStyle w:val="TableParagraph"/>
              <w:spacing w:before="66" w:line="243" w:lineRule="exact"/>
              <w:ind w:left="41" w:right="37"/>
              <w:jc w:val="center"/>
              <w:rPr>
                <w:sz w:val="20"/>
              </w:rPr>
            </w:pPr>
            <w:r>
              <w:rPr>
                <w:spacing w:val="-4"/>
                <w:sz w:val="20"/>
              </w:rPr>
              <w:t>1101</w:t>
            </w:r>
          </w:p>
          <w:p w14:paraId="7A4C2E42" w14:textId="77777777" w:rsidR="00E13D3F" w:rsidRDefault="00FB2D6A">
            <w:pPr>
              <w:pStyle w:val="TableParagraph"/>
              <w:spacing w:line="243" w:lineRule="exact"/>
              <w:ind w:left="39" w:right="37"/>
              <w:jc w:val="center"/>
              <w:rPr>
                <w:sz w:val="20"/>
              </w:rPr>
            </w:pPr>
            <w:r>
              <w:rPr>
                <w:spacing w:val="-2"/>
                <w:sz w:val="20"/>
              </w:rPr>
              <w:t>(1.1%)</w:t>
            </w:r>
          </w:p>
        </w:tc>
        <w:tc>
          <w:tcPr>
            <w:tcW w:w="1754" w:type="dxa"/>
          </w:tcPr>
          <w:p w14:paraId="7A4C2E43" w14:textId="77777777" w:rsidR="00E13D3F" w:rsidRDefault="00FB2D6A">
            <w:pPr>
              <w:pStyle w:val="TableParagraph"/>
              <w:spacing w:before="66" w:line="243" w:lineRule="exact"/>
              <w:ind w:left="9" w:right="3"/>
              <w:jc w:val="center"/>
              <w:rPr>
                <w:sz w:val="20"/>
              </w:rPr>
            </w:pPr>
            <w:r>
              <w:rPr>
                <w:spacing w:val="-5"/>
                <w:sz w:val="20"/>
              </w:rPr>
              <w:t>32%</w:t>
            </w:r>
          </w:p>
          <w:p w14:paraId="7A4C2E44" w14:textId="77777777" w:rsidR="00E13D3F" w:rsidRDefault="00FB2D6A">
            <w:pPr>
              <w:pStyle w:val="TableParagraph"/>
              <w:spacing w:line="243" w:lineRule="exact"/>
              <w:ind w:left="9" w:right="4"/>
              <w:jc w:val="center"/>
              <w:rPr>
                <w:sz w:val="20"/>
              </w:rPr>
            </w:pPr>
            <w:r>
              <w:rPr>
                <w:sz w:val="20"/>
              </w:rPr>
              <w:t>(26%</w:t>
            </w:r>
            <w:r>
              <w:rPr>
                <w:spacing w:val="-2"/>
                <w:sz w:val="20"/>
              </w:rPr>
              <w:t xml:space="preserve"> </w:t>
            </w:r>
            <w:r>
              <w:rPr>
                <w:sz w:val="20"/>
              </w:rPr>
              <w:t>-</w:t>
            </w:r>
            <w:r>
              <w:rPr>
                <w:spacing w:val="-4"/>
                <w:sz w:val="20"/>
              </w:rPr>
              <w:t xml:space="preserve"> 38%)</w:t>
            </w:r>
          </w:p>
        </w:tc>
        <w:tc>
          <w:tcPr>
            <w:tcW w:w="1769" w:type="dxa"/>
          </w:tcPr>
          <w:p w14:paraId="7A4C2E45" w14:textId="77777777" w:rsidR="00E13D3F" w:rsidRDefault="00FB2D6A">
            <w:pPr>
              <w:pStyle w:val="TableParagraph"/>
              <w:spacing w:before="188"/>
              <w:ind w:left="10"/>
              <w:jc w:val="center"/>
              <w:rPr>
                <w:sz w:val="20"/>
              </w:rPr>
            </w:pPr>
            <w:r>
              <w:rPr>
                <w:spacing w:val="-4"/>
                <w:sz w:val="20"/>
              </w:rPr>
              <w:t>0.3%</w:t>
            </w:r>
          </w:p>
        </w:tc>
      </w:tr>
      <w:tr w:rsidR="00E13D3F" w14:paraId="7A4C2E4F" w14:textId="77777777">
        <w:trPr>
          <w:trHeight w:val="613"/>
        </w:trPr>
        <w:tc>
          <w:tcPr>
            <w:tcW w:w="1980" w:type="dxa"/>
            <w:shd w:val="clear" w:color="auto" w:fill="F1F1F1"/>
          </w:tcPr>
          <w:p w14:paraId="7A4C2E47" w14:textId="77777777" w:rsidR="00E13D3F" w:rsidRDefault="00FB2D6A">
            <w:pPr>
              <w:pStyle w:val="TableParagraph"/>
              <w:spacing w:before="192"/>
              <w:ind w:left="107"/>
              <w:rPr>
                <w:rFonts w:ascii="Times New Roman" w:hAnsi="Times New Roman"/>
                <w:sz w:val="20"/>
              </w:rPr>
            </w:pPr>
            <w:r>
              <w:rPr>
                <w:rFonts w:ascii="Times New Roman" w:hAnsi="Times New Roman"/>
                <w:spacing w:val="-2"/>
                <w:sz w:val="20"/>
              </w:rPr>
              <w:t>≥10%-</w:t>
            </w:r>
            <w:r>
              <w:rPr>
                <w:rFonts w:ascii="Times New Roman" w:hAnsi="Times New Roman"/>
                <w:spacing w:val="-4"/>
                <w:sz w:val="20"/>
              </w:rPr>
              <w:t>&lt;20%</w:t>
            </w:r>
          </w:p>
        </w:tc>
        <w:tc>
          <w:tcPr>
            <w:tcW w:w="1755" w:type="dxa"/>
            <w:shd w:val="clear" w:color="auto" w:fill="F1F1F1"/>
          </w:tcPr>
          <w:p w14:paraId="7A4C2E48" w14:textId="77777777" w:rsidR="00E13D3F" w:rsidRDefault="00FB2D6A">
            <w:pPr>
              <w:pStyle w:val="TableParagraph"/>
              <w:spacing w:before="63"/>
              <w:ind w:left="9" w:right="2"/>
              <w:jc w:val="center"/>
              <w:rPr>
                <w:sz w:val="20"/>
              </w:rPr>
            </w:pPr>
            <w:r>
              <w:rPr>
                <w:spacing w:val="-4"/>
                <w:sz w:val="20"/>
              </w:rPr>
              <w:t>3615</w:t>
            </w:r>
          </w:p>
          <w:p w14:paraId="7A4C2E49" w14:textId="77777777" w:rsidR="00E13D3F" w:rsidRDefault="00FB2D6A">
            <w:pPr>
              <w:pStyle w:val="TableParagraph"/>
              <w:spacing w:before="1"/>
              <w:ind w:left="9" w:right="4"/>
              <w:jc w:val="center"/>
              <w:rPr>
                <w:sz w:val="20"/>
              </w:rPr>
            </w:pPr>
            <w:r>
              <w:rPr>
                <w:spacing w:val="-2"/>
                <w:sz w:val="20"/>
              </w:rPr>
              <w:t>(3.0%)</w:t>
            </w:r>
          </w:p>
        </w:tc>
        <w:tc>
          <w:tcPr>
            <w:tcW w:w="1757" w:type="dxa"/>
            <w:shd w:val="clear" w:color="auto" w:fill="F1F1F1"/>
          </w:tcPr>
          <w:p w14:paraId="7A4C2E4A" w14:textId="77777777" w:rsidR="00E13D3F" w:rsidRDefault="00FB2D6A">
            <w:pPr>
              <w:pStyle w:val="TableParagraph"/>
              <w:spacing w:before="63"/>
              <w:ind w:left="41" w:right="37"/>
              <w:jc w:val="center"/>
              <w:rPr>
                <w:sz w:val="20"/>
              </w:rPr>
            </w:pPr>
            <w:r>
              <w:rPr>
                <w:spacing w:val="-4"/>
                <w:sz w:val="20"/>
              </w:rPr>
              <w:t>4195</w:t>
            </w:r>
          </w:p>
          <w:p w14:paraId="7A4C2E4B" w14:textId="77777777" w:rsidR="00E13D3F" w:rsidRDefault="00FB2D6A">
            <w:pPr>
              <w:pStyle w:val="TableParagraph"/>
              <w:spacing w:before="1"/>
              <w:ind w:left="39" w:right="37"/>
              <w:jc w:val="center"/>
              <w:rPr>
                <w:sz w:val="20"/>
              </w:rPr>
            </w:pPr>
            <w:r>
              <w:rPr>
                <w:spacing w:val="-2"/>
                <w:sz w:val="20"/>
              </w:rPr>
              <w:t>(3.5%)</w:t>
            </w:r>
          </w:p>
        </w:tc>
        <w:tc>
          <w:tcPr>
            <w:tcW w:w="1754" w:type="dxa"/>
            <w:shd w:val="clear" w:color="auto" w:fill="F1F1F1"/>
          </w:tcPr>
          <w:p w14:paraId="7A4C2E4C" w14:textId="77777777" w:rsidR="00E13D3F" w:rsidRDefault="00FB2D6A">
            <w:pPr>
              <w:pStyle w:val="TableParagraph"/>
              <w:spacing w:before="63"/>
              <w:ind w:left="9" w:right="3"/>
              <w:jc w:val="center"/>
              <w:rPr>
                <w:sz w:val="20"/>
              </w:rPr>
            </w:pPr>
            <w:r>
              <w:rPr>
                <w:spacing w:val="-5"/>
                <w:sz w:val="20"/>
              </w:rPr>
              <w:t>21%</w:t>
            </w:r>
          </w:p>
          <w:p w14:paraId="7A4C2E4D" w14:textId="77777777" w:rsidR="00E13D3F" w:rsidRDefault="00FB2D6A">
            <w:pPr>
              <w:pStyle w:val="TableParagraph"/>
              <w:spacing w:before="1"/>
              <w:ind w:left="9" w:right="4"/>
              <w:jc w:val="center"/>
              <w:rPr>
                <w:sz w:val="20"/>
              </w:rPr>
            </w:pPr>
            <w:r>
              <w:rPr>
                <w:sz w:val="20"/>
              </w:rPr>
              <w:t>(16%</w:t>
            </w:r>
            <w:r>
              <w:rPr>
                <w:spacing w:val="-2"/>
                <w:sz w:val="20"/>
              </w:rPr>
              <w:t xml:space="preserve"> </w:t>
            </w:r>
            <w:r>
              <w:rPr>
                <w:sz w:val="20"/>
              </w:rPr>
              <w:t>-</w:t>
            </w:r>
            <w:r>
              <w:rPr>
                <w:spacing w:val="-4"/>
                <w:sz w:val="20"/>
              </w:rPr>
              <w:t xml:space="preserve"> 25%)</w:t>
            </w:r>
          </w:p>
        </w:tc>
        <w:tc>
          <w:tcPr>
            <w:tcW w:w="1769" w:type="dxa"/>
            <w:shd w:val="clear" w:color="auto" w:fill="F1F1F1"/>
          </w:tcPr>
          <w:p w14:paraId="7A4C2E4E" w14:textId="77777777" w:rsidR="00E13D3F" w:rsidRDefault="00FB2D6A">
            <w:pPr>
              <w:pStyle w:val="TableParagraph"/>
              <w:spacing w:before="186"/>
              <w:ind w:left="10"/>
              <w:jc w:val="center"/>
              <w:rPr>
                <w:sz w:val="20"/>
              </w:rPr>
            </w:pPr>
            <w:r>
              <w:rPr>
                <w:spacing w:val="-4"/>
                <w:sz w:val="20"/>
              </w:rPr>
              <w:t>0.5%</w:t>
            </w:r>
          </w:p>
        </w:tc>
      </w:tr>
      <w:tr w:rsidR="00E13D3F" w14:paraId="7A4C2E58" w14:textId="77777777">
        <w:trPr>
          <w:trHeight w:val="616"/>
        </w:trPr>
        <w:tc>
          <w:tcPr>
            <w:tcW w:w="1980" w:type="dxa"/>
          </w:tcPr>
          <w:p w14:paraId="7A4C2E50" w14:textId="77777777" w:rsidR="00E13D3F" w:rsidRDefault="00FB2D6A">
            <w:pPr>
              <w:pStyle w:val="TableParagraph"/>
              <w:spacing w:before="192"/>
              <w:ind w:left="107"/>
              <w:rPr>
                <w:rFonts w:ascii="Times New Roman" w:hAnsi="Times New Roman"/>
                <w:sz w:val="20"/>
              </w:rPr>
            </w:pPr>
            <w:r>
              <w:rPr>
                <w:rFonts w:ascii="Times New Roman" w:hAnsi="Times New Roman"/>
                <w:spacing w:val="-2"/>
                <w:sz w:val="20"/>
              </w:rPr>
              <w:t>≥20%-</w:t>
            </w:r>
            <w:r>
              <w:rPr>
                <w:rFonts w:ascii="Times New Roman" w:hAnsi="Times New Roman"/>
                <w:spacing w:val="-4"/>
                <w:sz w:val="20"/>
              </w:rPr>
              <w:t>&lt;30%</w:t>
            </w:r>
          </w:p>
        </w:tc>
        <w:tc>
          <w:tcPr>
            <w:tcW w:w="1755" w:type="dxa"/>
          </w:tcPr>
          <w:p w14:paraId="7A4C2E51" w14:textId="77777777" w:rsidR="00E13D3F" w:rsidRDefault="00FB2D6A">
            <w:pPr>
              <w:pStyle w:val="TableParagraph"/>
              <w:spacing w:before="66" w:line="243" w:lineRule="exact"/>
              <w:ind w:left="9" w:right="2"/>
              <w:jc w:val="center"/>
              <w:rPr>
                <w:sz w:val="20"/>
              </w:rPr>
            </w:pPr>
            <w:r>
              <w:rPr>
                <w:spacing w:val="-4"/>
                <w:sz w:val="20"/>
              </w:rPr>
              <w:t>4109</w:t>
            </w:r>
          </w:p>
          <w:p w14:paraId="7A4C2E52" w14:textId="77777777" w:rsidR="00E13D3F" w:rsidRDefault="00FB2D6A">
            <w:pPr>
              <w:pStyle w:val="TableParagraph"/>
              <w:spacing w:line="243" w:lineRule="exact"/>
              <w:ind w:left="9" w:right="4"/>
              <w:jc w:val="center"/>
              <w:rPr>
                <w:sz w:val="20"/>
              </w:rPr>
            </w:pPr>
            <w:r>
              <w:rPr>
                <w:spacing w:val="-2"/>
                <w:sz w:val="20"/>
              </w:rPr>
              <w:t>(4.7%)</w:t>
            </w:r>
          </w:p>
        </w:tc>
        <w:tc>
          <w:tcPr>
            <w:tcW w:w="1757" w:type="dxa"/>
          </w:tcPr>
          <w:p w14:paraId="7A4C2E53" w14:textId="77777777" w:rsidR="00E13D3F" w:rsidRDefault="00FB2D6A">
            <w:pPr>
              <w:pStyle w:val="TableParagraph"/>
              <w:spacing w:before="66" w:line="243" w:lineRule="exact"/>
              <w:ind w:left="41" w:right="37"/>
              <w:jc w:val="center"/>
              <w:rPr>
                <w:sz w:val="20"/>
              </w:rPr>
            </w:pPr>
            <w:r>
              <w:rPr>
                <w:spacing w:val="-4"/>
                <w:sz w:val="20"/>
              </w:rPr>
              <w:t>4919</w:t>
            </w:r>
          </w:p>
          <w:p w14:paraId="7A4C2E54" w14:textId="77777777" w:rsidR="00E13D3F" w:rsidRDefault="00FB2D6A">
            <w:pPr>
              <w:pStyle w:val="TableParagraph"/>
              <w:spacing w:line="243" w:lineRule="exact"/>
              <w:ind w:left="39" w:right="37"/>
              <w:jc w:val="center"/>
              <w:rPr>
                <w:sz w:val="20"/>
              </w:rPr>
            </w:pPr>
            <w:r>
              <w:rPr>
                <w:spacing w:val="-2"/>
                <w:sz w:val="20"/>
              </w:rPr>
              <w:t>(5.8%)</w:t>
            </w:r>
          </w:p>
        </w:tc>
        <w:tc>
          <w:tcPr>
            <w:tcW w:w="1754" w:type="dxa"/>
          </w:tcPr>
          <w:p w14:paraId="7A4C2E55" w14:textId="77777777" w:rsidR="00E13D3F" w:rsidRDefault="00FB2D6A">
            <w:pPr>
              <w:pStyle w:val="TableParagraph"/>
              <w:spacing w:before="66" w:line="243" w:lineRule="exact"/>
              <w:ind w:left="9" w:right="3"/>
              <w:jc w:val="center"/>
              <w:rPr>
                <w:sz w:val="20"/>
              </w:rPr>
            </w:pPr>
            <w:r>
              <w:rPr>
                <w:spacing w:val="-5"/>
                <w:sz w:val="20"/>
              </w:rPr>
              <w:t>19%</w:t>
            </w:r>
          </w:p>
          <w:p w14:paraId="7A4C2E56" w14:textId="77777777" w:rsidR="00E13D3F" w:rsidRDefault="00FB2D6A">
            <w:pPr>
              <w:pStyle w:val="TableParagraph"/>
              <w:spacing w:line="243" w:lineRule="exact"/>
              <w:ind w:left="9" w:right="4"/>
              <w:jc w:val="center"/>
              <w:rPr>
                <w:sz w:val="20"/>
              </w:rPr>
            </w:pPr>
            <w:r>
              <w:rPr>
                <w:sz w:val="20"/>
              </w:rPr>
              <w:t>(15%</w:t>
            </w:r>
            <w:r>
              <w:rPr>
                <w:spacing w:val="-2"/>
                <w:sz w:val="20"/>
              </w:rPr>
              <w:t xml:space="preserve"> </w:t>
            </w:r>
            <w:r>
              <w:rPr>
                <w:sz w:val="20"/>
              </w:rPr>
              <w:t>-</w:t>
            </w:r>
            <w:r>
              <w:rPr>
                <w:spacing w:val="-4"/>
                <w:sz w:val="20"/>
              </w:rPr>
              <w:t xml:space="preserve"> 22%)</w:t>
            </w:r>
          </w:p>
        </w:tc>
        <w:tc>
          <w:tcPr>
            <w:tcW w:w="1769" w:type="dxa"/>
          </w:tcPr>
          <w:p w14:paraId="7A4C2E57" w14:textId="77777777" w:rsidR="00E13D3F" w:rsidRDefault="00FB2D6A">
            <w:pPr>
              <w:pStyle w:val="TableParagraph"/>
              <w:spacing w:before="186"/>
              <w:ind w:left="10"/>
              <w:jc w:val="center"/>
              <w:rPr>
                <w:sz w:val="20"/>
              </w:rPr>
            </w:pPr>
            <w:r>
              <w:rPr>
                <w:spacing w:val="-4"/>
                <w:sz w:val="20"/>
              </w:rPr>
              <w:t>1.1%</w:t>
            </w:r>
          </w:p>
        </w:tc>
      </w:tr>
      <w:tr w:rsidR="00E13D3F" w14:paraId="7A4C2E61" w14:textId="77777777">
        <w:trPr>
          <w:trHeight w:val="614"/>
        </w:trPr>
        <w:tc>
          <w:tcPr>
            <w:tcW w:w="1980" w:type="dxa"/>
            <w:shd w:val="clear" w:color="auto" w:fill="F1F1F1"/>
          </w:tcPr>
          <w:p w14:paraId="7A4C2E59" w14:textId="77777777" w:rsidR="00E13D3F" w:rsidRDefault="00FB2D6A">
            <w:pPr>
              <w:pStyle w:val="TableParagraph"/>
              <w:spacing w:before="192"/>
              <w:ind w:left="107"/>
              <w:rPr>
                <w:rFonts w:ascii="Times New Roman" w:hAnsi="Times New Roman"/>
                <w:sz w:val="20"/>
              </w:rPr>
            </w:pPr>
            <w:r>
              <w:rPr>
                <w:rFonts w:ascii="Times New Roman" w:hAnsi="Times New Roman"/>
                <w:spacing w:val="-4"/>
                <w:sz w:val="20"/>
              </w:rPr>
              <w:t>≥30%</w:t>
            </w:r>
          </w:p>
        </w:tc>
        <w:tc>
          <w:tcPr>
            <w:tcW w:w="1755" w:type="dxa"/>
            <w:shd w:val="clear" w:color="auto" w:fill="F1F1F1"/>
          </w:tcPr>
          <w:p w14:paraId="7A4C2E5A" w14:textId="77777777" w:rsidR="00E13D3F" w:rsidRDefault="00FB2D6A">
            <w:pPr>
              <w:pStyle w:val="TableParagraph"/>
              <w:spacing w:before="63"/>
              <w:ind w:left="9" w:right="2"/>
              <w:jc w:val="center"/>
              <w:rPr>
                <w:sz w:val="20"/>
              </w:rPr>
            </w:pPr>
            <w:r>
              <w:rPr>
                <w:spacing w:val="-4"/>
                <w:sz w:val="20"/>
              </w:rPr>
              <w:t>2787</w:t>
            </w:r>
          </w:p>
          <w:p w14:paraId="7A4C2E5B" w14:textId="77777777" w:rsidR="00E13D3F" w:rsidRDefault="00FB2D6A">
            <w:pPr>
              <w:pStyle w:val="TableParagraph"/>
              <w:spacing w:before="1"/>
              <w:ind w:left="9" w:right="4"/>
              <w:jc w:val="center"/>
              <w:rPr>
                <w:sz w:val="20"/>
              </w:rPr>
            </w:pPr>
            <w:r>
              <w:rPr>
                <w:spacing w:val="-2"/>
                <w:sz w:val="20"/>
              </w:rPr>
              <w:t>(7.6%)</w:t>
            </w:r>
          </w:p>
        </w:tc>
        <w:tc>
          <w:tcPr>
            <w:tcW w:w="1757" w:type="dxa"/>
            <w:shd w:val="clear" w:color="auto" w:fill="F1F1F1"/>
          </w:tcPr>
          <w:p w14:paraId="7A4C2E5C" w14:textId="77777777" w:rsidR="00E13D3F" w:rsidRDefault="00FB2D6A">
            <w:pPr>
              <w:pStyle w:val="TableParagraph"/>
              <w:spacing w:before="63"/>
              <w:ind w:left="41" w:right="37"/>
              <w:jc w:val="center"/>
              <w:rPr>
                <w:sz w:val="20"/>
              </w:rPr>
            </w:pPr>
            <w:r>
              <w:rPr>
                <w:spacing w:val="-4"/>
                <w:sz w:val="20"/>
              </w:rPr>
              <w:t>3458</w:t>
            </w:r>
          </w:p>
          <w:p w14:paraId="7A4C2E5D" w14:textId="77777777" w:rsidR="00E13D3F" w:rsidRDefault="00FB2D6A">
            <w:pPr>
              <w:pStyle w:val="TableParagraph"/>
              <w:spacing w:before="1"/>
              <w:ind w:left="39" w:right="37"/>
              <w:jc w:val="center"/>
              <w:rPr>
                <w:sz w:val="20"/>
              </w:rPr>
            </w:pPr>
            <w:r>
              <w:rPr>
                <w:spacing w:val="-2"/>
                <w:sz w:val="20"/>
              </w:rPr>
              <w:t>(9.8%)</w:t>
            </w:r>
          </w:p>
        </w:tc>
        <w:tc>
          <w:tcPr>
            <w:tcW w:w="1754" w:type="dxa"/>
            <w:shd w:val="clear" w:color="auto" w:fill="F1F1F1"/>
          </w:tcPr>
          <w:p w14:paraId="7A4C2E5E" w14:textId="77777777" w:rsidR="00E13D3F" w:rsidRDefault="00FB2D6A">
            <w:pPr>
              <w:pStyle w:val="TableParagraph"/>
              <w:spacing w:before="63"/>
              <w:ind w:left="9" w:right="3"/>
              <w:jc w:val="center"/>
              <w:rPr>
                <w:sz w:val="20"/>
              </w:rPr>
            </w:pPr>
            <w:r>
              <w:rPr>
                <w:spacing w:val="-5"/>
                <w:sz w:val="20"/>
              </w:rPr>
              <w:t>21%</w:t>
            </w:r>
          </w:p>
          <w:p w14:paraId="7A4C2E5F" w14:textId="77777777" w:rsidR="00E13D3F" w:rsidRDefault="00FB2D6A">
            <w:pPr>
              <w:pStyle w:val="TableParagraph"/>
              <w:spacing w:before="1"/>
              <w:ind w:left="9" w:right="4"/>
              <w:jc w:val="center"/>
              <w:rPr>
                <w:sz w:val="20"/>
              </w:rPr>
            </w:pPr>
            <w:r>
              <w:rPr>
                <w:sz w:val="20"/>
              </w:rPr>
              <w:t>(17%</w:t>
            </w:r>
            <w:r>
              <w:rPr>
                <w:spacing w:val="-2"/>
                <w:sz w:val="20"/>
              </w:rPr>
              <w:t xml:space="preserve"> </w:t>
            </w:r>
            <w:r>
              <w:rPr>
                <w:sz w:val="20"/>
              </w:rPr>
              <w:t>-</w:t>
            </w:r>
            <w:r>
              <w:rPr>
                <w:spacing w:val="-4"/>
                <w:sz w:val="20"/>
              </w:rPr>
              <w:t xml:space="preserve"> 25%)</w:t>
            </w:r>
          </w:p>
        </w:tc>
        <w:tc>
          <w:tcPr>
            <w:tcW w:w="1769" w:type="dxa"/>
            <w:shd w:val="clear" w:color="auto" w:fill="F1F1F1"/>
          </w:tcPr>
          <w:p w14:paraId="7A4C2E60" w14:textId="77777777" w:rsidR="00E13D3F" w:rsidRDefault="00FB2D6A">
            <w:pPr>
              <w:pStyle w:val="TableParagraph"/>
              <w:spacing w:before="186"/>
              <w:ind w:left="10"/>
              <w:jc w:val="center"/>
              <w:rPr>
                <w:sz w:val="20"/>
              </w:rPr>
            </w:pPr>
            <w:r>
              <w:rPr>
                <w:spacing w:val="-4"/>
                <w:sz w:val="20"/>
              </w:rPr>
              <w:t>2.2%</w:t>
            </w:r>
          </w:p>
        </w:tc>
      </w:tr>
      <w:tr w:rsidR="00E13D3F" w14:paraId="7A4C2E63" w14:textId="77777777">
        <w:trPr>
          <w:trHeight w:val="325"/>
        </w:trPr>
        <w:tc>
          <w:tcPr>
            <w:tcW w:w="9015" w:type="dxa"/>
            <w:gridSpan w:val="5"/>
          </w:tcPr>
          <w:p w14:paraId="7A4C2E62" w14:textId="77777777" w:rsidR="00E13D3F" w:rsidRDefault="00FB2D6A">
            <w:pPr>
              <w:pStyle w:val="TableParagraph"/>
              <w:spacing w:before="42"/>
              <w:ind w:left="107"/>
              <w:rPr>
                <w:b/>
                <w:sz w:val="20"/>
              </w:rPr>
            </w:pPr>
            <w:r>
              <w:rPr>
                <w:b/>
                <w:sz w:val="20"/>
              </w:rPr>
              <w:t>History</w:t>
            </w:r>
            <w:r>
              <w:rPr>
                <w:b/>
                <w:spacing w:val="-6"/>
                <w:sz w:val="20"/>
              </w:rPr>
              <w:t xml:space="preserve"> </w:t>
            </w:r>
            <w:r>
              <w:rPr>
                <w:b/>
                <w:sz w:val="20"/>
              </w:rPr>
              <w:t>of</w:t>
            </w:r>
            <w:r>
              <w:rPr>
                <w:b/>
                <w:spacing w:val="-5"/>
                <w:sz w:val="20"/>
              </w:rPr>
              <w:t xml:space="preserve"> CVD</w:t>
            </w:r>
          </w:p>
        </w:tc>
      </w:tr>
      <w:tr w:rsidR="00E13D3F" w14:paraId="7A4C2E6C" w14:textId="77777777">
        <w:trPr>
          <w:trHeight w:val="616"/>
        </w:trPr>
        <w:tc>
          <w:tcPr>
            <w:tcW w:w="1980" w:type="dxa"/>
            <w:shd w:val="clear" w:color="auto" w:fill="F1F1F1"/>
          </w:tcPr>
          <w:p w14:paraId="7A4C2E64" w14:textId="77777777" w:rsidR="00E13D3F" w:rsidRDefault="00FB2D6A">
            <w:pPr>
              <w:pStyle w:val="TableParagraph"/>
              <w:spacing w:before="66"/>
              <w:ind w:left="107"/>
              <w:rPr>
                <w:sz w:val="20"/>
              </w:rPr>
            </w:pPr>
            <w:r>
              <w:rPr>
                <w:sz w:val="20"/>
              </w:rPr>
              <w:t>No</w:t>
            </w:r>
            <w:r>
              <w:rPr>
                <w:spacing w:val="-12"/>
                <w:sz w:val="20"/>
              </w:rPr>
              <w:t xml:space="preserve"> </w:t>
            </w:r>
            <w:r>
              <w:rPr>
                <w:sz w:val="20"/>
              </w:rPr>
              <w:t>known</w:t>
            </w:r>
            <w:r>
              <w:rPr>
                <w:spacing w:val="-11"/>
                <w:sz w:val="20"/>
              </w:rPr>
              <w:t xml:space="preserve"> </w:t>
            </w:r>
            <w:r>
              <w:rPr>
                <w:sz w:val="20"/>
              </w:rPr>
              <w:t>history</w:t>
            </w:r>
            <w:r>
              <w:rPr>
                <w:spacing w:val="-11"/>
                <w:sz w:val="20"/>
              </w:rPr>
              <w:t xml:space="preserve"> </w:t>
            </w:r>
            <w:r>
              <w:rPr>
                <w:sz w:val="20"/>
              </w:rPr>
              <w:t xml:space="preserve">of </w:t>
            </w:r>
            <w:r>
              <w:rPr>
                <w:spacing w:val="-4"/>
                <w:sz w:val="20"/>
              </w:rPr>
              <w:t>CVD</w:t>
            </w:r>
          </w:p>
        </w:tc>
        <w:tc>
          <w:tcPr>
            <w:tcW w:w="1755" w:type="dxa"/>
            <w:shd w:val="clear" w:color="auto" w:fill="F1F1F1"/>
          </w:tcPr>
          <w:p w14:paraId="7A4C2E65" w14:textId="77777777" w:rsidR="00E13D3F" w:rsidRDefault="00FB2D6A">
            <w:pPr>
              <w:pStyle w:val="TableParagraph"/>
              <w:spacing w:before="66" w:line="243" w:lineRule="exact"/>
              <w:ind w:left="9" w:right="2"/>
              <w:jc w:val="center"/>
              <w:rPr>
                <w:sz w:val="20"/>
              </w:rPr>
            </w:pPr>
            <w:r>
              <w:rPr>
                <w:spacing w:val="-4"/>
                <w:sz w:val="20"/>
              </w:rPr>
              <w:t>1906</w:t>
            </w:r>
          </w:p>
          <w:p w14:paraId="7A4C2E66" w14:textId="77777777" w:rsidR="00E13D3F" w:rsidRDefault="00FB2D6A">
            <w:pPr>
              <w:pStyle w:val="TableParagraph"/>
              <w:spacing w:line="243" w:lineRule="exact"/>
              <w:ind w:left="9" w:right="4"/>
              <w:jc w:val="center"/>
              <w:rPr>
                <w:sz w:val="20"/>
              </w:rPr>
            </w:pPr>
            <w:r>
              <w:rPr>
                <w:spacing w:val="-2"/>
                <w:sz w:val="20"/>
              </w:rPr>
              <w:t>(1.4%)</w:t>
            </w:r>
          </w:p>
        </w:tc>
        <w:tc>
          <w:tcPr>
            <w:tcW w:w="1757" w:type="dxa"/>
            <w:shd w:val="clear" w:color="auto" w:fill="F1F1F1"/>
          </w:tcPr>
          <w:p w14:paraId="7A4C2E67" w14:textId="77777777" w:rsidR="00E13D3F" w:rsidRDefault="00FB2D6A">
            <w:pPr>
              <w:pStyle w:val="TableParagraph"/>
              <w:spacing w:before="66" w:line="243" w:lineRule="exact"/>
              <w:ind w:left="41" w:right="37"/>
              <w:jc w:val="center"/>
              <w:rPr>
                <w:sz w:val="20"/>
              </w:rPr>
            </w:pPr>
            <w:r>
              <w:rPr>
                <w:spacing w:val="-4"/>
                <w:sz w:val="20"/>
              </w:rPr>
              <w:t>2425</w:t>
            </w:r>
          </w:p>
          <w:p w14:paraId="7A4C2E68" w14:textId="77777777" w:rsidR="00E13D3F" w:rsidRDefault="00FB2D6A">
            <w:pPr>
              <w:pStyle w:val="TableParagraph"/>
              <w:spacing w:line="243" w:lineRule="exact"/>
              <w:ind w:left="39" w:right="37"/>
              <w:jc w:val="center"/>
              <w:rPr>
                <w:sz w:val="20"/>
              </w:rPr>
            </w:pPr>
            <w:r>
              <w:rPr>
                <w:spacing w:val="-2"/>
                <w:sz w:val="20"/>
              </w:rPr>
              <w:t>(1.8%)</w:t>
            </w:r>
          </w:p>
        </w:tc>
        <w:tc>
          <w:tcPr>
            <w:tcW w:w="1754" w:type="dxa"/>
            <w:shd w:val="clear" w:color="auto" w:fill="F1F1F1"/>
          </w:tcPr>
          <w:p w14:paraId="7A4C2E69" w14:textId="77777777" w:rsidR="00E13D3F" w:rsidRDefault="00FB2D6A">
            <w:pPr>
              <w:pStyle w:val="TableParagraph"/>
              <w:spacing w:before="66" w:line="243" w:lineRule="exact"/>
              <w:ind w:left="9" w:right="3"/>
              <w:jc w:val="center"/>
              <w:rPr>
                <w:sz w:val="20"/>
              </w:rPr>
            </w:pPr>
            <w:r>
              <w:rPr>
                <w:spacing w:val="-5"/>
                <w:sz w:val="20"/>
              </w:rPr>
              <w:t>25%</w:t>
            </w:r>
          </w:p>
          <w:p w14:paraId="7A4C2E6A" w14:textId="77777777" w:rsidR="00E13D3F" w:rsidRDefault="00FB2D6A">
            <w:pPr>
              <w:pStyle w:val="TableParagraph"/>
              <w:spacing w:line="243" w:lineRule="exact"/>
              <w:ind w:left="9" w:right="4"/>
              <w:jc w:val="center"/>
              <w:rPr>
                <w:sz w:val="20"/>
              </w:rPr>
            </w:pPr>
            <w:r>
              <w:rPr>
                <w:sz w:val="20"/>
              </w:rPr>
              <w:t>(20%</w:t>
            </w:r>
            <w:r>
              <w:rPr>
                <w:spacing w:val="-2"/>
                <w:sz w:val="20"/>
              </w:rPr>
              <w:t xml:space="preserve"> </w:t>
            </w:r>
            <w:r>
              <w:rPr>
                <w:sz w:val="20"/>
              </w:rPr>
              <w:t>-</w:t>
            </w:r>
            <w:r>
              <w:rPr>
                <w:spacing w:val="-4"/>
                <w:sz w:val="20"/>
              </w:rPr>
              <w:t xml:space="preserve"> 29%)</w:t>
            </w:r>
          </w:p>
        </w:tc>
        <w:tc>
          <w:tcPr>
            <w:tcW w:w="1769" w:type="dxa"/>
            <w:shd w:val="clear" w:color="auto" w:fill="F1F1F1"/>
          </w:tcPr>
          <w:p w14:paraId="7A4C2E6B" w14:textId="77777777" w:rsidR="00E13D3F" w:rsidRDefault="00FB2D6A">
            <w:pPr>
              <w:pStyle w:val="TableParagraph"/>
              <w:spacing w:before="188"/>
              <w:ind w:left="10"/>
              <w:jc w:val="center"/>
              <w:rPr>
                <w:sz w:val="20"/>
              </w:rPr>
            </w:pPr>
            <w:r>
              <w:rPr>
                <w:spacing w:val="-4"/>
                <w:sz w:val="20"/>
              </w:rPr>
              <w:t>0.4%</w:t>
            </w:r>
          </w:p>
        </w:tc>
      </w:tr>
      <w:tr w:rsidR="00E13D3F" w14:paraId="7A4C2E75" w14:textId="77777777">
        <w:trPr>
          <w:trHeight w:val="614"/>
        </w:trPr>
        <w:tc>
          <w:tcPr>
            <w:tcW w:w="1980" w:type="dxa"/>
          </w:tcPr>
          <w:p w14:paraId="7A4C2E6D" w14:textId="77777777" w:rsidR="00E13D3F" w:rsidRDefault="00FB2D6A">
            <w:pPr>
              <w:pStyle w:val="TableParagraph"/>
              <w:spacing w:before="186"/>
              <w:ind w:left="107"/>
              <w:rPr>
                <w:sz w:val="20"/>
              </w:rPr>
            </w:pPr>
            <w:r>
              <w:rPr>
                <w:sz w:val="20"/>
              </w:rPr>
              <w:t>History</w:t>
            </w:r>
            <w:r>
              <w:rPr>
                <w:spacing w:val="-5"/>
                <w:sz w:val="20"/>
              </w:rPr>
              <w:t xml:space="preserve"> </w:t>
            </w:r>
            <w:r>
              <w:rPr>
                <w:sz w:val="20"/>
              </w:rPr>
              <w:t>of</w:t>
            </w:r>
            <w:r>
              <w:rPr>
                <w:spacing w:val="-7"/>
                <w:sz w:val="20"/>
              </w:rPr>
              <w:t xml:space="preserve"> </w:t>
            </w:r>
            <w:r>
              <w:rPr>
                <w:spacing w:val="-5"/>
                <w:sz w:val="20"/>
              </w:rPr>
              <w:t>CVD</w:t>
            </w:r>
          </w:p>
        </w:tc>
        <w:tc>
          <w:tcPr>
            <w:tcW w:w="1755" w:type="dxa"/>
          </w:tcPr>
          <w:p w14:paraId="7A4C2E6E" w14:textId="77777777" w:rsidR="00E13D3F" w:rsidRDefault="00FB2D6A">
            <w:pPr>
              <w:pStyle w:val="TableParagraph"/>
              <w:spacing w:before="64"/>
              <w:ind w:left="9" w:right="2"/>
              <w:jc w:val="center"/>
              <w:rPr>
                <w:sz w:val="20"/>
              </w:rPr>
            </w:pPr>
            <w:r>
              <w:rPr>
                <w:spacing w:val="-4"/>
                <w:sz w:val="20"/>
              </w:rPr>
              <w:t>9348</w:t>
            </w:r>
          </w:p>
          <w:p w14:paraId="7A4C2E6F" w14:textId="77777777" w:rsidR="00E13D3F" w:rsidRDefault="00FB2D6A">
            <w:pPr>
              <w:pStyle w:val="TableParagraph"/>
              <w:spacing w:before="1"/>
              <w:ind w:left="9" w:right="4"/>
              <w:jc w:val="center"/>
              <w:rPr>
                <w:sz w:val="20"/>
              </w:rPr>
            </w:pPr>
            <w:r>
              <w:rPr>
                <w:spacing w:val="-2"/>
                <w:sz w:val="20"/>
              </w:rPr>
              <w:t>(4.4%)</w:t>
            </w:r>
          </w:p>
        </w:tc>
        <w:tc>
          <w:tcPr>
            <w:tcW w:w="1757" w:type="dxa"/>
          </w:tcPr>
          <w:p w14:paraId="7A4C2E70" w14:textId="77777777" w:rsidR="00E13D3F" w:rsidRDefault="00FB2D6A">
            <w:pPr>
              <w:pStyle w:val="TableParagraph"/>
              <w:spacing w:before="64"/>
              <w:ind w:left="41" w:right="37"/>
              <w:jc w:val="center"/>
              <w:rPr>
                <w:sz w:val="20"/>
              </w:rPr>
            </w:pPr>
            <w:r>
              <w:rPr>
                <w:spacing w:val="-2"/>
                <w:sz w:val="20"/>
              </w:rPr>
              <w:t>11248</w:t>
            </w:r>
          </w:p>
          <w:p w14:paraId="7A4C2E71" w14:textId="77777777" w:rsidR="00E13D3F" w:rsidRDefault="00FB2D6A">
            <w:pPr>
              <w:pStyle w:val="TableParagraph"/>
              <w:spacing w:before="1"/>
              <w:ind w:left="39" w:right="37"/>
              <w:jc w:val="center"/>
              <w:rPr>
                <w:sz w:val="20"/>
              </w:rPr>
            </w:pPr>
            <w:r>
              <w:rPr>
                <w:spacing w:val="-2"/>
                <w:sz w:val="20"/>
              </w:rPr>
              <w:t>(5.4%)</w:t>
            </w:r>
          </w:p>
        </w:tc>
        <w:tc>
          <w:tcPr>
            <w:tcW w:w="1754" w:type="dxa"/>
          </w:tcPr>
          <w:p w14:paraId="7A4C2E72" w14:textId="77777777" w:rsidR="00E13D3F" w:rsidRDefault="00FB2D6A">
            <w:pPr>
              <w:pStyle w:val="TableParagraph"/>
              <w:spacing w:before="64"/>
              <w:ind w:left="9" w:right="3"/>
              <w:jc w:val="center"/>
              <w:rPr>
                <w:sz w:val="20"/>
              </w:rPr>
            </w:pPr>
            <w:r>
              <w:rPr>
                <w:spacing w:val="-5"/>
                <w:sz w:val="20"/>
              </w:rPr>
              <w:t>21%</w:t>
            </w:r>
          </w:p>
          <w:p w14:paraId="7A4C2E73" w14:textId="77777777" w:rsidR="00E13D3F" w:rsidRDefault="00FB2D6A">
            <w:pPr>
              <w:pStyle w:val="TableParagraph"/>
              <w:spacing w:before="1"/>
              <w:ind w:left="9" w:right="4"/>
              <w:jc w:val="center"/>
              <w:rPr>
                <w:sz w:val="20"/>
              </w:rPr>
            </w:pPr>
            <w:r>
              <w:rPr>
                <w:sz w:val="20"/>
              </w:rPr>
              <w:t>(18%</w:t>
            </w:r>
            <w:r>
              <w:rPr>
                <w:spacing w:val="-2"/>
                <w:sz w:val="20"/>
              </w:rPr>
              <w:t xml:space="preserve"> </w:t>
            </w:r>
            <w:r>
              <w:rPr>
                <w:sz w:val="20"/>
              </w:rPr>
              <w:t>-</w:t>
            </w:r>
            <w:r>
              <w:rPr>
                <w:spacing w:val="-4"/>
                <w:sz w:val="20"/>
              </w:rPr>
              <w:t xml:space="preserve"> 23%)</w:t>
            </w:r>
          </w:p>
        </w:tc>
        <w:tc>
          <w:tcPr>
            <w:tcW w:w="1769" w:type="dxa"/>
          </w:tcPr>
          <w:p w14:paraId="7A4C2E74" w14:textId="77777777" w:rsidR="00E13D3F" w:rsidRDefault="00FB2D6A">
            <w:pPr>
              <w:pStyle w:val="TableParagraph"/>
              <w:spacing w:before="186"/>
              <w:ind w:left="10"/>
              <w:jc w:val="center"/>
              <w:rPr>
                <w:sz w:val="20"/>
              </w:rPr>
            </w:pPr>
            <w:r>
              <w:rPr>
                <w:spacing w:val="-4"/>
                <w:sz w:val="20"/>
              </w:rPr>
              <w:t>1.0%</w:t>
            </w:r>
          </w:p>
        </w:tc>
      </w:tr>
    </w:tbl>
    <w:p w14:paraId="7A4C2E76" w14:textId="77777777" w:rsidR="00E13D3F" w:rsidRDefault="00FB2D6A">
      <w:pPr>
        <w:spacing w:before="10"/>
        <w:ind w:left="1440"/>
        <w:rPr>
          <w:sz w:val="18"/>
        </w:rPr>
      </w:pPr>
      <w:r>
        <w:rPr>
          <w:sz w:val="18"/>
        </w:rPr>
        <w:t>RRR</w:t>
      </w:r>
      <w:r>
        <w:rPr>
          <w:spacing w:val="-2"/>
          <w:sz w:val="18"/>
        </w:rPr>
        <w:t xml:space="preserve"> </w:t>
      </w:r>
      <w:r>
        <w:rPr>
          <w:sz w:val="18"/>
        </w:rPr>
        <w:t>=</w:t>
      </w:r>
      <w:r>
        <w:rPr>
          <w:spacing w:val="-3"/>
          <w:sz w:val="18"/>
        </w:rPr>
        <w:t xml:space="preserve"> </w:t>
      </w:r>
      <w:r>
        <w:rPr>
          <w:sz w:val="18"/>
        </w:rPr>
        <w:t>Relative</w:t>
      </w:r>
      <w:r>
        <w:rPr>
          <w:spacing w:val="-2"/>
          <w:sz w:val="18"/>
        </w:rPr>
        <w:t xml:space="preserve"> </w:t>
      </w:r>
      <w:r>
        <w:rPr>
          <w:sz w:val="18"/>
        </w:rPr>
        <w:t>Risk</w:t>
      </w:r>
      <w:r>
        <w:rPr>
          <w:spacing w:val="-2"/>
          <w:sz w:val="18"/>
        </w:rPr>
        <w:t xml:space="preserve"> </w:t>
      </w:r>
      <w:r>
        <w:rPr>
          <w:sz w:val="18"/>
        </w:rPr>
        <w:t>Reduction; ARR</w:t>
      </w:r>
      <w:r>
        <w:rPr>
          <w:spacing w:val="-2"/>
          <w:sz w:val="18"/>
        </w:rPr>
        <w:t xml:space="preserve"> </w:t>
      </w:r>
      <w:r>
        <w:rPr>
          <w:sz w:val="18"/>
        </w:rPr>
        <w:t>=</w:t>
      </w:r>
      <w:r>
        <w:rPr>
          <w:spacing w:val="-2"/>
          <w:sz w:val="18"/>
        </w:rPr>
        <w:t xml:space="preserve"> </w:t>
      </w:r>
      <w:r>
        <w:rPr>
          <w:sz w:val="18"/>
        </w:rPr>
        <w:t>Absolute</w:t>
      </w:r>
      <w:r>
        <w:rPr>
          <w:spacing w:val="-4"/>
          <w:sz w:val="18"/>
        </w:rPr>
        <w:t xml:space="preserve"> </w:t>
      </w:r>
      <w:r>
        <w:rPr>
          <w:sz w:val="18"/>
        </w:rPr>
        <w:t>Risk</w:t>
      </w:r>
      <w:r>
        <w:rPr>
          <w:spacing w:val="-1"/>
          <w:sz w:val="18"/>
        </w:rPr>
        <w:t xml:space="preserve"> </w:t>
      </w:r>
      <w:r>
        <w:rPr>
          <w:spacing w:val="-2"/>
          <w:sz w:val="18"/>
        </w:rPr>
        <w:t>Reduction</w:t>
      </w:r>
    </w:p>
    <w:p w14:paraId="7A4C2E77" w14:textId="77777777" w:rsidR="00E13D3F" w:rsidRDefault="00FB2D6A">
      <w:pPr>
        <w:spacing w:before="1" w:line="219" w:lineRule="exact"/>
        <w:ind w:left="1440"/>
        <w:rPr>
          <w:sz w:val="18"/>
        </w:rPr>
      </w:pPr>
      <w:r>
        <w:rPr>
          <w:sz w:val="18"/>
        </w:rPr>
        <w:t>*evidence</w:t>
      </w:r>
      <w:r>
        <w:rPr>
          <w:spacing w:val="-6"/>
          <w:sz w:val="18"/>
        </w:rPr>
        <w:t xml:space="preserve"> </w:t>
      </w:r>
      <w:r>
        <w:rPr>
          <w:sz w:val="18"/>
        </w:rPr>
        <w:t>from</w:t>
      </w:r>
      <w:r>
        <w:rPr>
          <w:spacing w:val="-1"/>
          <w:sz w:val="18"/>
        </w:rPr>
        <w:t xml:space="preserve"> </w:t>
      </w:r>
      <w:r>
        <w:rPr>
          <w:sz w:val="18"/>
        </w:rPr>
        <w:t>the</w:t>
      </w:r>
      <w:r>
        <w:rPr>
          <w:spacing w:val="-4"/>
          <w:sz w:val="18"/>
        </w:rPr>
        <w:t xml:space="preserve"> </w:t>
      </w:r>
      <w:r>
        <w:rPr>
          <w:sz w:val="18"/>
        </w:rPr>
        <w:t>Cholesterol</w:t>
      </w:r>
      <w:r>
        <w:rPr>
          <w:spacing w:val="-3"/>
          <w:sz w:val="18"/>
        </w:rPr>
        <w:t xml:space="preserve"> </w:t>
      </w:r>
      <w:r>
        <w:rPr>
          <w:sz w:val="18"/>
        </w:rPr>
        <w:t>Treatment</w:t>
      </w:r>
      <w:r>
        <w:rPr>
          <w:spacing w:val="-2"/>
          <w:sz w:val="18"/>
        </w:rPr>
        <w:t xml:space="preserve"> </w:t>
      </w:r>
      <w:r>
        <w:rPr>
          <w:sz w:val="18"/>
        </w:rPr>
        <w:t>Trialists’</w:t>
      </w:r>
      <w:r>
        <w:rPr>
          <w:spacing w:val="-3"/>
          <w:sz w:val="18"/>
        </w:rPr>
        <w:t xml:space="preserve"> </w:t>
      </w:r>
      <w:r>
        <w:rPr>
          <w:sz w:val="18"/>
        </w:rPr>
        <w:t>(CTT)</w:t>
      </w:r>
      <w:r>
        <w:rPr>
          <w:spacing w:val="-2"/>
          <w:sz w:val="18"/>
        </w:rPr>
        <w:t xml:space="preserve"> </w:t>
      </w:r>
      <w:r>
        <w:rPr>
          <w:sz w:val="18"/>
        </w:rPr>
        <w:t>Collaboration,</w:t>
      </w:r>
      <w:r>
        <w:rPr>
          <w:spacing w:val="-2"/>
          <w:sz w:val="18"/>
        </w:rPr>
        <w:t xml:space="preserve"> </w:t>
      </w:r>
      <w:r>
        <w:rPr>
          <w:sz w:val="18"/>
        </w:rPr>
        <w:t>Baigent</w:t>
      </w:r>
      <w:r>
        <w:rPr>
          <w:spacing w:val="-3"/>
          <w:sz w:val="18"/>
        </w:rPr>
        <w:t xml:space="preserve"> </w:t>
      </w:r>
      <w:r>
        <w:rPr>
          <w:sz w:val="18"/>
        </w:rPr>
        <w:t>C,</w:t>
      </w:r>
      <w:r>
        <w:rPr>
          <w:spacing w:val="-2"/>
          <w:sz w:val="18"/>
        </w:rPr>
        <w:t xml:space="preserve"> </w:t>
      </w:r>
      <w:r>
        <w:rPr>
          <w:sz w:val="18"/>
        </w:rPr>
        <w:t>Blackwell</w:t>
      </w:r>
      <w:r>
        <w:rPr>
          <w:spacing w:val="-3"/>
          <w:sz w:val="18"/>
        </w:rPr>
        <w:t xml:space="preserve"> </w:t>
      </w:r>
      <w:r>
        <w:rPr>
          <w:sz w:val="18"/>
        </w:rPr>
        <w:t>L,</w:t>
      </w:r>
      <w:r>
        <w:rPr>
          <w:spacing w:val="-3"/>
          <w:sz w:val="18"/>
        </w:rPr>
        <w:t xml:space="preserve"> </w:t>
      </w:r>
      <w:r>
        <w:rPr>
          <w:sz w:val="18"/>
        </w:rPr>
        <w:t>et</w:t>
      </w:r>
      <w:r>
        <w:rPr>
          <w:spacing w:val="-2"/>
          <w:sz w:val="18"/>
        </w:rPr>
        <w:t xml:space="preserve"> </w:t>
      </w:r>
      <w:r>
        <w:rPr>
          <w:sz w:val="18"/>
        </w:rPr>
        <w:t>al.</w:t>
      </w:r>
      <w:r>
        <w:rPr>
          <w:spacing w:val="-3"/>
          <w:sz w:val="18"/>
        </w:rPr>
        <w:t xml:space="preserve"> </w:t>
      </w:r>
      <w:r>
        <w:rPr>
          <w:sz w:val="18"/>
        </w:rPr>
        <w:t>Efficacy</w:t>
      </w:r>
      <w:r>
        <w:rPr>
          <w:spacing w:val="-3"/>
          <w:sz w:val="18"/>
        </w:rPr>
        <w:t xml:space="preserve"> </w:t>
      </w:r>
      <w:r>
        <w:rPr>
          <w:sz w:val="18"/>
        </w:rPr>
        <w:t>and</w:t>
      </w:r>
      <w:r>
        <w:rPr>
          <w:spacing w:val="-3"/>
          <w:sz w:val="18"/>
        </w:rPr>
        <w:t xml:space="preserve"> </w:t>
      </w:r>
      <w:r>
        <w:rPr>
          <w:sz w:val="18"/>
        </w:rPr>
        <w:t>safety</w:t>
      </w:r>
      <w:r>
        <w:rPr>
          <w:spacing w:val="-2"/>
          <w:sz w:val="18"/>
        </w:rPr>
        <w:t xml:space="preserve"> </w:t>
      </w:r>
      <w:r>
        <w:rPr>
          <w:spacing w:val="-5"/>
          <w:sz w:val="18"/>
        </w:rPr>
        <w:t>of</w:t>
      </w:r>
    </w:p>
    <w:p w14:paraId="7A4C2E78" w14:textId="77777777" w:rsidR="00E13D3F" w:rsidRDefault="00FB2D6A">
      <w:pPr>
        <w:ind w:left="1440" w:right="1450"/>
        <w:rPr>
          <w:sz w:val="18"/>
        </w:rPr>
      </w:pPr>
      <w:r>
        <w:rPr>
          <w:sz w:val="18"/>
        </w:rPr>
        <w:t>more</w:t>
      </w:r>
      <w:r>
        <w:rPr>
          <w:spacing w:val="-4"/>
          <w:sz w:val="18"/>
        </w:rPr>
        <w:t xml:space="preserve"> </w:t>
      </w:r>
      <w:r>
        <w:rPr>
          <w:sz w:val="18"/>
        </w:rPr>
        <w:t>intensive</w:t>
      </w:r>
      <w:r>
        <w:rPr>
          <w:spacing w:val="-3"/>
          <w:sz w:val="18"/>
        </w:rPr>
        <w:t xml:space="preserve"> </w:t>
      </w:r>
      <w:r>
        <w:rPr>
          <w:sz w:val="18"/>
        </w:rPr>
        <w:t>lowering</w:t>
      </w:r>
      <w:r>
        <w:rPr>
          <w:spacing w:val="-3"/>
          <w:sz w:val="18"/>
        </w:rPr>
        <w:t xml:space="preserve"> </w:t>
      </w:r>
      <w:r>
        <w:rPr>
          <w:sz w:val="18"/>
        </w:rPr>
        <w:t>of</w:t>
      </w:r>
      <w:r>
        <w:rPr>
          <w:spacing w:val="-3"/>
          <w:sz w:val="18"/>
        </w:rPr>
        <w:t xml:space="preserve"> </w:t>
      </w:r>
      <w:r>
        <w:rPr>
          <w:sz w:val="18"/>
        </w:rPr>
        <w:t>LDL</w:t>
      </w:r>
      <w:r>
        <w:rPr>
          <w:spacing w:val="-2"/>
          <w:sz w:val="18"/>
        </w:rPr>
        <w:t xml:space="preserve"> </w:t>
      </w:r>
      <w:r>
        <w:rPr>
          <w:sz w:val="18"/>
        </w:rPr>
        <w:t>cholesterol:</w:t>
      </w:r>
      <w:r>
        <w:rPr>
          <w:spacing w:val="-2"/>
          <w:sz w:val="18"/>
        </w:rPr>
        <w:t xml:space="preserve"> </w:t>
      </w:r>
      <w:r>
        <w:rPr>
          <w:sz w:val="18"/>
        </w:rPr>
        <w:t>a</w:t>
      </w:r>
      <w:r>
        <w:rPr>
          <w:spacing w:val="-3"/>
          <w:sz w:val="18"/>
        </w:rPr>
        <w:t xml:space="preserve"> </w:t>
      </w:r>
      <w:r>
        <w:rPr>
          <w:sz w:val="18"/>
        </w:rPr>
        <w:t>meta-analysis</w:t>
      </w:r>
      <w:r>
        <w:rPr>
          <w:spacing w:val="-3"/>
          <w:sz w:val="18"/>
        </w:rPr>
        <w:t xml:space="preserve"> </w:t>
      </w:r>
      <w:r>
        <w:rPr>
          <w:sz w:val="18"/>
        </w:rPr>
        <w:t>of</w:t>
      </w:r>
      <w:r>
        <w:rPr>
          <w:spacing w:val="-3"/>
          <w:sz w:val="18"/>
        </w:rPr>
        <w:t xml:space="preserve"> </w:t>
      </w:r>
      <w:r>
        <w:rPr>
          <w:sz w:val="18"/>
        </w:rPr>
        <w:t>data</w:t>
      </w:r>
      <w:r>
        <w:rPr>
          <w:spacing w:val="-1"/>
          <w:sz w:val="18"/>
        </w:rPr>
        <w:t xml:space="preserve"> </w:t>
      </w:r>
      <w:r>
        <w:rPr>
          <w:sz w:val="18"/>
        </w:rPr>
        <w:t>from</w:t>
      </w:r>
      <w:r>
        <w:rPr>
          <w:spacing w:val="-2"/>
          <w:sz w:val="18"/>
        </w:rPr>
        <w:t xml:space="preserve"> </w:t>
      </w:r>
      <w:r>
        <w:rPr>
          <w:sz w:val="18"/>
        </w:rPr>
        <w:t>170,000</w:t>
      </w:r>
      <w:r>
        <w:rPr>
          <w:spacing w:val="-2"/>
          <w:sz w:val="18"/>
        </w:rPr>
        <w:t xml:space="preserve"> </w:t>
      </w:r>
      <w:r>
        <w:rPr>
          <w:sz w:val="18"/>
        </w:rPr>
        <w:t>participants</w:t>
      </w:r>
      <w:r>
        <w:rPr>
          <w:spacing w:val="-4"/>
          <w:sz w:val="18"/>
        </w:rPr>
        <w:t xml:space="preserve"> </w:t>
      </w:r>
      <w:r>
        <w:rPr>
          <w:sz w:val="18"/>
        </w:rPr>
        <w:t>in</w:t>
      </w:r>
      <w:r>
        <w:rPr>
          <w:spacing w:val="-3"/>
          <w:sz w:val="18"/>
        </w:rPr>
        <w:t xml:space="preserve"> </w:t>
      </w:r>
      <w:r>
        <w:rPr>
          <w:sz w:val="18"/>
        </w:rPr>
        <w:t xml:space="preserve">26 </w:t>
      </w:r>
      <w:proofErr w:type="spellStart"/>
      <w:r>
        <w:rPr>
          <w:sz w:val="18"/>
        </w:rPr>
        <w:t>randomised</w:t>
      </w:r>
      <w:proofErr w:type="spellEnd"/>
      <w:r>
        <w:rPr>
          <w:spacing w:val="-3"/>
          <w:sz w:val="18"/>
        </w:rPr>
        <w:t xml:space="preserve"> </w:t>
      </w:r>
      <w:r>
        <w:rPr>
          <w:sz w:val="18"/>
        </w:rPr>
        <w:t>trials. Lancet. 2010;376(9753):1670-1681. doi:10.1016/S0140-6736(10)61350-5</w:t>
      </w:r>
    </w:p>
    <w:p w14:paraId="7A4C2E79" w14:textId="77777777" w:rsidR="00E13D3F" w:rsidRDefault="00E13D3F">
      <w:pPr>
        <w:rPr>
          <w:sz w:val="18"/>
        </w:rPr>
        <w:sectPr w:rsidR="00E13D3F">
          <w:pgSz w:w="11910" w:h="16840"/>
          <w:pgMar w:top="1380" w:right="0" w:bottom="1200" w:left="0" w:header="0" w:footer="1000" w:gutter="0"/>
          <w:cols w:space="720"/>
        </w:sectPr>
      </w:pPr>
    </w:p>
    <w:p w14:paraId="7A4C2E7A" w14:textId="77777777" w:rsidR="00E13D3F" w:rsidRDefault="00FB2D6A">
      <w:pPr>
        <w:pStyle w:val="Heading2"/>
        <w:spacing w:before="24"/>
      </w:pPr>
      <w:r>
        <w:rPr>
          <w:color w:val="2E5395"/>
        </w:rPr>
        <w:lastRenderedPageBreak/>
        <w:t>Starting</w:t>
      </w:r>
      <w:r>
        <w:rPr>
          <w:color w:val="2E5395"/>
          <w:spacing w:val="-8"/>
        </w:rPr>
        <w:t xml:space="preserve"> </w:t>
      </w:r>
      <w:r>
        <w:rPr>
          <w:color w:val="2E5395"/>
        </w:rPr>
        <w:t>and</w:t>
      </w:r>
      <w:r>
        <w:rPr>
          <w:color w:val="2E5395"/>
          <w:spacing w:val="-8"/>
        </w:rPr>
        <w:t xml:space="preserve"> </w:t>
      </w:r>
      <w:r>
        <w:rPr>
          <w:color w:val="2E5395"/>
        </w:rPr>
        <w:t>Stopping</w:t>
      </w:r>
      <w:r>
        <w:rPr>
          <w:color w:val="2E5395"/>
          <w:spacing w:val="-7"/>
        </w:rPr>
        <w:t xml:space="preserve"> </w:t>
      </w:r>
      <w:r>
        <w:rPr>
          <w:color w:val="2E5395"/>
          <w:spacing w:val="-4"/>
        </w:rPr>
        <w:t>Ages</w:t>
      </w:r>
    </w:p>
    <w:p w14:paraId="7A4C2E7B" w14:textId="77777777" w:rsidR="00E13D3F" w:rsidRDefault="00FB2D6A">
      <w:pPr>
        <w:pStyle w:val="BodyText"/>
        <w:spacing w:before="23" w:line="276" w:lineRule="auto"/>
        <w:ind w:right="1450"/>
      </w:pPr>
      <w:r>
        <w:t>The proportion of adults with abnormal blood lipids increases with age—from 34% among 18–24-year-olds to 81% among 65–74-year-olds. The mean age of the participants included in</w:t>
      </w:r>
      <w:r>
        <w:rPr>
          <w:spacing w:val="-1"/>
        </w:rPr>
        <w:t xml:space="preserve"> </w:t>
      </w:r>
      <w:r>
        <w:t>the</w:t>
      </w:r>
      <w:r>
        <w:rPr>
          <w:spacing w:val="-3"/>
        </w:rPr>
        <w:t xml:space="preserve"> </w:t>
      </w:r>
      <w:r>
        <w:t>meta-analysis</w:t>
      </w:r>
      <w:r>
        <w:rPr>
          <w:spacing w:val="-2"/>
        </w:rPr>
        <w:t xml:space="preserve"> </w:t>
      </w:r>
      <w:r>
        <w:t>mentioned above</w:t>
      </w:r>
      <w:r>
        <w:rPr>
          <w:spacing w:val="-3"/>
        </w:rPr>
        <w:t xml:space="preserve"> </w:t>
      </w:r>
      <w:r>
        <w:t>was</w:t>
      </w:r>
      <w:r>
        <w:rPr>
          <w:spacing w:val="-1"/>
        </w:rPr>
        <w:t xml:space="preserve"> </w:t>
      </w:r>
      <w:r>
        <w:t>62.7</w:t>
      </w:r>
      <w:r>
        <w:rPr>
          <w:spacing w:val="-4"/>
        </w:rPr>
        <w:t xml:space="preserve"> </w:t>
      </w:r>
      <w:r>
        <w:t>years</w:t>
      </w:r>
      <w:r>
        <w:rPr>
          <w:spacing w:val="-2"/>
        </w:rPr>
        <w:t xml:space="preserve"> </w:t>
      </w:r>
      <w:r>
        <w:t>(95%</w:t>
      </w:r>
      <w:r>
        <w:rPr>
          <w:spacing w:val="-1"/>
        </w:rPr>
        <w:t xml:space="preserve"> </w:t>
      </w:r>
      <w:r>
        <w:t>CI</w:t>
      </w:r>
      <w:r>
        <w:rPr>
          <w:spacing w:val="-2"/>
        </w:rPr>
        <w:t xml:space="preserve"> </w:t>
      </w:r>
      <w:r>
        <w:t>62.6</w:t>
      </w:r>
      <w:r>
        <w:rPr>
          <w:spacing w:val="-1"/>
        </w:rPr>
        <w:t xml:space="preserve"> </w:t>
      </w:r>
      <w:r>
        <w:t>to</w:t>
      </w:r>
      <w:r>
        <w:rPr>
          <w:spacing w:val="-1"/>
        </w:rPr>
        <w:t xml:space="preserve"> </w:t>
      </w:r>
      <w:r>
        <w:t>62.7).</w:t>
      </w:r>
      <w:r>
        <w:rPr>
          <w:spacing w:val="-3"/>
        </w:rPr>
        <w:t xml:space="preserve"> </w:t>
      </w:r>
      <w:r>
        <w:t>Table 3.1</w:t>
      </w:r>
      <w:r>
        <w:rPr>
          <w:spacing w:val="-1"/>
        </w:rPr>
        <w:t xml:space="preserve"> </w:t>
      </w:r>
      <w:r>
        <w:t>shows similar relative effects across different age groups (fewer participants in &gt;75 years age group)</w:t>
      </w:r>
      <w:r>
        <w:rPr>
          <w:spacing w:val="-5"/>
        </w:rPr>
        <w:t xml:space="preserve"> </w:t>
      </w:r>
      <w:r>
        <w:t>but</w:t>
      </w:r>
      <w:r>
        <w:rPr>
          <w:spacing w:val="-3"/>
        </w:rPr>
        <w:t xml:space="preserve"> </w:t>
      </w:r>
      <w:r>
        <w:t>highest</w:t>
      </w:r>
      <w:r>
        <w:rPr>
          <w:spacing w:val="-1"/>
        </w:rPr>
        <w:t xml:space="preserve"> </w:t>
      </w:r>
      <w:r>
        <w:t>absolute</w:t>
      </w:r>
      <w:r>
        <w:rPr>
          <w:spacing w:val="-4"/>
        </w:rPr>
        <w:t xml:space="preserve"> </w:t>
      </w:r>
      <w:r>
        <w:t>reduction was</w:t>
      </w:r>
      <w:r>
        <w:rPr>
          <w:spacing w:val="-1"/>
        </w:rPr>
        <w:t xml:space="preserve"> </w:t>
      </w:r>
      <w:r>
        <w:t>in</w:t>
      </w:r>
      <w:r>
        <w:rPr>
          <w:spacing w:val="-1"/>
        </w:rPr>
        <w:t xml:space="preserve"> </w:t>
      </w:r>
      <w:r>
        <w:t>55–65-year</w:t>
      </w:r>
      <w:r>
        <w:rPr>
          <w:spacing w:val="-4"/>
        </w:rPr>
        <w:t xml:space="preserve"> </w:t>
      </w:r>
      <w:r>
        <w:t>age</w:t>
      </w:r>
      <w:r>
        <w:rPr>
          <w:spacing w:val="-1"/>
        </w:rPr>
        <w:t xml:space="preserve"> </w:t>
      </w:r>
      <w:r>
        <w:t>group.</w:t>
      </w:r>
      <w:r>
        <w:rPr>
          <w:spacing w:val="-4"/>
        </w:rPr>
        <w:t xml:space="preserve"> </w:t>
      </w:r>
      <w:r>
        <w:t>For</w:t>
      </w:r>
      <w:r>
        <w:rPr>
          <w:spacing w:val="-4"/>
        </w:rPr>
        <w:t xml:space="preserve"> </w:t>
      </w:r>
      <w:r>
        <w:t>the</w:t>
      </w:r>
      <w:r>
        <w:rPr>
          <w:spacing w:val="-1"/>
        </w:rPr>
        <w:t xml:space="preserve"> </w:t>
      </w:r>
      <w:r>
        <w:t>&lt;65-year</w:t>
      </w:r>
      <w:r>
        <w:rPr>
          <w:spacing w:val="-4"/>
        </w:rPr>
        <w:t xml:space="preserve"> </w:t>
      </w:r>
      <w:r>
        <w:t>group, about 1,000 people needed to be treated for 4.9 years to prevent one major CVD event (6-7). The RACGP and other key bodies recommend blood lipid measurement commencing at 45 years of age.</w:t>
      </w:r>
    </w:p>
    <w:p w14:paraId="7A4C2E7C" w14:textId="77777777" w:rsidR="00E13D3F" w:rsidRDefault="00E13D3F">
      <w:pPr>
        <w:pStyle w:val="BodyText"/>
        <w:spacing w:before="84"/>
        <w:ind w:left="0"/>
      </w:pPr>
    </w:p>
    <w:p w14:paraId="7A4C2E7D" w14:textId="77777777" w:rsidR="00E13D3F" w:rsidRDefault="00FB2D6A">
      <w:pPr>
        <w:pStyle w:val="Heading2"/>
      </w:pPr>
      <w:r>
        <w:rPr>
          <w:color w:val="2E5395"/>
        </w:rPr>
        <w:t>Interval</w:t>
      </w:r>
      <w:r>
        <w:rPr>
          <w:color w:val="2E5395"/>
          <w:spacing w:val="-5"/>
        </w:rPr>
        <w:t xml:space="preserve"> </w:t>
      </w:r>
      <w:r>
        <w:rPr>
          <w:color w:val="2E5395"/>
        </w:rPr>
        <w:t>for</w:t>
      </w:r>
      <w:r>
        <w:rPr>
          <w:color w:val="2E5395"/>
          <w:spacing w:val="-8"/>
        </w:rPr>
        <w:t xml:space="preserve"> </w:t>
      </w:r>
      <w:r>
        <w:rPr>
          <w:color w:val="2E5395"/>
          <w:spacing w:val="-2"/>
        </w:rPr>
        <w:t>Assessment</w:t>
      </w:r>
    </w:p>
    <w:p w14:paraId="7A4C2E7E" w14:textId="77777777" w:rsidR="00E13D3F" w:rsidRDefault="00FB2D6A">
      <w:pPr>
        <w:pStyle w:val="BodyText"/>
        <w:spacing w:before="26" w:line="276" w:lineRule="auto"/>
        <w:ind w:right="1685"/>
      </w:pPr>
      <w:r>
        <w:t>The current RACGP guidelines suggest measurement of blood lipids every 3 years. Few studies have directly addressed the question of appropriate interval. Evaluation of the optimal</w:t>
      </w:r>
      <w:r>
        <w:rPr>
          <w:spacing w:val="-3"/>
        </w:rPr>
        <w:t xml:space="preserve"> </w:t>
      </w:r>
      <w:r>
        <w:t>interval</w:t>
      </w:r>
      <w:r>
        <w:rPr>
          <w:spacing w:val="-5"/>
        </w:rPr>
        <w:t xml:space="preserve"> </w:t>
      </w:r>
      <w:r>
        <w:t>for</w:t>
      </w:r>
      <w:r>
        <w:rPr>
          <w:spacing w:val="-2"/>
        </w:rPr>
        <w:t xml:space="preserve"> </w:t>
      </w:r>
      <w:r>
        <w:t>blood</w:t>
      </w:r>
      <w:r>
        <w:rPr>
          <w:spacing w:val="-2"/>
        </w:rPr>
        <w:t xml:space="preserve"> </w:t>
      </w:r>
      <w:r>
        <w:t>lipid</w:t>
      </w:r>
      <w:r>
        <w:rPr>
          <w:spacing w:val="-2"/>
        </w:rPr>
        <w:t xml:space="preserve"> </w:t>
      </w:r>
      <w:r>
        <w:t>assessment</w:t>
      </w:r>
      <w:r>
        <w:rPr>
          <w:spacing w:val="-4"/>
        </w:rPr>
        <w:t xml:space="preserve"> </w:t>
      </w:r>
      <w:r>
        <w:t>and</w:t>
      </w:r>
      <w:r>
        <w:rPr>
          <w:spacing w:val="-4"/>
        </w:rPr>
        <w:t xml:space="preserve"> </w:t>
      </w:r>
      <w:r>
        <w:t>the</w:t>
      </w:r>
      <w:r>
        <w:rPr>
          <w:spacing w:val="-2"/>
        </w:rPr>
        <w:t xml:space="preserve"> </w:t>
      </w:r>
      <w:r>
        <w:t>long-term</w:t>
      </w:r>
      <w:r>
        <w:rPr>
          <w:spacing w:val="-5"/>
        </w:rPr>
        <w:t xml:space="preserve"> </w:t>
      </w:r>
      <w:r>
        <w:t>true</w:t>
      </w:r>
      <w:r>
        <w:rPr>
          <w:spacing w:val="-2"/>
        </w:rPr>
        <w:t xml:space="preserve"> </w:t>
      </w:r>
      <w:r>
        <w:t>variations in</w:t>
      </w:r>
      <w:r>
        <w:rPr>
          <w:spacing w:val="-2"/>
        </w:rPr>
        <w:t xml:space="preserve"> </w:t>
      </w:r>
      <w:r>
        <w:t>blood</w:t>
      </w:r>
      <w:r>
        <w:rPr>
          <w:spacing w:val="-4"/>
        </w:rPr>
        <w:t xml:space="preserve"> </w:t>
      </w:r>
      <w:r>
        <w:t>lipid levels (signal’) and short-term within-person variation (‘noise’) over 4 years in a cohort of 15,810 apparently</w:t>
      </w:r>
      <w:r>
        <w:rPr>
          <w:spacing w:val="-4"/>
        </w:rPr>
        <w:t xml:space="preserve"> </w:t>
      </w:r>
      <w:r>
        <w:t>healthy</w:t>
      </w:r>
      <w:r>
        <w:rPr>
          <w:spacing w:val="-1"/>
        </w:rPr>
        <w:t xml:space="preserve"> </w:t>
      </w:r>
      <w:r>
        <w:t>adults</w:t>
      </w:r>
      <w:r>
        <w:rPr>
          <w:spacing w:val="-1"/>
        </w:rPr>
        <w:t xml:space="preserve"> </w:t>
      </w:r>
      <w:r>
        <w:t>in</w:t>
      </w:r>
      <w:r>
        <w:rPr>
          <w:spacing w:val="-2"/>
        </w:rPr>
        <w:t xml:space="preserve"> </w:t>
      </w:r>
      <w:r>
        <w:t>Japan suggested</w:t>
      </w:r>
      <w:r>
        <w:rPr>
          <w:spacing w:val="-2"/>
        </w:rPr>
        <w:t xml:space="preserve"> </w:t>
      </w:r>
      <w:r>
        <w:t>that</w:t>
      </w:r>
      <w:r>
        <w:rPr>
          <w:spacing w:val="-2"/>
        </w:rPr>
        <w:t xml:space="preserve"> </w:t>
      </w:r>
      <w:r>
        <w:t>the</w:t>
      </w:r>
      <w:r>
        <w:rPr>
          <w:spacing w:val="-3"/>
        </w:rPr>
        <w:t xml:space="preserve"> </w:t>
      </w:r>
      <w:r>
        <w:t>optimal</w:t>
      </w:r>
      <w:r>
        <w:rPr>
          <w:spacing w:val="-3"/>
        </w:rPr>
        <w:t xml:space="preserve"> </w:t>
      </w:r>
      <w:r>
        <w:t>interval</w:t>
      </w:r>
      <w:r>
        <w:rPr>
          <w:spacing w:val="-1"/>
        </w:rPr>
        <w:t xml:space="preserve"> </w:t>
      </w:r>
      <w:r>
        <w:t>with a</w:t>
      </w:r>
      <w:r>
        <w:rPr>
          <w:spacing w:val="-3"/>
        </w:rPr>
        <w:t xml:space="preserve"> </w:t>
      </w:r>
      <w:r>
        <w:t>weak signal-to-noise ratios of standard blood lipid measures (e.g., LDL) is over 3 years (8).</w:t>
      </w:r>
    </w:p>
    <w:p w14:paraId="7A4C2E7F" w14:textId="77777777" w:rsidR="00E13D3F" w:rsidRDefault="00E13D3F">
      <w:pPr>
        <w:pStyle w:val="BodyText"/>
        <w:spacing w:before="83"/>
        <w:ind w:left="0"/>
      </w:pPr>
    </w:p>
    <w:p w14:paraId="7A4C2E80" w14:textId="77777777" w:rsidR="00E13D3F" w:rsidRDefault="00FB2D6A">
      <w:pPr>
        <w:pStyle w:val="Heading2"/>
      </w:pPr>
      <w:r>
        <w:rPr>
          <w:color w:val="2E5395"/>
          <w:spacing w:val="-2"/>
        </w:rPr>
        <w:t>Subpopulations</w:t>
      </w:r>
    </w:p>
    <w:p w14:paraId="7A4C2E81" w14:textId="77777777" w:rsidR="00E13D3F" w:rsidRDefault="00FB2D6A">
      <w:pPr>
        <w:pStyle w:val="BodyText"/>
        <w:spacing w:before="26" w:line="276" w:lineRule="auto"/>
        <w:ind w:right="1450"/>
      </w:pPr>
      <w:r>
        <w:t>The Cholesterol Treatment Trialists’ Collaboration individual patient meta-analysis has evaluated the effect of lipid lowering medications on sub-population across a variety of factors</w:t>
      </w:r>
      <w:r>
        <w:rPr>
          <w:spacing w:val="-5"/>
        </w:rPr>
        <w:t xml:space="preserve"> </w:t>
      </w:r>
      <w:r>
        <w:t>including</w:t>
      </w:r>
      <w:r>
        <w:rPr>
          <w:spacing w:val="-5"/>
        </w:rPr>
        <w:t xml:space="preserve"> </w:t>
      </w:r>
      <w:r>
        <w:t>age,</w:t>
      </w:r>
      <w:r>
        <w:rPr>
          <w:spacing w:val="-2"/>
        </w:rPr>
        <w:t xml:space="preserve"> </w:t>
      </w:r>
      <w:r>
        <w:t>gender,</w:t>
      </w:r>
      <w:r>
        <w:rPr>
          <w:spacing w:val="-5"/>
        </w:rPr>
        <w:t xml:space="preserve"> </w:t>
      </w:r>
      <w:r>
        <w:t>history</w:t>
      </w:r>
      <w:r>
        <w:rPr>
          <w:spacing w:val="-3"/>
        </w:rPr>
        <w:t xml:space="preserve"> </w:t>
      </w:r>
      <w:r>
        <w:t>of</w:t>
      </w:r>
      <w:r>
        <w:rPr>
          <w:spacing w:val="-2"/>
        </w:rPr>
        <w:t xml:space="preserve"> </w:t>
      </w:r>
      <w:r>
        <w:t>CVD,</w:t>
      </w:r>
      <w:r>
        <w:rPr>
          <w:spacing w:val="-3"/>
        </w:rPr>
        <w:t xml:space="preserve"> </w:t>
      </w:r>
      <w:r>
        <w:t>and</w:t>
      </w:r>
      <w:r>
        <w:rPr>
          <w:spacing w:val="-4"/>
        </w:rPr>
        <w:t xml:space="preserve"> </w:t>
      </w:r>
      <w:r>
        <w:t>baseline</w:t>
      </w:r>
      <w:r>
        <w:rPr>
          <w:spacing w:val="-2"/>
        </w:rPr>
        <w:t xml:space="preserve"> </w:t>
      </w:r>
      <w:r>
        <w:t>risk</w:t>
      </w:r>
      <w:r>
        <w:rPr>
          <w:spacing w:val="-6"/>
        </w:rPr>
        <w:t xml:space="preserve"> </w:t>
      </w:r>
      <w:r>
        <w:t>of</w:t>
      </w:r>
      <w:r>
        <w:rPr>
          <w:spacing w:val="-1"/>
        </w:rPr>
        <w:t xml:space="preserve"> </w:t>
      </w:r>
      <w:r>
        <w:t>CVD.</w:t>
      </w:r>
      <w:r>
        <w:rPr>
          <w:spacing w:val="-4"/>
        </w:rPr>
        <w:t xml:space="preserve"> </w:t>
      </w:r>
      <w:r>
        <w:t>They</w:t>
      </w:r>
      <w:r>
        <w:rPr>
          <w:spacing w:val="-3"/>
        </w:rPr>
        <w:t xml:space="preserve"> </w:t>
      </w:r>
      <w:r>
        <w:t>did</w:t>
      </w:r>
      <w:r>
        <w:rPr>
          <w:spacing w:val="-4"/>
        </w:rPr>
        <w:t xml:space="preserve"> </w:t>
      </w:r>
      <w:r>
        <w:t>not</w:t>
      </w:r>
      <w:r>
        <w:rPr>
          <w:spacing w:val="-2"/>
        </w:rPr>
        <w:t xml:space="preserve"> </w:t>
      </w:r>
      <w:r>
        <w:t>identify any important differences in the relative risk reductions. However, absolute risk difference was higher in people with higher baseline CVD risk (table 3.1).</w:t>
      </w:r>
    </w:p>
    <w:p w14:paraId="7A4C2E82" w14:textId="77777777" w:rsidR="00E13D3F" w:rsidRDefault="00E13D3F">
      <w:pPr>
        <w:pStyle w:val="BodyText"/>
        <w:spacing w:before="44"/>
        <w:ind w:left="0"/>
      </w:pPr>
    </w:p>
    <w:p w14:paraId="7A4C2E83" w14:textId="77777777" w:rsidR="00E13D3F" w:rsidRDefault="00FB2D6A">
      <w:pPr>
        <w:pStyle w:val="BodyText"/>
        <w:spacing w:line="276" w:lineRule="auto"/>
        <w:ind w:right="1519"/>
      </w:pPr>
      <w:r>
        <w:t>Although, Australian National Health Survey showed no important differences in the proportion of adults with abnormal blood lipids between Aboriginal and Torres Strait Islander populations and non-indigenous subpopulation, Aboriginal and Torres Strait Islander</w:t>
      </w:r>
      <w:r>
        <w:rPr>
          <w:spacing w:val="-4"/>
        </w:rPr>
        <w:t xml:space="preserve"> </w:t>
      </w:r>
      <w:r>
        <w:t>populations</w:t>
      </w:r>
      <w:r>
        <w:rPr>
          <w:spacing w:val="-3"/>
        </w:rPr>
        <w:t xml:space="preserve"> </w:t>
      </w:r>
      <w:r>
        <w:t>have</w:t>
      </w:r>
      <w:r>
        <w:rPr>
          <w:spacing w:val="-2"/>
        </w:rPr>
        <w:t xml:space="preserve"> </w:t>
      </w:r>
      <w:r>
        <w:t>a</w:t>
      </w:r>
      <w:r>
        <w:rPr>
          <w:spacing w:val="-5"/>
        </w:rPr>
        <w:t xml:space="preserve"> </w:t>
      </w:r>
      <w:r>
        <w:t>higher baseline</w:t>
      </w:r>
      <w:r>
        <w:rPr>
          <w:spacing w:val="-4"/>
        </w:rPr>
        <w:t xml:space="preserve"> </w:t>
      </w:r>
      <w:r>
        <w:t>CVD</w:t>
      </w:r>
      <w:r>
        <w:rPr>
          <w:spacing w:val="-4"/>
        </w:rPr>
        <w:t xml:space="preserve"> </w:t>
      </w:r>
      <w:r>
        <w:t>risk.</w:t>
      </w:r>
      <w:r>
        <w:rPr>
          <w:spacing w:val="-4"/>
        </w:rPr>
        <w:t xml:space="preserve"> </w:t>
      </w:r>
      <w:r>
        <w:t>Therefore,</w:t>
      </w:r>
      <w:r>
        <w:rPr>
          <w:spacing w:val="-5"/>
        </w:rPr>
        <w:t xml:space="preserve"> </w:t>
      </w:r>
      <w:r>
        <w:t>cholesterol</w:t>
      </w:r>
      <w:r>
        <w:rPr>
          <w:spacing w:val="-2"/>
        </w:rPr>
        <w:t xml:space="preserve"> </w:t>
      </w:r>
      <w:r>
        <w:t>assessment</w:t>
      </w:r>
      <w:r>
        <w:rPr>
          <w:spacing w:val="-2"/>
        </w:rPr>
        <w:t xml:space="preserve"> </w:t>
      </w:r>
      <w:r>
        <w:t>(as part of CVD risk assessment) is warranted at an earlier age for Aboriginal and Torres Strait Islander populations (at 35 years).</w:t>
      </w:r>
    </w:p>
    <w:p w14:paraId="7A4C2E84" w14:textId="77777777" w:rsidR="00E13D3F" w:rsidRDefault="00E13D3F">
      <w:pPr>
        <w:pStyle w:val="BodyText"/>
        <w:spacing w:before="86"/>
        <w:ind w:left="0"/>
      </w:pPr>
    </w:p>
    <w:p w14:paraId="7A4C2E85" w14:textId="77777777" w:rsidR="00E13D3F" w:rsidRDefault="00FB2D6A">
      <w:pPr>
        <w:pStyle w:val="Heading2"/>
      </w:pPr>
      <w:r>
        <w:rPr>
          <w:color w:val="2E5395"/>
          <w:spacing w:val="-2"/>
        </w:rPr>
        <w:t>Conclusion</w:t>
      </w:r>
    </w:p>
    <w:p w14:paraId="7A4C2E86" w14:textId="77777777" w:rsidR="00E13D3F" w:rsidRDefault="00FB2D6A">
      <w:pPr>
        <w:pStyle w:val="BodyText"/>
        <w:spacing w:before="23" w:line="276" w:lineRule="auto"/>
        <w:ind w:right="1450"/>
      </w:pPr>
      <w:r>
        <w:t>There</w:t>
      </w:r>
      <w:r>
        <w:rPr>
          <w:spacing w:val="-5"/>
        </w:rPr>
        <w:t xml:space="preserve"> </w:t>
      </w:r>
      <w:r>
        <w:t>is</w:t>
      </w:r>
      <w:r>
        <w:rPr>
          <w:spacing w:val="-3"/>
        </w:rPr>
        <w:t xml:space="preserve"> </w:t>
      </w:r>
      <w:r>
        <w:t>evidence</w:t>
      </w:r>
      <w:r>
        <w:rPr>
          <w:spacing w:val="-5"/>
        </w:rPr>
        <w:t xml:space="preserve"> </w:t>
      </w:r>
      <w:r>
        <w:t>that</w:t>
      </w:r>
      <w:r>
        <w:rPr>
          <w:spacing w:val="-4"/>
        </w:rPr>
        <w:t xml:space="preserve"> </w:t>
      </w:r>
      <w:r>
        <w:t>detection</w:t>
      </w:r>
      <w:r>
        <w:rPr>
          <w:spacing w:val="-2"/>
        </w:rPr>
        <w:t xml:space="preserve"> </w:t>
      </w:r>
      <w:r>
        <w:t>and</w:t>
      </w:r>
      <w:r>
        <w:rPr>
          <w:spacing w:val="-4"/>
        </w:rPr>
        <w:t xml:space="preserve"> </w:t>
      </w:r>
      <w:r>
        <w:t>management</w:t>
      </w:r>
      <w:r>
        <w:rPr>
          <w:spacing w:val="-2"/>
        </w:rPr>
        <w:t xml:space="preserve"> </w:t>
      </w:r>
      <w:r>
        <w:t>of</w:t>
      </w:r>
      <w:r>
        <w:rPr>
          <w:spacing w:val="-2"/>
        </w:rPr>
        <w:t xml:space="preserve"> </w:t>
      </w:r>
      <w:r>
        <w:t>abnormal</w:t>
      </w:r>
      <w:r>
        <w:rPr>
          <w:spacing w:val="-4"/>
        </w:rPr>
        <w:t xml:space="preserve"> </w:t>
      </w:r>
      <w:r>
        <w:t>blood</w:t>
      </w:r>
      <w:r>
        <w:rPr>
          <w:spacing w:val="-2"/>
        </w:rPr>
        <w:t xml:space="preserve"> </w:t>
      </w:r>
      <w:r>
        <w:t>lipids</w:t>
      </w:r>
      <w:r>
        <w:rPr>
          <w:spacing w:val="-3"/>
        </w:rPr>
        <w:t xml:space="preserve"> </w:t>
      </w:r>
      <w:r>
        <w:t>in</w:t>
      </w:r>
      <w:r>
        <w:rPr>
          <w:spacing w:val="-2"/>
        </w:rPr>
        <w:t xml:space="preserve"> </w:t>
      </w:r>
      <w:r>
        <w:t>adult</w:t>
      </w:r>
      <w:r>
        <w:rPr>
          <w:spacing w:val="-2"/>
        </w:rPr>
        <w:t xml:space="preserve"> </w:t>
      </w:r>
      <w:r>
        <w:t xml:space="preserve">reduces the risk of all-cause mortality and major cardiovascular events. Assessment every 3 years is reasonable and should start at earlier age among Aboriginal and Torres Strait Islander </w:t>
      </w:r>
      <w:r>
        <w:rPr>
          <w:spacing w:val="-2"/>
        </w:rPr>
        <w:t>populations.</w:t>
      </w:r>
    </w:p>
    <w:p w14:paraId="7A4C2E87" w14:textId="77777777" w:rsidR="00E13D3F" w:rsidRDefault="00E13D3F">
      <w:pPr>
        <w:pStyle w:val="BodyText"/>
        <w:spacing w:line="276" w:lineRule="auto"/>
        <w:sectPr w:rsidR="00E13D3F">
          <w:pgSz w:w="11910" w:h="16840"/>
          <w:pgMar w:top="1400" w:right="0" w:bottom="1200" w:left="0" w:header="0" w:footer="1000" w:gutter="0"/>
          <w:cols w:space="720"/>
        </w:sectPr>
      </w:pPr>
    </w:p>
    <w:p w14:paraId="7A4C2E88" w14:textId="77777777" w:rsidR="00E13D3F" w:rsidRDefault="00FB2D6A">
      <w:pPr>
        <w:pStyle w:val="Heading2"/>
        <w:spacing w:before="21"/>
      </w:pPr>
      <w:r>
        <w:rPr>
          <w:color w:val="2E5395"/>
          <w:spacing w:val="-2"/>
        </w:rPr>
        <w:lastRenderedPageBreak/>
        <w:t>References</w:t>
      </w:r>
    </w:p>
    <w:p w14:paraId="7A4C2E89" w14:textId="77777777" w:rsidR="00E13D3F" w:rsidRDefault="00FB2D6A" w:rsidP="00990D2B">
      <w:pPr>
        <w:pStyle w:val="ListParagraph"/>
        <w:numPr>
          <w:ilvl w:val="0"/>
          <w:numId w:val="48"/>
        </w:numPr>
        <w:tabs>
          <w:tab w:val="left" w:pos="1798"/>
          <w:tab w:val="left" w:pos="1800"/>
        </w:tabs>
        <w:spacing w:before="26" w:line="276" w:lineRule="auto"/>
        <w:ind w:right="2003"/>
      </w:pPr>
      <w:r>
        <w:t xml:space="preserve">Australian Bureau of Statistics (ABS), </w:t>
      </w:r>
      <w:hyperlink r:id="rId21">
        <w:r w:rsidR="00E13D3F">
          <w:t>National Aboriginal and Torres Strait Islander Health</w:t>
        </w:r>
      </w:hyperlink>
      <w:r>
        <w:t xml:space="preserve"> </w:t>
      </w:r>
      <w:hyperlink r:id="rId22">
        <w:r w:rsidR="00E13D3F">
          <w:t>Survey,</w:t>
        </w:r>
      </w:hyperlink>
      <w:r>
        <w:rPr>
          <w:spacing w:val="-5"/>
        </w:rPr>
        <w:t xml:space="preserve"> </w:t>
      </w:r>
      <w:r>
        <w:t>2018–19,</w:t>
      </w:r>
      <w:r>
        <w:rPr>
          <w:spacing w:val="-5"/>
        </w:rPr>
        <w:t xml:space="preserve"> </w:t>
      </w:r>
      <w:r>
        <w:t>ABS</w:t>
      </w:r>
      <w:r>
        <w:rPr>
          <w:spacing w:val="-3"/>
        </w:rPr>
        <w:t xml:space="preserve"> </w:t>
      </w:r>
      <w:r>
        <w:t>catalogue</w:t>
      </w:r>
      <w:r>
        <w:rPr>
          <w:spacing w:val="-2"/>
        </w:rPr>
        <w:t xml:space="preserve"> </w:t>
      </w:r>
      <w:r>
        <w:t>number</w:t>
      </w:r>
      <w:r>
        <w:rPr>
          <w:spacing w:val="-4"/>
        </w:rPr>
        <w:t xml:space="preserve"> </w:t>
      </w:r>
      <w:r>
        <w:t>4715.0,</w:t>
      </w:r>
      <w:r>
        <w:rPr>
          <w:spacing w:val="-2"/>
        </w:rPr>
        <w:t xml:space="preserve"> </w:t>
      </w:r>
      <w:r>
        <w:t>ABS,</w:t>
      </w:r>
      <w:r>
        <w:rPr>
          <w:spacing w:val="-4"/>
        </w:rPr>
        <w:t xml:space="preserve"> </w:t>
      </w:r>
      <w:r>
        <w:t>Australian</w:t>
      </w:r>
      <w:r>
        <w:rPr>
          <w:spacing w:val="-3"/>
        </w:rPr>
        <w:t xml:space="preserve"> </w:t>
      </w:r>
      <w:r>
        <w:t>Government,</w:t>
      </w:r>
      <w:r>
        <w:rPr>
          <w:spacing w:val="-2"/>
        </w:rPr>
        <w:t xml:space="preserve"> </w:t>
      </w:r>
      <w:r>
        <w:t>accessed</w:t>
      </w:r>
      <w:r>
        <w:rPr>
          <w:spacing w:val="-5"/>
        </w:rPr>
        <w:t xml:space="preserve"> </w:t>
      </w:r>
      <w:r>
        <w:t>13 August 2022.</w:t>
      </w:r>
    </w:p>
    <w:p w14:paraId="7A4C2E8A" w14:textId="77777777" w:rsidR="00E13D3F" w:rsidRDefault="00FB2D6A" w:rsidP="00990D2B">
      <w:pPr>
        <w:pStyle w:val="ListParagraph"/>
        <w:numPr>
          <w:ilvl w:val="0"/>
          <w:numId w:val="48"/>
        </w:numPr>
        <w:tabs>
          <w:tab w:val="left" w:pos="1798"/>
          <w:tab w:val="left" w:pos="1800"/>
        </w:tabs>
        <w:spacing w:line="273" w:lineRule="auto"/>
        <w:ind w:right="1976"/>
      </w:pPr>
      <w:r>
        <w:t>Australian</w:t>
      </w:r>
      <w:r>
        <w:rPr>
          <w:spacing w:val="-3"/>
        </w:rPr>
        <w:t xml:space="preserve"> </w:t>
      </w:r>
      <w:r>
        <w:t>Bureau</w:t>
      </w:r>
      <w:r>
        <w:rPr>
          <w:spacing w:val="-6"/>
        </w:rPr>
        <w:t xml:space="preserve"> </w:t>
      </w:r>
      <w:r>
        <w:t>of</w:t>
      </w:r>
      <w:r>
        <w:rPr>
          <w:spacing w:val="-2"/>
        </w:rPr>
        <w:t xml:space="preserve"> </w:t>
      </w:r>
      <w:r>
        <w:t>Statistics</w:t>
      </w:r>
      <w:r>
        <w:rPr>
          <w:spacing w:val="-2"/>
        </w:rPr>
        <w:t xml:space="preserve"> </w:t>
      </w:r>
      <w:r>
        <w:t>(ABS</w:t>
      </w:r>
      <w:hyperlink r:id="rId23">
        <w:r w:rsidR="00E13D3F">
          <w:t>),</w:t>
        </w:r>
        <w:r w:rsidR="00E13D3F">
          <w:rPr>
            <w:spacing w:val="-2"/>
          </w:rPr>
          <w:t xml:space="preserve"> </w:t>
        </w:r>
        <w:r w:rsidR="00E13D3F">
          <w:t>Australian</w:t>
        </w:r>
        <w:r w:rsidR="00E13D3F">
          <w:rPr>
            <w:spacing w:val="-3"/>
          </w:rPr>
          <w:t xml:space="preserve"> </w:t>
        </w:r>
        <w:r w:rsidR="00E13D3F">
          <w:t>Aboriginal</w:t>
        </w:r>
        <w:r w:rsidR="00E13D3F">
          <w:rPr>
            <w:spacing w:val="-2"/>
          </w:rPr>
          <w:t xml:space="preserve"> </w:t>
        </w:r>
        <w:r w:rsidR="00E13D3F">
          <w:t>and</w:t>
        </w:r>
        <w:r w:rsidR="00E13D3F">
          <w:rPr>
            <w:spacing w:val="-3"/>
          </w:rPr>
          <w:t xml:space="preserve"> </w:t>
        </w:r>
        <w:r w:rsidR="00E13D3F">
          <w:t>Torres</w:t>
        </w:r>
        <w:r w:rsidR="00E13D3F">
          <w:rPr>
            <w:spacing w:val="-2"/>
          </w:rPr>
          <w:t xml:space="preserve"> </w:t>
        </w:r>
        <w:r w:rsidR="00E13D3F">
          <w:t>Strait</w:t>
        </w:r>
        <w:r w:rsidR="00E13D3F">
          <w:rPr>
            <w:spacing w:val="-2"/>
          </w:rPr>
          <w:t xml:space="preserve"> </w:t>
        </w:r>
        <w:r w:rsidR="00E13D3F">
          <w:t>Islander</w:t>
        </w:r>
        <w:r w:rsidR="00E13D3F">
          <w:rPr>
            <w:spacing w:val="-2"/>
          </w:rPr>
          <w:t xml:space="preserve"> </w:t>
        </w:r>
        <w:r w:rsidR="00E13D3F">
          <w:t>Health</w:t>
        </w:r>
      </w:hyperlink>
      <w:r>
        <w:t xml:space="preserve"> </w:t>
      </w:r>
      <w:hyperlink r:id="rId24">
        <w:r w:rsidR="00E13D3F">
          <w:t>Survey: Biomedical Results</w:t>
        </w:r>
      </w:hyperlink>
      <w:r>
        <w:t>, 2012-13, Australian Government, accessed 11 August 2022.</w:t>
      </w:r>
    </w:p>
    <w:p w14:paraId="7A4C2E8B" w14:textId="77777777" w:rsidR="00E13D3F" w:rsidRDefault="00FB2D6A" w:rsidP="00990D2B">
      <w:pPr>
        <w:pStyle w:val="ListParagraph"/>
        <w:numPr>
          <w:ilvl w:val="0"/>
          <w:numId w:val="48"/>
        </w:numPr>
        <w:tabs>
          <w:tab w:val="left" w:pos="1798"/>
          <w:tab w:val="left" w:pos="1800"/>
        </w:tabs>
        <w:spacing w:before="4" w:line="276" w:lineRule="auto"/>
        <w:ind w:right="1488"/>
      </w:pPr>
      <w:r>
        <w:t>Chou</w:t>
      </w:r>
      <w:r>
        <w:rPr>
          <w:spacing w:val="-2"/>
        </w:rPr>
        <w:t xml:space="preserve"> </w:t>
      </w:r>
      <w:r>
        <w:t>R,</w:t>
      </w:r>
      <w:r>
        <w:rPr>
          <w:spacing w:val="-3"/>
        </w:rPr>
        <w:t xml:space="preserve"> </w:t>
      </w:r>
      <w:r>
        <w:t>Dana</w:t>
      </w:r>
      <w:r>
        <w:rPr>
          <w:spacing w:val="-3"/>
        </w:rPr>
        <w:t xml:space="preserve"> </w:t>
      </w:r>
      <w:r>
        <w:t>T,</w:t>
      </w:r>
      <w:r>
        <w:rPr>
          <w:spacing w:val="-1"/>
        </w:rPr>
        <w:t xml:space="preserve"> </w:t>
      </w:r>
      <w:r>
        <w:t>Blazina</w:t>
      </w:r>
      <w:r>
        <w:rPr>
          <w:spacing w:val="-1"/>
        </w:rPr>
        <w:t xml:space="preserve"> </w:t>
      </w:r>
      <w:r>
        <w:t>I,</w:t>
      </w:r>
      <w:r>
        <w:rPr>
          <w:spacing w:val="-3"/>
        </w:rPr>
        <w:t xml:space="preserve"> </w:t>
      </w:r>
      <w:r>
        <w:t>et</w:t>
      </w:r>
      <w:r>
        <w:rPr>
          <w:spacing w:val="-1"/>
        </w:rPr>
        <w:t xml:space="preserve"> </w:t>
      </w:r>
      <w:r>
        <w:t>al. Statin</w:t>
      </w:r>
      <w:r>
        <w:rPr>
          <w:spacing w:val="-4"/>
        </w:rPr>
        <w:t xml:space="preserve"> </w:t>
      </w:r>
      <w:r>
        <w:t>Use</w:t>
      </w:r>
      <w:r>
        <w:rPr>
          <w:spacing w:val="-1"/>
        </w:rPr>
        <w:t xml:space="preserve"> </w:t>
      </w:r>
      <w:r>
        <w:t>for</w:t>
      </w:r>
      <w:r>
        <w:rPr>
          <w:spacing w:val="-3"/>
        </w:rPr>
        <w:t xml:space="preserve"> </w:t>
      </w:r>
      <w:r>
        <w:t>the</w:t>
      </w:r>
      <w:r>
        <w:rPr>
          <w:spacing w:val="-3"/>
        </w:rPr>
        <w:t xml:space="preserve"> </w:t>
      </w:r>
      <w:r>
        <w:t>Prevention</w:t>
      </w:r>
      <w:r>
        <w:rPr>
          <w:spacing w:val="-4"/>
        </w:rPr>
        <w:t xml:space="preserve"> </w:t>
      </w:r>
      <w:r>
        <w:t>of</w:t>
      </w:r>
      <w:r>
        <w:rPr>
          <w:spacing w:val="-1"/>
        </w:rPr>
        <w:t xml:space="preserve"> </w:t>
      </w:r>
      <w:r>
        <w:t>Cardiovascular</w:t>
      </w:r>
      <w:r>
        <w:rPr>
          <w:spacing w:val="-4"/>
        </w:rPr>
        <w:t xml:space="preserve"> </w:t>
      </w:r>
      <w:r>
        <w:t>Disease</w:t>
      </w:r>
      <w:r>
        <w:rPr>
          <w:spacing w:val="-1"/>
        </w:rPr>
        <w:t xml:space="preserve"> </w:t>
      </w:r>
      <w:r>
        <w:t>in</w:t>
      </w:r>
      <w:r>
        <w:rPr>
          <w:spacing w:val="-1"/>
        </w:rPr>
        <w:t xml:space="preserve"> </w:t>
      </w:r>
      <w:r>
        <w:t>Adults: A Systematic Review for the U.S. Preventive Services Task Force. Rockville (MD): Agency for Healthcare Research and Quality (US); November 2016.</w:t>
      </w:r>
    </w:p>
    <w:p w14:paraId="7A4C2E8C" w14:textId="77777777" w:rsidR="00E13D3F" w:rsidRDefault="00FB2D6A" w:rsidP="00990D2B">
      <w:pPr>
        <w:pStyle w:val="ListParagraph"/>
        <w:numPr>
          <w:ilvl w:val="0"/>
          <w:numId w:val="48"/>
        </w:numPr>
        <w:tabs>
          <w:tab w:val="left" w:pos="1798"/>
          <w:tab w:val="left" w:pos="1800"/>
        </w:tabs>
        <w:spacing w:line="276" w:lineRule="auto"/>
        <w:ind w:right="1721"/>
      </w:pPr>
      <w:r>
        <w:t>Pignone</w:t>
      </w:r>
      <w:r>
        <w:rPr>
          <w:spacing w:val="-3"/>
        </w:rPr>
        <w:t xml:space="preserve"> </w:t>
      </w:r>
      <w:r>
        <w:t>MP,</w:t>
      </w:r>
      <w:r>
        <w:rPr>
          <w:spacing w:val="-3"/>
        </w:rPr>
        <w:t xml:space="preserve"> </w:t>
      </w:r>
      <w:r>
        <w:t>Phillips</w:t>
      </w:r>
      <w:r>
        <w:rPr>
          <w:spacing w:val="-1"/>
        </w:rPr>
        <w:t xml:space="preserve"> </w:t>
      </w:r>
      <w:r>
        <w:t>CJ,</w:t>
      </w:r>
      <w:r>
        <w:rPr>
          <w:spacing w:val="-1"/>
        </w:rPr>
        <w:t xml:space="preserve"> </w:t>
      </w:r>
      <w:r>
        <w:t>Lannon</w:t>
      </w:r>
      <w:r>
        <w:rPr>
          <w:spacing w:val="-2"/>
        </w:rPr>
        <w:t xml:space="preserve"> </w:t>
      </w:r>
      <w:r>
        <w:t>CM,</w:t>
      </w:r>
      <w:r>
        <w:rPr>
          <w:spacing w:val="-4"/>
        </w:rPr>
        <w:t xml:space="preserve"> </w:t>
      </w:r>
      <w:r>
        <w:t>et</w:t>
      </w:r>
      <w:r>
        <w:rPr>
          <w:spacing w:val="-3"/>
        </w:rPr>
        <w:t xml:space="preserve"> </w:t>
      </w:r>
      <w:r>
        <w:t>al. Screening</w:t>
      </w:r>
      <w:r>
        <w:rPr>
          <w:spacing w:val="-2"/>
        </w:rPr>
        <w:t xml:space="preserve"> </w:t>
      </w:r>
      <w:r>
        <w:t>for</w:t>
      </w:r>
      <w:r>
        <w:rPr>
          <w:spacing w:val="-1"/>
        </w:rPr>
        <w:t xml:space="preserve"> </w:t>
      </w:r>
      <w:r>
        <w:t>Lipid</w:t>
      </w:r>
      <w:r>
        <w:rPr>
          <w:spacing w:val="-5"/>
        </w:rPr>
        <w:t xml:space="preserve"> </w:t>
      </w:r>
      <w:r>
        <w:t>Disorders.</w:t>
      </w:r>
      <w:r>
        <w:rPr>
          <w:spacing w:val="-1"/>
        </w:rPr>
        <w:t xml:space="preserve"> </w:t>
      </w:r>
      <w:r>
        <w:t>AHRQ</w:t>
      </w:r>
      <w:r>
        <w:rPr>
          <w:spacing w:val="-3"/>
        </w:rPr>
        <w:t xml:space="preserve"> </w:t>
      </w:r>
      <w:r>
        <w:t>Publication</w:t>
      </w:r>
      <w:r>
        <w:rPr>
          <w:spacing w:val="-2"/>
        </w:rPr>
        <w:t xml:space="preserve"> </w:t>
      </w:r>
      <w:r>
        <w:t xml:space="preserve">No. 01-S004. Rockville (MD): Agency for Healthcare Research and Quality: 2001. </w:t>
      </w:r>
      <w:hyperlink r:id="rId25">
        <w:r w:rsidR="00E13D3F">
          <w:t>http://www.ahrq.gov/downloads/pub/prevent/pdfser/lipidser.pdf</w:t>
        </w:r>
      </w:hyperlink>
      <w:r>
        <w:t xml:space="preserve"> PMID: 20722136.</w:t>
      </w:r>
    </w:p>
    <w:p w14:paraId="7A4C2E8D" w14:textId="77777777" w:rsidR="00E13D3F" w:rsidRDefault="00FB2D6A" w:rsidP="00990D2B">
      <w:pPr>
        <w:pStyle w:val="ListParagraph"/>
        <w:numPr>
          <w:ilvl w:val="0"/>
          <w:numId w:val="48"/>
        </w:numPr>
        <w:tabs>
          <w:tab w:val="left" w:pos="1798"/>
          <w:tab w:val="left" w:pos="1800"/>
        </w:tabs>
        <w:spacing w:before="1" w:line="276" w:lineRule="auto"/>
        <w:ind w:right="1595"/>
        <w:jc w:val="both"/>
      </w:pPr>
      <w:r>
        <w:t>U.S. Preventive Services Task Force. Screening for Lipid Disorders in Adults: Recommendation Statement Agency for Healthcare Research and Quality. AHRQ Publication No. 08-05114-EF-2. Rockville</w:t>
      </w:r>
      <w:r>
        <w:rPr>
          <w:spacing w:val="-13"/>
        </w:rPr>
        <w:t xml:space="preserve"> </w:t>
      </w:r>
      <w:r>
        <w:t>(MD):</w:t>
      </w:r>
      <w:r>
        <w:rPr>
          <w:spacing w:val="-12"/>
        </w:rPr>
        <w:t xml:space="preserve"> </w:t>
      </w:r>
      <w:r>
        <w:t>2008.</w:t>
      </w:r>
      <w:r>
        <w:rPr>
          <w:spacing w:val="-12"/>
        </w:rPr>
        <w:t xml:space="preserve"> </w:t>
      </w:r>
      <w:hyperlink r:id="rId26">
        <w:r w:rsidR="00E13D3F">
          <w:t>http://www.uspreventiveservicestaskforce.org/uspstf08/lipid/lipidrs.htm</w:t>
        </w:r>
      </w:hyperlink>
    </w:p>
    <w:p w14:paraId="7A4C2E8E" w14:textId="77777777" w:rsidR="00E13D3F" w:rsidRDefault="00FB2D6A" w:rsidP="00990D2B">
      <w:pPr>
        <w:pStyle w:val="ListParagraph"/>
        <w:numPr>
          <w:ilvl w:val="0"/>
          <w:numId w:val="48"/>
        </w:numPr>
        <w:tabs>
          <w:tab w:val="left" w:pos="1798"/>
          <w:tab w:val="left" w:pos="1800"/>
        </w:tabs>
        <w:spacing w:line="276" w:lineRule="auto"/>
        <w:ind w:right="1818"/>
      </w:pPr>
      <w:r>
        <w:t>Cholesterol</w:t>
      </w:r>
      <w:r>
        <w:rPr>
          <w:spacing w:val="-4"/>
        </w:rPr>
        <w:t xml:space="preserve"> </w:t>
      </w:r>
      <w:r>
        <w:t>Treatment</w:t>
      </w:r>
      <w:r>
        <w:rPr>
          <w:spacing w:val="-4"/>
        </w:rPr>
        <w:t xml:space="preserve"> </w:t>
      </w:r>
      <w:r>
        <w:t>Trialists’</w:t>
      </w:r>
      <w:r>
        <w:rPr>
          <w:spacing w:val="-1"/>
        </w:rPr>
        <w:t xml:space="preserve"> </w:t>
      </w:r>
      <w:r>
        <w:t>(CTT)</w:t>
      </w:r>
      <w:r>
        <w:rPr>
          <w:spacing w:val="-2"/>
        </w:rPr>
        <w:t xml:space="preserve"> </w:t>
      </w:r>
      <w:r>
        <w:t>Collaboration,</w:t>
      </w:r>
      <w:r>
        <w:rPr>
          <w:spacing w:val="-2"/>
        </w:rPr>
        <w:t xml:space="preserve"> </w:t>
      </w:r>
      <w:r>
        <w:t>Baigent</w:t>
      </w:r>
      <w:r>
        <w:rPr>
          <w:spacing w:val="-2"/>
        </w:rPr>
        <w:t xml:space="preserve"> </w:t>
      </w:r>
      <w:r>
        <w:t>C,</w:t>
      </w:r>
      <w:r>
        <w:rPr>
          <w:spacing w:val="-1"/>
        </w:rPr>
        <w:t xml:space="preserve"> </w:t>
      </w:r>
      <w:r>
        <w:t>Blackwell</w:t>
      </w:r>
      <w:r>
        <w:rPr>
          <w:spacing w:val="-2"/>
        </w:rPr>
        <w:t xml:space="preserve"> </w:t>
      </w:r>
      <w:r>
        <w:t>L,</w:t>
      </w:r>
      <w:r>
        <w:rPr>
          <w:spacing w:val="-2"/>
        </w:rPr>
        <w:t xml:space="preserve"> </w:t>
      </w:r>
      <w:r>
        <w:t>et</w:t>
      </w:r>
      <w:r>
        <w:rPr>
          <w:spacing w:val="-2"/>
        </w:rPr>
        <w:t xml:space="preserve"> </w:t>
      </w:r>
      <w:r>
        <w:t>al.</w:t>
      </w:r>
      <w:r>
        <w:rPr>
          <w:spacing w:val="-5"/>
        </w:rPr>
        <w:t xml:space="preserve"> </w:t>
      </w:r>
      <w:r>
        <w:t>Efficacy</w:t>
      </w:r>
      <w:r>
        <w:rPr>
          <w:spacing w:val="-4"/>
        </w:rPr>
        <w:t xml:space="preserve"> </w:t>
      </w:r>
      <w:r>
        <w:t>and safety of more intensive lowering of LDL cholesterol: a meta-analysis of data from 170,000 participants</w:t>
      </w:r>
      <w:r>
        <w:rPr>
          <w:spacing w:val="-1"/>
        </w:rPr>
        <w:t xml:space="preserve"> </w:t>
      </w:r>
      <w:r>
        <w:t>in</w:t>
      </w:r>
      <w:r>
        <w:rPr>
          <w:spacing w:val="-4"/>
        </w:rPr>
        <w:t xml:space="preserve"> </w:t>
      </w:r>
      <w:r>
        <w:t>26</w:t>
      </w:r>
      <w:r>
        <w:rPr>
          <w:spacing w:val="-2"/>
        </w:rPr>
        <w:t xml:space="preserve"> </w:t>
      </w:r>
      <w:proofErr w:type="spellStart"/>
      <w:r>
        <w:t>randomised</w:t>
      </w:r>
      <w:proofErr w:type="spellEnd"/>
      <w:r>
        <w:rPr>
          <w:spacing w:val="-2"/>
        </w:rPr>
        <w:t xml:space="preserve"> </w:t>
      </w:r>
      <w:r>
        <w:t>trials.</w:t>
      </w:r>
      <w:r>
        <w:rPr>
          <w:spacing w:val="-5"/>
        </w:rPr>
        <w:t xml:space="preserve"> </w:t>
      </w:r>
      <w:r>
        <w:t>Lancet.</w:t>
      </w:r>
      <w:r>
        <w:rPr>
          <w:spacing w:val="-5"/>
        </w:rPr>
        <w:t xml:space="preserve"> </w:t>
      </w:r>
      <w:r>
        <w:t>2010;376(9753):1670-1681.</w:t>
      </w:r>
      <w:r>
        <w:rPr>
          <w:spacing w:val="-2"/>
        </w:rPr>
        <w:t xml:space="preserve"> </w:t>
      </w:r>
      <w:r>
        <w:t>doi:10.1016/S0140-</w:t>
      </w:r>
      <w:r>
        <w:rPr>
          <w:spacing w:val="-2"/>
        </w:rPr>
        <w:t>6736(10)61350-5</w:t>
      </w:r>
    </w:p>
    <w:p w14:paraId="7A4C2E8F" w14:textId="77777777" w:rsidR="00E13D3F" w:rsidRDefault="00FB2D6A" w:rsidP="00990D2B">
      <w:pPr>
        <w:pStyle w:val="ListParagraph"/>
        <w:numPr>
          <w:ilvl w:val="0"/>
          <w:numId w:val="48"/>
        </w:numPr>
        <w:tabs>
          <w:tab w:val="left" w:pos="1798"/>
          <w:tab w:val="left" w:pos="1800"/>
        </w:tabs>
        <w:spacing w:line="276" w:lineRule="auto"/>
        <w:ind w:right="1711"/>
      </w:pPr>
      <w:r>
        <w:t>Cholesterol Treatment Trialists' (CTT) Collaboration, Fulcher J, O'Connell R, et al. Efficacy and safety</w:t>
      </w:r>
      <w:r>
        <w:rPr>
          <w:spacing w:val="-3"/>
        </w:rPr>
        <w:t xml:space="preserve"> </w:t>
      </w:r>
      <w:r>
        <w:t>of</w:t>
      </w:r>
      <w:r>
        <w:rPr>
          <w:spacing w:val="-5"/>
        </w:rPr>
        <w:t xml:space="preserve"> </w:t>
      </w:r>
      <w:r>
        <w:t>LDL-lowering</w:t>
      </w:r>
      <w:r>
        <w:rPr>
          <w:spacing w:val="-3"/>
        </w:rPr>
        <w:t xml:space="preserve"> </w:t>
      </w:r>
      <w:r>
        <w:t>therapy</w:t>
      </w:r>
      <w:r>
        <w:rPr>
          <w:spacing w:val="-2"/>
        </w:rPr>
        <w:t xml:space="preserve"> </w:t>
      </w:r>
      <w:r>
        <w:t>among</w:t>
      </w:r>
      <w:r>
        <w:rPr>
          <w:spacing w:val="-5"/>
        </w:rPr>
        <w:t xml:space="preserve"> </w:t>
      </w:r>
      <w:r>
        <w:t>men</w:t>
      </w:r>
      <w:r>
        <w:rPr>
          <w:spacing w:val="-5"/>
        </w:rPr>
        <w:t xml:space="preserve"> </w:t>
      </w:r>
      <w:r>
        <w:t>and</w:t>
      </w:r>
      <w:r>
        <w:rPr>
          <w:spacing w:val="-3"/>
        </w:rPr>
        <w:t xml:space="preserve"> </w:t>
      </w:r>
      <w:r>
        <w:t>women:</w:t>
      </w:r>
      <w:r>
        <w:rPr>
          <w:spacing w:val="-2"/>
        </w:rPr>
        <w:t xml:space="preserve"> </w:t>
      </w:r>
      <w:r>
        <w:t>meta-analysis</w:t>
      </w:r>
      <w:r>
        <w:rPr>
          <w:spacing w:val="-5"/>
        </w:rPr>
        <w:t xml:space="preserve"> </w:t>
      </w:r>
      <w:r>
        <w:t>of</w:t>
      </w:r>
      <w:r>
        <w:rPr>
          <w:spacing w:val="-2"/>
        </w:rPr>
        <w:t xml:space="preserve"> </w:t>
      </w:r>
      <w:r>
        <w:t>individual</w:t>
      </w:r>
      <w:r>
        <w:rPr>
          <w:spacing w:val="-2"/>
        </w:rPr>
        <w:t xml:space="preserve"> </w:t>
      </w:r>
      <w:r>
        <w:t>data</w:t>
      </w:r>
      <w:r>
        <w:rPr>
          <w:spacing w:val="-2"/>
        </w:rPr>
        <w:t xml:space="preserve"> </w:t>
      </w:r>
      <w:r>
        <w:t xml:space="preserve">from 174,000 participants in 27 </w:t>
      </w:r>
      <w:proofErr w:type="spellStart"/>
      <w:r>
        <w:t>randomised</w:t>
      </w:r>
      <w:proofErr w:type="spellEnd"/>
      <w:r>
        <w:t xml:space="preserve"> trials. Lancet. 2015;385(9976):1397-1405. </w:t>
      </w:r>
      <w:r>
        <w:rPr>
          <w:spacing w:val="-2"/>
        </w:rPr>
        <w:t>doi:10.1016/S0140-6736(14)61368-4</w:t>
      </w:r>
    </w:p>
    <w:p w14:paraId="7A4C2E90" w14:textId="77777777" w:rsidR="00E13D3F" w:rsidRDefault="00FB2D6A" w:rsidP="00990D2B">
      <w:pPr>
        <w:pStyle w:val="ListParagraph"/>
        <w:numPr>
          <w:ilvl w:val="0"/>
          <w:numId w:val="48"/>
        </w:numPr>
        <w:tabs>
          <w:tab w:val="left" w:pos="1798"/>
        </w:tabs>
        <w:spacing w:before="1"/>
        <w:ind w:left="1798" w:hanging="358"/>
      </w:pPr>
      <w:r>
        <w:t>Takahashi</w:t>
      </w:r>
      <w:r>
        <w:rPr>
          <w:spacing w:val="-6"/>
        </w:rPr>
        <w:t xml:space="preserve"> </w:t>
      </w:r>
      <w:r>
        <w:t>O,</w:t>
      </w:r>
      <w:r>
        <w:rPr>
          <w:spacing w:val="-5"/>
        </w:rPr>
        <w:t xml:space="preserve"> </w:t>
      </w:r>
      <w:proofErr w:type="spellStart"/>
      <w:r>
        <w:t>Glasziou</w:t>
      </w:r>
      <w:proofErr w:type="spellEnd"/>
      <w:r>
        <w:rPr>
          <w:spacing w:val="-7"/>
        </w:rPr>
        <w:t xml:space="preserve"> </w:t>
      </w:r>
      <w:r>
        <w:t>PP,</w:t>
      </w:r>
      <w:r>
        <w:rPr>
          <w:spacing w:val="-5"/>
        </w:rPr>
        <w:t xml:space="preserve"> </w:t>
      </w:r>
      <w:r>
        <w:t>Perera</w:t>
      </w:r>
      <w:r>
        <w:rPr>
          <w:spacing w:val="-3"/>
        </w:rPr>
        <w:t xml:space="preserve"> </w:t>
      </w:r>
      <w:r>
        <w:t>R,</w:t>
      </w:r>
      <w:r>
        <w:rPr>
          <w:spacing w:val="-4"/>
        </w:rPr>
        <w:t xml:space="preserve"> </w:t>
      </w:r>
      <w:r>
        <w:t>et</w:t>
      </w:r>
      <w:r>
        <w:rPr>
          <w:spacing w:val="-3"/>
        </w:rPr>
        <w:t xml:space="preserve"> </w:t>
      </w:r>
      <w:r>
        <w:t>al.</w:t>
      </w:r>
      <w:r>
        <w:rPr>
          <w:spacing w:val="-4"/>
        </w:rPr>
        <w:t xml:space="preserve"> </w:t>
      </w:r>
      <w:r>
        <w:t>Lipid</w:t>
      </w:r>
      <w:r>
        <w:rPr>
          <w:spacing w:val="-5"/>
        </w:rPr>
        <w:t xml:space="preserve"> </w:t>
      </w:r>
      <w:r>
        <w:t>re-screening:</w:t>
      </w:r>
      <w:r>
        <w:rPr>
          <w:spacing w:val="-3"/>
        </w:rPr>
        <w:t xml:space="preserve"> </w:t>
      </w:r>
      <w:r>
        <w:t>what</w:t>
      </w:r>
      <w:r>
        <w:rPr>
          <w:spacing w:val="-4"/>
        </w:rPr>
        <w:t xml:space="preserve"> </w:t>
      </w:r>
      <w:r>
        <w:t>is</w:t>
      </w:r>
      <w:r>
        <w:rPr>
          <w:spacing w:val="-6"/>
        </w:rPr>
        <w:t xml:space="preserve"> </w:t>
      </w:r>
      <w:r>
        <w:t>the</w:t>
      </w:r>
      <w:r>
        <w:rPr>
          <w:spacing w:val="-3"/>
        </w:rPr>
        <w:t xml:space="preserve"> </w:t>
      </w:r>
      <w:r>
        <w:t>best</w:t>
      </w:r>
      <w:r>
        <w:rPr>
          <w:spacing w:val="-5"/>
        </w:rPr>
        <w:t xml:space="preserve"> </w:t>
      </w:r>
      <w:r>
        <w:t>measure</w:t>
      </w:r>
      <w:r>
        <w:rPr>
          <w:spacing w:val="-3"/>
        </w:rPr>
        <w:t xml:space="preserve"> </w:t>
      </w:r>
      <w:r>
        <w:rPr>
          <w:spacing w:val="-5"/>
        </w:rPr>
        <w:t>and</w:t>
      </w:r>
    </w:p>
    <w:p w14:paraId="7A4C2E91" w14:textId="77777777" w:rsidR="00E13D3F" w:rsidRDefault="00FB2D6A">
      <w:pPr>
        <w:spacing w:before="39"/>
        <w:ind w:left="1800"/>
      </w:pPr>
      <w:r>
        <w:t>interval?.</w:t>
      </w:r>
      <w:r>
        <w:rPr>
          <w:spacing w:val="-11"/>
        </w:rPr>
        <w:t xml:space="preserve"> </w:t>
      </w:r>
      <w:r>
        <w:t>Heart.</w:t>
      </w:r>
      <w:r>
        <w:rPr>
          <w:spacing w:val="-8"/>
        </w:rPr>
        <w:t xml:space="preserve"> </w:t>
      </w:r>
      <w:r>
        <w:t>2010;96(6):448-452.</w:t>
      </w:r>
      <w:r>
        <w:rPr>
          <w:spacing w:val="-8"/>
        </w:rPr>
        <w:t xml:space="preserve"> </w:t>
      </w:r>
      <w:r>
        <w:rPr>
          <w:spacing w:val="-2"/>
        </w:rPr>
        <w:t>doi:10.1136/hrt.2009.172619</w:t>
      </w:r>
    </w:p>
    <w:p w14:paraId="7A4C2E92" w14:textId="77777777" w:rsidR="00E13D3F" w:rsidRDefault="00E13D3F">
      <w:pPr>
        <w:sectPr w:rsidR="00E13D3F">
          <w:pgSz w:w="11910" w:h="16840"/>
          <w:pgMar w:top="1400" w:right="0" w:bottom="1200" w:left="0" w:header="0" w:footer="1000" w:gutter="0"/>
          <w:cols w:space="720"/>
        </w:sectPr>
      </w:pPr>
    </w:p>
    <w:p w14:paraId="7A4C2E93" w14:textId="77777777" w:rsidR="00E13D3F" w:rsidRDefault="00FB2D6A" w:rsidP="00990D2B">
      <w:pPr>
        <w:pStyle w:val="Heading1"/>
        <w:numPr>
          <w:ilvl w:val="0"/>
          <w:numId w:val="53"/>
        </w:numPr>
        <w:tabs>
          <w:tab w:val="left" w:pos="1799"/>
        </w:tabs>
        <w:ind w:left="1799" w:hanging="359"/>
        <w:rPr>
          <w:color w:val="2E5395"/>
          <w:u w:color="2E5395"/>
        </w:rPr>
      </w:pPr>
      <w:r>
        <w:rPr>
          <w:color w:val="2E5395"/>
          <w:u w:color="2E5395"/>
        </w:rPr>
        <w:lastRenderedPageBreak/>
        <w:t>The</w:t>
      </w:r>
      <w:r>
        <w:rPr>
          <w:color w:val="2E5395"/>
          <w:spacing w:val="-10"/>
          <w:u w:color="2E5395"/>
        </w:rPr>
        <w:t xml:space="preserve"> </w:t>
      </w:r>
      <w:r>
        <w:rPr>
          <w:color w:val="2E5395"/>
          <w:u w:color="2E5395"/>
        </w:rPr>
        <w:t>Health</w:t>
      </w:r>
      <w:r>
        <w:rPr>
          <w:color w:val="2E5395"/>
          <w:spacing w:val="-10"/>
          <w:u w:color="2E5395"/>
        </w:rPr>
        <w:t xml:space="preserve"> </w:t>
      </w:r>
      <w:r>
        <w:rPr>
          <w:color w:val="2E5395"/>
          <w:u w:color="2E5395"/>
        </w:rPr>
        <w:t>Assessment</w:t>
      </w:r>
      <w:r>
        <w:rPr>
          <w:color w:val="2E5395"/>
          <w:spacing w:val="-10"/>
          <w:u w:color="2E5395"/>
        </w:rPr>
        <w:t xml:space="preserve"> </w:t>
      </w:r>
      <w:r>
        <w:rPr>
          <w:color w:val="2E5395"/>
          <w:u w:color="2E5395"/>
        </w:rPr>
        <w:t>component:</w:t>
      </w:r>
      <w:r>
        <w:rPr>
          <w:color w:val="2E5395"/>
          <w:spacing w:val="-9"/>
          <w:u w:color="2E5395"/>
        </w:rPr>
        <w:t xml:space="preserve"> </w:t>
      </w:r>
      <w:r>
        <w:rPr>
          <w:color w:val="2E5395"/>
          <w:u w:color="2E5395"/>
        </w:rPr>
        <w:t>Diabetes</w:t>
      </w:r>
      <w:r>
        <w:rPr>
          <w:color w:val="2E5395"/>
          <w:spacing w:val="-10"/>
          <w:u w:color="2E5395"/>
        </w:rPr>
        <w:t xml:space="preserve"> </w:t>
      </w:r>
      <w:r>
        <w:rPr>
          <w:color w:val="2E5395"/>
          <w:spacing w:val="-2"/>
          <w:u w:color="2E5395"/>
        </w:rPr>
        <w:t>Mellitus</w:t>
      </w:r>
    </w:p>
    <w:p w14:paraId="7A4C2E94" w14:textId="77777777" w:rsidR="00E13D3F" w:rsidRDefault="00FB2D6A">
      <w:pPr>
        <w:pStyle w:val="Heading2"/>
        <w:spacing w:before="72"/>
        <w:jc w:val="both"/>
      </w:pPr>
      <w:r>
        <w:rPr>
          <w:color w:val="2E5395"/>
        </w:rPr>
        <w:t>Background</w:t>
      </w:r>
      <w:r>
        <w:rPr>
          <w:color w:val="2E5395"/>
          <w:spacing w:val="-11"/>
        </w:rPr>
        <w:t xml:space="preserve"> </w:t>
      </w:r>
      <w:r>
        <w:rPr>
          <w:color w:val="2E5395"/>
        </w:rPr>
        <w:t>and</w:t>
      </w:r>
      <w:r>
        <w:rPr>
          <w:color w:val="2E5395"/>
          <w:spacing w:val="-8"/>
        </w:rPr>
        <w:t xml:space="preserve"> </w:t>
      </w:r>
      <w:r>
        <w:rPr>
          <w:color w:val="2E5395"/>
          <w:spacing w:val="-2"/>
        </w:rPr>
        <w:t>Description</w:t>
      </w:r>
    </w:p>
    <w:p w14:paraId="7A4C2E95" w14:textId="77777777" w:rsidR="00E13D3F" w:rsidRDefault="00FB2D6A">
      <w:pPr>
        <w:pStyle w:val="BodyText"/>
        <w:spacing w:before="23" w:line="276" w:lineRule="auto"/>
        <w:ind w:right="2212"/>
        <w:jc w:val="both"/>
      </w:pPr>
      <w:r>
        <w:t>Almost</w:t>
      </w:r>
      <w:r>
        <w:rPr>
          <w:spacing w:val="-1"/>
        </w:rPr>
        <w:t xml:space="preserve"> </w:t>
      </w:r>
      <w:r>
        <w:t>5%</w:t>
      </w:r>
      <w:r>
        <w:rPr>
          <w:spacing w:val="-1"/>
        </w:rPr>
        <w:t xml:space="preserve"> </w:t>
      </w:r>
      <w:r>
        <w:t>of</w:t>
      </w:r>
      <w:r>
        <w:rPr>
          <w:spacing w:val="-1"/>
        </w:rPr>
        <w:t xml:space="preserve"> </w:t>
      </w:r>
      <w:r>
        <w:t>the</w:t>
      </w:r>
      <w:r>
        <w:rPr>
          <w:spacing w:val="-1"/>
        </w:rPr>
        <w:t xml:space="preserve"> </w:t>
      </w:r>
      <w:r>
        <w:t>total Australian</w:t>
      </w:r>
      <w:r>
        <w:rPr>
          <w:spacing w:val="-1"/>
        </w:rPr>
        <w:t xml:space="preserve"> </w:t>
      </w:r>
      <w:r>
        <w:t>population</w:t>
      </w:r>
      <w:r>
        <w:rPr>
          <w:spacing w:val="-1"/>
        </w:rPr>
        <w:t xml:space="preserve"> </w:t>
      </w:r>
      <w:r>
        <w:t>have diabetes –</w:t>
      </w:r>
      <w:r>
        <w:rPr>
          <w:spacing w:val="-1"/>
        </w:rPr>
        <w:t xml:space="preserve"> </w:t>
      </w:r>
      <w:r>
        <w:t>with</w:t>
      </w:r>
      <w:r>
        <w:rPr>
          <w:spacing w:val="-1"/>
        </w:rPr>
        <w:t xml:space="preserve"> </w:t>
      </w:r>
      <w:r>
        <w:t>almost</w:t>
      </w:r>
      <w:r>
        <w:rPr>
          <w:spacing w:val="-3"/>
        </w:rPr>
        <w:t xml:space="preserve"> </w:t>
      </w:r>
      <w:r>
        <w:t xml:space="preserve">1.2 million </w:t>
      </w:r>
      <w:proofErr w:type="spellStart"/>
      <w:r>
        <w:t>hospitalisations</w:t>
      </w:r>
      <w:proofErr w:type="spellEnd"/>
      <w:r>
        <w:rPr>
          <w:spacing w:val="-3"/>
        </w:rPr>
        <w:t xml:space="preserve"> </w:t>
      </w:r>
      <w:r>
        <w:t>associated</w:t>
      </w:r>
      <w:r>
        <w:rPr>
          <w:spacing w:val="-4"/>
        </w:rPr>
        <w:t xml:space="preserve"> </w:t>
      </w:r>
      <w:r>
        <w:t>with</w:t>
      </w:r>
      <w:r>
        <w:rPr>
          <w:spacing w:val="-2"/>
        </w:rPr>
        <w:t xml:space="preserve"> </w:t>
      </w:r>
      <w:r>
        <w:t>diabetes</w:t>
      </w:r>
      <w:r>
        <w:rPr>
          <w:spacing w:val="-3"/>
        </w:rPr>
        <w:t xml:space="preserve"> </w:t>
      </w:r>
      <w:r>
        <w:t>in</w:t>
      </w:r>
      <w:r>
        <w:rPr>
          <w:spacing w:val="-4"/>
        </w:rPr>
        <w:t xml:space="preserve"> </w:t>
      </w:r>
      <w:r>
        <w:t>2019-20.</w:t>
      </w:r>
      <w:r>
        <w:rPr>
          <w:spacing w:val="-4"/>
        </w:rPr>
        <w:t xml:space="preserve"> </w:t>
      </w:r>
      <w:r>
        <w:t>Over</w:t>
      </w:r>
      <w:r>
        <w:rPr>
          <w:spacing w:val="-5"/>
        </w:rPr>
        <w:t xml:space="preserve"> </w:t>
      </w:r>
      <w:r>
        <w:t>$3.0</w:t>
      </w:r>
      <w:r>
        <w:rPr>
          <w:spacing w:val="-5"/>
        </w:rPr>
        <w:t xml:space="preserve"> </w:t>
      </w:r>
      <w:r>
        <w:t>billion</w:t>
      </w:r>
      <w:r>
        <w:rPr>
          <w:spacing w:val="-3"/>
        </w:rPr>
        <w:t xml:space="preserve"> </w:t>
      </w:r>
      <w:r>
        <w:t>were</w:t>
      </w:r>
      <w:r>
        <w:rPr>
          <w:spacing w:val="-2"/>
        </w:rPr>
        <w:t xml:space="preserve"> </w:t>
      </w:r>
      <w:r>
        <w:t>spent</w:t>
      </w:r>
      <w:r>
        <w:rPr>
          <w:spacing w:val="-4"/>
        </w:rPr>
        <w:t xml:space="preserve"> </w:t>
      </w:r>
      <w:r>
        <w:t>on diabetes related expenditure in the Australian health system (1).</w:t>
      </w:r>
    </w:p>
    <w:p w14:paraId="7A4C2E96" w14:textId="77777777" w:rsidR="00E13D3F" w:rsidRDefault="00FB2D6A">
      <w:pPr>
        <w:pStyle w:val="BodyText"/>
        <w:spacing w:line="276" w:lineRule="auto"/>
        <w:ind w:right="1519"/>
      </w:pPr>
      <w:r>
        <w:t>Diabetes</w:t>
      </w:r>
      <w:r>
        <w:rPr>
          <w:spacing w:val="-2"/>
        </w:rPr>
        <w:t xml:space="preserve"> </w:t>
      </w:r>
      <w:r>
        <w:t>is</w:t>
      </w:r>
      <w:r>
        <w:rPr>
          <w:spacing w:val="-4"/>
        </w:rPr>
        <w:t xml:space="preserve"> </w:t>
      </w:r>
      <w:r>
        <w:t>a</w:t>
      </w:r>
      <w:r>
        <w:rPr>
          <w:spacing w:val="-2"/>
        </w:rPr>
        <w:t xml:space="preserve"> </w:t>
      </w:r>
      <w:r>
        <w:t>major</w:t>
      </w:r>
      <w:r>
        <w:rPr>
          <w:spacing w:val="-1"/>
        </w:rPr>
        <w:t xml:space="preserve"> </w:t>
      </w:r>
      <w:r>
        <w:t>risk</w:t>
      </w:r>
      <w:r>
        <w:rPr>
          <w:spacing w:val="-5"/>
        </w:rPr>
        <w:t xml:space="preserve"> </w:t>
      </w:r>
      <w:r>
        <w:t>factor</w:t>
      </w:r>
      <w:r>
        <w:rPr>
          <w:spacing w:val="-3"/>
        </w:rPr>
        <w:t xml:space="preserve"> </w:t>
      </w:r>
      <w:r>
        <w:t>for</w:t>
      </w:r>
      <w:r>
        <w:rPr>
          <w:spacing w:val="-1"/>
        </w:rPr>
        <w:t xml:space="preserve"> </w:t>
      </w:r>
      <w:r>
        <w:t>cardiovascular</w:t>
      </w:r>
      <w:r>
        <w:rPr>
          <w:spacing w:val="-6"/>
        </w:rPr>
        <w:t xml:space="preserve"> </w:t>
      </w:r>
      <w:r>
        <w:t>disease.</w:t>
      </w:r>
      <w:r>
        <w:rPr>
          <w:spacing w:val="-3"/>
        </w:rPr>
        <w:t xml:space="preserve"> </w:t>
      </w:r>
      <w:r>
        <w:t>It</w:t>
      </w:r>
      <w:r>
        <w:rPr>
          <w:spacing w:val="-3"/>
        </w:rPr>
        <w:t xml:space="preserve"> </w:t>
      </w:r>
      <w:r>
        <w:t>is</w:t>
      </w:r>
      <w:r>
        <w:rPr>
          <w:spacing w:val="-1"/>
        </w:rPr>
        <w:t xml:space="preserve"> </w:t>
      </w:r>
      <w:r>
        <w:t>associated</w:t>
      </w:r>
      <w:r>
        <w:rPr>
          <w:spacing w:val="-5"/>
        </w:rPr>
        <w:t xml:space="preserve"> </w:t>
      </w:r>
      <w:r>
        <w:t>with</w:t>
      </w:r>
      <w:r>
        <w:rPr>
          <w:spacing w:val="-1"/>
        </w:rPr>
        <w:t xml:space="preserve"> </w:t>
      </w:r>
      <w:r>
        <w:t>an</w:t>
      </w:r>
      <w:r>
        <w:rPr>
          <w:spacing w:val="-3"/>
        </w:rPr>
        <w:t xml:space="preserve"> </w:t>
      </w:r>
      <w:r>
        <w:t>increased risk of chronic kidney disease and blindness. Regular assessment for the presence of diabetes among asymptomatic adults may allow earlier identification, diagnosis, and management, thus reducing diabetic complications. The usual assessments are a fasting plasma glucose and a HbA1c, which are both simple common blood tests.</w:t>
      </w:r>
    </w:p>
    <w:p w14:paraId="7A4C2E97" w14:textId="77777777" w:rsidR="00E13D3F" w:rsidRDefault="00E13D3F">
      <w:pPr>
        <w:pStyle w:val="BodyText"/>
        <w:spacing w:before="17"/>
        <w:ind w:left="0"/>
      </w:pPr>
    </w:p>
    <w:p w14:paraId="7A4C2E98" w14:textId="77777777" w:rsidR="00E13D3F" w:rsidRDefault="00FB2D6A">
      <w:pPr>
        <w:pStyle w:val="Heading2"/>
      </w:pPr>
      <w:r>
        <w:rPr>
          <w:color w:val="2E5395"/>
        </w:rPr>
        <w:t>Evidence</w:t>
      </w:r>
      <w:r>
        <w:rPr>
          <w:color w:val="2E5395"/>
          <w:spacing w:val="-9"/>
        </w:rPr>
        <w:t xml:space="preserve"> </w:t>
      </w:r>
      <w:r>
        <w:rPr>
          <w:color w:val="2E5395"/>
        </w:rPr>
        <w:t>of</w:t>
      </w:r>
      <w:r>
        <w:rPr>
          <w:color w:val="2E5395"/>
          <w:spacing w:val="-9"/>
        </w:rPr>
        <w:t xml:space="preserve"> </w:t>
      </w:r>
      <w:r>
        <w:rPr>
          <w:color w:val="2E5395"/>
          <w:spacing w:val="-2"/>
        </w:rPr>
        <w:t>Effectiveness</w:t>
      </w:r>
    </w:p>
    <w:p w14:paraId="7A4C2E99" w14:textId="77777777" w:rsidR="00E13D3F" w:rsidRDefault="00E13D3F">
      <w:pPr>
        <w:pStyle w:val="BodyText"/>
        <w:spacing w:before="45"/>
        <w:ind w:left="0"/>
        <w:rPr>
          <w:rFonts w:ascii="Calibri Light"/>
          <w:sz w:val="26"/>
        </w:rPr>
      </w:pPr>
    </w:p>
    <w:p w14:paraId="7A4C2E9A" w14:textId="77777777" w:rsidR="00E13D3F" w:rsidRDefault="00FB2D6A">
      <w:pPr>
        <w:pStyle w:val="BodyText"/>
        <w:spacing w:line="276" w:lineRule="auto"/>
        <w:ind w:right="1450"/>
      </w:pPr>
      <w:r>
        <w:rPr>
          <w:b/>
        </w:rPr>
        <w:t>Direct</w:t>
      </w:r>
      <w:r>
        <w:rPr>
          <w:b/>
          <w:spacing w:val="-3"/>
        </w:rPr>
        <w:t xml:space="preserve"> </w:t>
      </w:r>
      <w:r>
        <w:rPr>
          <w:b/>
        </w:rPr>
        <w:t>Evidence</w:t>
      </w:r>
      <w:r>
        <w:t>:</w:t>
      </w:r>
      <w:r>
        <w:rPr>
          <w:spacing w:val="-1"/>
        </w:rPr>
        <w:t xml:space="preserve"> </w:t>
      </w:r>
      <w:r>
        <w:t>In 2021,</w:t>
      </w:r>
      <w:r>
        <w:rPr>
          <w:spacing w:val="-4"/>
        </w:rPr>
        <w:t xml:space="preserve"> </w:t>
      </w:r>
      <w:r>
        <w:t>USPSTF</w:t>
      </w:r>
      <w:r>
        <w:rPr>
          <w:spacing w:val="-3"/>
        </w:rPr>
        <w:t xml:space="preserve"> </w:t>
      </w:r>
      <w:r>
        <w:t>published</w:t>
      </w:r>
      <w:r>
        <w:rPr>
          <w:spacing w:val="-1"/>
        </w:rPr>
        <w:t xml:space="preserve"> </w:t>
      </w:r>
      <w:r>
        <w:t>an evidence</w:t>
      </w:r>
      <w:r>
        <w:rPr>
          <w:spacing w:val="-3"/>
        </w:rPr>
        <w:t xml:space="preserve"> </w:t>
      </w:r>
      <w:r>
        <w:t>review</w:t>
      </w:r>
      <w:r>
        <w:rPr>
          <w:spacing w:val="-1"/>
        </w:rPr>
        <w:t xml:space="preserve"> </w:t>
      </w:r>
      <w:r>
        <w:t>(AMSTAR</w:t>
      </w:r>
      <w:r>
        <w:rPr>
          <w:spacing w:val="-3"/>
        </w:rPr>
        <w:t xml:space="preserve"> </w:t>
      </w:r>
      <w:r>
        <w:t>rating</w:t>
      </w:r>
      <w:r>
        <w:rPr>
          <w:spacing w:val="-4"/>
        </w:rPr>
        <w:t xml:space="preserve"> </w:t>
      </w:r>
      <w:r>
        <w:t>6/11)</w:t>
      </w:r>
      <w:r>
        <w:rPr>
          <w:spacing w:val="-2"/>
        </w:rPr>
        <w:t xml:space="preserve"> </w:t>
      </w:r>
      <w:r>
        <w:t>that addressed several key questions on the benefits and harms of the detection and management</w:t>
      </w:r>
      <w:r>
        <w:rPr>
          <w:spacing w:val="-4"/>
        </w:rPr>
        <w:t xml:space="preserve"> </w:t>
      </w:r>
      <w:r>
        <w:t>of</w:t>
      </w:r>
      <w:r>
        <w:rPr>
          <w:spacing w:val="-4"/>
        </w:rPr>
        <w:t xml:space="preserve"> </w:t>
      </w:r>
      <w:r>
        <w:t>diabetes</w:t>
      </w:r>
      <w:r>
        <w:rPr>
          <w:spacing w:val="-5"/>
        </w:rPr>
        <w:t xml:space="preserve"> </w:t>
      </w:r>
      <w:r>
        <w:t>and</w:t>
      </w:r>
      <w:r>
        <w:rPr>
          <w:spacing w:val="-4"/>
        </w:rPr>
        <w:t xml:space="preserve"> </w:t>
      </w:r>
      <w:r>
        <w:t>prediabetes</w:t>
      </w:r>
      <w:r>
        <w:rPr>
          <w:spacing w:val="-4"/>
        </w:rPr>
        <w:t xml:space="preserve"> </w:t>
      </w:r>
      <w:r>
        <w:t>in</w:t>
      </w:r>
      <w:r>
        <w:rPr>
          <w:spacing w:val="-4"/>
        </w:rPr>
        <w:t xml:space="preserve"> </w:t>
      </w:r>
      <w:r>
        <w:t>primary</w:t>
      </w:r>
      <w:r>
        <w:rPr>
          <w:spacing w:val="-3"/>
        </w:rPr>
        <w:t xml:space="preserve"> </w:t>
      </w:r>
      <w:r>
        <w:t>care (2).</w:t>
      </w:r>
      <w:r>
        <w:rPr>
          <w:spacing w:val="-3"/>
        </w:rPr>
        <w:t xml:space="preserve"> </w:t>
      </w:r>
      <w:r>
        <w:t>The</w:t>
      </w:r>
      <w:r>
        <w:rPr>
          <w:spacing w:val="-3"/>
        </w:rPr>
        <w:t xml:space="preserve"> </w:t>
      </w:r>
      <w:r>
        <w:t>review</w:t>
      </w:r>
      <w:r>
        <w:rPr>
          <w:spacing w:val="-3"/>
        </w:rPr>
        <w:t xml:space="preserve"> </w:t>
      </w:r>
      <w:r>
        <w:t>identified</w:t>
      </w:r>
      <w:r>
        <w:rPr>
          <w:spacing w:val="-4"/>
        </w:rPr>
        <w:t xml:space="preserve"> </w:t>
      </w:r>
      <w:r>
        <w:t>2</w:t>
      </w:r>
      <w:r>
        <w:rPr>
          <w:spacing w:val="-2"/>
        </w:rPr>
        <w:t xml:space="preserve"> </w:t>
      </w:r>
      <w:r>
        <w:t>large RCTs that evaluated invitations to an assessment for diabetes:</w:t>
      </w:r>
    </w:p>
    <w:p w14:paraId="7A4C2E9B" w14:textId="77777777" w:rsidR="00E13D3F" w:rsidRDefault="00FB2D6A" w:rsidP="00990D2B">
      <w:pPr>
        <w:pStyle w:val="ListParagraph"/>
        <w:numPr>
          <w:ilvl w:val="0"/>
          <w:numId w:val="47"/>
        </w:numPr>
        <w:tabs>
          <w:tab w:val="left" w:pos="1759"/>
        </w:tabs>
        <w:spacing w:line="276" w:lineRule="auto"/>
        <w:ind w:right="1651" w:firstLine="0"/>
        <w:rPr>
          <w:sz w:val="24"/>
        </w:rPr>
      </w:pPr>
      <w:r>
        <w:rPr>
          <w:i/>
          <w:sz w:val="24"/>
        </w:rPr>
        <w:t>Anglo-Danish-Dutch Study of Intensive Treatment In People with Screen Detected Diabetes</w:t>
      </w:r>
      <w:r>
        <w:rPr>
          <w:i/>
          <w:spacing w:val="-1"/>
          <w:sz w:val="24"/>
        </w:rPr>
        <w:t xml:space="preserve"> </w:t>
      </w:r>
      <w:r>
        <w:rPr>
          <w:i/>
          <w:sz w:val="24"/>
        </w:rPr>
        <w:t>in</w:t>
      </w:r>
      <w:r>
        <w:rPr>
          <w:i/>
          <w:spacing w:val="-3"/>
          <w:sz w:val="24"/>
        </w:rPr>
        <w:t xml:space="preserve"> </w:t>
      </w:r>
      <w:r>
        <w:rPr>
          <w:i/>
          <w:sz w:val="24"/>
        </w:rPr>
        <w:t>Primary</w:t>
      </w:r>
      <w:r>
        <w:rPr>
          <w:i/>
          <w:spacing w:val="-2"/>
          <w:sz w:val="24"/>
        </w:rPr>
        <w:t xml:space="preserve"> </w:t>
      </w:r>
      <w:r>
        <w:rPr>
          <w:i/>
          <w:sz w:val="24"/>
        </w:rPr>
        <w:t>Care</w:t>
      </w:r>
      <w:r>
        <w:rPr>
          <w:i/>
          <w:spacing w:val="-2"/>
          <w:sz w:val="24"/>
        </w:rPr>
        <w:t xml:space="preserve"> </w:t>
      </w:r>
      <w:r>
        <w:rPr>
          <w:i/>
          <w:sz w:val="24"/>
        </w:rPr>
        <w:t>(ADDITION)-Cambridge</w:t>
      </w:r>
      <w:r>
        <w:rPr>
          <w:i/>
          <w:spacing w:val="-1"/>
          <w:sz w:val="24"/>
        </w:rPr>
        <w:t xml:space="preserve"> </w:t>
      </w:r>
      <w:r>
        <w:rPr>
          <w:sz w:val="24"/>
        </w:rPr>
        <w:t>(a</w:t>
      </w:r>
      <w:r>
        <w:rPr>
          <w:spacing w:val="-2"/>
          <w:sz w:val="24"/>
        </w:rPr>
        <w:t xml:space="preserve"> </w:t>
      </w:r>
      <w:r>
        <w:rPr>
          <w:sz w:val="24"/>
        </w:rPr>
        <w:t>cluster</w:t>
      </w:r>
      <w:r>
        <w:rPr>
          <w:spacing w:val="-3"/>
          <w:sz w:val="24"/>
        </w:rPr>
        <w:t xml:space="preserve"> </w:t>
      </w:r>
      <w:r>
        <w:rPr>
          <w:sz w:val="24"/>
        </w:rPr>
        <w:t>RCT</w:t>
      </w:r>
      <w:r>
        <w:rPr>
          <w:spacing w:val="-1"/>
          <w:sz w:val="24"/>
        </w:rPr>
        <w:t xml:space="preserve"> </w:t>
      </w:r>
      <w:r>
        <w:rPr>
          <w:sz w:val="24"/>
        </w:rPr>
        <w:t>of</w:t>
      </w:r>
      <w:r>
        <w:rPr>
          <w:spacing w:val="-1"/>
          <w:sz w:val="24"/>
        </w:rPr>
        <w:t xml:space="preserve"> </w:t>
      </w:r>
      <w:r>
        <w:rPr>
          <w:sz w:val="24"/>
        </w:rPr>
        <w:t>33</w:t>
      </w:r>
      <w:r>
        <w:rPr>
          <w:spacing w:val="-1"/>
          <w:sz w:val="24"/>
        </w:rPr>
        <w:t xml:space="preserve"> </w:t>
      </w:r>
      <w:r>
        <w:rPr>
          <w:sz w:val="24"/>
        </w:rPr>
        <w:t>general</w:t>
      </w:r>
      <w:r>
        <w:rPr>
          <w:spacing w:val="-1"/>
          <w:sz w:val="24"/>
        </w:rPr>
        <w:t xml:space="preserve"> </w:t>
      </w:r>
      <w:r>
        <w:rPr>
          <w:sz w:val="24"/>
        </w:rPr>
        <w:t>practices</w:t>
      </w:r>
      <w:r>
        <w:rPr>
          <w:spacing w:val="-4"/>
          <w:sz w:val="24"/>
        </w:rPr>
        <w:t xml:space="preserve"> </w:t>
      </w:r>
      <w:r>
        <w:rPr>
          <w:sz w:val="24"/>
        </w:rPr>
        <w:t>and included</w:t>
      </w:r>
      <w:r>
        <w:rPr>
          <w:spacing w:val="-3"/>
          <w:sz w:val="24"/>
        </w:rPr>
        <w:t xml:space="preserve"> </w:t>
      </w:r>
      <w:r>
        <w:rPr>
          <w:sz w:val="24"/>
        </w:rPr>
        <w:t>20,184</w:t>
      </w:r>
      <w:r>
        <w:rPr>
          <w:spacing w:val="-3"/>
          <w:sz w:val="24"/>
        </w:rPr>
        <w:t xml:space="preserve"> </w:t>
      </w:r>
      <w:r>
        <w:rPr>
          <w:sz w:val="24"/>
        </w:rPr>
        <w:t>participants,</w:t>
      </w:r>
      <w:r>
        <w:rPr>
          <w:spacing w:val="-1"/>
          <w:sz w:val="24"/>
        </w:rPr>
        <w:t xml:space="preserve"> </w:t>
      </w:r>
      <w:r>
        <w:rPr>
          <w:sz w:val="24"/>
        </w:rPr>
        <w:t>aged</w:t>
      </w:r>
      <w:r>
        <w:rPr>
          <w:spacing w:val="-3"/>
          <w:sz w:val="24"/>
        </w:rPr>
        <w:t xml:space="preserve"> </w:t>
      </w:r>
      <w:r>
        <w:rPr>
          <w:sz w:val="24"/>
        </w:rPr>
        <w:t>40</w:t>
      </w:r>
      <w:r>
        <w:rPr>
          <w:spacing w:val="-2"/>
          <w:sz w:val="24"/>
        </w:rPr>
        <w:t xml:space="preserve"> </w:t>
      </w:r>
      <w:r>
        <w:rPr>
          <w:sz w:val="24"/>
        </w:rPr>
        <w:t>to</w:t>
      </w:r>
      <w:r>
        <w:rPr>
          <w:spacing w:val="-3"/>
          <w:sz w:val="24"/>
        </w:rPr>
        <w:t xml:space="preserve"> </w:t>
      </w:r>
      <w:r>
        <w:rPr>
          <w:sz w:val="24"/>
        </w:rPr>
        <w:t>69</w:t>
      </w:r>
      <w:r>
        <w:rPr>
          <w:spacing w:val="-3"/>
          <w:sz w:val="24"/>
        </w:rPr>
        <w:t xml:space="preserve"> </w:t>
      </w:r>
      <w:r>
        <w:rPr>
          <w:sz w:val="24"/>
        </w:rPr>
        <w:t>years,</w:t>
      </w:r>
      <w:r>
        <w:rPr>
          <w:spacing w:val="-1"/>
          <w:sz w:val="24"/>
        </w:rPr>
        <w:t xml:space="preserve"> </w:t>
      </w:r>
      <w:r>
        <w:rPr>
          <w:sz w:val="24"/>
        </w:rPr>
        <w:t>at</w:t>
      </w:r>
      <w:r>
        <w:rPr>
          <w:spacing w:val="-3"/>
          <w:sz w:val="24"/>
        </w:rPr>
        <w:t xml:space="preserve"> </w:t>
      </w:r>
      <w:r>
        <w:rPr>
          <w:sz w:val="24"/>
        </w:rPr>
        <w:t>high</w:t>
      </w:r>
      <w:r>
        <w:rPr>
          <w:spacing w:val="-3"/>
          <w:sz w:val="24"/>
        </w:rPr>
        <w:t xml:space="preserve"> </w:t>
      </w:r>
      <w:r>
        <w:rPr>
          <w:sz w:val="24"/>
        </w:rPr>
        <w:t>risk</w:t>
      </w:r>
      <w:r>
        <w:rPr>
          <w:spacing w:val="-3"/>
          <w:sz w:val="24"/>
        </w:rPr>
        <w:t xml:space="preserve"> </w:t>
      </w:r>
      <w:r>
        <w:rPr>
          <w:sz w:val="24"/>
        </w:rPr>
        <w:t>of</w:t>
      </w:r>
      <w:r>
        <w:rPr>
          <w:spacing w:val="-3"/>
          <w:sz w:val="24"/>
        </w:rPr>
        <w:t xml:space="preserve"> </w:t>
      </w:r>
      <w:r>
        <w:rPr>
          <w:sz w:val="24"/>
        </w:rPr>
        <w:t>diabetes).</w:t>
      </w:r>
      <w:r>
        <w:rPr>
          <w:spacing w:val="-3"/>
          <w:sz w:val="24"/>
        </w:rPr>
        <w:t xml:space="preserve"> </w:t>
      </w:r>
      <w:r>
        <w:rPr>
          <w:sz w:val="24"/>
        </w:rPr>
        <w:t>This</w:t>
      </w:r>
      <w:r>
        <w:rPr>
          <w:spacing w:val="-2"/>
          <w:sz w:val="24"/>
        </w:rPr>
        <w:t xml:space="preserve"> </w:t>
      </w:r>
      <w:r>
        <w:rPr>
          <w:sz w:val="24"/>
        </w:rPr>
        <w:t>RCT</w:t>
      </w:r>
      <w:r>
        <w:rPr>
          <w:spacing w:val="-3"/>
          <w:sz w:val="24"/>
        </w:rPr>
        <w:t xml:space="preserve"> </w:t>
      </w:r>
      <w:r>
        <w:rPr>
          <w:sz w:val="24"/>
        </w:rPr>
        <w:t>used</w:t>
      </w:r>
      <w:r>
        <w:rPr>
          <w:spacing w:val="-3"/>
          <w:sz w:val="24"/>
        </w:rPr>
        <w:t xml:space="preserve"> </w:t>
      </w:r>
      <w:r>
        <w:rPr>
          <w:sz w:val="24"/>
        </w:rPr>
        <w:t>a stepwise approach starting with a random glucose test (3); and</w:t>
      </w:r>
    </w:p>
    <w:p w14:paraId="7A4C2E9C" w14:textId="77777777" w:rsidR="00E13D3F" w:rsidRDefault="00FB2D6A" w:rsidP="00990D2B">
      <w:pPr>
        <w:pStyle w:val="ListParagraph"/>
        <w:numPr>
          <w:ilvl w:val="0"/>
          <w:numId w:val="47"/>
        </w:numPr>
        <w:tabs>
          <w:tab w:val="left" w:pos="1759"/>
        </w:tabs>
        <w:spacing w:line="276" w:lineRule="auto"/>
        <w:ind w:right="1451" w:firstLine="0"/>
        <w:rPr>
          <w:sz w:val="24"/>
        </w:rPr>
      </w:pPr>
      <w:r>
        <w:rPr>
          <w:sz w:val="24"/>
        </w:rPr>
        <w:t>13-year</w:t>
      </w:r>
      <w:r>
        <w:rPr>
          <w:spacing w:val="-4"/>
          <w:sz w:val="24"/>
        </w:rPr>
        <w:t xml:space="preserve"> </w:t>
      </w:r>
      <w:r>
        <w:rPr>
          <w:sz w:val="24"/>
        </w:rPr>
        <w:t>follow</w:t>
      </w:r>
      <w:r>
        <w:rPr>
          <w:spacing w:val="-3"/>
          <w:sz w:val="24"/>
        </w:rPr>
        <w:t xml:space="preserve"> </w:t>
      </w:r>
      <w:r>
        <w:rPr>
          <w:sz w:val="24"/>
        </w:rPr>
        <w:t>up</w:t>
      </w:r>
      <w:r>
        <w:rPr>
          <w:spacing w:val="-2"/>
          <w:sz w:val="24"/>
        </w:rPr>
        <w:t xml:space="preserve"> </w:t>
      </w:r>
      <w:r>
        <w:rPr>
          <w:sz w:val="24"/>
        </w:rPr>
        <w:t>of</w:t>
      </w:r>
      <w:r>
        <w:rPr>
          <w:spacing w:val="-3"/>
          <w:sz w:val="24"/>
        </w:rPr>
        <w:t xml:space="preserve"> </w:t>
      </w:r>
      <w:r>
        <w:rPr>
          <w:sz w:val="24"/>
        </w:rPr>
        <w:t>Ely</w:t>
      </w:r>
      <w:r>
        <w:rPr>
          <w:spacing w:val="-3"/>
          <w:sz w:val="24"/>
        </w:rPr>
        <w:t xml:space="preserve"> </w:t>
      </w:r>
      <w:r>
        <w:rPr>
          <w:sz w:val="24"/>
        </w:rPr>
        <w:t>cohort</w:t>
      </w:r>
      <w:r>
        <w:rPr>
          <w:spacing w:val="-1"/>
          <w:sz w:val="24"/>
        </w:rPr>
        <w:t xml:space="preserve"> </w:t>
      </w:r>
      <w:r>
        <w:rPr>
          <w:sz w:val="24"/>
        </w:rPr>
        <w:t>(a</w:t>
      </w:r>
      <w:r>
        <w:rPr>
          <w:spacing w:val="-4"/>
          <w:sz w:val="24"/>
        </w:rPr>
        <w:t xml:space="preserve"> </w:t>
      </w:r>
      <w:r>
        <w:rPr>
          <w:sz w:val="24"/>
        </w:rPr>
        <w:t>parallel-group</w:t>
      </w:r>
      <w:r>
        <w:rPr>
          <w:spacing w:val="-2"/>
          <w:sz w:val="24"/>
        </w:rPr>
        <w:t xml:space="preserve"> </w:t>
      </w:r>
      <w:r>
        <w:rPr>
          <w:sz w:val="24"/>
        </w:rPr>
        <w:t>RCT</w:t>
      </w:r>
      <w:r>
        <w:rPr>
          <w:spacing w:val="-2"/>
          <w:sz w:val="24"/>
        </w:rPr>
        <w:t xml:space="preserve"> </w:t>
      </w:r>
      <w:r>
        <w:rPr>
          <w:sz w:val="24"/>
        </w:rPr>
        <w:t>included</w:t>
      </w:r>
      <w:r>
        <w:rPr>
          <w:spacing w:val="-3"/>
          <w:sz w:val="24"/>
        </w:rPr>
        <w:t xml:space="preserve"> </w:t>
      </w:r>
      <w:r>
        <w:rPr>
          <w:sz w:val="24"/>
        </w:rPr>
        <w:t>4,936</w:t>
      </w:r>
      <w:r>
        <w:rPr>
          <w:spacing w:val="-4"/>
          <w:sz w:val="24"/>
        </w:rPr>
        <w:t xml:space="preserve"> </w:t>
      </w:r>
      <w:r>
        <w:rPr>
          <w:sz w:val="24"/>
        </w:rPr>
        <w:t>participants,</w:t>
      </w:r>
      <w:r>
        <w:rPr>
          <w:spacing w:val="-2"/>
          <w:sz w:val="24"/>
        </w:rPr>
        <w:t xml:space="preserve"> </w:t>
      </w:r>
      <w:r>
        <w:rPr>
          <w:sz w:val="24"/>
        </w:rPr>
        <w:t>aged</w:t>
      </w:r>
      <w:r>
        <w:rPr>
          <w:spacing w:val="-3"/>
          <w:sz w:val="24"/>
        </w:rPr>
        <w:t xml:space="preserve"> </w:t>
      </w:r>
      <w:r>
        <w:rPr>
          <w:sz w:val="24"/>
        </w:rPr>
        <w:t>40 to 65 years, without known diabetes) assessed participants with oral glucose tolerance test every 5 years (4).</w:t>
      </w:r>
    </w:p>
    <w:p w14:paraId="7A4C2E9D" w14:textId="77777777" w:rsidR="00E13D3F" w:rsidRDefault="00E13D3F">
      <w:pPr>
        <w:pStyle w:val="BodyText"/>
        <w:spacing w:before="43"/>
        <w:ind w:left="0"/>
      </w:pPr>
    </w:p>
    <w:p w14:paraId="7A4C2E9E" w14:textId="77777777" w:rsidR="00E13D3F" w:rsidRDefault="00FB2D6A">
      <w:pPr>
        <w:pStyle w:val="BodyText"/>
        <w:spacing w:line="276" w:lineRule="auto"/>
        <w:ind w:right="1519"/>
      </w:pPr>
      <w:r>
        <w:t>Benefits:</w:t>
      </w:r>
      <w:r>
        <w:rPr>
          <w:spacing w:val="-5"/>
        </w:rPr>
        <w:t xml:space="preserve"> </w:t>
      </w:r>
      <w:r>
        <w:t>Neither</w:t>
      </w:r>
      <w:r>
        <w:rPr>
          <w:spacing w:val="-5"/>
        </w:rPr>
        <w:t xml:space="preserve"> </w:t>
      </w:r>
      <w:r>
        <w:t>RCTs</w:t>
      </w:r>
      <w:r>
        <w:rPr>
          <w:spacing w:val="-2"/>
        </w:rPr>
        <w:t xml:space="preserve"> </w:t>
      </w:r>
      <w:r>
        <w:t>found</w:t>
      </w:r>
      <w:r>
        <w:rPr>
          <w:spacing w:val="-1"/>
        </w:rPr>
        <w:t xml:space="preserve"> </w:t>
      </w:r>
      <w:r>
        <w:t>any</w:t>
      </w:r>
      <w:r>
        <w:rPr>
          <w:spacing w:val="-3"/>
        </w:rPr>
        <w:t xml:space="preserve"> </w:t>
      </w:r>
      <w:r>
        <w:t>statistically</w:t>
      </w:r>
      <w:r>
        <w:rPr>
          <w:spacing w:val="-3"/>
        </w:rPr>
        <w:t xml:space="preserve"> </w:t>
      </w:r>
      <w:r>
        <w:t>significant</w:t>
      </w:r>
      <w:r>
        <w:rPr>
          <w:spacing w:val="-4"/>
        </w:rPr>
        <w:t xml:space="preserve"> </w:t>
      </w:r>
      <w:r>
        <w:t>differences</w:t>
      </w:r>
      <w:r>
        <w:rPr>
          <w:spacing w:val="-5"/>
        </w:rPr>
        <w:t xml:space="preserve"> </w:t>
      </w:r>
      <w:r>
        <w:t>between</w:t>
      </w:r>
      <w:r>
        <w:rPr>
          <w:spacing w:val="-1"/>
        </w:rPr>
        <w:t xml:space="preserve"> </w:t>
      </w:r>
      <w:r>
        <w:t>screening</w:t>
      </w:r>
      <w:r>
        <w:rPr>
          <w:spacing w:val="-5"/>
        </w:rPr>
        <w:t xml:space="preserve"> </w:t>
      </w:r>
      <w:r>
        <w:t>and control groups for total deaths or cause-specific deaths at 10 years. There was no statistically significant reduction in self-reported CVD events seen in both trials. However, data</w:t>
      </w:r>
      <w:r>
        <w:rPr>
          <w:spacing w:val="-3"/>
        </w:rPr>
        <w:t xml:space="preserve"> </w:t>
      </w:r>
      <w:r>
        <w:t>from</w:t>
      </w:r>
      <w:r>
        <w:rPr>
          <w:spacing w:val="-1"/>
        </w:rPr>
        <w:t xml:space="preserve"> </w:t>
      </w:r>
      <w:r>
        <w:t>most</w:t>
      </w:r>
      <w:r>
        <w:rPr>
          <w:spacing w:val="-2"/>
        </w:rPr>
        <w:t xml:space="preserve"> </w:t>
      </w:r>
      <w:r>
        <w:t>participants</w:t>
      </w:r>
      <w:r>
        <w:rPr>
          <w:spacing w:val="-3"/>
        </w:rPr>
        <w:t xml:space="preserve"> </w:t>
      </w:r>
      <w:r>
        <w:t>for</w:t>
      </w:r>
      <w:r>
        <w:rPr>
          <w:spacing w:val="-2"/>
        </w:rPr>
        <w:t xml:space="preserve"> </w:t>
      </w:r>
      <w:r>
        <w:t>outcomes</w:t>
      </w:r>
      <w:r>
        <w:rPr>
          <w:spacing w:val="-3"/>
        </w:rPr>
        <w:t xml:space="preserve"> </w:t>
      </w:r>
      <w:r>
        <w:t>other</w:t>
      </w:r>
      <w:r>
        <w:rPr>
          <w:spacing w:val="-2"/>
        </w:rPr>
        <w:t xml:space="preserve"> </w:t>
      </w:r>
      <w:r>
        <w:t>than</w:t>
      </w:r>
      <w:r>
        <w:rPr>
          <w:spacing w:val="-2"/>
        </w:rPr>
        <w:t xml:space="preserve"> </w:t>
      </w:r>
      <w:r>
        <w:t>mortality</w:t>
      </w:r>
      <w:r>
        <w:rPr>
          <w:spacing w:val="-4"/>
        </w:rPr>
        <w:t xml:space="preserve"> </w:t>
      </w:r>
      <w:r>
        <w:t>were</w:t>
      </w:r>
      <w:r>
        <w:rPr>
          <w:spacing w:val="-3"/>
        </w:rPr>
        <w:t xml:space="preserve"> </w:t>
      </w:r>
      <w:r>
        <w:t>missing,</w:t>
      </w:r>
      <w:r>
        <w:rPr>
          <w:spacing w:val="-1"/>
        </w:rPr>
        <w:t xml:space="preserve"> </w:t>
      </w:r>
      <w:r>
        <w:t>thus,</w:t>
      </w:r>
      <w:r>
        <w:rPr>
          <w:spacing w:val="-3"/>
        </w:rPr>
        <w:t xml:space="preserve"> </w:t>
      </w:r>
      <w:r>
        <w:t>findings should be interpreted with caution.</w:t>
      </w:r>
    </w:p>
    <w:p w14:paraId="7A4C2E9F" w14:textId="77777777" w:rsidR="00E13D3F" w:rsidRDefault="00E13D3F">
      <w:pPr>
        <w:pStyle w:val="BodyText"/>
        <w:spacing w:before="45"/>
        <w:ind w:left="0"/>
      </w:pPr>
    </w:p>
    <w:p w14:paraId="7A4C2EA0" w14:textId="77777777" w:rsidR="00E13D3F" w:rsidRDefault="00FB2D6A">
      <w:pPr>
        <w:pStyle w:val="BodyText"/>
        <w:spacing w:line="276" w:lineRule="auto"/>
        <w:ind w:right="1519"/>
      </w:pPr>
      <w:r>
        <w:t>Harms: Both RCTs reported no statistically significant differences between screening and control groups for anxiety, depression, worry, or self-reported health. One</w:t>
      </w:r>
      <w:r>
        <w:rPr>
          <w:spacing w:val="-1"/>
        </w:rPr>
        <w:t xml:space="preserve"> </w:t>
      </w:r>
      <w:r>
        <w:t>trial reported a statistically</w:t>
      </w:r>
      <w:r>
        <w:rPr>
          <w:spacing w:val="-3"/>
        </w:rPr>
        <w:t xml:space="preserve"> </w:t>
      </w:r>
      <w:r>
        <w:t>significant</w:t>
      </w:r>
      <w:r>
        <w:rPr>
          <w:spacing w:val="-2"/>
        </w:rPr>
        <w:t xml:space="preserve"> </w:t>
      </w:r>
      <w:r>
        <w:t>short-term</w:t>
      </w:r>
      <w:r>
        <w:rPr>
          <w:spacing w:val="-5"/>
        </w:rPr>
        <w:t xml:space="preserve"> </w:t>
      </w:r>
      <w:r>
        <w:t>increase</w:t>
      </w:r>
      <w:r>
        <w:rPr>
          <w:spacing w:val="-5"/>
        </w:rPr>
        <w:t xml:space="preserve"> </w:t>
      </w:r>
      <w:r>
        <w:t>in</w:t>
      </w:r>
      <w:r>
        <w:rPr>
          <w:spacing w:val="-4"/>
        </w:rPr>
        <w:t xml:space="preserve"> </w:t>
      </w:r>
      <w:r>
        <w:t>anxiety</w:t>
      </w:r>
      <w:r>
        <w:rPr>
          <w:spacing w:val="-3"/>
        </w:rPr>
        <w:t xml:space="preserve"> </w:t>
      </w:r>
      <w:r>
        <w:t>(at</w:t>
      </w:r>
      <w:r>
        <w:rPr>
          <w:spacing w:val="-4"/>
        </w:rPr>
        <w:t xml:space="preserve"> </w:t>
      </w:r>
      <w:r>
        <w:t>6</w:t>
      </w:r>
      <w:r>
        <w:rPr>
          <w:spacing w:val="-4"/>
        </w:rPr>
        <w:t xml:space="preserve"> </w:t>
      </w:r>
      <w:r>
        <w:t>weeks)</w:t>
      </w:r>
      <w:r>
        <w:rPr>
          <w:spacing w:val="-4"/>
        </w:rPr>
        <w:t xml:space="preserve"> </w:t>
      </w:r>
      <w:r>
        <w:t>among</w:t>
      </w:r>
      <w:r>
        <w:rPr>
          <w:spacing w:val="-3"/>
        </w:rPr>
        <w:t xml:space="preserve"> </w:t>
      </w:r>
      <w:r>
        <w:t>persons</w:t>
      </w:r>
      <w:r>
        <w:rPr>
          <w:spacing w:val="-3"/>
        </w:rPr>
        <w:t xml:space="preserve"> </w:t>
      </w:r>
      <w:r>
        <w:t>screened and diagnosed with diabetes compared to those not diagnosed (State-Trait Anxiety Inventory scores: 46.7 vs. 37.0; p=0.03) (Table 4.1).</w:t>
      </w:r>
    </w:p>
    <w:p w14:paraId="7A4C2EA1" w14:textId="77777777" w:rsidR="00E13D3F" w:rsidRDefault="00E13D3F">
      <w:pPr>
        <w:pStyle w:val="BodyText"/>
        <w:spacing w:line="276" w:lineRule="auto"/>
        <w:sectPr w:rsidR="00E13D3F">
          <w:pgSz w:w="11910" w:h="16840"/>
          <w:pgMar w:top="1400" w:right="0" w:bottom="1200" w:left="0" w:header="0" w:footer="1000" w:gutter="0"/>
          <w:cols w:space="720"/>
        </w:sectPr>
      </w:pPr>
    </w:p>
    <w:p w14:paraId="7A4C2EA2" w14:textId="77777777" w:rsidR="00E13D3F" w:rsidRDefault="00FB2D6A">
      <w:pPr>
        <w:spacing w:before="41"/>
        <w:ind w:left="1440" w:right="1137"/>
      </w:pPr>
      <w:r>
        <w:rPr>
          <w:b/>
        </w:rPr>
        <w:lastRenderedPageBreak/>
        <w:t>Table</w:t>
      </w:r>
      <w:r>
        <w:rPr>
          <w:b/>
          <w:spacing w:val="-1"/>
        </w:rPr>
        <w:t xml:space="preserve"> </w:t>
      </w:r>
      <w:r>
        <w:rPr>
          <w:b/>
        </w:rPr>
        <w:t>4.1</w:t>
      </w:r>
      <w:r>
        <w:t>.</w:t>
      </w:r>
      <w:r>
        <w:rPr>
          <w:spacing w:val="-1"/>
        </w:rPr>
        <w:t xml:space="preserve"> </w:t>
      </w:r>
      <w:r>
        <w:t>Summary</w:t>
      </w:r>
      <w:r>
        <w:rPr>
          <w:spacing w:val="-3"/>
        </w:rPr>
        <w:t xml:space="preserve"> </w:t>
      </w:r>
      <w:r>
        <w:t>of</w:t>
      </w:r>
      <w:r>
        <w:rPr>
          <w:spacing w:val="-4"/>
        </w:rPr>
        <w:t xml:space="preserve"> </w:t>
      </w:r>
      <w:r>
        <w:t>the</w:t>
      </w:r>
      <w:r>
        <w:rPr>
          <w:spacing w:val="-3"/>
        </w:rPr>
        <w:t xml:space="preserve"> </w:t>
      </w:r>
      <w:r>
        <w:t>evidence</w:t>
      </w:r>
      <w:r>
        <w:rPr>
          <w:spacing w:val="-3"/>
        </w:rPr>
        <w:t xml:space="preserve"> </w:t>
      </w:r>
      <w:r>
        <w:t>on</w:t>
      </w:r>
      <w:r>
        <w:rPr>
          <w:spacing w:val="-2"/>
        </w:rPr>
        <w:t xml:space="preserve"> </w:t>
      </w:r>
      <w:r>
        <w:t>the</w:t>
      </w:r>
      <w:r>
        <w:rPr>
          <w:spacing w:val="-1"/>
        </w:rPr>
        <w:t xml:space="preserve"> </w:t>
      </w:r>
      <w:r>
        <w:t>benefits</w:t>
      </w:r>
      <w:r>
        <w:rPr>
          <w:spacing w:val="-4"/>
        </w:rPr>
        <w:t xml:space="preserve"> </w:t>
      </w:r>
      <w:r>
        <w:t>and</w:t>
      </w:r>
      <w:r>
        <w:rPr>
          <w:spacing w:val="-2"/>
        </w:rPr>
        <w:t xml:space="preserve"> </w:t>
      </w:r>
      <w:r>
        <w:t>harms</w:t>
      </w:r>
      <w:r>
        <w:rPr>
          <w:spacing w:val="-3"/>
        </w:rPr>
        <w:t xml:space="preserve"> </w:t>
      </w:r>
      <w:r>
        <w:t>of</w:t>
      </w:r>
      <w:r>
        <w:rPr>
          <w:spacing w:val="-1"/>
        </w:rPr>
        <w:t xml:space="preserve"> </w:t>
      </w:r>
      <w:r>
        <w:t>the</w:t>
      </w:r>
      <w:r>
        <w:rPr>
          <w:spacing w:val="-1"/>
        </w:rPr>
        <w:t xml:space="preserve"> </w:t>
      </w:r>
      <w:r>
        <w:t>detection</w:t>
      </w:r>
      <w:r>
        <w:rPr>
          <w:spacing w:val="-4"/>
        </w:rPr>
        <w:t xml:space="preserve"> </w:t>
      </w:r>
      <w:r>
        <w:t>of</w:t>
      </w:r>
      <w:r>
        <w:rPr>
          <w:spacing w:val="-1"/>
        </w:rPr>
        <w:t xml:space="preserve"> </w:t>
      </w:r>
      <w:r>
        <w:t>diabetes</w:t>
      </w:r>
      <w:r>
        <w:rPr>
          <w:spacing w:val="-1"/>
        </w:rPr>
        <w:t xml:space="preserve"> </w:t>
      </w:r>
      <w:r>
        <w:t>among asymptomatic adults in primary care</w:t>
      </w:r>
    </w:p>
    <w:tbl>
      <w:tblPr>
        <w:tblW w:w="0" w:type="auto"/>
        <w:tblInd w:w="145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1214"/>
        <w:gridCol w:w="3737"/>
        <w:gridCol w:w="3960"/>
      </w:tblGrid>
      <w:tr w:rsidR="00E13D3F" w14:paraId="7A4C2EA6" w14:textId="77777777">
        <w:trPr>
          <w:trHeight w:val="405"/>
        </w:trPr>
        <w:tc>
          <w:tcPr>
            <w:tcW w:w="1214" w:type="dxa"/>
          </w:tcPr>
          <w:p w14:paraId="7A4C2EA3" w14:textId="77777777" w:rsidR="00E13D3F" w:rsidRDefault="00E13D3F">
            <w:pPr>
              <w:pStyle w:val="TableParagraph"/>
              <w:rPr>
                <w:rFonts w:ascii="Times New Roman"/>
                <w:sz w:val="20"/>
              </w:rPr>
            </w:pPr>
          </w:p>
        </w:tc>
        <w:tc>
          <w:tcPr>
            <w:tcW w:w="3737" w:type="dxa"/>
          </w:tcPr>
          <w:p w14:paraId="7A4C2EA4" w14:textId="77777777" w:rsidR="00E13D3F" w:rsidRDefault="00FB2D6A">
            <w:pPr>
              <w:pStyle w:val="TableParagraph"/>
              <w:spacing w:before="1"/>
              <w:ind w:left="964"/>
              <w:rPr>
                <w:b/>
                <w:sz w:val="20"/>
              </w:rPr>
            </w:pPr>
            <w:r>
              <w:rPr>
                <w:b/>
                <w:spacing w:val="-2"/>
                <w:sz w:val="20"/>
              </w:rPr>
              <w:t>ADDITION-Cambridge</w:t>
            </w:r>
          </w:p>
        </w:tc>
        <w:tc>
          <w:tcPr>
            <w:tcW w:w="3960" w:type="dxa"/>
          </w:tcPr>
          <w:p w14:paraId="7A4C2EA5" w14:textId="77777777" w:rsidR="00E13D3F" w:rsidRDefault="00FB2D6A">
            <w:pPr>
              <w:pStyle w:val="TableParagraph"/>
              <w:spacing w:before="1"/>
              <w:ind w:left="7"/>
              <w:jc w:val="center"/>
              <w:rPr>
                <w:b/>
                <w:sz w:val="20"/>
              </w:rPr>
            </w:pPr>
            <w:r>
              <w:rPr>
                <w:b/>
                <w:spacing w:val="-5"/>
                <w:sz w:val="20"/>
              </w:rPr>
              <w:t>Ely</w:t>
            </w:r>
          </w:p>
        </w:tc>
      </w:tr>
      <w:tr w:rsidR="00E13D3F" w14:paraId="7A4C2EA8" w14:textId="77777777">
        <w:trPr>
          <w:trHeight w:val="342"/>
        </w:trPr>
        <w:tc>
          <w:tcPr>
            <w:tcW w:w="8911" w:type="dxa"/>
            <w:gridSpan w:val="3"/>
            <w:shd w:val="clear" w:color="auto" w:fill="F1F1F1"/>
          </w:tcPr>
          <w:p w14:paraId="7A4C2EA7" w14:textId="77777777" w:rsidR="00E13D3F" w:rsidRDefault="00FB2D6A">
            <w:pPr>
              <w:pStyle w:val="TableParagraph"/>
              <w:spacing w:before="49"/>
              <w:ind w:left="8" w:right="1"/>
              <w:jc w:val="center"/>
              <w:rPr>
                <w:b/>
                <w:sz w:val="20"/>
              </w:rPr>
            </w:pPr>
            <w:r>
              <w:rPr>
                <w:b/>
                <w:spacing w:val="-2"/>
                <w:sz w:val="20"/>
              </w:rPr>
              <w:t>Benefits</w:t>
            </w:r>
          </w:p>
        </w:tc>
      </w:tr>
      <w:tr w:rsidR="00E13D3F" w14:paraId="7A4C2EB0" w14:textId="77777777">
        <w:trPr>
          <w:trHeight w:val="1835"/>
        </w:trPr>
        <w:tc>
          <w:tcPr>
            <w:tcW w:w="1214" w:type="dxa"/>
          </w:tcPr>
          <w:p w14:paraId="7A4C2EA9" w14:textId="77777777" w:rsidR="00E13D3F" w:rsidRDefault="00FB2D6A">
            <w:pPr>
              <w:pStyle w:val="TableParagraph"/>
              <w:spacing w:before="1"/>
              <w:ind w:left="107"/>
              <w:rPr>
                <w:b/>
                <w:sz w:val="20"/>
              </w:rPr>
            </w:pPr>
            <w:r>
              <w:rPr>
                <w:b/>
                <w:spacing w:val="-2"/>
                <w:sz w:val="20"/>
              </w:rPr>
              <w:t>Mortality</w:t>
            </w:r>
          </w:p>
        </w:tc>
        <w:tc>
          <w:tcPr>
            <w:tcW w:w="3737" w:type="dxa"/>
          </w:tcPr>
          <w:p w14:paraId="7A4C2EAA" w14:textId="77777777" w:rsidR="00E13D3F" w:rsidRDefault="00FB2D6A" w:rsidP="00990D2B">
            <w:pPr>
              <w:pStyle w:val="TableParagraph"/>
              <w:numPr>
                <w:ilvl w:val="0"/>
                <w:numId w:val="46"/>
              </w:numPr>
              <w:tabs>
                <w:tab w:val="left" w:pos="468"/>
              </w:tabs>
              <w:ind w:right="295"/>
              <w:rPr>
                <w:sz w:val="20"/>
              </w:rPr>
            </w:pPr>
            <w:r>
              <w:rPr>
                <w:b/>
                <w:sz w:val="20"/>
              </w:rPr>
              <w:t>All-cause</w:t>
            </w:r>
            <w:r>
              <w:rPr>
                <w:b/>
                <w:spacing w:val="-8"/>
                <w:sz w:val="20"/>
              </w:rPr>
              <w:t xml:space="preserve"> </w:t>
            </w:r>
            <w:r>
              <w:rPr>
                <w:b/>
                <w:sz w:val="20"/>
              </w:rPr>
              <w:t>mortality:</w:t>
            </w:r>
            <w:r>
              <w:rPr>
                <w:b/>
                <w:spacing w:val="-7"/>
                <w:sz w:val="20"/>
              </w:rPr>
              <w:t xml:space="preserve"> </w:t>
            </w:r>
            <w:r>
              <w:rPr>
                <w:sz w:val="20"/>
              </w:rPr>
              <w:t>RR</w:t>
            </w:r>
            <w:r>
              <w:rPr>
                <w:spacing w:val="-8"/>
                <w:sz w:val="20"/>
              </w:rPr>
              <w:t xml:space="preserve"> </w:t>
            </w:r>
            <w:r>
              <w:rPr>
                <w:sz w:val="20"/>
              </w:rPr>
              <w:t>1.06</w:t>
            </w:r>
            <w:r>
              <w:rPr>
                <w:spacing w:val="-9"/>
                <w:sz w:val="20"/>
              </w:rPr>
              <w:t xml:space="preserve"> </w:t>
            </w:r>
            <w:r>
              <w:rPr>
                <w:sz w:val="20"/>
              </w:rPr>
              <w:t>(0.90</w:t>
            </w:r>
            <w:r>
              <w:rPr>
                <w:spacing w:val="-9"/>
                <w:sz w:val="20"/>
              </w:rPr>
              <w:t xml:space="preserve"> </w:t>
            </w:r>
            <w:r>
              <w:rPr>
                <w:sz w:val="20"/>
              </w:rPr>
              <w:t xml:space="preserve">to </w:t>
            </w:r>
            <w:r>
              <w:rPr>
                <w:spacing w:val="-2"/>
                <w:sz w:val="20"/>
              </w:rPr>
              <w:t>1.25)</w:t>
            </w:r>
          </w:p>
          <w:p w14:paraId="7A4C2EAB" w14:textId="77777777" w:rsidR="00E13D3F" w:rsidRDefault="00FB2D6A" w:rsidP="00990D2B">
            <w:pPr>
              <w:pStyle w:val="TableParagraph"/>
              <w:numPr>
                <w:ilvl w:val="0"/>
                <w:numId w:val="46"/>
              </w:numPr>
              <w:tabs>
                <w:tab w:val="left" w:pos="468"/>
              </w:tabs>
              <w:spacing w:before="231"/>
              <w:rPr>
                <w:sz w:val="20"/>
              </w:rPr>
            </w:pPr>
            <w:r>
              <w:rPr>
                <w:b/>
                <w:sz w:val="20"/>
              </w:rPr>
              <w:t>CVD</w:t>
            </w:r>
            <w:r>
              <w:rPr>
                <w:b/>
                <w:spacing w:val="-5"/>
                <w:sz w:val="20"/>
              </w:rPr>
              <w:t xml:space="preserve"> </w:t>
            </w:r>
            <w:r>
              <w:rPr>
                <w:b/>
                <w:sz w:val="20"/>
              </w:rPr>
              <w:t>mortality</w:t>
            </w:r>
            <w:r>
              <w:rPr>
                <w:b/>
                <w:spacing w:val="-2"/>
                <w:sz w:val="20"/>
              </w:rPr>
              <w:t xml:space="preserve"> </w:t>
            </w:r>
            <w:r>
              <w:rPr>
                <w:sz w:val="20"/>
              </w:rPr>
              <w:t>RR</w:t>
            </w:r>
            <w:r>
              <w:rPr>
                <w:spacing w:val="-4"/>
                <w:sz w:val="20"/>
              </w:rPr>
              <w:t xml:space="preserve"> </w:t>
            </w:r>
            <w:r>
              <w:rPr>
                <w:sz w:val="20"/>
              </w:rPr>
              <w:t>1.02</w:t>
            </w:r>
            <w:r>
              <w:rPr>
                <w:spacing w:val="-4"/>
                <w:sz w:val="20"/>
              </w:rPr>
              <w:t xml:space="preserve"> </w:t>
            </w:r>
            <w:r>
              <w:rPr>
                <w:sz w:val="20"/>
              </w:rPr>
              <w:t>(0.75</w:t>
            </w:r>
            <w:r>
              <w:rPr>
                <w:spacing w:val="-5"/>
                <w:sz w:val="20"/>
              </w:rPr>
              <w:t xml:space="preserve"> </w:t>
            </w:r>
            <w:r>
              <w:rPr>
                <w:sz w:val="20"/>
              </w:rPr>
              <w:t>to</w:t>
            </w:r>
            <w:r>
              <w:rPr>
                <w:spacing w:val="-3"/>
                <w:sz w:val="20"/>
              </w:rPr>
              <w:t xml:space="preserve"> </w:t>
            </w:r>
            <w:r>
              <w:rPr>
                <w:spacing w:val="-2"/>
                <w:sz w:val="20"/>
              </w:rPr>
              <w:t>1.38)</w:t>
            </w:r>
          </w:p>
          <w:p w14:paraId="7A4C2EAC" w14:textId="77777777" w:rsidR="00E13D3F" w:rsidRDefault="00FB2D6A" w:rsidP="00990D2B">
            <w:pPr>
              <w:pStyle w:val="TableParagraph"/>
              <w:numPr>
                <w:ilvl w:val="0"/>
                <w:numId w:val="46"/>
              </w:numPr>
              <w:tabs>
                <w:tab w:val="left" w:pos="468"/>
              </w:tabs>
              <w:spacing w:before="230"/>
              <w:ind w:right="387"/>
              <w:rPr>
                <w:sz w:val="20"/>
              </w:rPr>
            </w:pPr>
            <w:r>
              <w:rPr>
                <w:b/>
                <w:sz w:val="20"/>
              </w:rPr>
              <w:t>Diabetes-related</w:t>
            </w:r>
            <w:r>
              <w:rPr>
                <w:b/>
                <w:spacing w:val="-12"/>
                <w:sz w:val="20"/>
              </w:rPr>
              <w:t xml:space="preserve"> </w:t>
            </w:r>
            <w:r>
              <w:rPr>
                <w:b/>
                <w:sz w:val="20"/>
              </w:rPr>
              <w:t>mortality</w:t>
            </w:r>
            <w:r>
              <w:rPr>
                <w:b/>
                <w:spacing w:val="-11"/>
                <w:sz w:val="20"/>
              </w:rPr>
              <w:t xml:space="preserve"> </w:t>
            </w:r>
            <w:r>
              <w:rPr>
                <w:sz w:val="20"/>
              </w:rPr>
              <w:t>RR</w:t>
            </w:r>
            <w:r>
              <w:rPr>
                <w:spacing w:val="-11"/>
                <w:sz w:val="20"/>
              </w:rPr>
              <w:t xml:space="preserve"> </w:t>
            </w:r>
            <w:r>
              <w:rPr>
                <w:sz w:val="20"/>
              </w:rPr>
              <w:t>1.26 (0.75 to 2.10)</w:t>
            </w:r>
          </w:p>
        </w:tc>
        <w:tc>
          <w:tcPr>
            <w:tcW w:w="3960" w:type="dxa"/>
          </w:tcPr>
          <w:p w14:paraId="7A4C2EAD" w14:textId="77777777" w:rsidR="00E13D3F" w:rsidRDefault="00FB2D6A" w:rsidP="00990D2B">
            <w:pPr>
              <w:pStyle w:val="TableParagraph"/>
              <w:numPr>
                <w:ilvl w:val="0"/>
                <w:numId w:val="45"/>
              </w:numPr>
              <w:tabs>
                <w:tab w:val="left" w:pos="468"/>
              </w:tabs>
              <w:ind w:right="570"/>
              <w:rPr>
                <w:sz w:val="20"/>
              </w:rPr>
            </w:pPr>
            <w:r>
              <w:rPr>
                <w:b/>
                <w:sz w:val="20"/>
              </w:rPr>
              <w:t>All-cause</w:t>
            </w:r>
            <w:r>
              <w:rPr>
                <w:b/>
                <w:spacing w:val="-8"/>
                <w:sz w:val="20"/>
              </w:rPr>
              <w:t xml:space="preserve"> </w:t>
            </w:r>
            <w:r>
              <w:rPr>
                <w:b/>
                <w:sz w:val="20"/>
              </w:rPr>
              <w:t>mortality</w:t>
            </w:r>
            <w:r>
              <w:rPr>
                <w:b/>
                <w:spacing w:val="-7"/>
                <w:sz w:val="20"/>
              </w:rPr>
              <w:t xml:space="preserve"> </w:t>
            </w:r>
            <w:r>
              <w:rPr>
                <w:sz w:val="20"/>
              </w:rPr>
              <w:t>RR</w:t>
            </w:r>
            <w:r>
              <w:rPr>
                <w:spacing w:val="-8"/>
                <w:sz w:val="20"/>
              </w:rPr>
              <w:t xml:space="preserve"> </w:t>
            </w:r>
            <w:r>
              <w:rPr>
                <w:sz w:val="20"/>
              </w:rPr>
              <w:t>0.96</w:t>
            </w:r>
            <w:r>
              <w:rPr>
                <w:spacing w:val="-8"/>
                <w:sz w:val="20"/>
              </w:rPr>
              <w:t xml:space="preserve"> </w:t>
            </w:r>
            <w:r>
              <w:rPr>
                <w:sz w:val="20"/>
              </w:rPr>
              <w:t>(0.77</w:t>
            </w:r>
            <w:r>
              <w:rPr>
                <w:spacing w:val="-8"/>
                <w:sz w:val="20"/>
              </w:rPr>
              <w:t xml:space="preserve"> </w:t>
            </w:r>
            <w:r>
              <w:rPr>
                <w:sz w:val="20"/>
              </w:rPr>
              <w:t xml:space="preserve">to </w:t>
            </w:r>
            <w:r>
              <w:rPr>
                <w:spacing w:val="-2"/>
                <w:sz w:val="20"/>
              </w:rPr>
              <w:t>1.20)</w:t>
            </w:r>
          </w:p>
          <w:p w14:paraId="7A4C2EAE" w14:textId="77777777" w:rsidR="00E13D3F" w:rsidRDefault="00FB2D6A" w:rsidP="00990D2B">
            <w:pPr>
              <w:pStyle w:val="TableParagraph"/>
              <w:numPr>
                <w:ilvl w:val="0"/>
                <w:numId w:val="45"/>
              </w:numPr>
              <w:tabs>
                <w:tab w:val="left" w:pos="468"/>
              </w:tabs>
              <w:spacing w:before="231"/>
              <w:ind w:right="236"/>
              <w:rPr>
                <w:sz w:val="20"/>
              </w:rPr>
            </w:pPr>
            <w:r>
              <w:rPr>
                <w:b/>
                <w:sz w:val="20"/>
              </w:rPr>
              <w:t>CVD</w:t>
            </w:r>
            <w:r>
              <w:rPr>
                <w:b/>
                <w:spacing w:val="-7"/>
                <w:sz w:val="20"/>
              </w:rPr>
              <w:t xml:space="preserve"> </w:t>
            </w:r>
            <w:r>
              <w:rPr>
                <w:b/>
                <w:sz w:val="20"/>
              </w:rPr>
              <w:t>mortality</w:t>
            </w:r>
            <w:r>
              <w:rPr>
                <w:b/>
                <w:spacing w:val="-6"/>
                <w:sz w:val="20"/>
              </w:rPr>
              <w:t xml:space="preserve"> </w:t>
            </w:r>
            <w:r>
              <w:rPr>
                <w:sz w:val="20"/>
              </w:rPr>
              <w:t>Number</w:t>
            </w:r>
            <w:r>
              <w:rPr>
                <w:spacing w:val="-6"/>
                <w:sz w:val="20"/>
              </w:rPr>
              <w:t xml:space="preserve"> </w:t>
            </w:r>
            <w:r>
              <w:rPr>
                <w:sz w:val="20"/>
              </w:rPr>
              <w:t>of</w:t>
            </w:r>
            <w:r>
              <w:rPr>
                <w:spacing w:val="-8"/>
                <w:sz w:val="20"/>
              </w:rPr>
              <w:t xml:space="preserve"> </w:t>
            </w:r>
            <w:r>
              <w:rPr>
                <w:sz w:val="20"/>
              </w:rPr>
              <w:t>events:</w:t>
            </w:r>
            <w:r>
              <w:rPr>
                <w:spacing w:val="-7"/>
                <w:sz w:val="20"/>
              </w:rPr>
              <w:t xml:space="preserve"> </w:t>
            </w:r>
            <w:r>
              <w:rPr>
                <w:sz w:val="20"/>
              </w:rPr>
              <w:t>41</w:t>
            </w:r>
            <w:r>
              <w:rPr>
                <w:spacing w:val="-7"/>
                <w:sz w:val="20"/>
              </w:rPr>
              <w:t xml:space="preserve"> </w:t>
            </w:r>
            <w:r>
              <w:rPr>
                <w:sz w:val="20"/>
              </w:rPr>
              <w:t>vs. 74 (p-value &gt;0.05)</w:t>
            </w:r>
          </w:p>
          <w:p w14:paraId="7A4C2EAF" w14:textId="77777777" w:rsidR="00E13D3F" w:rsidRDefault="00FB2D6A" w:rsidP="00990D2B">
            <w:pPr>
              <w:pStyle w:val="TableParagraph"/>
              <w:numPr>
                <w:ilvl w:val="0"/>
                <w:numId w:val="45"/>
              </w:numPr>
              <w:tabs>
                <w:tab w:val="left" w:pos="468"/>
              </w:tabs>
              <w:spacing w:before="228"/>
              <w:rPr>
                <w:sz w:val="20"/>
              </w:rPr>
            </w:pPr>
            <w:r>
              <w:rPr>
                <w:b/>
                <w:sz w:val="20"/>
              </w:rPr>
              <w:t>Diabetes-related</w:t>
            </w:r>
            <w:r>
              <w:rPr>
                <w:b/>
                <w:spacing w:val="-10"/>
                <w:sz w:val="20"/>
              </w:rPr>
              <w:t xml:space="preserve"> </w:t>
            </w:r>
            <w:r>
              <w:rPr>
                <w:b/>
                <w:sz w:val="20"/>
              </w:rPr>
              <w:t>mortality</w:t>
            </w:r>
            <w:r>
              <w:rPr>
                <w:b/>
                <w:spacing w:val="-7"/>
                <w:sz w:val="20"/>
              </w:rPr>
              <w:t xml:space="preserve"> </w:t>
            </w:r>
            <w:r>
              <w:rPr>
                <w:sz w:val="20"/>
              </w:rPr>
              <w:t>Not</w:t>
            </w:r>
            <w:r>
              <w:rPr>
                <w:spacing w:val="-10"/>
                <w:sz w:val="20"/>
              </w:rPr>
              <w:t xml:space="preserve"> </w:t>
            </w:r>
            <w:r>
              <w:rPr>
                <w:spacing w:val="-2"/>
                <w:sz w:val="20"/>
              </w:rPr>
              <w:t>reported</w:t>
            </w:r>
          </w:p>
        </w:tc>
      </w:tr>
      <w:tr w:rsidR="00E13D3F" w14:paraId="7A4C2EB6" w14:textId="77777777">
        <w:trPr>
          <w:trHeight w:val="1125"/>
        </w:trPr>
        <w:tc>
          <w:tcPr>
            <w:tcW w:w="1214" w:type="dxa"/>
            <w:shd w:val="clear" w:color="auto" w:fill="F1F1F1"/>
          </w:tcPr>
          <w:p w14:paraId="7A4C2EB1" w14:textId="77777777" w:rsidR="00E13D3F" w:rsidRDefault="00FB2D6A">
            <w:pPr>
              <w:pStyle w:val="TableParagraph"/>
              <w:spacing w:before="1"/>
              <w:ind w:left="107"/>
              <w:rPr>
                <w:b/>
                <w:sz w:val="20"/>
              </w:rPr>
            </w:pPr>
            <w:r>
              <w:rPr>
                <w:b/>
                <w:sz w:val="20"/>
              </w:rPr>
              <w:t>CVD</w:t>
            </w:r>
            <w:r>
              <w:rPr>
                <w:b/>
                <w:spacing w:val="-7"/>
                <w:sz w:val="20"/>
              </w:rPr>
              <w:t xml:space="preserve"> </w:t>
            </w:r>
            <w:r>
              <w:rPr>
                <w:b/>
                <w:spacing w:val="-2"/>
                <w:sz w:val="20"/>
              </w:rPr>
              <w:t>events</w:t>
            </w:r>
          </w:p>
        </w:tc>
        <w:tc>
          <w:tcPr>
            <w:tcW w:w="3737" w:type="dxa"/>
            <w:shd w:val="clear" w:color="auto" w:fill="F1F1F1"/>
          </w:tcPr>
          <w:p w14:paraId="7A4C2EB2" w14:textId="77777777" w:rsidR="00E13D3F" w:rsidRDefault="00FB2D6A" w:rsidP="00990D2B">
            <w:pPr>
              <w:pStyle w:val="TableParagraph"/>
              <w:numPr>
                <w:ilvl w:val="0"/>
                <w:numId w:val="44"/>
              </w:numPr>
              <w:tabs>
                <w:tab w:val="left" w:pos="468"/>
              </w:tabs>
              <w:ind w:right="170"/>
              <w:rPr>
                <w:sz w:val="20"/>
              </w:rPr>
            </w:pPr>
            <w:r>
              <w:rPr>
                <w:b/>
                <w:sz w:val="20"/>
              </w:rPr>
              <w:t>MI</w:t>
            </w:r>
            <w:r>
              <w:rPr>
                <w:b/>
                <w:spacing w:val="-9"/>
                <w:sz w:val="20"/>
              </w:rPr>
              <w:t xml:space="preserve"> </w:t>
            </w:r>
            <w:r>
              <w:rPr>
                <w:b/>
                <w:sz w:val="20"/>
              </w:rPr>
              <w:t>or</w:t>
            </w:r>
            <w:r>
              <w:rPr>
                <w:b/>
                <w:spacing w:val="-8"/>
                <w:sz w:val="20"/>
              </w:rPr>
              <w:t xml:space="preserve"> </w:t>
            </w:r>
            <w:r>
              <w:rPr>
                <w:b/>
                <w:sz w:val="20"/>
              </w:rPr>
              <w:t>stroke</w:t>
            </w:r>
            <w:r>
              <w:rPr>
                <w:b/>
                <w:spacing w:val="-9"/>
                <w:sz w:val="20"/>
              </w:rPr>
              <w:t xml:space="preserve"> </w:t>
            </w:r>
            <w:r>
              <w:rPr>
                <w:b/>
                <w:sz w:val="20"/>
              </w:rPr>
              <w:t>(self-reported)</w:t>
            </w:r>
            <w:r>
              <w:rPr>
                <w:b/>
                <w:spacing w:val="-6"/>
                <w:sz w:val="20"/>
              </w:rPr>
              <w:t xml:space="preserve"> </w:t>
            </w:r>
            <w:r>
              <w:rPr>
                <w:sz w:val="20"/>
              </w:rPr>
              <w:t>12.4%</w:t>
            </w:r>
            <w:r>
              <w:rPr>
                <w:spacing w:val="-9"/>
                <w:sz w:val="20"/>
              </w:rPr>
              <w:t xml:space="preserve"> </w:t>
            </w:r>
            <w:r>
              <w:rPr>
                <w:sz w:val="20"/>
              </w:rPr>
              <w:t>vs. 13.5%; Odds Ratio 0.90 (0.71 to 1.15)</w:t>
            </w:r>
          </w:p>
        </w:tc>
        <w:tc>
          <w:tcPr>
            <w:tcW w:w="3960" w:type="dxa"/>
            <w:shd w:val="clear" w:color="auto" w:fill="F1F1F1"/>
          </w:tcPr>
          <w:p w14:paraId="7A4C2EB3" w14:textId="77777777" w:rsidR="00E13D3F" w:rsidRDefault="00FB2D6A" w:rsidP="00990D2B">
            <w:pPr>
              <w:pStyle w:val="TableParagraph"/>
              <w:numPr>
                <w:ilvl w:val="0"/>
                <w:numId w:val="43"/>
              </w:numPr>
              <w:tabs>
                <w:tab w:val="left" w:pos="492"/>
              </w:tabs>
              <w:ind w:left="492"/>
              <w:rPr>
                <w:sz w:val="20"/>
              </w:rPr>
            </w:pPr>
            <w:r>
              <w:rPr>
                <w:b/>
                <w:sz w:val="20"/>
              </w:rPr>
              <w:t>MI</w:t>
            </w:r>
            <w:r>
              <w:rPr>
                <w:b/>
                <w:spacing w:val="-7"/>
                <w:sz w:val="20"/>
              </w:rPr>
              <w:t xml:space="preserve"> </w:t>
            </w:r>
            <w:r>
              <w:rPr>
                <w:b/>
                <w:sz w:val="20"/>
              </w:rPr>
              <w:t>(self-reported)</w:t>
            </w:r>
            <w:r>
              <w:rPr>
                <w:b/>
                <w:spacing w:val="-3"/>
                <w:sz w:val="20"/>
              </w:rPr>
              <w:t xml:space="preserve"> </w:t>
            </w:r>
            <w:r>
              <w:rPr>
                <w:sz w:val="20"/>
              </w:rPr>
              <w:t>RR</w:t>
            </w:r>
            <w:r>
              <w:rPr>
                <w:spacing w:val="-7"/>
                <w:sz w:val="20"/>
              </w:rPr>
              <w:t xml:space="preserve"> </w:t>
            </w:r>
            <w:r>
              <w:rPr>
                <w:sz w:val="20"/>
              </w:rPr>
              <w:t>0.57</w:t>
            </w:r>
            <w:r>
              <w:rPr>
                <w:spacing w:val="-5"/>
                <w:sz w:val="20"/>
              </w:rPr>
              <w:t xml:space="preserve"> </w:t>
            </w:r>
            <w:r>
              <w:rPr>
                <w:sz w:val="20"/>
              </w:rPr>
              <w:t>(0.22</w:t>
            </w:r>
            <w:r>
              <w:rPr>
                <w:spacing w:val="-6"/>
                <w:sz w:val="20"/>
              </w:rPr>
              <w:t xml:space="preserve"> </w:t>
            </w:r>
            <w:r>
              <w:rPr>
                <w:sz w:val="20"/>
              </w:rPr>
              <w:t>to</w:t>
            </w:r>
            <w:r>
              <w:rPr>
                <w:spacing w:val="-6"/>
                <w:sz w:val="20"/>
              </w:rPr>
              <w:t xml:space="preserve"> </w:t>
            </w:r>
            <w:r>
              <w:rPr>
                <w:spacing w:val="-2"/>
                <w:sz w:val="20"/>
              </w:rPr>
              <w:t>1.49)</w:t>
            </w:r>
          </w:p>
          <w:p w14:paraId="7A4C2EB4" w14:textId="77777777" w:rsidR="00E13D3F" w:rsidRDefault="00E13D3F">
            <w:pPr>
              <w:pStyle w:val="TableParagraph"/>
              <w:spacing w:before="1"/>
              <w:rPr>
                <w:sz w:val="20"/>
              </w:rPr>
            </w:pPr>
          </w:p>
          <w:p w14:paraId="7A4C2EB5" w14:textId="77777777" w:rsidR="00E13D3F" w:rsidRDefault="00FB2D6A" w:rsidP="00990D2B">
            <w:pPr>
              <w:pStyle w:val="TableParagraph"/>
              <w:numPr>
                <w:ilvl w:val="0"/>
                <w:numId w:val="43"/>
              </w:numPr>
              <w:tabs>
                <w:tab w:val="left" w:pos="468"/>
              </w:tabs>
              <w:ind w:right="342"/>
              <w:rPr>
                <w:sz w:val="20"/>
              </w:rPr>
            </w:pPr>
            <w:r>
              <w:rPr>
                <w:b/>
                <w:sz w:val="20"/>
              </w:rPr>
              <w:t>Stroke</w:t>
            </w:r>
            <w:r>
              <w:rPr>
                <w:b/>
                <w:spacing w:val="-8"/>
                <w:sz w:val="20"/>
              </w:rPr>
              <w:t xml:space="preserve"> </w:t>
            </w:r>
            <w:r>
              <w:rPr>
                <w:b/>
                <w:sz w:val="20"/>
              </w:rPr>
              <w:t>(self-reported)</w:t>
            </w:r>
            <w:r>
              <w:rPr>
                <w:b/>
                <w:spacing w:val="-7"/>
                <w:sz w:val="20"/>
              </w:rPr>
              <w:t xml:space="preserve"> </w:t>
            </w:r>
            <w:r>
              <w:rPr>
                <w:sz w:val="20"/>
              </w:rPr>
              <w:t>RR</w:t>
            </w:r>
            <w:r>
              <w:rPr>
                <w:spacing w:val="-9"/>
                <w:sz w:val="20"/>
              </w:rPr>
              <w:t xml:space="preserve"> </w:t>
            </w:r>
            <w:r>
              <w:rPr>
                <w:sz w:val="20"/>
              </w:rPr>
              <w:t>0.39</w:t>
            </w:r>
            <w:r>
              <w:rPr>
                <w:spacing w:val="-8"/>
                <w:sz w:val="20"/>
              </w:rPr>
              <w:t xml:space="preserve"> </w:t>
            </w:r>
            <w:r>
              <w:rPr>
                <w:sz w:val="20"/>
              </w:rPr>
              <w:t>(0.10</w:t>
            </w:r>
            <w:r>
              <w:rPr>
                <w:spacing w:val="-9"/>
                <w:sz w:val="20"/>
              </w:rPr>
              <w:t xml:space="preserve"> </w:t>
            </w:r>
            <w:r>
              <w:rPr>
                <w:sz w:val="20"/>
              </w:rPr>
              <w:t xml:space="preserve">to </w:t>
            </w:r>
            <w:r>
              <w:rPr>
                <w:spacing w:val="-2"/>
                <w:sz w:val="20"/>
              </w:rPr>
              <w:t>1.58)</w:t>
            </w:r>
          </w:p>
        </w:tc>
      </w:tr>
      <w:tr w:rsidR="00E13D3F" w14:paraId="7A4C2EC0" w14:textId="77777777">
        <w:trPr>
          <w:trHeight w:val="2200"/>
        </w:trPr>
        <w:tc>
          <w:tcPr>
            <w:tcW w:w="1214" w:type="dxa"/>
          </w:tcPr>
          <w:p w14:paraId="7A4C2EB7" w14:textId="77777777" w:rsidR="00E13D3F" w:rsidRDefault="00FB2D6A">
            <w:pPr>
              <w:pStyle w:val="TableParagraph"/>
              <w:spacing w:before="1"/>
              <w:ind w:left="107" w:right="267"/>
              <w:rPr>
                <w:b/>
                <w:sz w:val="20"/>
              </w:rPr>
            </w:pPr>
            <w:r>
              <w:rPr>
                <w:b/>
                <w:sz w:val="20"/>
              </w:rPr>
              <w:t>Quality</w:t>
            </w:r>
            <w:r>
              <w:rPr>
                <w:b/>
                <w:spacing w:val="-12"/>
                <w:sz w:val="20"/>
              </w:rPr>
              <w:t xml:space="preserve"> </w:t>
            </w:r>
            <w:r>
              <w:rPr>
                <w:b/>
                <w:sz w:val="20"/>
              </w:rPr>
              <w:t xml:space="preserve">of </w:t>
            </w:r>
            <w:r>
              <w:rPr>
                <w:b/>
                <w:spacing w:val="-4"/>
                <w:sz w:val="20"/>
              </w:rPr>
              <w:t>life</w:t>
            </w:r>
          </w:p>
        </w:tc>
        <w:tc>
          <w:tcPr>
            <w:tcW w:w="3737" w:type="dxa"/>
          </w:tcPr>
          <w:p w14:paraId="7A4C2EB8" w14:textId="77777777" w:rsidR="00E13D3F" w:rsidRDefault="00FB2D6A" w:rsidP="00990D2B">
            <w:pPr>
              <w:pStyle w:val="TableParagraph"/>
              <w:numPr>
                <w:ilvl w:val="0"/>
                <w:numId w:val="42"/>
              </w:numPr>
              <w:tabs>
                <w:tab w:val="left" w:pos="468"/>
              </w:tabs>
              <w:ind w:right="272"/>
              <w:rPr>
                <w:sz w:val="20"/>
              </w:rPr>
            </w:pPr>
            <w:r>
              <w:rPr>
                <w:b/>
                <w:sz w:val="20"/>
              </w:rPr>
              <w:t>Health-related</w:t>
            </w:r>
            <w:r>
              <w:rPr>
                <w:b/>
                <w:spacing w:val="-11"/>
                <w:sz w:val="20"/>
              </w:rPr>
              <w:t xml:space="preserve"> </w:t>
            </w:r>
            <w:r>
              <w:rPr>
                <w:b/>
                <w:sz w:val="20"/>
              </w:rPr>
              <w:t>quality</w:t>
            </w:r>
            <w:r>
              <w:rPr>
                <w:b/>
                <w:spacing w:val="-11"/>
                <w:sz w:val="20"/>
              </w:rPr>
              <w:t xml:space="preserve"> </w:t>
            </w:r>
            <w:r>
              <w:rPr>
                <w:b/>
                <w:sz w:val="20"/>
              </w:rPr>
              <w:t>of</w:t>
            </w:r>
            <w:r>
              <w:rPr>
                <w:b/>
                <w:spacing w:val="-11"/>
                <w:sz w:val="20"/>
              </w:rPr>
              <w:t xml:space="preserve"> </w:t>
            </w:r>
            <w:r>
              <w:rPr>
                <w:b/>
                <w:sz w:val="20"/>
              </w:rPr>
              <w:t>life</w:t>
            </w:r>
            <w:r>
              <w:rPr>
                <w:b/>
                <w:spacing w:val="-7"/>
                <w:sz w:val="20"/>
              </w:rPr>
              <w:t xml:space="preserve"> </w:t>
            </w:r>
            <w:r>
              <w:rPr>
                <w:b/>
                <w:sz w:val="20"/>
              </w:rPr>
              <w:t xml:space="preserve">(EQ-5D score) </w:t>
            </w:r>
            <w:r>
              <w:rPr>
                <w:sz w:val="20"/>
              </w:rPr>
              <w:t>Mean (SD) 87% (16) vs. 87%</w:t>
            </w:r>
          </w:p>
          <w:p w14:paraId="7A4C2EB9" w14:textId="77777777" w:rsidR="00E13D3F" w:rsidRDefault="00FB2D6A">
            <w:pPr>
              <w:pStyle w:val="TableParagraph"/>
              <w:spacing w:before="1"/>
              <w:ind w:left="468"/>
              <w:rPr>
                <w:sz w:val="20"/>
              </w:rPr>
            </w:pPr>
            <w:r>
              <w:rPr>
                <w:sz w:val="20"/>
              </w:rPr>
              <w:t>(15)</w:t>
            </w:r>
            <w:r>
              <w:rPr>
                <w:spacing w:val="-8"/>
                <w:sz w:val="20"/>
              </w:rPr>
              <w:t xml:space="preserve"> </w:t>
            </w:r>
            <w:r>
              <w:rPr>
                <w:sz w:val="20"/>
              </w:rPr>
              <w:t>(p-value</w:t>
            </w:r>
            <w:r>
              <w:rPr>
                <w:spacing w:val="-6"/>
                <w:sz w:val="20"/>
              </w:rPr>
              <w:t xml:space="preserve"> </w:t>
            </w:r>
            <w:r>
              <w:rPr>
                <w:spacing w:val="-2"/>
                <w:sz w:val="20"/>
              </w:rPr>
              <w:t>&gt;0.05)</w:t>
            </w:r>
          </w:p>
          <w:p w14:paraId="7A4C2EBA" w14:textId="77777777" w:rsidR="00E13D3F" w:rsidRDefault="00FB2D6A" w:rsidP="00990D2B">
            <w:pPr>
              <w:pStyle w:val="TableParagraph"/>
              <w:numPr>
                <w:ilvl w:val="0"/>
                <w:numId w:val="42"/>
              </w:numPr>
              <w:tabs>
                <w:tab w:val="left" w:pos="468"/>
              </w:tabs>
              <w:spacing w:before="228"/>
              <w:ind w:right="229"/>
              <w:rPr>
                <w:sz w:val="20"/>
              </w:rPr>
            </w:pPr>
            <w:r>
              <w:rPr>
                <w:b/>
                <w:sz w:val="20"/>
              </w:rPr>
              <w:t>SF-8</w:t>
            </w:r>
            <w:r>
              <w:rPr>
                <w:b/>
                <w:spacing w:val="-9"/>
                <w:sz w:val="20"/>
              </w:rPr>
              <w:t xml:space="preserve"> </w:t>
            </w:r>
            <w:r>
              <w:rPr>
                <w:b/>
                <w:sz w:val="20"/>
              </w:rPr>
              <w:t>physical</w:t>
            </w:r>
            <w:r>
              <w:rPr>
                <w:b/>
                <w:spacing w:val="-10"/>
                <w:sz w:val="20"/>
              </w:rPr>
              <w:t xml:space="preserve"> </w:t>
            </w:r>
            <w:r>
              <w:rPr>
                <w:b/>
                <w:sz w:val="20"/>
              </w:rPr>
              <w:t>health</w:t>
            </w:r>
            <w:r>
              <w:rPr>
                <w:b/>
                <w:spacing w:val="-8"/>
                <w:sz w:val="20"/>
              </w:rPr>
              <w:t xml:space="preserve"> </w:t>
            </w:r>
            <w:r>
              <w:rPr>
                <w:b/>
                <w:sz w:val="20"/>
              </w:rPr>
              <w:t>score</w:t>
            </w:r>
            <w:r>
              <w:rPr>
                <w:b/>
                <w:spacing w:val="-6"/>
                <w:sz w:val="20"/>
              </w:rPr>
              <w:t xml:space="preserve"> </w:t>
            </w:r>
            <w:r>
              <w:rPr>
                <w:sz w:val="20"/>
              </w:rPr>
              <w:t>Mean</w:t>
            </w:r>
            <w:r>
              <w:rPr>
                <w:spacing w:val="-8"/>
                <w:sz w:val="20"/>
              </w:rPr>
              <w:t xml:space="preserve"> </w:t>
            </w:r>
            <w:r>
              <w:rPr>
                <w:sz w:val="20"/>
              </w:rPr>
              <w:t>(SD) 48%</w:t>
            </w:r>
            <w:r>
              <w:rPr>
                <w:spacing w:val="-5"/>
                <w:sz w:val="20"/>
              </w:rPr>
              <w:t xml:space="preserve"> </w:t>
            </w:r>
            <w:r>
              <w:rPr>
                <w:sz w:val="20"/>
              </w:rPr>
              <w:t>(10)</w:t>
            </w:r>
            <w:r>
              <w:rPr>
                <w:spacing w:val="-4"/>
                <w:sz w:val="20"/>
              </w:rPr>
              <w:t xml:space="preserve"> </w:t>
            </w:r>
            <w:r>
              <w:rPr>
                <w:sz w:val="20"/>
              </w:rPr>
              <w:t>vs.</w:t>
            </w:r>
            <w:r>
              <w:rPr>
                <w:spacing w:val="-3"/>
                <w:sz w:val="20"/>
              </w:rPr>
              <w:t xml:space="preserve"> </w:t>
            </w:r>
            <w:r>
              <w:rPr>
                <w:sz w:val="20"/>
              </w:rPr>
              <w:t>48%</w:t>
            </w:r>
            <w:r>
              <w:rPr>
                <w:spacing w:val="-5"/>
                <w:sz w:val="20"/>
              </w:rPr>
              <w:t xml:space="preserve"> </w:t>
            </w:r>
            <w:r>
              <w:rPr>
                <w:sz w:val="20"/>
              </w:rPr>
              <w:t>(10)</w:t>
            </w:r>
            <w:r>
              <w:rPr>
                <w:spacing w:val="-2"/>
                <w:sz w:val="20"/>
              </w:rPr>
              <w:t xml:space="preserve"> </w:t>
            </w:r>
            <w:r>
              <w:rPr>
                <w:sz w:val="20"/>
              </w:rPr>
              <w:t>(p-value</w:t>
            </w:r>
            <w:r>
              <w:rPr>
                <w:spacing w:val="-2"/>
                <w:sz w:val="20"/>
              </w:rPr>
              <w:t xml:space="preserve"> </w:t>
            </w:r>
            <w:r>
              <w:rPr>
                <w:sz w:val="20"/>
              </w:rPr>
              <w:t>&gt;0.05)</w:t>
            </w:r>
          </w:p>
          <w:p w14:paraId="7A4C2EBB" w14:textId="77777777" w:rsidR="00E13D3F" w:rsidRDefault="00FB2D6A" w:rsidP="00990D2B">
            <w:pPr>
              <w:pStyle w:val="TableParagraph"/>
              <w:numPr>
                <w:ilvl w:val="0"/>
                <w:numId w:val="42"/>
              </w:numPr>
              <w:tabs>
                <w:tab w:val="left" w:pos="468"/>
              </w:tabs>
              <w:spacing w:before="210" w:line="240" w:lineRule="atLeast"/>
              <w:ind w:right="309"/>
              <w:rPr>
                <w:sz w:val="20"/>
              </w:rPr>
            </w:pPr>
            <w:r>
              <w:rPr>
                <w:b/>
                <w:sz w:val="20"/>
              </w:rPr>
              <w:t>SF-8</w:t>
            </w:r>
            <w:r>
              <w:rPr>
                <w:b/>
                <w:spacing w:val="-9"/>
                <w:sz w:val="20"/>
              </w:rPr>
              <w:t xml:space="preserve"> </w:t>
            </w:r>
            <w:r>
              <w:rPr>
                <w:b/>
                <w:sz w:val="20"/>
              </w:rPr>
              <w:t>mental</w:t>
            </w:r>
            <w:r>
              <w:rPr>
                <w:b/>
                <w:spacing w:val="-9"/>
                <w:sz w:val="20"/>
              </w:rPr>
              <w:t xml:space="preserve"> </w:t>
            </w:r>
            <w:r>
              <w:rPr>
                <w:b/>
                <w:sz w:val="20"/>
              </w:rPr>
              <w:t>health</w:t>
            </w:r>
            <w:r>
              <w:rPr>
                <w:b/>
                <w:spacing w:val="-7"/>
                <w:sz w:val="20"/>
              </w:rPr>
              <w:t xml:space="preserve"> </w:t>
            </w:r>
            <w:r>
              <w:rPr>
                <w:b/>
                <w:sz w:val="20"/>
              </w:rPr>
              <w:t>score</w:t>
            </w:r>
            <w:r>
              <w:rPr>
                <w:b/>
                <w:spacing w:val="-6"/>
                <w:sz w:val="20"/>
              </w:rPr>
              <w:t xml:space="preserve"> </w:t>
            </w:r>
            <w:r>
              <w:rPr>
                <w:sz w:val="20"/>
              </w:rPr>
              <w:t>Mean</w:t>
            </w:r>
            <w:r>
              <w:rPr>
                <w:spacing w:val="-7"/>
                <w:sz w:val="20"/>
              </w:rPr>
              <w:t xml:space="preserve"> </w:t>
            </w:r>
            <w:r>
              <w:rPr>
                <w:sz w:val="20"/>
              </w:rPr>
              <w:t>(SD) 52%</w:t>
            </w:r>
            <w:r>
              <w:rPr>
                <w:spacing w:val="-8"/>
                <w:sz w:val="20"/>
              </w:rPr>
              <w:t xml:space="preserve"> </w:t>
            </w:r>
            <w:r>
              <w:rPr>
                <w:sz w:val="20"/>
              </w:rPr>
              <w:t>(9%)</w:t>
            </w:r>
            <w:r>
              <w:rPr>
                <w:spacing w:val="-7"/>
                <w:sz w:val="20"/>
              </w:rPr>
              <w:t xml:space="preserve"> </w:t>
            </w:r>
            <w:r>
              <w:rPr>
                <w:sz w:val="20"/>
              </w:rPr>
              <w:t>vs.</w:t>
            </w:r>
            <w:r>
              <w:rPr>
                <w:spacing w:val="-6"/>
                <w:sz w:val="20"/>
              </w:rPr>
              <w:t xml:space="preserve"> </w:t>
            </w:r>
            <w:r>
              <w:rPr>
                <w:sz w:val="20"/>
              </w:rPr>
              <w:t>52%</w:t>
            </w:r>
            <w:r>
              <w:rPr>
                <w:spacing w:val="-8"/>
                <w:sz w:val="20"/>
              </w:rPr>
              <w:t xml:space="preserve"> </w:t>
            </w:r>
            <w:r>
              <w:rPr>
                <w:sz w:val="20"/>
              </w:rPr>
              <w:t>(8)</w:t>
            </w:r>
            <w:r>
              <w:rPr>
                <w:spacing w:val="-6"/>
                <w:sz w:val="20"/>
              </w:rPr>
              <w:t xml:space="preserve"> </w:t>
            </w:r>
            <w:r>
              <w:rPr>
                <w:sz w:val="20"/>
              </w:rPr>
              <w:t>(p-value</w:t>
            </w:r>
            <w:r>
              <w:rPr>
                <w:spacing w:val="-6"/>
                <w:sz w:val="20"/>
              </w:rPr>
              <w:t xml:space="preserve"> </w:t>
            </w:r>
            <w:r>
              <w:rPr>
                <w:sz w:val="20"/>
              </w:rPr>
              <w:t>&gt;0.05)</w:t>
            </w:r>
          </w:p>
        </w:tc>
        <w:tc>
          <w:tcPr>
            <w:tcW w:w="3960" w:type="dxa"/>
          </w:tcPr>
          <w:p w14:paraId="7A4C2EBC" w14:textId="77777777" w:rsidR="00E13D3F" w:rsidRDefault="00FB2D6A" w:rsidP="00990D2B">
            <w:pPr>
              <w:pStyle w:val="TableParagraph"/>
              <w:numPr>
                <w:ilvl w:val="0"/>
                <w:numId w:val="41"/>
              </w:numPr>
              <w:tabs>
                <w:tab w:val="left" w:pos="468"/>
              </w:tabs>
              <w:ind w:right="455"/>
              <w:rPr>
                <w:sz w:val="20"/>
              </w:rPr>
            </w:pPr>
            <w:r>
              <w:rPr>
                <w:b/>
                <w:sz w:val="20"/>
              </w:rPr>
              <w:t>Health-related</w:t>
            </w:r>
            <w:r>
              <w:rPr>
                <w:b/>
                <w:spacing w:val="-1"/>
                <w:sz w:val="20"/>
              </w:rPr>
              <w:t xml:space="preserve"> </w:t>
            </w:r>
            <w:r>
              <w:rPr>
                <w:b/>
                <w:sz w:val="20"/>
              </w:rPr>
              <w:t>quality</w:t>
            </w:r>
            <w:r>
              <w:rPr>
                <w:b/>
                <w:spacing w:val="-2"/>
                <w:sz w:val="20"/>
              </w:rPr>
              <w:t xml:space="preserve"> </w:t>
            </w:r>
            <w:r>
              <w:rPr>
                <w:b/>
                <w:sz w:val="20"/>
              </w:rPr>
              <w:t>of</w:t>
            </w:r>
            <w:r>
              <w:rPr>
                <w:b/>
                <w:spacing w:val="-2"/>
                <w:sz w:val="20"/>
              </w:rPr>
              <w:t xml:space="preserve"> </w:t>
            </w:r>
            <w:r>
              <w:rPr>
                <w:b/>
                <w:sz w:val="20"/>
              </w:rPr>
              <w:t>life (EQ-5D score)</w:t>
            </w:r>
            <w:r>
              <w:rPr>
                <w:b/>
                <w:spacing w:val="-6"/>
                <w:sz w:val="20"/>
              </w:rPr>
              <w:t xml:space="preserve"> </w:t>
            </w:r>
            <w:r>
              <w:rPr>
                <w:sz w:val="20"/>
              </w:rPr>
              <w:t>Mean</w:t>
            </w:r>
            <w:r>
              <w:rPr>
                <w:spacing w:val="-6"/>
                <w:sz w:val="20"/>
              </w:rPr>
              <w:t xml:space="preserve"> </w:t>
            </w:r>
            <w:r>
              <w:rPr>
                <w:sz w:val="20"/>
              </w:rPr>
              <w:t>(95%</w:t>
            </w:r>
            <w:r>
              <w:rPr>
                <w:spacing w:val="-8"/>
                <w:sz w:val="20"/>
              </w:rPr>
              <w:t xml:space="preserve"> </w:t>
            </w:r>
            <w:r>
              <w:rPr>
                <w:sz w:val="20"/>
              </w:rPr>
              <w:t>CI)</w:t>
            </w:r>
            <w:r>
              <w:rPr>
                <w:spacing w:val="-5"/>
                <w:sz w:val="20"/>
              </w:rPr>
              <w:t xml:space="preserve"> </w:t>
            </w:r>
            <w:r>
              <w:rPr>
                <w:sz w:val="20"/>
              </w:rPr>
              <w:t>78%</w:t>
            </w:r>
            <w:r>
              <w:rPr>
                <w:spacing w:val="-8"/>
                <w:sz w:val="20"/>
              </w:rPr>
              <w:t xml:space="preserve"> </w:t>
            </w:r>
            <w:r>
              <w:rPr>
                <w:sz w:val="20"/>
              </w:rPr>
              <w:t>(65-85)</w:t>
            </w:r>
            <w:r>
              <w:rPr>
                <w:spacing w:val="-8"/>
                <w:sz w:val="20"/>
              </w:rPr>
              <w:t xml:space="preserve"> </w:t>
            </w:r>
            <w:r>
              <w:rPr>
                <w:sz w:val="20"/>
              </w:rPr>
              <w:t>vs.</w:t>
            </w:r>
          </w:p>
          <w:p w14:paraId="7A4C2EBD" w14:textId="77777777" w:rsidR="00E13D3F" w:rsidRDefault="00FB2D6A">
            <w:pPr>
              <w:pStyle w:val="TableParagraph"/>
              <w:spacing w:before="1"/>
              <w:ind w:left="468"/>
              <w:rPr>
                <w:sz w:val="20"/>
              </w:rPr>
            </w:pPr>
            <w:r>
              <w:rPr>
                <w:sz w:val="20"/>
              </w:rPr>
              <w:t>80%</w:t>
            </w:r>
            <w:r>
              <w:rPr>
                <w:spacing w:val="-8"/>
                <w:sz w:val="20"/>
              </w:rPr>
              <w:t xml:space="preserve"> </w:t>
            </w:r>
            <w:r>
              <w:rPr>
                <w:sz w:val="20"/>
              </w:rPr>
              <w:t>(60-88)</w:t>
            </w:r>
            <w:r>
              <w:rPr>
                <w:spacing w:val="-6"/>
                <w:sz w:val="20"/>
              </w:rPr>
              <w:t xml:space="preserve"> </w:t>
            </w:r>
            <w:r>
              <w:rPr>
                <w:sz w:val="20"/>
              </w:rPr>
              <w:t>(p-value</w:t>
            </w:r>
            <w:r>
              <w:rPr>
                <w:spacing w:val="-4"/>
                <w:sz w:val="20"/>
              </w:rPr>
              <w:t xml:space="preserve"> </w:t>
            </w:r>
            <w:r>
              <w:rPr>
                <w:spacing w:val="-2"/>
                <w:sz w:val="20"/>
              </w:rPr>
              <w:t>=0.68)</w:t>
            </w:r>
          </w:p>
          <w:p w14:paraId="7A4C2EBE" w14:textId="77777777" w:rsidR="00E13D3F" w:rsidRDefault="00FB2D6A" w:rsidP="00990D2B">
            <w:pPr>
              <w:pStyle w:val="TableParagraph"/>
              <w:numPr>
                <w:ilvl w:val="0"/>
                <w:numId w:val="41"/>
              </w:numPr>
              <w:tabs>
                <w:tab w:val="left" w:pos="468"/>
              </w:tabs>
              <w:spacing w:before="228"/>
              <w:ind w:right="351"/>
              <w:rPr>
                <w:sz w:val="20"/>
              </w:rPr>
            </w:pPr>
            <w:r>
              <w:rPr>
                <w:b/>
                <w:sz w:val="20"/>
              </w:rPr>
              <w:t>SF-36</w:t>
            </w:r>
            <w:r>
              <w:rPr>
                <w:b/>
                <w:spacing w:val="-9"/>
                <w:sz w:val="20"/>
              </w:rPr>
              <w:t xml:space="preserve"> </w:t>
            </w:r>
            <w:r>
              <w:rPr>
                <w:b/>
                <w:sz w:val="20"/>
              </w:rPr>
              <w:t>physical</w:t>
            </w:r>
            <w:r>
              <w:rPr>
                <w:b/>
                <w:spacing w:val="-10"/>
                <w:sz w:val="20"/>
              </w:rPr>
              <w:t xml:space="preserve"> </w:t>
            </w:r>
            <w:r>
              <w:rPr>
                <w:b/>
                <w:sz w:val="20"/>
              </w:rPr>
              <w:t>health</w:t>
            </w:r>
            <w:r>
              <w:rPr>
                <w:b/>
                <w:spacing w:val="-8"/>
                <w:sz w:val="20"/>
              </w:rPr>
              <w:t xml:space="preserve"> </w:t>
            </w:r>
            <w:r>
              <w:rPr>
                <w:b/>
                <w:sz w:val="20"/>
              </w:rPr>
              <w:t>score</w:t>
            </w:r>
            <w:r>
              <w:rPr>
                <w:b/>
                <w:spacing w:val="-6"/>
                <w:sz w:val="20"/>
              </w:rPr>
              <w:t xml:space="preserve"> </w:t>
            </w:r>
            <w:r>
              <w:rPr>
                <w:sz w:val="20"/>
              </w:rPr>
              <w:t>Mean</w:t>
            </w:r>
            <w:r>
              <w:rPr>
                <w:spacing w:val="-8"/>
                <w:sz w:val="20"/>
              </w:rPr>
              <w:t xml:space="preserve"> </w:t>
            </w:r>
            <w:r>
              <w:rPr>
                <w:sz w:val="20"/>
              </w:rPr>
              <w:t>(SD) 67% (29) vs. 70% (31) (p-value =0.64)</w:t>
            </w:r>
          </w:p>
          <w:p w14:paraId="7A4C2EBF" w14:textId="77777777" w:rsidR="00E13D3F" w:rsidRDefault="00FB2D6A" w:rsidP="00990D2B">
            <w:pPr>
              <w:pStyle w:val="TableParagraph"/>
              <w:numPr>
                <w:ilvl w:val="0"/>
                <w:numId w:val="41"/>
              </w:numPr>
              <w:tabs>
                <w:tab w:val="left" w:pos="468"/>
              </w:tabs>
              <w:spacing w:before="210" w:line="240" w:lineRule="atLeast"/>
              <w:ind w:right="432"/>
              <w:rPr>
                <w:sz w:val="20"/>
              </w:rPr>
            </w:pPr>
            <w:r>
              <w:rPr>
                <w:b/>
                <w:sz w:val="20"/>
              </w:rPr>
              <w:t>SF-36</w:t>
            </w:r>
            <w:r>
              <w:rPr>
                <w:b/>
                <w:spacing w:val="-9"/>
                <w:sz w:val="20"/>
              </w:rPr>
              <w:t xml:space="preserve"> </w:t>
            </w:r>
            <w:r>
              <w:rPr>
                <w:b/>
                <w:sz w:val="20"/>
              </w:rPr>
              <w:t>mental</w:t>
            </w:r>
            <w:r>
              <w:rPr>
                <w:b/>
                <w:spacing w:val="-9"/>
                <w:sz w:val="20"/>
              </w:rPr>
              <w:t xml:space="preserve"> </w:t>
            </w:r>
            <w:r>
              <w:rPr>
                <w:b/>
                <w:sz w:val="20"/>
              </w:rPr>
              <w:t>health</w:t>
            </w:r>
            <w:r>
              <w:rPr>
                <w:b/>
                <w:spacing w:val="-8"/>
                <w:sz w:val="20"/>
              </w:rPr>
              <w:t xml:space="preserve"> </w:t>
            </w:r>
            <w:r>
              <w:rPr>
                <w:b/>
                <w:sz w:val="20"/>
              </w:rPr>
              <w:t>score</w:t>
            </w:r>
            <w:r>
              <w:rPr>
                <w:b/>
                <w:spacing w:val="-6"/>
                <w:sz w:val="20"/>
              </w:rPr>
              <w:t xml:space="preserve"> </w:t>
            </w:r>
            <w:r>
              <w:rPr>
                <w:sz w:val="20"/>
              </w:rPr>
              <w:t>Mean</w:t>
            </w:r>
            <w:r>
              <w:rPr>
                <w:spacing w:val="-8"/>
                <w:sz w:val="20"/>
              </w:rPr>
              <w:t xml:space="preserve"> </w:t>
            </w:r>
            <w:r>
              <w:rPr>
                <w:sz w:val="20"/>
              </w:rPr>
              <w:t>(SD) 78%</w:t>
            </w:r>
            <w:r>
              <w:rPr>
                <w:spacing w:val="-2"/>
                <w:sz w:val="20"/>
              </w:rPr>
              <w:t xml:space="preserve"> </w:t>
            </w:r>
            <w:r>
              <w:rPr>
                <w:sz w:val="20"/>
              </w:rPr>
              <w:t>(17)</w:t>
            </w:r>
            <w:r>
              <w:rPr>
                <w:spacing w:val="-1"/>
                <w:sz w:val="20"/>
              </w:rPr>
              <w:t xml:space="preserve"> </w:t>
            </w:r>
            <w:r>
              <w:rPr>
                <w:sz w:val="20"/>
              </w:rPr>
              <w:t>vs. 80%</w:t>
            </w:r>
            <w:r>
              <w:rPr>
                <w:spacing w:val="-2"/>
                <w:sz w:val="20"/>
              </w:rPr>
              <w:t xml:space="preserve"> </w:t>
            </w:r>
            <w:r>
              <w:rPr>
                <w:sz w:val="20"/>
              </w:rPr>
              <w:t>(16) (p-value =0.47)</w:t>
            </w:r>
          </w:p>
        </w:tc>
      </w:tr>
      <w:tr w:rsidR="00E13D3F" w14:paraId="7A4C2EC2" w14:textId="77777777">
        <w:trPr>
          <w:trHeight w:val="383"/>
        </w:trPr>
        <w:tc>
          <w:tcPr>
            <w:tcW w:w="8911" w:type="dxa"/>
            <w:gridSpan w:val="3"/>
            <w:shd w:val="clear" w:color="auto" w:fill="F1F1F1"/>
          </w:tcPr>
          <w:p w14:paraId="7A4C2EC1" w14:textId="77777777" w:rsidR="00E13D3F" w:rsidRDefault="00FB2D6A">
            <w:pPr>
              <w:pStyle w:val="TableParagraph"/>
              <w:spacing w:before="1"/>
              <w:ind w:left="8"/>
              <w:jc w:val="center"/>
              <w:rPr>
                <w:b/>
                <w:sz w:val="20"/>
              </w:rPr>
            </w:pPr>
            <w:r>
              <w:rPr>
                <w:b/>
                <w:spacing w:val="-2"/>
                <w:sz w:val="20"/>
              </w:rPr>
              <w:t>Harms</w:t>
            </w:r>
          </w:p>
        </w:tc>
      </w:tr>
      <w:tr w:rsidR="00E13D3F" w14:paraId="7A4C2ECA" w14:textId="77777777">
        <w:trPr>
          <w:trHeight w:val="1231"/>
        </w:trPr>
        <w:tc>
          <w:tcPr>
            <w:tcW w:w="1214" w:type="dxa"/>
          </w:tcPr>
          <w:p w14:paraId="7A4C2EC3" w14:textId="77777777" w:rsidR="00E13D3F" w:rsidRDefault="00FB2D6A">
            <w:pPr>
              <w:pStyle w:val="TableParagraph"/>
              <w:spacing w:before="1"/>
              <w:ind w:left="107"/>
              <w:rPr>
                <w:b/>
                <w:sz w:val="20"/>
              </w:rPr>
            </w:pPr>
            <w:r>
              <w:rPr>
                <w:b/>
                <w:spacing w:val="-2"/>
                <w:sz w:val="20"/>
              </w:rPr>
              <w:t>Anxiety</w:t>
            </w:r>
          </w:p>
        </w:tc>
        <w:tc>
          <w:tcPr>
            <w:tcW w:w="3737" w:type="dxa"/>
          </w:tcPr>
          <w:p w14:paraId="7A4C2EC4" w14:textId="77777777" w:rsidR="00E13D3F" w:rsidRDefault="00FB2D6A" w:rsidP="00990D2B">
            <w:pPr>
              <w:pStyle w:val="TableParagraph"/>
              <w:numPr>
                <w:ilvl w:val="0"/>
                <w:numId w:val="40"/>
              </w:numPr>
              <w:tabs>
                <w:tab w:val="left" w:pos="468"/>
              </w:tabs>
              <w:ind w:right="227"/>
              <w:rPr>
                <w:sz w:val="20"/>
              </w:rPr>
            </w:pPr>
            <w:r>
              <w:rPr>
                <w:b/>
                <w:sz w:val="20"/>
              </w:rPr>
              <w:t xml:space="preserve">State-Trait Anxiety score* </w:t>
            </w:r>
            <w:r>
              <w:rPr>
                <w:sz w:val="20"/>
              </w:rPr>
              <w:t>Mean (95%CI)</w:t>
            </w:r>
            <w:r>
              <w:rPr>
                <w:spacing w:val="-7"/>
                <w:sz w:val="20"/>
              </w:rPr>
              <w:t xml:space="preserve"> </w:t>
            </w:r>
            <w:r>
              <w:rPr>
                <w:sz w:val="20"/>
              </w:rPr>
              <w:t>at</w:t>
            </w:r>
            <w:r>
              <w:rPr>
                <w:spacing w:val="-5"/>
                <w:sz w:val="20"/>
              </w:rPr>
              <w:t xml:space="preserve"> </w:t>
            </w:r>
            <w:r>
              <w:rPr>
                <w:sz w:val="20"/>
              </w:rPr>
              <w:t>6</w:t>
            </w:r>
            <w:r>
              <w:rPr>
                <w:spacing w:val="-6"/>
                <w:sz w:val="20"/>
              </w:rPr>
              <w:t xml:space="preserve"> </w:t>
            </w:r>
            <w:r>
              <w:rPr>
                <w:sz w:val="20"/>
              </w:rPr>
              <w:t>weeks</w:t>
            </w:r>
            <w:r>
              <w:rPr>
                <w:spacing w:val="-4"/>
                <w:sz w:val="20"/>
              </w:rPr>
              <w:t xml:space="preserve"> </w:t>
            </w:r>
            <w:r>
              <w:rPr>
                <w:sz w:val="20"/>
              </w:rPr>
              <w:t>37</w:t>
            </w:r>
            <w:r>
              <w:rPr>
                <w:spacing w:val="-5"/>
                <w:sz w:val="20"/>
              </w:rPr>
              <w:t xml:space="preserve"> </w:t>
            </w:r>
            <w:r>
              <w:rPr>
                <w:sz w:val="20"/>
              </w:rPr>
              <w:t>(12)</w:t>
            </w:r>
            <w:r>
              <w:rPr>
                <w:spacing w:val="-6"/>
                <w:sz w:val="20"/>
              </w:rPr>
              <w:t xml:space="preserve"> </w:t>
            </w:r>
            <w:r>
              <w:rPr>
                <w:sz w:val="20"/>
              </w:rPr>
              <w:t>vs.</w:t>
            </w:r>
            <w:r>
              <w:rPr>
                <w:spacing w:val="-5"/>
                <w:sz w:val="20"/>
              </w:rPr>
              <w:t xml:space="preserve"> </w:t>
            </w:r>
            <w:r>
              <w:rPr>
                <w:sz w:val="20"/>
              </w:rPr>
              <w:t>34</w:t>
            </w:r>
            <w:r>
              <w:rPr>
                <w:spacing w:val="-6"/>
                <w:sz w:val="20"/>
              </w:rPr>
              <w:t xml:space="preserve"> </w:t>
            </w:r>
            <w:r>
              <w:rPr>
                <w:sz w:val="20"/>
              </w:rPr>
              <w:t>(12)</w:t>
            </w:r>
          </w:p>
          <w:p w14:paraId="7A4C2EC5" w14:textId="77777777" w:rsidR="00E13D3F" w:rsidRDefault="00FB2D6A">
            <w:pPr>
              <w:pStyle w:val="TableParagraph"/>
              <w:spacing w:before="2" w:line="243" w:lineRule="exact"/>
              <w:ind w:left="468"/>
              <w:rPr>
                <w:sz w:val="20"/>
              </w:rPr>
            </w:pPr>
            <w:r>
              <w:rPr>
                <w:sz w:val="20"/>
              </w:rPr>
              <w:t>(p-value</w:t>
            </w:r>
            <w:r>
              <w:rPr>
                <w:spacing w:val="1"/>
                <w:sz w:val="20"/>
              </w:rPr>
              <w:t xml:space="preserve"> </w:t>
            </w:r>
            <w:r>
              <w:rPr>
                <w:rFonts w:ascii="Arial"/>
                <w:spacing w:val="-2"/>
                <w:sz w:val="20"/>
              </w:rPr>
              <w:t>=</w:t>
            </w:r>
            <w:r>
              <w:rPr>
                <w:spacing w:val="-2"/>
                <w:sz w:val="20"/>
              </w:rPr>
              <w:t>0.015)</w:t>
            </w:r>
          </w:p>
          <w:p w14:paraId="7A4C2EC6" w14:textId="77777777" w:rsidR="00E13D3F" w:rsidRDefault="00FB2D6A">
            <w:pPr>
              <w:pStyle w:val="TableParagraph"/>
              <w:spacing w:line="243" w:lineRule="exact"/>
              <w:ind w:left="468"/>
              <w:rPr>
                <w:sz w:val="20"/>
              </w:rPr>
            </w:pPr>
            <w:r>
              <w:rPr>
                <w:sz w:val="20"/>
              </w:rPr>
              <w:t>But</w:t>
            </w:r>
            <w:r>
              <w:rPr>
                <w:spacing w:val="-6"/>
                <w:sz w:val="20"/>
              </w:rPr>
              <w:t xml:space="preserve"> </w:t>
            </w:r>
            <w:r>
              <w:rPr>
                <w:sz w:val="20"/>
              </w:rPr>
              <w:t>not</w:t>
            </w:r>
            <w:r>
              <w:rPr>
                <w:spacing w:val="-6"/>
                <w:sz w:val="20"/>
              </w:rPr>
              <w:t xml:space="preserve"> </w:t>
            </w:r>
            <w:r>
              <w:rPr>
                <w:sz w:val="20"/>
              </w:rPr>
              <w:t>statistically</w:t>
            </w:r>
            <w:r>
              <w:rPr>
                <w:spacing w:val="-5"/>
                <w:sz w:val="20"/>
              </w:rPr>
              <w:t xml:space="preserve"> </w:t>
            </w:r>
            <w:r>
              <w:rPr>
                <w:sz w:val="20"/>
              </w:rPr>
              <w:t>significant</w:t>
            </w:r>
            <w:r>
              <w:rPr>
                <w:spacing w:val="-6"/>
                <w:sz w:val="20"/>
              </w:rPr>
              <w:t xml:space="preserve"> </w:t>
            </w:r>
            <w:r>
              <w:rPr>
                <w:sz w:val="20"/>
              </w:rPr>
              <w:t>at</w:t>
            </w:r>
            <w:r>
              <w:rPr>
                <w:spacing w:val="-6"/>
                <w:sz w:val="20"/>
              </w:rPr>
              <w:t xml:space="preserve"> </w:t>
            </w:r>
            <w:r>
              <w:rPr>
                <w:sz w:val="20"/>
              </w:rPr>
              <w:t>12-</w:t>
            </w:r>
            <w:r>
              <w:rPr>
                <w:spacing w:val="-5"/>
                <w:sz w:val="20"/>
              </w:rPr>
              <w:t>15</w:t>
            </w:r>
          </w:p>
          <w:p w14:paraId="7A4C2EC7" w14:textId="77777777" w:rsidR="00E13D3F" w:rsidRDefault="00FB2D6A">
            <w:pPr>
              <w:pStyle w:val="TableParagraph"/>
              <w:spacing w:line="223" w:lineRule="exact"/>
              <w:ind w:left="468"/>
              <w:rPr>
                <w:sz w:val="20"/>
              </w:rPr>
            </w:pPr>
            <w:r>
              <w:rPr>
                <w:sz w:val="20"/>
              </w:rPr>
              <w:t>months</w:t>
            </w:r>
            <w:r>
              <w:rPr>
                <w:spacing w:val="-10"/>
                <w:sz w:val="20"/>
              </w:rPr>
              <w:t xml:space="preserve"> </w:t>
            </w:r>
            <w:r>
              <w:rPr>
                <w:sz w:val="20"/>
              </w:rPr>
              <w:t>(p-</w:t>
            </w:r>
            <w:r>
              <w:rPr>
                <w:spacing w:val="-2"/>
                <w:sz w:val="20"/>
              </w:rPr>
              <w:t>value=0.52)</w:t>
            </w:r>
          </w:p>
        </w:tc>
        <w:tc>
          <w:tcPr>
            <w:tcW w:w="3960" w:type="dxa"/>
          </w:tcPr>
          <w:p w14:paraId="7A4C2EC8" w14:textId="77777777" w:rsidR="00E13D3F" w:rsidRDefault="00FB2D6A" w:rsidP="00990D2B">
            <w:pPr>
              <w:pStyle w:val="TableParagraph"/>
              <w:numPr>
                <w:ilvl w:val="0"/>
                <w:numId w:val="39"/>
              </w:numPr>
              <w:tabs>
                <w:tab w:val="left" w:pos="468"/>
              </w:tabs>
              <w:rPr>
                <w:b/>
                <w:sz w:val="20"/>
              </w:rPr>
            </w:pPr>
            <w:r>
              <w:rPr>
                <w:b/>
                <w:sz w:val="20"/>
              </w:rPr>
              <w:t>Prescribed</w:t>
            </w:r>
            <w:r>
              <w:rPr>
                <w:b/>
                <w:spacing w:val="-8"/>
                <w:sz w:val="20"/>
              </w:rPr>
              <w:t xml:space="preserve"> </w:t>
            </w:r>
            <w:r>
              <w:rPr>
                <w:b/>
                <w:sz w:val="20"/>
              </w:rPr>
              <w:t>anxiolytic</w:t>
            </w:r>
            <w:r>
              <w:rPr>
                <w:b/>
                <w:spacing w:val="-7"/>
                <w:sz w:val="20"/>
              </w:rPr>
              <w:t xml:space="preserve"> </w:t>
            </w:r>
            <w:r>
              <w:rPr>
                <w:b/>
                <w:sz w:val="20"/>
              </w:rPr>
              <w:t>at</w:t>
            </w:r>
            <w:r>
              <w:rPr>
                <w:b/>
                <w:spacing w:val="-7"/>
                <w:sz w:val="20"/>
              </w:rPr>
              <w:t xml:space="preserve"> </w:t>
            </w:r>
            <w:r>
              <w:rPr>
                <w:b/>
                <w:sz w:val="20"/>
              </w:rPr>
              <w:t>13</w:t>
            </w:r>
            <w:r>
              <w:rPr>
                <w:b/>
                <w:spacing w:val="-5"/>
                <w:sz w:val="20"/>
              </w:rPr>
              <w:t xml:space="preserve"> </w:t>
            </w:r>
            <w:r>
              <w:rPr>
                <w:b/>
                <w:spacing w:val="-4"/>
                <w:sz w:val="20"/>
              </w:rPr>
              <w:t>years</w:t>
            </w:r>
          </w:p>
          <w:p w14:paraId="7A4C2EC9" w14:textId="77777777" w:rsidR="00E13D3F" w:rsidRDefault="00FB2D6A">
            <w:pPr>
              <w:pStyle w:val="TableParagraph"/>
              <w:spacing w:before="1"/>
              <w:ind w:left="468"/>
              <w:rPr>
                <w:sz w:val="20"/>
              </w:rPr>
            </w:pPr>
            <w:r>
              <w:rPr>
                <w:sz w:val="20"/>
              </w:rPr>
              <w:t>Percentage</w:t>
            </w:r>
            <w:r>
              <w:rPr>
                <w:spacing w:val="-6"/>
                <w:sz w:val="20"/>
              </w:rPr>
              <w:t xml:space="preserve"> </w:t>
            </w:r>
            <w:r>
              <w:rPr>
                <w:sz w:val="20"/>
              </w:rPr>
              <w:t>0.5%</w:t>
            </w:r>
            <w:r>
              <w:rPr>
                <w:spacing w:val="-6"/>
                <w:sz w:val="20"/>
              </w:rPr>
              <w:t xml:space="preserve"> </w:t>
            </w:r>
            <w:r>
              <w:rPr>
                <w:sz w:val="20"/>
              </w:rPr>
              <w:t>vs.</w:t>
            </w:r>
            <w:r>
              <w:rPr>
                <w:spacing w:val="-5"/>
                <w:sz w:val="20"/>
              </w:rPr>
              <w:t xml:space="preserve"> </w:t>
            </w:r>
            <w:r>
              <w:rPr>
                <w:sz w:val="20"/>
              </w:rPr>
              <w:t>0.6%</w:t>
            </w:r>
            <w:r>
              <w:rPr>
                <w:spacing w:val="-4"/>
                <w:sz w:val="20"/>
              </w:rPr>
              <w:t xml:space="preserve"> </w:t>
            </w:r>
            <w:r>
              <w:rPr>
                <w:sz w:val="20"/>
              </w:rPr>
              <w:t>(p-value=</w:t>
            </w:r>
            <w:r>
              <w:rPr>
                <w:spacing w:val="-5"/>
                <w:sz w:val="20"/>
              </w:rPr>
              <w:t xml:space="preserve"> </w:t>
            </w:r>
            <w:r>
              <w:rPr>
                <w:spacing w:val="-4"/>
                <w:sz w:val="20"/>
              </w:rPr>
              <w:t>0.8)</w:t>
            </w:r>
          </w:p>
        </w:tc>
      </w:tr>
      <w:tr w:rsidR="00E13D3F" w14:paraId="7A4C2ED0" w14:textId="77777777">
        <w:trPr>
          <w:trHeight w:val="1077"/>
        </w:trPr>
        <w:tc>
          <w:tcPr>
            <w:tcW w:w="1214" w:type="dxa"/>
            <w:shd w:val="clear" w:color="auto" w:fill="F1F1F1"/>
          </w:tcPr>
          <w:p w14:paraId="7A4C2ECB" w14:textId="77777777" w:rsidR="00E13D3F" w:rsidRDefault="00FB2D6A">
            <w:pPr>
              <w:pStyle w:val="TableParagraph"/>
              <w:spacing w:before="1"/>
              <w:ind w:left="107"/>
              <w:rPr>
                <w:b/>
                <w:sz w:val="20"/>
              </w:rPr>
            </w:pPr>
            <w:r>
              <w:rPr>
                <w:b/>
                <w:spacing w:val="-2"/>
                <w:sz w:val="20"/>
              </w:rPr>
              <w:t>Depression</w:t>
            </w:r>
          </w:p>
        </w:tc>
        <w:tc>
          <w:tcPr>
            <w:tcW w:w="3737" w:type="dxa"/>
            <w:shd w:val="clear" w:color="auto" w:fill="F1F1F1"/>
          </w:tcPr>
          <w:p w14:paraId="7A4C2ECC" w14:textId="77777777" w:rsidR="00E13D3F" w:rsidRDefault="00FB2D6A" w:rsidP="00990D2B">
            <w:pPr>
              <w:pStyle w:val="TableParagraph"/>
              <w:numPr>
                <w:ilvl w:val="0"/>
                <w:numId w:val="38"/>
              </w:numPr>
              <w:tabs>
                <w:tab w:val="left" w:pos="468"/>
              </w:tabs>
              <w:ind w:right="144"/>
              <w:rPr>
                <w:sz w:val="20"/>
              </w:rPr>
            </w:pPr>
            <w:r>
              <w:rPr>
                <w:b/>
                <w:sz w:val="20"/>
              </w:rPr>
              <w:t>Hospital Anxiety and Depression Scale</w:t>
            </w:r>
            <w:r>
              <w:rPr>
                <w:b/>
                <w:spacing w:val="-7"/>
                <w:sz w:val="20"/>
              </w:rPr>
              <w:t xml:space="preserve"> </w:t>
            </w:r>
            <w:r>
              <w:rPr>
                <w:sz w:val="20"/>
              </w:rPr>
              <w:t>Between</w:t>
            </w:r>
            <w:r>
              <w:rPr>
                <w:spacing w:val="-8"/>
                <w:sz w:val="20"/>
              </w:rPr>
              <w:t xml:space="preserve"> </w:t>
            </w:r>
            <w:r>
              <w:rPr>
                <w:sz w:val="20"/>
              </w:rPr>
              <w:t>group</w:t>
            </w:r>
            <w:r>
              <w:rPr>
                <w:spacing w:val="-8"/>
                <w:sz w:val="20"/>
              </w:rPr>
              <w:t xml:space="preserve"> </w:t>
            </w:r>
            <w:r>
              <w:rPr>
                <w:sz w:val="20"/>
              </w:rPr>
              <w:t>difference</w:t>
            </w:r>
            <w:r>
              <w:rPr>
                <w:spacing w:val="-10"/>
                <w:sz w:val="20"/>
              </w:rPr>
              <w:t xml:space="preserve"> </w:t>
            </w:r>
            <w:r>
              <w:rPr>
                <w:sz w:val="20"/>
              </w:rPr>
              <w:t>at</w:t>
            </w:r>
            <w:r>
              <w:rPr>
                <w:spacing w:val="-8"/>
                <w:sz w:val="20"/>
              </w:rPr>
              <w:t xml:space="preserve"> </w:t>
            </w:r>
            <w:r>
              <w:rPr>
                <w:sz w:val="20"/>
              </w:rPr>
              <w:t>12-15 months 0.22 (95%CI; -0.31 to</w:t>
            </w:r>
          </w:p>
          <w:p w14:paraId="7A4C2ECD" w14:textId="77777777" w:rsidR="00E13D3F" w:rsidRDefault="00FB2D6A">
            <w:pPr>
              <w:pStyle w:val="TableParagraph"/>
              <w:spacing w:before="2"/>
              <w:ind w:left="468"/>
              <w:rPr>
                <w:sz w:val="20"/>
              </w:rPr>
            </w:pPr>
            <w:r>
              <w:rPr>
                <w:spacing w:val="-2"/>
                <w:sz w:val="20"/>
              </w:rPr>
              <w:t>0.74)</w:t>
            </w:r>
            <w:r>
              <w:rPr>
                <w:spacing w:val="3"/>
                <w:sz w:val="20"/>
              </w:rPr>
              <w:t xml:space="preserve"> </w:t>
            </w:r>
            <w:r>
              <w:rPr>
                <w:spacing w:val="-2"/>
                <w:sz w:val="20"/>
              </w:rPr>
              <w:t>(p-value=0.44)</w:t>
            </w:r>
          </w:p>
        </w:tc>
        <w:tc>
          <w:tcPr>
            <w:tcW w:w="3960" w:type="dxa"/>
            <w:shd w:val="clear" w:color="auto" w:fill="F1F1F1"/>
          </w:tcPr>
          <w:p w14:paraId="7A4C2ECE" w14:textId="77777777" w:rsidR="00E13D3F" w:rsidRDefault="00FB2D6A" w:rsidP="00990D2B">
            <w:pPr>
              <w:pStyle w:val="TableParagraph"/>
              <w:numPr>
                <w:ilvl w:val="0"/>
                <w:numId w:val="37"/>
              </w:numPr>
              <w:tabs>
                <w:tab w:val="left" w:pos="468"/>
              </w:tabs>
              <w:rPr>
                <w:b/>
                <w:sz w:val="20"/>
              </w:rPr>
            </w:pPr>
            <w:r>
              <w:rPr>
                <w:b/>
                <w:sz w:val="20"/>
              </w:rPr>
              <w:t>Prescribed</w:t>
            </w:r>
            <w:r>
              <w:rPr>
                <w:b/>
                <w:spacing w:val="-8"/>
                <w:sz w:val="20"/>
              </w:rPr>
              <w:t xml:space="preserve"> </w:t>
            </w:r>
            <w:r>
              <w:rPr>
                <w:b/>
                <w:sz w:val="20"/>
              </w:rPr>
              <w:t>antidepressant</w:t>
            </w:r>
            <w:r>
              <w:rPr>
                <w:b/>
                <w:spacing w:val="-8"/>
                <w:sz w:val="20"/>
              </w:rPr>
              <w:t xml:space="preserve"> </w:t>
            </w:r>
            <w:r>
              <w:rPr>
                <w:b/>
                <w:sz w:val="20"/>
              </w:rPr>
              <w:t>at</w:t>
            </w:r>
            <w:r>
              <w:rPr>
                <w:b/>
                <w:spacing w:val="-9"/>
                <w:sz w:val="20"/>
              </w:rPr>
              <w:t xml:space="preserve"> </w:t>
            </w:r>
            <w:r>
              <w:rPr>
                <w:b/>
                <w:sz w:val="20"/>
              </w:rPr>
              <w:t>13</w:t>
            </w:r>
            <w:r>
              <w:rPr>
                <w:b/>
                <w:spacing w:val="-8"/>
                <w:sz w:val="20"/>
              </w:rPr>
              <w:t xml:space="preserve"> </w:t>
            </w:r>
            <w:r>
              <w:rPr>
                <w:b/>
                <w:spacing w:val="-4"/>
                <w:sz w:val="20"/>
              </w:rPr>
              <w:t>years</w:t>
            </w:r>
          </w:p>
          <w:p w14:paraId="7A4C2ECF" w14:textId="77777777" w:rsidR="00E13D3F" w:rsidRDefault="00FB2D6A">
            <w:pPr>
              <w:pStyle w:val="TableParagraph"/>
              <w:spacing w:before="1"/>
              <w:ind w:left="468"/>
              <w:rPr>
                <w:sz w:val="20"/>
              </w:rPr>
            </w:pPr>
            <w:r>
              <w:rPr>
                <w:sz w:val="20"/>
              </w:rPr>
              <w:t>Percentage</w:t>
            </w:r>
            <w:r>
              <w:rPr>
                <w:spacing w:val="-6"/>
                <w:sz w:val="20"/>
              </w:rPr>
              <w:t xml:space="preserve"> </w:t>
            </w:r>
            <w:r>
              <w:rPr>
                <w:sz w:val="20"/>
              </w:rPr>
              <w:t>6%</w:t>
            </w:r>
            <w:r>
              <w:rPr>
                <w:spacing w:val="-5"/>
                <w:sz w:val="20"/>
              </w:rPr>
              <w:t xml:space="preserve"> </w:t>
            </w:r>
            <w:r>
              <w:rPr>
                <w:sz w:val="20"/>
              </w:rPr>
              <w:t>vs.</w:t>
            </w:r>
            <w:r>
              <w:rPr>
                <w:spacing w:val="-5"/>
                <w:sz w:val="20"/>
              </w:rPr>
              <w:t xml:space="preserve"> </w:t>
            </w:r>
            <w:r>
              <w:rPr>
                <w:sz w:val="20"/>
              </w:rPr>
              <w:t>5%</w:t>
            </w:r>
            <w:r>
              <w:rPr>
                <w:spacing w:val="-4"/>
                <w:sz w:val="20"/>
              </w:rPr>
              <w:t xml:space="preserve"> </w:t>
            </w:r>
            <w:r>
              <w:rPr>
                <w:sz w:val="20"/>
              </w:rPr>
              <w:t>(p-value=</w:t>
            </w:r>
            <w:r>
              <w:rPr>
                <w:spacing w:val="-5"/>
                <w:sz w:val="20"/>
              </w:rPr>
              <w:t xml:space="preserve"> </w:t>
            </w:r>
            <w:r>
              <w:rPr>
                <w:spacing w:val="-4"/>
                <w:sz w:val="20"/>
              </w:rPr>
              <w:t>0.4)</w:t>
            </w:r>
          </w:p>
        </w:tc>
      </w:tr>
    </w:tbl>
    <w:p w14:paraId="7A4C2ED1" w14:textId="77777777" w:rsidR="00E13D3F" w:rsidRDefault="00FB2D6A">
      <w:pPr>
        <w:spacing w:before="41"/>
        <w:ind w:left="1440"/>
        <w:rPr>
          <w:sz w:val="18"/>
        </w:rPr>
      </w:pPr>
      <w:r>
        <w:rPr>
          <w:sz w:val="18"/>
        </w:rPr>
        <w:t>Scale</w:t>
      </w:r>
      <w:r>
        <w:rPr>
          <w:spacing w:val="-4"/>
          <w:sz w:val="18"/>
        </w:rPr>
        <w:t xml:space="preserve"> </w:t>
      </w:r>
      <w:r>
        <w:rPr>
          <w:sz w:val="18"/>
        </w:rPr>
        <w:t>ranges</w:t>
      </w:r>
      <w:r>
        <w:rPr>
          <w:spacing w:val="-2"/>
          <w:sz w:val="18"/>
        </w:rPr>
        <w:t xml:space="preserve"> </w:t>
      </w:r>
      <w:r>
        <w:rPr>
          <w:sz w:val="18"/>
        </w:rPr>
        <w:t>from</w:t>
      </w:r>
      <w:r>
        <w:rPr>
          <w:spacing w:val="-1"/>
          <w:sz w:val="18"/>
        </w:rPr>
        <w:t xml:space="preserve"> </w:t>
      </w:r>
      <w:r>
        <w:rPr>
          <w:sz w:val="18"/>
        </w:rPr>
        <w:t>0</w:t>
      </w:r>
      <w:r>
        <w:rPr>
          <w:spacing w:val="-2"/>
          <w:sz w:val="18"/>
        </w:rPr>
        <w:t xml:space="preserve"> </w:t>
      </w:r>
      <w:r>
        <w:rPr>
          <w:sz w:val="18"/>
        </w:rPr>
        <w:t>to 100</w:t>
      </w:r>
      <w:r>
        <w:rPr>
          <w:spacing w:val="-2"/>
          <w:sz w:val="18"/>
        </w:rPr>
        <w:t xml:space="preserve"> </w:t>
      </w:r>
      <w:r>
        <w:rPr>
          <w:sz w:val="18"/>
        </w:rPr>
        <w:t>for</w:t>
      </w:r>
      <w:r>
        <w:rPr>
          <w:spacing w:val="-1"/>
          <w:sz w:val="18"/>
        </w:rPr>
        <w:t xml:space="preserve"> </w:t>
      </w:r>
      <w:r>
        <w:rPr>
          <w:sz w:val="18"/>
        </w:rPr>
        <w:t>each score.</w:t>
      </w:r>
      <w:r>
        <w:rPr>
          <w:spacing w:val="-3"/>
          <w:sz w:val="18"/>
        </w:rPr>
        <w:t xml:space="preserve"> </w:t>
      </w:r>
      <w:r>
        <w:rPr>
          <w:sz w:val="18"/>
        </w:rPr>
        <w:t>*Scale</w:t>
      </w:r>
      <w:r>
        <w:rPr>
          <w:spacing w:val="-3"/>
          <w:sz w:val="18"/>
        </w:rPr>
        <w:t xml:space="preserve"> </w:t>
      </w:r>
      <w:r>
        <w:rPr>
          <w:sz w:val="18"/>
        </w:rPr>
        <w:t>ranges</w:t>
      </w:r>
      <w:r>
        <w:rPr>
          <w:spacing w:val="-2"/>
          <w:sz w:val="18"/>
        </w:rPr>
        <w:t xml:space="preserve"> </w:t>
      </w:r>
      <w:r>
        <w:rPr>
          <w:sz w:val="18"/>
        </w:rPr>
        <w:t>from</w:t>
      </w:r>
      <w:r>
        <w:rPr>
          <w:spacing w:val="-2"/>
          <w:sz w:val="18"/>
        </w:rPr>
        <w:t xml:space="preserve"> </w:t>
      </w:r>
      <w:r>
        <w:rPr>
          <w:sz w:val="18"/>
        </w:rPr>
        <w:t>20</w:t>
      </w:r>
      <w:r>
        <w:rPr>
          <w:spacing w:val="-1"/>
          <w:sz w:val="18"/>
        </w:rPr>
        <w:t xml:space="preserve"> </w:t>
      </w:r>
      <w:r>
        <w:rPr>
          <w:sz w:val="18"/>
        </w:rPr>
        <w:t>to</w:t>
      </w:r>
      <w:r>
        <w:rPr>
          <w:spacing w:val="-1"/>
          <w:sz w:val="18"/>
        </w:rPr>
        <w:t xml:space="preserve"> </w:t>
      </w:r>
      <w:r>
        <w:rPr>
          <w:spacing w:val="-5"/>
          <w:sz w:val="18"/>
        </w:rPr>
        <w:t>80</w:t>
      </w:r>
    </w:p>
    <w:p w14:paraId="7A4C2ED2" w14:textId="77777777" w:rsidR="00E13D3F" w:rsidRDefault="00E13D3F">
      <w:pPr>
        <w:pStyle w:val="BodyText"/>
        <w:spacing w:before="60"/>
        <w:ind w:left="0"/>
        <w:rPr>
          <w:sz w:val="18"/>
        </w:rPr>
      </w:pPr>
    </w:p>
    <w:p w14:paraId="7A4C2ED3" w14:textId="77777777" w:rsidR="00E13D3F" w:rsidRDefault="00FB2D6A">
      <w:pPr>
        <w:pStyle w:val="BodyText"/>
        <w:spacing w:line="276" w:lineRule="auto"/>
        <w:ind w:right="1450"/>
      </w:pPr>
      <w:r>
        <w:rPr>
          <w:b/>
        </w:rPr>
        <w:t>Linked evidence</w:t>
      </w:r>
      <w:r>
        <w:t>: The United Kingdom Prospective Diabetes Study evaluated the long-term impact</w:t>
      </w:r>
      <w:r>
        <w:rPr>
          <w:spacing w:val="-5"/>
        </w:rPr>
        <w:t xml:space="preserve"> </w:t>
      </w:r>
      <w:r>
        <w:t>of</w:t>
      </w:r>
      <w:r>
        <w:rPr>
          <w:spacing w:val="-2"/>
        </w:rPr>
        <w:t xml:space="preserve"> </w:t>
      </w:r>
      <w:r>
        <w:t>intensive</w:t>
      </w:r>
      <w:r>
        <w:rPr>
          <w:spacing w:val="-6"/>
        </w:rPr>
        <w:t xml:space="preserve"> </w:t>
      </w:r>
      <w:r>
        <w:t>glucose</w:t>
      </w:r>
      <w:r>
        <w:rPr>
          <w:spacing w:val="-3"/>
        </w:rPr>
        <w:t xml:space="preserve"> </w:t>
      </w:r>
      <w:r>
        <w:t>control</w:t>
      </w:r>
      <w:r>
        <w:rPr>
          <w:spacing w:val="-6"/>
        </w:rPr>
        <w:t xml:space="preserve"> </w:t>
      </w:r>
      <w:r>
        <w:t>with</w:t>
      </w:r>
      <w:r>
        <w:rPr>
          <w:spacing w:val="-3"/>
        </w:rPr>
        <w:t xml:space="preserve"> </w:t>
      </w:r>
      <w:r>
        <w:t>sulfonylureas</w:t>
      </w:r>
      <w:r>
        <w:rPr>
          <w:spacing w:val="-4"/>
        </w:rPr>
        <w:t xml:space="preserve"> </w:t>
      </w:r>
      <w:r>
        <w:t>or</w:t>
      </w:r>
      <w:r>
        <w:rPr>
          <w:spacing w:val="-5"/>
        </w:rPr>
        <w:t xml:space="preserve"> </w:t>
      </w:r>
      <w:r>
        <w:t>insulin among</w:t>
      </w:r>
      <w:r>
        <w:rPr>
          <w:spacing w:val="-6"/>
        </w:rPr>
        <w:t xml:space="preserve"> </w:t>
      </w:r>
      <w:r>
        <w:t>participants</w:t>
      </w:r>
      <w:r>
        <w:rPr>
          <w:spacing w:val="-1"/>
        </w:rPr>
        <w:t xml:space="preserve"> </w:t>
      </w:r>
      <w:r>
        <w:t>recently diagnosed with diabetes. They found a statistically significant reduction on all-cause mortality (relative risk [RR], 0.87 [95% CI 0.79 to 0.96]), diabetes-related mortality (RR, 0.83</w:t>
      </w:r>
    </w:p>
    <w:p w14:paraId="7A4C2ED4" w14:textId="77777777" w:rsidR="00E13D3F" w:rsidRDefault="00FB2D6A">
      <w:pPr>
        <w:pStyle w:val="BodyText"/>
        <w:spacing w:line="292" w:lineRule="exact"/>
      </w:pPr>
      <w:r>
        <w:t>[95%</w:t>
      </w:r>
      <w:r>
        <w:rPr>
          <w:spacing w:val="-2"/>
        </w:rPr>
        <w:t xml:space="preserve"> </w:t>
      </w:r>
      <w:r>
        <w:t>CI,</w:t>
      </w:r>
      <w:r>
        <w:rPr>
          <w:spacing w:val="-1"/>
        </w:rPr>
        <w:t xml:space="preserve"> </w:t>
      </w:r>
      <w:r>
        <w:t>0.73</w:t>
      </w:r>
      <w:r>
        <w:rPr>
          <w:spacing w:val="-3"/>
        </w:rPr>
        <w:t xml:space="preserve"> </w:t>
      </w:r>
      <w:r>
        <w:t>to 0.96]),</w:t>
      </w:r>
      <w:r>
        <w:rPr>
          <w:spacing w:val="-2"/>
        </w:rPr>
        <w:t xml:space="preserve"> </w:t>
      </w:r>
      <w:r>
        <w:t>and myocardial</w:t>
      </w:r>
      <w:r>
        <w:rPr>
          <w:spacing w:val="-1"/>
        </w:rPr>
        <w:t xml:space="preserve"> </w:t>
      </w:r>
      <w:r>
        <w:t>infarction</w:t>
      </w:r>
      <w:r>
        <w:rPr>
          <w:spacing w:val="-2"/>
        </w:rPr>
        <w:t xml:space="preserve"> </w:t>
      </w:r>
      <w:r>
        <w:t>(RR,</w:t>
      </w:r>
      <w:r>
        <w:rPr>
          <w:spacing w:val="-2"/>
        </w:rPr>
        <w:t xml:space="preserve"> </w:t>
      </w:r>
      <w:r>
        <w:t>0.85 [95% CI</w:t>
      </w:r>
      <w:r>
        <w:rPr>
          <w:spacing w:val="-3"/>
        </w:rPr>
        <w:t xml:space="preserve"> </w:t>
      </w:r>
      <w:r>
        <w:t>0.74</w:t>
      </w:r>
      <w:r>
        <w:rPr>
          <w:spacing w:val="-3"/>
        </w:rPr>
        <w:t xml:space="preserve"> </w:t>
      </w:r>
      <w:r>
        <w:t>to</w:t>
      </w:r>
      <w:r>
        <w:rPr>
          <w:spacing w:val="-5"/>
        </w:rPr>
        <w:t xml:space="preserve"> </w:t>
      </w:r>
      <w:r>
        <w:t>0.97])</w:t>
      </w:r>
      <w:r>
        <w:rPr>
          <w:spacing w:val="5"/>
        </w:rPr>
        <w:t xml:space="preserve"> </w:t>
      </w:r>
      <w:r>
        <w:t xml:space="preserve">at 20 </w:t>
      </w:r>
      <w:r>
        <w:rPr>
          <w:spacing w:val="-2"/>
        </w:rPr>
        <w:t>years</w:t>
      </w:r>
    </w:p>
    <w:p w14:paraId="7A4C2ED5" w14:textId="77777777" w:rsidR="00E13D3F" w:rsidRDefault="00FB2D6A">
      <w:pPr>
        <w:pStyle w:val="BodyText"/>
        <w:spacing w:before="43" w:line="276" w:lineRule="auto"/>
        <w:ind w:right="1450"/>
      </w:pPr>
      <w:r>
        <w:t>(5). For screen-detected diabetes, a single cluster RCT, which compared the effect of controlling diabetes among 3,057 screen-detected adults, found no differences in all-cause mortality,</w:t>
      </w:r>
      <w:r>
        <w:rPr>
          <w:spacing w:val="-4"/>
        </w:rPr>
        <w:t xml:space="preserve"> </w:t>
      </w:r>
      <w:r>
        <w:t>cardiovascular-related</w:t>
      </w:r>
      <w:r>
        <w:rPr>
          <w:spacing w:val="-5"/>
        </w:rPr>
        <w:t xml:space="preserve"> </w:t>
      </w:r>
      <w:r>
        <w:t>mortality,</w:t>
      </w:r>
      <w:r>
        <w:rPr>
          <w:spacing w:val="-4"/>
        </w:rPr>
        <w:t xml:space="preserve"> </w:t>
      </w:r>
      <w:r>
        <w:t>cardiovascular</w:t>
      </w:r>
      <w:r>
        <w:rPr>
          <w:spacing w:val="-3"/>
        </w:rPr>
        <w:t xml:space="preserve"> </w:t>
      </w:r>
      <w:r>
        <w:t>events,</w:t>
      </w:r>
      <w:r>
        <w:rPr>
          <w:spacing w:val="-6"/>
        </w:rPr>
        <w:t xml:space="preserve"> </w:t>
      </w:r>
      <w:r>
        <w:t>or</w:t>
      </w:r>
      <w:r>
        <w:rPr>
          <w:spacing w:val="-3"/>
        </w:rPr>
        <w:t xml:space="preserve"> </w:t>
      </w:r>
      <w:r>
        <w:t>other</w:t>
      </w:r>
      <w:r>
        <w:rPr>
          <w:spacing w:val="-6"/>
        </w:rPr>
        <w:t xml:space="preserve"> </w:t>
      </w:r>
      <w:r>
        <w:t>health</w:t>
      </w:r>
      <w:r>
        <w:rPr>
          <w:spacing w:val="-5"/>
        </w:rPr>
        <w:t xml:space="preserve"> </w:t>
      </w:r>
      <w:r>
        <w:t>outcomes at 5 and 10 years (6).</w:t>
      </w:r>
    </w:p>
    <w:p w14:paraId="7A4C2ED6" w14:textId="77777777" w:rsidR="00E13D3F" w:rsidRDefault="00E13D3F">
      <w:pPr>
        <w:pStyle w:val="BodyText"/>
        <w:spacing w:line="276" w:lineRule="auto"/>
        <w:sectPr w:rsidR="00E13D3F">
          <w:pgSz w:w="11910" w:h="16840"/>
          <w:pgMar w:top="1380" w:right="0" w:bottom="1200" w:left="0" w:header="0" w:footer="1000" w:gutter="0"/>
          <w:cols w:space="720"/>
        </w:sectPr>
      </w:pPr>
    </w:p>
    <w:p w14:paraId="7A4C2ED7" w14:textId="77777777" w:rsidR="00E13D3F" w:rsidRDefault="00FB2D6A">
      <w:pPr>
        <w:pStyle w:val="Heading2"/>
        <w:spacing w:before="21"/>
      </w:pPr>
      <w:r>
        <w:rPr>
          <w:color w:val="2E5395"/>
        </w:rPr>
        <w:lastRenderedPageBreak/>
        <w:t>Starting</w:t>
      </w:r>
      <w:r>
        <w:rPr>
          <w:color w:val="2E5395"/>
          <w:spacing w:val="-8"/>
        </w:rPr>
        <w:t xml:space="preserve"> </w:t>
      </w:r>
      <w:r>
        <w:rPr>
          <w:color w:val="2E5395"/>
        </w:rPr>
        <w:t>and</w:t>
      </w:r>
      <w:r>
        <w:rPr>
          <w:color w:val="2E5395"/>
          <w:spacing w:val="-8"/>
        </w:rPr>
        <w:t xml:space="preserve"> </w:t>
      </w:r>
      <w:r>
        <w:rPr>
          <w:color w:val="2E5395"/>
        </w:rPr>
        <w:t>Stopping</w:t>
      </w:r>
      <w:r>
        <w:rPr>
          <w:color w:val="2E5395"/>
          <w:spacing w:val="-7"/>
        </w:rPr>
        <w:t xml:space="preserve"> </w:t>
      </w:r>
      <w:r>
        <w:rPr>
          <w:color w:val="2E5395"/>
          <w:spacing w:val="-4"/>
        </w:rPr>
        <w:t>Ages</w:t>
      </w:r>
    </w:p>
    <w:p w14:paraId="7A4C2ED8" w14:textId="77777777" w:rsidR="00E13D3F" w:rsidRDefault="00FB2D6A">
      <w:pPr>
        <w:pStyle w:val="BodyText"/>
        <w:spacing w:before="26" w:line="276" w:lineRule="auto"/>
        <w:ind w:right="1672"/>
      </w:pPr>
      <w:r>
        <w:t>The</w:t>
      </w:r>
      <w:r>
        <w:rPr>
          <w:spacing w:val="-1"/>
        </w:rPr>
        <w:t xml:space="preserve"> </w:t>
      </w:r>
      <w:r>
        <w:t>risk</w:t>
      </w:r>
      <w:r>
        <w:rPr>
          <w:spacing w:val="-3"/>
        </w:rPr>
        <w:t xml:space="preserve"> </w:t>
      </w:r>
      <w:r>
        <w:t>of</w:t>
      </w:r>
      <w:r>
        <w:rPr>
          <w:spacing w:val="-2"/>
        </w:rPr>
        <w:t xml:space="preserve"> </w:t>
      </w:r>
      <w:r>
        <w:t>diabetes</w:t>
      </w:r>
      <w:r>
        <w:rPr>
          <w:spacing w:val="-3"/>
        </w:rPr>
        <w:t xml:space="preserve"> </w:t>
      </w:r>
      <w:r>
        <w:t>increases</w:t>
      </w:r>
      <w:r>
        <w:rPr>
          <w:spacing w:val="-2"/>
        </w:rPr>
        <w:t xml:space="preserve"> </w:t>
      </w:r>
      <w:r>
        <w:t>with</w:t>
      </w:r>
      <w:r>
        <w:rPr>
          <w:spacing w:val="-3"/>
        </w:rPr>
        <w:t xml:space="preserve"> </w:t>
      </w:r>
      <w:r>
        <w:t>age</w:t>
      </w:r>
      <w:r>
        <w:rPr>
          <w:spacing w:val="-1"/>
        </w:rPr>
        <w:t xml:space="preserve"> </w:t>
      </w:r>
      <w:r>
        <w:t>(Figure 4.1)</w:t>
      </w:r>
      <w:r>
        <w:rPr>
          <w:spacing w:val="-3"/>
        </w:rPr>
        <w:t xml:space="preserve"> </w:t>
      </w:r>
      <w:r>
        <w:t>but</w:t>
      </w:r>
      <w:r>
        <w:rPr>
          <w:spacing w:val="-3"/>
        </w:rPr>
        <w:t xml:space="preserve"> </w:t>
      </w:r>
      <w:r>
        <w:t>is</w:t>
      </w:r>
      <w:r>
        <w:rPr>
          <w:spacing w:val="-2"/>
        </w:rPr>
        <w:t xml:space="preserve"> </w:t>
      </w:r>
      <w:r>
        <w:t>low</w:t>
      </w:r>
      <w:r>
        <w:rPr>
          <w:spacing w:val="-1"/>
        </w:rPr>
        <w:t xml:space="preserve"> </w:t>
      </w:r>
      <w:r>
        <w:t>among</w:t>
      </w:r>
      <w:r>
        <w:rPr>
          <w:spacing w:val="-4"/>
        </w:rPr>
        <w:t xml:space="preserve"> </w:t>
      </w:r>
      <w:r>
        <w:t>people</w:t>
      </w:r>
      <w:r>
        <w:rPr>
          <w:spacing w:val="-1"/>
        </w:rPr>
        <w:t xml:space="preserve"> </w:t>
      </w:r>
      <w:r>
        <w:t>younger</w:t>
      </w:r>
      <w:r>
        <w:rPr>
          <w:spacing w:val="-3"/>
        </w:rPr>
        <w:t xml:space="preserve"> </w:t>
      </w:r>
      <w:r>
        <w:t>than 40</w:t>
      </w:r>
      <w:r>
        <w:rPr>
          <w:spacing w:val="-1"/>
        </w:rPr>
        <w:t xml:space="preserve"> </w:t>
      </w:r>
      <w:r>
        <w:t>(7).</w:t>
      </w:r>
      <w:r>
        <w:rPr>
          <w:spacing w:val="-3"/>
        </w:rPr>
        <w:t xml:space="preserve"> </w:t>
      </w:r>
      <w:r>
        <w:t>Both</w:t>
      </w:r>
      <w:r>
        <w:rPr>
          <w:spacing w:val="-1"/>
        </w:rPr>
        <w:t xml:space="preserve"> </w:t>
      </w:r>
      <w:r>
        <w:t>RCTs</w:t>
      </w:r>
      <w:r>
        <w:rPr>
          <w:spacing w:val="-1"/>
        </w:rPr>
        <w:t xml:space="preserve"> </w:t>
      </w:r>
      <w:r>
        <w:t>from</w:t>
      </w:r>
      <w:r>
        <w:rPr>
          <w:spacing w:val="-3"/>
        </w:rPr>
        <w:t xml:space="preserve"> </w:t>
      </w:r>
      <w:r>
        <w:t>the</w:t>
      </w:r>
      <w:r>
        <w:rPr>
          <w:spacing w:val="-1"/>
        </w:rPr>
        <w:t xml:space="preserve"> </w:t>
      </w:r>
      <w:r>
        <w:t>evidence</w:t>
      </w:r>
      <w:r>
        <w:rPr>
          <w:spacing w:val="-4"/>
        </w:rPr>
        <w:t xml:space="preserve"> </w:t>
      </w:r>
      <w:r>
        <w:t>reviews</w:t>
      </w:r>
      <w:r>
        <w:rPr>
          <w:spacing w:val="-2"/>
        </w:rPr>
        <w:t xml:space="preserve"> </w:t>
      </w:r>
      <w:r>
        <w:t>above</w:t>
      </w:r>
      <w:r>
        <w:rPr>
          <w:spacing w:val="-2"/>
        </w:rPr>
        <w:t xml:space="preserve"> </w:t>
      </w:r>
      <w:r>
        <w:t>included</w:t>
      </w:r>
      <w:r>
        <w:rPr>
          <w:spacing w:val="-3"/>
        </w:rPr>
        <w:t xml:space="preserve"> </w:t>
      </w:r>
      <w:r>
        <w:t>participants</w:t>
      </w:r>
      <w:r>
        <w:rPr>
          <w:spacing w:val="-7"/>
        </w:rPr>
        <w:t xml:space="preserve"> </w:t>
      </w:r>
      <w:r>
        <w:t>aged 40</w:t>
      </w:r>
      <w:r>
        <w:rPr>
          <w:spacing w:val="-1"/>
        </w:rPr>
        <w:t xml:space="preserve"> </w:t>
      </w:r>
      <w:r>
        <w:t>years</w:t>
      </w:r>
      <w:r>
        <w:rPr>
          <w:spacing w:val="-4"/>
        </w:rPr>
        <w:t xml:space="preserve"> </w:t>
      </w:r>
      <w:r>
        <w:t>or older.</w:t>
      </w:r>
      <w:r>
        <w:rPr>
          <w:spacing w:val="-5"/>
        </w:rPr>
        <w:t xml:space="preserve"> </w:t>
      </w:r>
      <w:r>
        <w:t>The</w:t>
      </w:r>
      <w:r>
        <w:rPr>
          <w:spacing w:val="-2"/>
        </w:rPr>
        <w:t xml:space="preserve"> </w:t>
      </w:r>
      <w:r>
        <w:t>Red</w:t>
      </w:r>
      <w:r>
        <w:rPr>
          <w:spacing w:val="-3"/>
        </w:rPr>
        <w:t xml:space="preserve"> </w:t>
      </w:r>
      <w:r>
        <w:t>book</w:t>
      </w:r>
      <w:r>
        <w:rPr>
          <w:spacing w:val="-2"/>
        </w:rPr>
        <w:t xml:space="preserve"> </w:t>
      </w:r>
      <w:r>
        <w:t>recommends</w:t>
      </w:r>
      <w:r>
        <w:rPr>
          <w:spacing w:val="-4"/>
        </w:rPr>
        <w:t xml:space="preserve"> </w:t>
      </w:r>
      <w:r>
        <w:t>starting</w:t>
      </w:r>
      <w:r>
        <w:rPr>
          <w:spacing w:val="-3"/>
        </w:rPr>
        <w:t xml:space="preserve"> </w:t>
      </w:r>
      <w:r>
        <w:t>general</w:t>
      </w:r>
      <w:r>
        <w:rPr>
          <w:spacing w:val="-2"/>
        </w:rPr>
        <w:t xml:space="preserve"> </w:t>
      </w:r>
      <w:r>
        <w:t>diabetes</w:t>
      </w:r>
      <w:r>
        <w:rPr>
          <w:spacing w:val="-4"/>
        </w:rPr>
        <w:t xml:space="preserve"> </w:t>
      </w:r>
      <w:r>
        <w:t>assessment</w:t>
      </w:r>
      <w:r>
        <w:rPr>
          <w:spacing w:val="-1"/>
        </w:rPr>
        <w:t xml:space="preserve"> </w:t>
      </w:r>
      <w:r>
        <w:t>at 40</w:t>
      </w:r>
      <w:r>
        <w:rPr>
          <w:spacing w:val="-1"/>
        </w:rPr>
        <w:t xml:space="preserve"> </w:t>
      </w:r>
      <w:r>
        <w:t>years</w:t>
      </w:r>
      <w:r>
        <w:rPr>
          <w:spacing w:val="-4"/>
        </w:rPr>
        <w:t xml:space="preserve"> </w:t>
      </w:r>
      <w:r>
        <w:t>of</w:t>
      </w:r>
      <w:r>
        <w:rPr>
          <w:spacing w:val="-3"/>
        </w:rPr>
        <w:t xml:space="preserve"> </w:t>
      </w:r>
      <w:r>
        <w:t>age and calculating risk of diabetes using Australian Type 2 Diabetes Risk assessment (AUSDRISK) tool starting from 45 years of age.</w:t>
      </w:r>
    </w:p>
    <w:p w14:paraId="7A4C2ED9" w14:textId="77777777" w:rsidR="00E13D3F" w:rsidRDefault="00FB2D6A">
      <w:pPr>
        <w:pStyle w:val="BodyText"/>
        <w:spacing w:before="68"/>
        <w:ind w:left="0"/>
        <w:rPr>
          <w:sz w:val="20"/>
        </w:rPr>
      </w:pPr>
      <w:r>
        <w:rPr>
          <w:noProof/>
          <w:sz w:val="20"/>
        </w:rPr>
        <w:drawing>
          <wp:anchor distT="0" distB="0" distL="0" distR="0" simplePos="0" relativeHeight="251658242" behindDoc="1" locked="0" layoutInCell="1" allowOverlap="1" wp14:anchorId="7A4C3C40" wp14:editId="7A4C3C41">
            <wp:simplePos x="0" y="0"/>
            <wp:positionH relativeFrom="page">
              <wp:posOffset>1179830</wp:posOffset>
            </wp:positionH>
            <wp:positionV relativeFrom="paragraph">
              <wp:posOffset>213770</wp:posOffset>
            </wp:positionV>
            <wp:extent cx="5200353" cy="3481387"/>
            <wp:effectExtent l="0" t="0" r="0" b="0"/>
            <wp:wrapTopAndBottom/>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27" cstate="print"/>
                    <a:stretch>
                      <a:fillRect/>
                    </a:stretch>
                  </pic:blipFill>
                  <pic:spPr>
                    <a:xfrm>
                      <a:off x="0" y="0"/>
                      <a:ext cx="5200353" cy="3481387"/>
                    </a:xfrm>
                    <a:prstGeom prst="rect">
                      <a:avLst/>
                    </a:prstGeom>
                  </pic:spPr>
                </pic:pic>
              </a:graphicData>
            </a:graphic>
          </wp:anchor>
        </w:drawing>
      </w:r>
    </w:p>
    <w:p w14:paraId="7A4C2EDA" w14:textId="77777777" w:rsidR="00E13D3F" w:rsidRDefault="00FB2D6A">
      <w:pPr>
        <w:spacing w:before="21"/>
        <w:ind w:left="1474" w:right="1471"/>
        <w:jc w:val="center"/>
      </w:pPr>
      <w:r>
        <w:rPr>
          <w:b/>
        </w:rPr>
        <w:t>Figure</w:t>
      </w:r>
      <w:r>
        <w:rPr>
          <w:b/>
          <w:spacing w:val="-6"/>
        </w:rPr>
        <w:t xml:space="preserve"> </w:t>
      </w:r>
      <w:r>
        <w:rPr>
          <w:b/>
        </w:rPr>
        <w:t>4.1</w:t>
      </w:r>
      <w:r>
        <w:t>.</w:t>
      </w:r>
      <w:r>
        <w:rPr>
          <w:spacing w:val="-6"/>
        </w:rPr>
        <w:t xml:space="preserve"> </w:t>
      </w:r>
      <w:r>
        <w:t>Prevalence</w:t>
      </w:r>
      <w:r>
        <w:rPr>
          <w:spacing w:val="-3"/>
        </w:rPr>
        <w:t xml:space="preserve"> </w:t>
      </w:r>
      <w:r>
        <w:t>of</w:t>
      </w:r>
      <w:r>
        <w:rPr>
          <w:spacing w:val="-3"/>
        </w:rPr>
        <w:t xml:space="preserve"> </w:t>
      </w:r>
      <w:r>
        <w:t>diabetes</w:t>
      </w:r>
      <w:r>
        <w:rPr>
          <w:spacing w:val="-2"/>
        </w:rPr>
        <w:t xml:space="preserve"> </w:t>
      </w:r>
      <w:r>
        <w:t>in</w:t>
      </w:r>
      <w:r>
        <w:rPr>
          <w:spacing w:val="-4"/>
        </w:rPr>
        <w:t xml:space="preserve"> </w:t>
      </w:r>
      <w:r>
        <w:t>Australia</w:t>
      </w:r>
      <w:r>
        <w:rPr>
          <w:spacing w:val="-3"/>
        </w:rPr>
        <w:t xml:space="preserve"> </w:t>
      </w:r>
      <w:r>
        <w:t>by</w:t>
      </w:r>
      <w:r>
        <w:rPr>
          <w:spacing w:val="-5"/>
        </w:rPr>
        <w:t xml:space="preserve"> </w:t>
      </w:r>
      <w:r>
        <w:t>age</w:t>
      </w:r>
      <w:r>
        <w:rPr>
          <w:spacing w:val="-3"/>
        </w:rPr>
        <w:t xml:space="preserve"> </w:t>
      </w:r>
      <w:r>
        <w:t>and</w:t>
      </w:r>
      <w:r>
        <w:rPr>
          <w:spacing w:val="-2"/>
        </w:rPr>
        <w:t xml:space="preserve"> </w:t>
      </w:r>
      <w:r>
        <w:t>sex,</w:t>
      </w:r>
      <w:r>
        <w:rPr>
          <w:spacing w:val="-4"/>
        </w:rPr>
        <w:t xml:space="preserve"> 2020</w:t>
      </w:r>
    </w:p>
    <w:p w14:paraId="7A4C2EDB" w14:textId="77777777" w:rsidR="00E13D3F" w:rsidRDefault="00FB2D6A">
      <w:pPr>
        <w:pStyle w:val="Heading2"/>
        <w:spacing w:before="183"/>
      </w:pPr>
      <w:r>
        <w:rPr>
          <w:color w:val="2E5395"/>
        </w:rPr>
        <w:t>Interval</w:t>
      </w:r>
      <w:r>
        <w:rPr>
          <w:color w:val="2E5395"/>
          <w:spacing w:val="-6"/>
        </w:rPr>
        <w:t xml:space="preserve"> </w:t>
      </w:r>
      <w:r>
        <w:rPr>
          <w:color w:val="2E5395"/>
        </w:rPr>
        <w:t>for</w:t>
      </w:r>
      <w:r>
        <w:rPr>
          <w:color w:val="2E5395"/>
          <w:spacing w:val="-8"/>
        </w:rPr>
        <w:t xml:space="preserve"> </w:t>
      </w:r>
      <w:r>
        <w:rPr>
          <w:color w:val="2E5395"/>
          <w:spacing w:val="-2"/>
        </w:rPr>
        <w:t>Assessment</w:t>
      </w:r>
    </w:p>
    <w:p w14:paraId="7A4C2EDC" w14:textId="77777777" w:rsidR="00E13D3F" w:rsidRDefault="00FB2D6A">
      <w:pPr>
        <w:pStyle w:val="BodyText"/>
        <w:spacing w:before="23" w:line="276" w:lineRule="auto"/>
        <w:ind w:right="1137"/>
      </w:pPr>
      <w:r>
        <w:t>The</w:t>
      </w:r>
      <w:r>
        <w:rPr>
          <w:spacing w:val="-2"/>
        </w:rPr>
        <w:t xml:space="preserve"> </w:t>
      </w:r>
      <w:r>
        <w:t>current</w:t>
      </w:r>
      <w:r>
        <w:rPr>
          <w:spacing w:val="-2"/>
        </w:rPr>
        <w:t xml:space="preserve"> </w:t>
      </w:r>
      <w:r>
        <w:t>RACGP</w:t>
      </w:r>
      <w:r>
        <w:rPr>
          <w:spacing w:val="-5"/>
        </w:rPr>
        <w:t xml:space="preserve"> </w:t>
      </w:r>
      <w:r>
        <w:t>guidelines</w:t>
      </w:r>
      <w:r>
        <w:rPr>
          <w:spacing w:val="-3"/>
        </w:rPr>
        <w:t xml:space="preserve"> </w:t>
      </w:r>
      <w:r>
        <w:t>suggest</w:t>
      </w:r>
      <w:r>
        <w:rPr>
          <w:spacing w:val="-4"/>
        </w:rPr>
        <w:t xml:space="preserve"> </w:t>
      </w:r>
      <w:r>
        <w:t>re-measurement</w:t>
      </w:r>
      <w:r>
        <w:rPr>
          <w:spacing w:val="-2"/>
        </w:rPr>
        <w:t xml:space="preserve"> </w:t>
      </w:r>
      <w:r>
        <w:t>of</w:t>
      </w:r>
      <w:r>
        <w:rPr>
          <w:spacing w:val="-4"/>
        </w:rPr>
        <w:t xml:space="preserve"> </w:t>
      </w:r>
      <w:r>
        <w:t>blood glucose</w:t>
      </w:r>
      <w:r>
        <w:rPr>
          <w:spacing w:val="-6"/>
        </w:rPr>
        <w:t xml:space="preserve"> </w:t>
      </w:r>
      <w:r>
        <w:t>every</w:t>
      </w:r>
      <w:r>
        <w:rPr>
          <w:spacing w:val="-3"/>
        </w:rPr>
        <w:t xml:space="preserve"> </w:t>
      </w:r>
      <w:r>
        <w:t>3</w:t>
      </w:r>
      <w:r>
        <w:rPr>
          <w:spacing w:val="-2"/>
        </w:rPr>
        <w:t xml:space="preserve"> </w:t>
      </w:r>
      <w:r>
        <w:t>years.</w:t>
      </w:r>
      <w:r>
        <w:rPr>
          <w:spacing w:val="-6"/>
        </w:rPr>
        <w:t xml:space="preserve"> </w:t>
      </w:r>
      <w:r>
        <w:t xml:space="preserve">Few studies have directly addressed the question of appropriate interval. Examination of the changes in glycated </w:t>
      </w:r>
      <w:proofErr w:type="spellStart"/>
      <w:r>
        <w:t>haemoglobin</w:t>
      </w:r>
      <w:proofErr w:type="spellEnd"/>
      <w:r>
        <w:t xml:space="preserve"> (HbA1c) over 5 years in a retrospective cohort of 5,084 participants suggested that the optimal interval differs according to the baseline risk of developing diabetes (i.e., include baseline HbA1c, family history, smoking, BMI, age) (8):</w:t>
      </w:r>
    </w:p>
    <w:p w14:paraId="7A4C2EDD" w14:textId="77777777" w:rsidR="00E13D3F" w:rsidRDefault="00FB2D6A" w:rsidP="00990D2B">
      <w:pPr>
        <w:pStyle w:val="ListParagraph"/>
        <w:numPr>
          <w:ilvl w:val="0"/>
          <w:numId w:val="36"/>
        </w:numPr>
        <w:tabs>
          <w:tab w:val="left" w:pos="1751"/>
        </w:tabs>
        <w:spacing w:before="1"/>
        <w:ind w:left="1751" w:hanging="311"/>
        <w:rPr>
          <w:sz w:val="24"/>
        </w:rPr>
      </w:pPr>
      <w:r>
        <w:rPr>
          <w:sz w:val="24"/>
        </w:rPr>
        <w:t>people</w:t>
      </w:r>
      <w:r>
        <w:rPr>
          <w:spacing w:val="-3"/>
          <w:sz w:val="24"/>
        </w:rPr>
        <w:t xml:space="preserve"> </w:t>
      </w:r>
      <w:r>
        <w:rPr>
          <w:sz w:val="24"/>
        </w:rPr>
        <w:t>with</w:t>
      </w:r>
      <w:r>
        <w:rPr>
          <w:spacing w:val="-3"/>
          <w:sz w:val="24"/>
        </w:rPr>
        <w:t xml:space="preserve"> </w:t>
      </w:r>
      <w:r>
        <w:rPr>
          <w:sz w:val="24"/>
        </w:rPr>
        <w:t>high</w:t>
      </w:r>
      <w:r>
        <w:rPr>
          <w:spacing w:val="-1"/>
          <w:sz w:val="24"/>
        </w:rPr>
        <w:t xml:space="preserve"> </w:t>
      </w:r>
      <w:r>
        <w:rPr>
          <w:sz w:val="24"/>
        </w:rPr>
        <w:t>risk</w:t>
      </w:r>
      <w:r>
        <w:rPr>
          <w:spacing w:val="-5"/>
          <w:sz w:val="24"/>
        </w:rPr>
        <w:t xml:space="preserve"> </w:t>
      </w:r>
      <w:r>
        <w:rPr>
          <w:sz w:val="24"/>
        </w:rPr>
        <w:t>of</w:t>
      </w:r>
      <w:r>
        <w:rPr>
          <w:spacing w:val="-2"/>
          <w:sz w:val="24"/>
        </w:rPr>
        <w:t xml:space="preserve"> </w:t>
      </w:r>
      <w:r>
        <w:rPr>
          <w:sz w:val="24"/>
        </w:rPr>
        <w:t>diabetes:</w:t>
      </w:r>
      <w:r>
        <w:rPr>
          <w:spacing w:val="1"/>
          <w:sz w:val="24"/>
        </w:rPr>
        <w:t xml:space="preserve"> </w:t>
      </w:r>
      <w:r>
        <w:rPr>
          <w:sz w:val="24"/>
        </w:rPr>
        <w:t>8</w:t>
      </w:r>
      <w:r>
        <w:rPr>
          <w:spacing w:val="-2"/>
          <w:sz w:val="24"/>
        </w:rPr>
        <w:t xml:space="preserve"> months;</w:t>
      </w:r>
    </w:p>
    <w:p w14:paraId="7A4C2EDE" w14:textId="77777777" w:rsidR="00E13D3F" w:rsidRDefault="00FB2D6A" w:rsidP="00990D2B">
      <w:pPr>
        <w:pStyle w:val="ListParagraph"/>
        <w:numPr>
          <w:ilvl w:val="0"/>
          <w:numId w:val="36"/>
        </w:numPr>
        <w:tabs>
          <w:tab w:val="left" w:pos="1763"/>
        </w:tabs>
        <w:spacing w:before="43"/>
        <w:ind w:left="1763" w:hanging="323"/>
        <w:rPr>
          <w:sz w:val="24"/>
        </w:rPr>
      </w:pPr>
      <w:r>
        <w:rPr>
          <w:sz w:val="24"/>
        </w:rPr>
        <w:t>people</w:t>
      </w:r>
      <w:r>
        <w:rPr>
          <w:spacing w:val="-6"/>
          <w:sz w:val="24"/>
        </w:rPr>
        <w:t xml:space="preserve"> </w:t>
      </w:r>
      <w:r>
        <w:rPr>
          <w:sz w:val="24"/>
        </w:rPr>
        <w:t>with intermediate</w:t>
      </w:r>
      <w:r>
        <w:rPr>
          <w:spacing w:val="-1"/>
          <w:sz w:val="24"/>
        </w:rPr>
        <w:t xml:space="preserve"> </w:t>
      </w:r>
      <w:r>
        <w:rPr>
          <w:sz w:val="24"/>
        </w:rPr>
        <w:t>risk</w:t>
      </w:r>
      <w:r>
        <w:rPr>
          <w:spacing w:val="-4"/>
          <w:sz w:val="24"/>
        </w:rPr>
        <w:t xml:space="preserve"> </w:t>
      </w:r>
      <w:r>
        <w:rPr>
          <w:sz w:val="24"/>
        </w:rPr>
        <w:t>of</w:t>
      </w:r>
      <w:r>
        <w:rPr>
          <w:spacing w:val="-2"/>
          <w:sz w:val="24"/>
        </w:rPr>
        <w:t xml:space="preserve"> </w:t>
      </w:r>
      <w:r>
        <w:rPr>
          <w:sz w:val="24"/>
        </w:rPr>
        <w:t>diabetes:</w:t>
      </w:r>
      <w:r>
        <w:rPr>
          <w:spacing w:val="-2"/>
          <w:sz w:val="24"/>
        </w:rPr>
        <w:t xml:space="preserve"> </w:t>
      </w:r>
      <w:r>
        <w:rPr>
          <w:sz w:val="24"/>
        </w:rPr>
        <w:t>optimal</w:t>
      </w:r>
      <w:r>
        <w:rPr>
          <w:spacing w:val="-1"/>
          <w:sz w:val="24"/>
        </w:rPr>
        <w:t xml:space="preserve"> </w:t>
      </w:r>
      <w:r>
        <w:rPr>
          <w:sz w:val="24"/>
        </w:rPr>
        <w:t>interval</w:t>
      </w:r>
      <w:r>
        <w:rPr>
          <w:spacing w:val="-4"/>
          <w:sz w:val="24"/>
        </w:rPr>
        <w:t xml:space="preserve"> </w:t>
      </w:r>
      <w:r>
        <w:rPr>
          <w:sz w:val="24"/>
        </w:rPr>
        <w:t>for</w:t>
      </w:r>
      <w:r>
        <w:rPr>
          <w:spacing w:val="-4"/>
          <w:sz w:val="24"/>
        </w:rPr>
        <w:t xml:space="preserve"> </w:t>
      </w:r>
      <w:r>
        <w:rPr>
          <w:sz w:val="24"/>
        </w:rPr>
        <w:t>assessment</w:t>
      </w:r>
      <w:r>
        <w:rPr>
          <w:spacing w:val="-3"/>
          <w:sz w:val="24"/>
        </w:rPr>
        <w:t xml:space="preserve"> </w:t>
      </w:r>
      <w:r>
        <w:rPr>
          <w:sz w:val="24"/>
        </w:rPr>
        <w:t>is</w:t>
      </w:r>
      <w:r>
        <w:rPr>
          <w:spacing w:val="2"/>
          <w:sz w:val="24"/>
        </w:rPr>
        <w:t xml:space="preserve"> </w:t>
      </w:r>
      <w:r>
        <w:rPr>
          <w:sz w:val="24"/>
        </w:rPr>
        <w:t>3</w:t>
      </w:r>
      <w:r>
        <w:rPr>
          <w:spacing w:val="-3"/>
          <w:sz w:val="24"/>
        </w:rPr>
        <w:t xml:space="preserve"> </w:t>
      </w:r>
      <w:r>
        <w:rPr>
          <w:spacing w:val="-2"/>
          <w:sz w:val="24"/>
        </w:rPr>
        <w:t>years;</w:t>
      </w:r>
    </w:p>
    <w:p w14:paraId="7A4C2EDF" w14:textId="77777777" w:rsidR="00E13D3F" w:rsidRDefault="00FB2D6A" w:rsidP="00990D2B">
      <w:pPr>
        <w:pStyle w:val="ListParagraph"/>
        <w:numPr>
          <w:ilvl w:val="0"/>
          <w:numId w:val="36"/>
        </w:numPr>
        <w:tabs>
          <w:tab w:val="left" w:pos="1739"/>
        </w:tabs>
        <w:spacing w:before="46"/>
        <w:ind w:left="1739" w:hanging="299"/>
        <w:rPr>
          <w:sz w:val="24"/>
        </w:rPr>
      </w:pPr>
      <w:r>
        <w:rPr>
          <w:sz w:val="24"/>
        </w:rPr>
        <w:t>people</w:t>
      </w:r>
      <w:r>
        <w:rPr>
          <w:spacing w:val="-5"/>
          <w:sz w:val="24"/>
        </w:rPr>
        <w:t xml:space="preserve"> </w:t>
      </w:r>
      <w:r>
        <w:rPr>
          <w:sz w:val="24"/>
        </w:rPr>
        <w:t>with</w:t>
      </w:r>
      <w:r>
        <w:rPr>
          <w:spacing w:val="-1"/>
          <w:sz w:val="24"/>
        </w:rPr>
        <w:t xml:space="preserve"> </w:t>
      </w:r>
      <w:r>
        <w:rPr>
          <w:sz w:val="24"/>
        </w:rPr>
        <w:t>low</w:t>
      </w:r>
      <w:r>
        <w:rPr>
          <w:spacing w:val="-2"/>
          <w:sz w:val="24"/>
        </w:rPr>
        <w:t xml:space="preserve"> </w:t>
      </w:r>
      <w:r>
        <w:rPr>
          <w:sz w:val="24"/>
        </w:rPr>
        <w:t>risk</w:t>
      </w:r>
      <w:r>
        <w:rPr>
          <w:spacing w:val="-2"/>
          <w:sz w:val="24"/>
        </w:rPr>
        <w:t xml:space="preserve"> </w:t>
      </w:r>
      <w:r>
        <w:rPr>
          <w:sz w:val="24"/>
        </w:rPr>
        <w:t>of</w:t>
      </w:r>
      <w:r>
        <w:rPr>
          <w:spacing w:val="-2"/>
          <w:sz w:val="24"/>
        </w:rPr>
        <w:t xml:space="preserve"> </w:t>
      </w:r>
      <w:r>
        <w:rPr>
          <w:sz w:val="24"/>
        </w:rPr>
        <w:t>diabetes:</w:t>
      </w:r>
      <w:r>
        <w:rPr>
          <w:spacing w:val="-2"/>
          <w:sz w:val="24"/>
        </w:rPr>
        <w:t xml:space="preserve"> </w:t>
      </w:r>
      <w:r>
        <w:rPr>
          <w:sz w:val="24"/>
        </w:rPr>
        <w:t>optimal</w:t>
      </w:r>
      <w:r>
        <w:rPr>
          <w:spacing w:val="-1"/>
          <w:sz w:val="24"/>
        </w:rPr>
        <w:t xml:space="preserve"> </w:t>
      </w:r>
      <w:r>
        <w:rPr>
          <w:sz w:val="24"/>
        </w:rPr>
        <w:t>interval</w:t>
      </w:r>
      <w:r>
        <w:rPr>
          <w:spacing w:val="-2"/>
          <w:sz w:val="24"/>
        </w:rPr>
        <w:t xml:space="preserve"> </w:t>
      </w:r>
      <w:r>
        <w:rPr>
          <w:sz w:val="24"/>
        </w:rPr>
        <w:t>for</w:t>
      </w:r>
      <w:r>
        <w:rPr>
          <w:spacing w:val="-4"/>
          <w:sz w:val="24"/>
        </w:rPr>
        <w:t xml:space="preserve"> </w:t>
      </w:r>
      <w:r>
        <w:rPr>
          <w:sz w:val="24"/>
        </w:rPr>
        <w:t>assessment</w:t>
      </w:r>
      <w:r>
        <w:rPr>
          <w:spacing w:val="-1"/>
          <w:sz w:val="24"/>
        </w:rPr>
        <w:t xml:space="preserve"> </w:t>
      </w:r>
      <w:r>
        <w:rPr>
          <w:sz w:val="24"/>
        </w:rPr>
        <w:t>is</w:t>
      </w:r>
      <w:r>
        <w:rPr>
          <w:spacing w:val="-2"/>
          <w:sz w:val="24"/>
        </w:rPr>
        <w:t xml:space="preserve"> </w:t>
      </w:r>
      <w:r>
        <w:rPr>
          <w:sz w:val="24"/>
        </w:rPr>
        <w:t>5</w:t>
      </w:r>
      <w:r>
        <w:rPr>
          <w:spacing w:val="-1"/>
          <w:sz w:val="24"/>
        </w:rPr>
        <w:t xml:space="preserve"> </w:t>
      </w:r>
      <w:r>
        <w:rPr>
          <w:spacing w:val="-2"/>
          <w:sz w:val="24"/>
        </w:rPr>
        <w:t>years;</w:t>
      </w:r>
    </w:p>
    <w:p w14:paraId="7A4C2EE0" w14:textId="77777777" w:rsidR="00E13D3F" w:rsidRDefault="00FB2D6A">
      <w:pPr>
        <w:pStyle w:val="Heading2"/>
        <w:spacing w:before="84"/>
      </w:pPr>
      <w:r>
        <w:rPr>
          <w:color w:val="2E5395"/>
          <w:spacing w:val="-2"/>
        </w:rPr>
        <w:t>Subpopulations</w:t>
      </w:r>
    </w:p>
    <w:p w14:paraId="7A4C2EE1" w14:textId="77777777" w:rsidR="00E13D3F" w:rsidRDefault="00FB2D6A">
      <w:pPr>
        <w:pStyle w:val="BodyText"/>
        <w:spacing w:before="25" w:line="276" w:lineRule="auto"/>
        <w:ind w:right="1450"/>
      </w:pPr>
      <w:r>
        <w:t>The USPSTF review did not identify any evidence that the effect of the assessment of diabetes is different for subgroups defined by age, sex, socioeconomic status, or race ethnicity. Aboriginal and Torres Strait Islander populations have a higher risk of developing diabetes</w:t>
      </w:r>
      <w:r>
        <w:rPr>
          <w:spacing w:val="-3"/>
        </w:rPr>
        <w:t xml:space="preserve"> </w:t>
      </w:r>
      <w:r>
        <w:t>–</w:t>
      </w:r>
      <w:r>
        <w:rPr>
          <w:spacing w:val="-1"/>
        </w:rPr>
        <w:t xml:space="preserve"> </w:t>
      </w:r>
      <w:r>
        <w:t>approximately</w:t>
      </w:r>
      <w:r>
        <w:rPr>
          <w:spacing w:val="-2"/>
        </w:rPr>
        <w:t xml:space="preserve"> </w:t>
      </w:r>
      <w:r>
        <w:t>a</w:t>
      </w:r>
      <w:r>
        <w:rPr>
          <w:spacing w:val="-1"/>
        </w:rPr>
        <w:t xml:space="preserve"> </w:t>
      </w:r>
      <w:r>
        <w:t>3-fold</w:t>
      </w:r>
      <w:r>
        <w:rPr>
          <w:spacing w:val="-1"/>
        </w:rPr>
        <w:t xml:space="preserve"> </w:t>
      </w:r>
      <w:r>
        <w:t>increase</w:t>
      </w:r>
      <w:r>
        <w:rPr>
          <w:spacing w:val="-1"/>
        </w:rPr>
        <w:t xml:space="preserve"> </w:t>
      </w:r>
      <w:r>
        <w:t>in</w:t>
      </w:r>
      <w:r>
        <w:rPr>
          <w:spacing w:val="-1"/>
        </w:rPr>
        <w:t xml:space="preserve"> </w:t>
      </w:r>
      <w:r>
        <w:t>risk</w:t>
      </w:r>
      <w:r>
        <w:rPr>
          <w:spacing w:val="-5"/>
        </w:rPr>
        <w:t xml:space="preserve"> </w:t>
      </w:r>
      <w:r>
        <w:t>of</w:t>
      </w:r>
      <w:r>
        <w:rPr>
          <w:spacing w:val="-3"/>
        </w:rPr>
        <w:t xml:space="preserve"> </w:t>
      </w:r>
      <w:r>
        <w:t>diabetes</w:t>
      </w:r>
      <w:r>
        <w:rPr>
          <w:spacing w:val="-3"/>
        </w:rPr>
        <w:t xml:space="preserve"> </w:t>
      </w:r>
      <w:r>
        <w:t>and</w:t>
      </w:r>
      <w:r>
        <w:rPr>
          <w:spacing w:val="-1"/>
        </w:rPr>
        <w:t xml:space="preserve"> </w:t>
      </w:r>
      <w:r>
        <w:t>a</w:t>
      </w:r>
      <w:r>
        <w:rPr>
          <w:spacing w:val="-4"/>
        </w:rPr>
        <w:t xml:space="preserve"> </w:t>
      </w:r>
      <w:r>
        <w:t>5-fold</w:t>
      </w:r>
      <w:r>
        <w:rPr>
          <w:spacing w:val="-3"/>
        </w:rPr>
        <w:t xml:space="preserve"> </w:t>
      </w:r>
      <w:r>
        <w:t>risk</w:t>
      </w:r>
      <w:r>
        <w:rPr>
          <w:spacing w:val="-3"/>
        </w:rPr>
        <w:t xml:space="preserve"> </w:t>
      </w:r>
      <w:r>
        <w:t>of</w:t>
      </w:r>
      <w:r>
        <w:rPr>
          <w:spacing w:val="-2"/>
        </w:rPr>
        <w:t xml:space="preserve"> </w:t>
      </w:r>
      <w:r>
        <w:t>dying</w:t>
      </w:r>
      <w:r>
        <w:rPr>
          <w:spacing w:val="-4"/>
        </w:rPr>
        <w:t xml:space="preserve"> </w:t>
      </w:r>
      <w:r>
        <w:t>from diabetic complications (1); thus, diabetes assessment should be started at earlier age (18 years of age and older).</w:t>
      </w:r>
    </w:p>
    <w:p w14:paraId="7A4C2EE2" w14:textId="77777777" w:rsidR="00E13D3F" w:rsidRDefault="00E13D3F">
      <w:pPr>
        <w:pStyle w:val="BodyText"/>
        <w:spacing w:line="276" w:lineRule="auto"/>
        <w:sectPr w:rsidR="00E13D3F">
          <w:pgSz w:w="11910" w:h="16840"/>
          <w:pgMar w:top="1400" w:right="0" w:bottom="1200" w:left="0" w:header="0" w:footer="1000" w:gutter="0"/>
          <w:cols w:space="720"/>
        </w:sectPr>
      </w:pPr>
    </w:p>
    <w:p w14:paraId="7A4C2EE3" w14:textId="77777777" w:rsidR="00E13D3F" w:rsidRDefault="00FB2D6A">
      <w:pPr>
        <w:pStyle w:val="Heading2"/>
        <w:spacing w:before="18"/>
      </w:pPr>
      <w:r>
        <w:rPr>
          <w:color w:val="2E5395"/>
          <w:spacing w:val="-2"/>
        </w:rPr>
        <w:lastRenderedPageBreak/>
        <w:t>Conclusion</w:t>
      </w:r>
    </w:p>
    <w:p w14:paraId="7A4C2EE4" w14:textId="77777777" w:rsidR="00E13D3F" w:rsidRDefault="00FB2D6A">
      <w:pPr>
        <w:pStyle w:val="BodyText"/>
        <w:spacing w:before="26" w:line="276" w:lineRule="auto"/>
        <w:ind w:right="1450"/>
      </w:pPr>
      <w:r>
        <w:t>There</w:t>
      </w:r>
      <w:r>
        <w:rPr>
          <w:spacing w:val="-5"/>
        </w:rPr>
        <w:t xml:space="preserve"> </w:t>
      </w:r>
      <w:r>
        <w:t>is</w:t>
      </w:r>
      <w:r>
        <w:rPr>
          <w:spacing w:val="-2"/>
        </w:rPr>
        <w:t xml:space="preserve"> </w:t>
      </w:r>
      <w:r>
        <w:t>mixed</w:t>
      </w:r>
      <w:r>
        <w:rPr>
          <w:spacing w:val="-2"/>
        </w:rPr>
        <w:t xml:space="preserve"> </w:t>
      </w:r>
      <w:r>
        <w:t>evidence</w:t>
      </w:r>
      <w:r>
        <w:rPr>
          <w:spacing w:val="-7"/>
        </w:rPr>
        <w:t xml:space="preserve"> </w:t>
      </w:r>
      <w:r>
        <w:t>that</w:t>
      </w:r>
      <w:r>
        <w:rPr>
          <w:spacing w:val="-2"/>
        </w:rPr>
        <w:t xml:space="preserve"> </w:t>
      </w:r>
      <w:r>
        <w:t>earlier</w:t>
      </w:r>
      <w:r>
        <w:rPr>
          <w:spacing w:val="-4"/>
        </w:rPr>
        <w:t xml:space="preserve"> </w:t>
      </w:r>
      <w:r>
        <w:t>detection</w:t>
      </w:r>
      <w:r>
        <w:rPr>
          <w:spacing w:val="-2"/>
        </w:rPr>
        <w:t xml:space="preserve"> </w:t>
      </w:r>
      <w:r>
        <w:t>and</w:t>
      </w:r>
      <w:r>
        <w:rPr>
          <w:spacing w:val="-2"/>
        </w:rPr>
        <w:t xml:space="preserve"> </w:t>
      </w:r>
      <w:r>
        <w:t>management</w:t>
      </w:r>
      <w:r>
        <w:rPr>
          <w:spacing w:val="-4"/>
        </w:rPr>
        <w:t xml:space="preserve"> </w:t>
      </w:r>
      <w:r>
        <w:t>of</w:t>
      </w:r>
      <w:r>
        <w:rPr>
          <w:spacing w:val="-4"/>
        </w:rPr>
        <w:t xml:space="preserve"> </w:t>
      </w:r>
      <w:r>
        <w:t>diabetes</w:t>
      </w:r>
      <w:r>
        <w:rPr>
          <w:spacing w:val="-4"/>
        </w:rPr>
        <w:t xml:space="preserve"> </w:t>
      </w:r>
      <w:r>
        <w:t>in</w:t>
      </w:r>
      <w:r>
        <w:rPr>
          <w:spacing w:val="-4"/>
        </w:rPr>
        <w:t xml:space="preserve"> </w:t>
      </w:r>
      <w:r>
        <w:t>adult</w:t>
      </w:r>
      <w:r>
        <w:rPr>
          <w:spacing w:val="-2"/>
        </w:rPr>
        <w:t xml:space="preserve"> </w:t>
      </w:r>
      <w:r>
        <w:t>reduces the risk of all-cause mortality, cause-specific mortality, cardiovascular events, or other diabetic complications. Assessment every 3 years is reasonable and should start at earlier age among Aboriginal and Torres Strait Islander populations.</w:t>
      </w:r>
    </w:p>
    <w:p w14:paraId="7A4C2EE5" w14:textId="77777777" w:rsidR="00E13D3F" w:rsidRDefault="00E13D3F">
      <w:pPr>
        <w:pStyle w:val="BodyText"/>
        <w:spacing w:before="85"/>
        <w:ind w:left="0"/>
      </w:pPr>
    </w:p>
    <w:p w14:paraId="7A4C2EE6" w14:textId="77777777" w:rsidR="00E13D3F" w:rsidRDefault="00FB2D6A">
      <w:pPr>
        <w:pStyle w:val="Heading2"/>
      </w:pPr>
      <w:r>
        <w:rPr>
          <w:color w:val="2E5395"/>
          <w:spacing w:val="-2"/>
        </w:rPr>
        <w:t>References</w:t>
      </w:r>
    </w:p>
    <w:p w14:paraId="7A4C2EE7" w14:textId="77777777" w:rsidR="00E13D3F" w:rsidRDefault="00FB2D6A" w:rsidP="00990D2B">
      <w:pPr>
        <w:pStyle w:val="ListParagraph"/>
        <w:numPr>
          <w:ilvl w:val="0"/>
          <w:numId w:val="35"/>
        </w:numPr>
        <w:tabs>
          <w:tab w:val="left" w:pos="1798"/>
          <w:tab w:val="left" w:pos="1800"/>
        </w:tabs>
        <w:spacing w:before="23" w:line="276" w:lineRule="auto"/>
        <w:ind w:right="1999"/>
      </w:pPr>
      <w:r>
        <w:t xml:space="preserve">Australian Bureau of Statistics (ABS), </w:t>
      </w:r>
      <w:hyperlink r:id="rId28">
        <w:r w:rsidR="00E13D3F">
          <w:t>National Aboriginal and Torres Strait Islander Health</w:t>
        </w:r>
      </w:hyperlink>
      <w:r>
        <w:t xml:space="preserve"> </w:t>
      </w:r>
      <w:hyperlink r:id="rId29">
        <w:r w:rsidR="00E13D3F">
          <w:t>Survey,</w:t>
        </w:r>
      </w:hyperlink>
      <w:r>
        <w:rPr>
          <w:spacing w:val="-5"/>
        </w:rPr>
        <w:t xml:space="preserve"> </w:t>
      </w:r>
      <w:r>
        <w:t>2018–19,</w:t>
      </w:r>
      <w:r>
        <w:rPr>
          <w:spacing w:val="-5"/>
        </w:rPr>
        <w:t xml:space="preserve"> </w:t>
      </w:r>
      <w:r>
        <w:t>ABS</w:t>
      </w:r>
      <w:r>
        <w:rPr>
          <w:spacing w:val="-3"/>
        </w:rPr>
        <w:t xml:space="preserve"> </w:t>
      </w:r>
      <w:r>
        <w:t>catalogue</w:t>
      </w:r>
      <w:r>
        <w:rPr>
          <w:spacing w:val="-2"/>
        </w:rPr>
        <w:t xml:space="preserve"> </w:t>
      </w:r>
      <w:r>
        <w:t>number</w:t>
      </w:r>
      <w:r>
        <w:rPr>
          <w:spacing w:val="-4"/>
        </w:rPr>
        <w:t xml:space="preserve"> </w:t>
      </w:r>
      <w:r>
        <w:t>4715.0,</w:t>
      </w:r>
      <w:r>
        <w:rPr>
          <w:spacing w:val="-2"/>
        </w:rPr>
        <w:t xml:space="preserve"> </w:t>
      </w:r>
      <w:r>
        <w:t>ABS,</w:t>
      </w:r>
      <w:r>
        <w:rPr>
          <w:spacing w:val="-4"/>
        </w:rPr>
        <w:t xml:space="preserve"> </w:t>
      </w:r>
      <w:r>
        <w:t>Australian</w:t>
      </w:r>
      <w:r>
        <w:rPr>
          <w:spacing w:val="-3"/>
        </w:rPr>
        <w:t xml:space="preserve"> </w:t>
      </w:r>
      <w:r>
        <w:t>Government,</w:t>
      </w:r>
      <w:r>
        <w:rPr>
          <w:spacing w:val="-2"/>
        </w:rPr>
        <w:t xml:space="preserve"> </w:t>
      </w:r>
      <w:r>
        <w:t>accessed</w:t>
      </w:r>
      <w:r>
        <w:rPr>
          <w:spacing w:val="-5"/>
        </w:rPr>
        <w:t xml:space="preserve"> </w:t>
      </w:r>
      <w:r>
        <w:t>04 August 2022.</w:t>
      </w:r>
    </w:p>
    <w:p w14:paraId="7A4C2EE8" w14:textId="77777777" w:rsidR="00E13D3F" w:rsidRDefault="00FB2D6A" w:rsidP="00990D2B">
      <w:pPr>
        <w:pStyle w:val="ListParagraph"/>
        <w:numPr>
          <w:ilvl w:val="0"/>
          <w:numId w:val="35"/>
        </w:numPr>
        <w:tabs>
          <w:tab w:val="left" w:pos="1798"/>
          <w:tab w:val="left" w:pos="1800"/>
        </w:tabs>
        <w:spacing w:before="1" w:line="276" w:lineRule="auto"/>
        <w:ind w:right="1796"/>
      </w:pPr>
      <w:r>
        <w:t>Jonas</w:t>
      </w:r>
      <w:r>
        <w:rPr>
          <w:spacing w:val="-1"/>
        </w:rPr>
        <w:t xml:space="preserve"> </w:t>
      </w:r>
      <w:r>
        <w:t>DE,</w:t>
      </w:r>
      <w:r>
        <w:rPr>
          <w:spacing w:val="-1"/>
        </w:rPr>
        <w:t xml:space="preserve"> </w:t>
      </w:r>
      <w:r>
        <w:t>Crotty</w:t>
      </w:r>
      <w:r>
        <w:rPr>
          <w:spacing w:val="-3"/>
        </w:rPr>
        <w:t xml:space="preserve"> </w:t>
      </w:r>
      <w:r>
        <w:t>K,</w:t>
      </w:r>
      <w:r>
        <w:rPr>
          <w:spacing w:val="-1"/>
        </w:rPr>
        <w:t xml:space="preserve"> </w:t>
      </w:r>
      <w:r>
        <w:t>Yun</w:t>
      </w:r>
      <w:r>
        <w:rPr>
          <w:spacing w:val="-2"/>
        </w:rPr>
        <w:t xml:space="preserve"> </w:t>
      </w:r>
      <w:r>
        <w:t>JDY,</w:t>
      </w:r>
      <w:r>
        <w:rPr>
          <w:spacing w:val="-1"/>
        </w:rPr>
        <w:t xml:space="preserve"> </w:t>
      </w:r>
      <w:r>
        <w:t>et</w:t>
      </w:r>
      <w:r>
        <w:rPr>
          <w:spacing w:val="-1"/>
        </w:rPr>
        <w:t xml:space="preserve"> </w:t>
      </w:r>
      <w:r>
        <w:t>al.</w:t>
      </w:r>
      <w:r>
        <w:rPr>
          <w:spacing w:val="-5"/>
        </w:rPr>
        <w:t xml:space="preserve"> </w:t>
      </w:r>
      <w:r>
        <w:t>Screening</w:t>
      </w:r>
      <w:r>
        <w:rPr>
          <w:spacing w:val="-2"/>
        </w:rPr>
        <w:t xml:space="preserve"> </w:t>
      </w:r>
      <w:r>
        <w:t>for</w:t>
      </w:r>
      <w:r>
        <w:rPr>
          <w:spacing w:val="-3"/>
        </w:rPr>
        <w:t xml:space="preserve"> </w:t>
      </w:r>
      <w:r>
        <w:t>Prediabetes and</w:t>
      </w:r>
      <w:r>
        <w:rPr>
          <w:spacing w:val="-4"/>
        </w:rPr>
        <w:t xml:space="preserve"> </w:t>
      </w:r>
      <w:r>
        <w:t>Type</w:t>
      </w:r>
      <w:r>
        <w:rPr>
          <w:spacing w:val="-3"/>
        </w:rPr>
        <w:t xml:space="preserve"> </w:t>
      </w:r>
      <w:r>
        <w:t>2</w:t>
      </w:r>
      <w:r>
        <w:rPr>
          <w:spacing w:val="-2"/>
        </w:rPr>
        <w:t xml:space="preserve"> </w:t>
      </w:r>
      <w:r>
        <w:t>Diabetes</w:t>
      </w:r>
      <w:r>
        <w:rPr>
          <w:spacing w:val="-3"/>
        </w:rPr>
        <w:t xml:space="preserve"> </w:t>
      </w:r>
      <w:r>
        <w:t>Mellitus:</w:t>
      </w:r>
      <w:r>
        <w:rPr>
          <w:spacing w:val="-1"/>
        </w:rPr>
        <w:t xml:space="preserve"> </w:t>
      </w:r>
      <w:r>
        <w:t>An Evidence Review for the U.S. Preventive Services Task Force. Rockville (MD): Agency for Healthcare Research and Quality (US); August 2021.</w:t>
      </w:r>
    </w:p>
    <w:p w14:paraId="7A4C2EE9" w14:textId="77777777" w:rsidR="00E13D3F" w:rsidRDefault="00FB2D6A" w:rsidP="00990D2B">
      <w:pPr>
        <w:pStyle w:val="ListParagraph"/>
        <w:numPr>
          <w:ilvl w:val="0"/>
          <w:numId w:val="35"/>
        </w:numPr>
        <w:tabs>
          <w:tab w:val="left" w:pos="1798"/>
          <w:tab w:val="left" w:pos="1800"/>
        </w:tabs>
        <w:spacing w:line="276" w:lineRule="auto"/>
        <w:ind w:right="1519"/>
      </w:pPr>
      <w:r>
        <w:t>Simmons</w:t>
      </w:r>
      <w:r>
        <w:rPr>
          <w:spacing w:val="-3"/>
        </w:rPr>
        <w:t xml:space="preserve"> </w:t>
      </w:r>
      <w:r>
        <w:t>RK,</w:t>
      </w:r>
      <w:r>
        <w:rPr>
          <w:spacing w:val="-3"/>
        </w:rPr>
        <w:t xml:space="preserve"> </w:t>
      </w:r>
      <w:r>
        <w:t>Echouffo-</w:t>
      </w:r>
      <w:proofErr w:type="spellStart"/>
      <w:r>
        <w:t>Tcheugui</w:t>
      </w:r>
      <w:proofErr w:type="spellEnd"/>
      <w:r>
        <w:rPr>
          <w:spacing w:val="-1"/>
        </w:rPr>
        <w:t xml:space="preserve"> </w:t>
      </w:r>
      <w:r>
        <w:t>JB,</w:t>
      </w:r>
      <w:r>
        <w:rPr>
          <w:spacing w:val="-1"/>
        </w:rPr>
        <w:t xml:space="preserve"> </w:t>
      </w:r>
      <w:r>
        <w:t>Sharp</w:t>
      </w:r>
      <w:r>
        <w:rPr>
          <w:spacing w:val="-3"/>
        </w:rPr>
        <w:t xml:space="preserve"> </w:t>
      </w:r>
      <w:r>
        <w:t>SJ,</w:t>
      </w:r>
      <w:r>
        <w:rPr>
          <w:spacing w:val="-1"/>
        </w:rPr>
        <w:t xml:space="preserve"> </w:t>
      </w:r>
      <w:r>
        <w:t>et</w:t>
      </w:r>
      <w:r>
        <w:rPr>
          <w:spacing w:val="-1"/>
        </w:rPr>
        <w:t xml:space="preserve"> </w:t>
      </w:r>
      <w:r>
        <w:t>al.</w:t>
      </w:r>
      <w:r>
        <w:rPr>
          <w:spacing w:val="-5"/>
        </w:rPr>
        <w:t xml:space="preserve"> </w:t>
      </w:r>
      <w:r>
        <w:t>Screening</w:t>
      </w:r>
      <w:r>
        <w:rPr>
          <w:spacing w:val="-2"/>
        </w:rPr>
        <w:t xml:space="preserve"> </w:t>
      </w:r>
      <w:r>
        <w:t>for</w:t>
      </w:r>
      <w:r>
        <w:rPr>
          <w:spacing w:val="-4"/>
        </w:rPr>
        <w:t xml:space="preserve"> </w:t>
      </w:r>
      <w:r>
        <w:t>type</w:t>
      </w:r>
      <w:r>
        <w:rPr>
          <w:spacing w:val="-1"/>
        </w:rPr>
        <w:t xml:space="preserve"> </w:t>
      </w:r>
      <w:r>
        <w:t>2</w:t>
      </w:r>
      <w:r>
        <w:rPr>
          <w:spacing w:val="-3"/>
        </w:rPr>
        <w:t xml:space="preserve"> </w:t>
      </w:r>
      <w:r>
        <w:t>diabetes</w:t>
      </w:r>
      <w:r>
        <w:rPr>
          <w:spacing w:val="-3"/>
        </w:rPr>
        <w:t xml:space="preserve"> </w:t>
      </w:r>
      <w:r>
        <w:t>and</w:t>
      </w:r>
      <w:r>
        <w:rPr>
          <w:spacing w:val="-2"/>
        </w:rPr>
        <w:t xml:space="preserve"> </w:t>
      </w:r>
      <w:r>
        <w:t>population mortality over 10 years (ADDITION-Cambridge): a cluster-</w:t>
      </w:r>
      <w:proofErr w:type="spellStart"/>
      <w:r>
        <w:t>randomised</w:t>
      </w:r>
      <w:proofErr w:type="spellEnd"/>
      <w:r>
        <w:t xml:space="preserve"> controlled trial. Lancet. 2012;380(9855):1741-1748. doi:10.1016/S0140-6736(12)61422-6</w:t>
      </w:r>
    </w:p>
    <w:p w14:paraId="7A4C2EEA" w14:textId="77777777" w:rsidR="00E13D3F" w:rsidRDefault="00FB2D6A" w:rsidP="00990D2B">
      <w:pPr>
        <w:pStyle w:val="ListParagraph"/>
        <w:numPr>
          <w:ilvl w:val="0"/>
          <w:numId w:val="35"/>
        </w:numPr>
        <w:tabs>
          <w:tab w:val="left" w:pos="1798"/>
          <w:tab w:val="left" w:pos="1800"/>
        </w:tabs>
        <w:spacing w:line="276" w:lineRule="auto"/>
        <w:ind w:right="1439"/>
      </w:pPr>
      <w:r>
        <w:t>Rahman M, Simmons RK, Hennings SH, Wareham NJ, Griffin SJ. Effect of screening for Type 2 diabetes</w:t>
      </w:r>
      <w:r>
        <w:rPr>
          <w:spacing w:val="-4"/>
        </w:rPr>
        <w:t xml:space="preserve"> </w:t>
      </w:r>
      <w:r>
        <w:t>on</w:t>
      </w:r>
      <w:r>
        <w:rPr>
          <w:spacing w:val="-3"/>
        </w:rPr>
        <w:t xml:space="preserve"> </w:t>
      </w:r>
      <w:r>
        <w:t>population-level</w:t>
      </w:r>
      <w:r>
        <w:rPr>
          <w:spacing w:val="-2"/>
        </w:rPr>
        <w:t xml:space="preserve"> </w:t>
      </w:r>
      <w:r>
        <w:t>self-rated</w:t>
      </w:r>
      <w:r>
        <w:rPr>
          <w:spacing w:val="-2"/>
        </w:rPr>
        <w:t xml:space="preserve"> </w:t>
      </w:r>
      <w:r>
        <w:t>health</w:t>
      </w:r>
      <w:r>
        <w:rPr>
          <w:spacing w:val="-2"/>
        </w:rPr>
        <w:t xml:space="preserve"> </w:t>
      </w:r>
      <w:r>
        <w:t>outcomes</w:t>
      </w:r>
      <w:r>
        <w:rPr>
          <w:spacing w:val="-1"/>
        </w:rPr>
        <w:t xml:space="preserve"> </w:t>
      </w:r>
      <w:r>
        <w:t>and</w:t>
      </w:r>
      <w:r>
        <w:rPr>
          <w:spacing w:val="-5"/>
        </w:rPr>
        <w:t xml:space="preserve"> </w:t>
      </w:r>
      <w:r>
        <w:t>measures</w:t>
      </w:r>
      <w:r>
        <w:rPr>
          <w:spacing w:val="-4"/>
        </w:rPr>
        <w:t xml:space="preserve"> </w:t>
      </w:r>
      <w:r>
        <w:t>of</w:t>
      </w:r>
      <w:r>
        <w:rPr>
          <w:spacing w:val="-2"/>
        </w:rPr>
        <w:t xml:space="preserve"> </w:t>
      </w:r>
      <w:r>
        <w:t>cardiovascular</w:t>
      </w:r>
      <w:r>
        <w:rPr>
          <w:spacing w:val="-2"/>
        </w:rPr>
        <w:t xml:space="preserve"> </w:t>
      </w:r>
      <w:r>
        <w:t>risk:</w:t>
      </w:r>
      <w:r>
        <w:rPr>
          <w:spacing w:val="-2"/>
        </w:rPr>
        <w:t xml:space="preserve"> </w:t>
      </w:r>
      <w:r>
        <w:t xml:space="preserve">13-year follow-up of the Ely cohort. </w:t>
      </w:r>
      <w:proofErr w:type="spellStart"/>
      <w:r>
        <w:t>Diabet</w:t>
      </w:r>
      <w:proofErr w:type="spellEnd"/>
      <w:r>
        <w:t xml:space="preserve"> Med. 2012;29(7):886-892. doi:10.1111/j.1464-</w:t>
      </w:r>
      <w:r>
        <w:rPr>
          <w:spacing w:val="-2"/>
        </w:rPr>
        <w:t>5491.2012.03570.x</w:t>
      </w:r>
    </w:p>
    <w:p w14:paraId="7A4C2EEB" w14:textId="77777777" w:rsidR="00E13D3F" w:rsidRDefault="00FB2D6A" w:rsidP="00990D2B">
      <w:pPr>
        <w:pStyle w:val="ListParagraph"/>
        <w:numPr>
          <w:ilvl w:val="0"/>
          <w:numId w:val="35"/>
        </w:numPr>
        <w:tabs>
          <w:tab w:val="left" w:pos="1798"/>
          <w:tab w:val="left" w:pos="1800"/>
        </w:tabs>
        <w:spacing w:line="276" w:lineRule="auto"/>
        <w:ind w:right="1708"/>
      </w:pPr>
      <w:r>
        <w:t>Holman</w:t>
      </w:r>
      <w:r>
        <w:rPr>
          <w:spacing w:val="-4"/>
        </w:rPr>
        <w:t xml:space="preserve"> </w:t>
      </w:r>
      <w:r>
        <w:t>RR,</w:t>
      </w:r>
      <w:r>
        <w:rPr>
          <w:spacing w:val="-3"/>
        </w:rPr>
        <w:t xml:space="preserve"> </w:t>
      </w:r>
      <w:r>
        <w:t>Paul</w:t>
      </w:r>
      <w:r>
        <w:rPr>
          <w:spacing w:val="-1"/>
        </w:rPr>
        <w:t xml:space="preserve"> </w:t>
      </w:r>
      <w:r>
        <w:t>SK,</w:t>
      </w:r>
      <w:r>
        <w:rPr>
          <w:spacing w:val="-4"/>
        </w:rPr>
        <w:t xml:space="preserve"> </w:t>
      </w:r>
      <w:r>
        <w:t>Bethel</w:t>
      </w:r>
      <w:r>
        <w:rPr>
          <w:spacing w:val="-4"/>
        </w:rPr>
        <w:t xml:space="preserve"> </w:t>
      </w:r>
      <w:r>
        <w:t>MA,</w:t>
      </w:r>
      <w:r>
        <w:rPr>
          <w:spacing w:val="-4"/>
        </w:rPr>
        <w:t xml:space="preserve"> </w:t>
      </w:r>
      <w:r>
        <w:t>Matthews</w:t>
      </w:r>
      <w:r>
        <w:rPr>
          <w:spacing w:val="-4"/>
        </w:rPr>
        <w:t xml:space="preserve"> </w:t>
      </w:r>
      <w:r>
        <w:t>DR,</w:t>
      </w:r>
      <w:r>
        <w:rPr>
          <w:spacing w:val="-1"/>
        </w:rPr>
        <w:t xml:space="preserve"> </w:t>
      </w:r>
      <w:r>
        <w:t>Neil</w:t>
      </w:r>
      <w:r>
        <w:rPr>
          <w:spacing w:val="-2"/>
        </w:rPr>
        <w:t xml:space="preserve"> </w:t>
      </w:r>
      <w:r>
        <w:t>HA.</w:t>
      </w:r>
      <w:r>
        <w:rPr>
          <w:spacing w:val="-1"/>
        </w:rPr>
        <w:t xml:space="preserve"> </w:t>
      </w:r>
      <w:r>
        <w:t>10-year</w:t>
      </w:r>
      <w:r>
        <w:rPr>
          <w:spacing w:val="-1"/>
        </w:rPr>
        <w:t xml:space="preserve"> </w:t>
      </w:r>
      <w:r>
        <w:t>follow-up</w:t>
      </w:r>
      <w:r>
        <w:rPr>
          <w:spacing w:val="-4"/>
        </w:rPr>
        <w:t xml:space="preserve"> </w:t>
      </w:r>
      <w:r>
        <w:t>of</w:t>
      </w:r>
      <w:r>
        <w:rPr>
          <w:spacing w:val="-1"/>
        </w:rPr>
        <w:t xml:space="preserve"> </w:t>
      </w:r>
      <w:r>
        <w:t>intensive</w:t>
      </w:r>
      <w:r>
        <w:rPr>
          <w:spacing w:val="-1"/>
        </w:rPr>
        <w:t xml:space="preserve"> </w:t>
      </w:r>
      <w:r>
        <w:t xml:space="preserve">glucose control in type 2 diabetes. N Engl J Med. 2008;359(15):1577-1589. </w:t>
      </w:r>
      <w:r>
        <w:rPr>
          <w:spacing w:val="-2"/>
        </w:rPr>
        <w:t>doi:10.1056/NEJMoa0806470</w:t>
      </w:r>
    </w:p>
    <w:p w14:paraId="7A4C2EEC" w14:textId="77777777" w:rsidR="00E13D3F" w:rsidRDefault="00FB2D6A" w:rsidP="00990D2B">
      <w:pPr>
        <w:pStyle w:val="ListParagraph"/>
        <w:numPr>
          <w:ilvl w:val="0"/>
          <w:numId w:val="35"/>
        </w:numPr>
        <w:tabs>
          <w:tab w:val="left" w:pos="1798"/>
          <w:tab w:val="left" w:pos="1800"/>
        </w:tabs>
        <w:spacing w:line="276" w:lineRule="auto"/>
        <w:ind w:right="1516"/>
      </w:pPr>
      <w:r>
        <w:t>Griffin</w:t>
      </w:r>
      <w:r>
        <w:rPr>
          <w:spacing w:val="-2"/>
        </w:rPr>
        <w:t xml:space="preserve"> </w:t>
      </w:r>
      <w:r>
        <w:t>SJ,</w:t>
      </w:r>
      <w:r>
        <w:rPr>
          <w:spacing w:val="-2"/>
        </w:rPr>
        <w:t xml:space="preserve"> </w:t>
      </w:r>
      <w:r>
        <w:t>Borch-Johnsen</w:t>
      </w:r>
      <w:r>
        <w:rPr>
          <w:spacing w:val="-1"/>
        </w:rPr>
        <w:t xml:space="preserve"> </w:t>
      </w:r>
      <w:r>
        <w:t>K,</w:t>
      </w:r>
      <w:r>
        <w:rPr>
          <w:spacing w:val="-4"/>
        </w:rPr>
        <w:t xml:space="preserve"> </w:t>
      </w:r>
      <w:r>
        <w:t>Davies</w:t>
      </w:r>
      <w:r>
        <w:rPr>
          <w:spacing w:val="-3"/>
        </w:rPr>
        <w:t xml:space="preserve"> </w:t>
      </w:r>
      <w:r>
        <w:t>MJ,</w:t>
      </w:r>
      <w:r>
        <w:rPr>
          <w:spacing w:val="-3"/>
        </w:rPr>
        <w:t xml:space="preserve"> </w:t>
      </w:r>
      <w:r>
        <w:t>et</w:t>
      </w:r>
      <w:r>
        <w:rPr>
          <w:spacing w:val="-1"/>
        </w:rPr>
        <w:t xml:space="preserve"> </w:t>
      </w:r>
      <w:r>
        <w:t>al.</w:t>
      </w:r>
      <w:r>
        <w:rPr>
          <w:spacing w:val="-1"/>
        </w:rPr>
        <w:t xml:space="preserve"> </w:t>
      </w:r>
      <w:r>
        <w:t>Effect</w:t>
      </w:r>
      <w:r>
        <w:rPr>
          <w:spacing w:val="-3"/>
        </w:rPr>
        <w:t xml:space="preserve"> </w:t>
      </w:r>
      <w:r>
        <w:t>of</w:t>
      </w:r>
      <w:r>
        <w:rPr>
          <w:spacing w:val="-4"/>
        </w:rPr>
        <w:t xml:space="preserve"> </w:t>
      </w:r>
      <w:r>
        <w:t>early</w:t>
      </w:r>
      <w:r>
        <w:rPr>
          <w:spacing w:val="-1"/>
        </w:rPr>
        <w:t xml:space="preserve"> </w:t>
      </w:r>
      <w:r>
        <w:t>intensive</w:t>
      </w:r>
      <w:r>
        <w:rPr>
          <w:spacing w:val="-3"/>
        </w:rPr>
        <w:t xml:space="preserve"> </w:t>
      </w:r>
      <w:r>
        <w:t>multifactorial</w:t>
      </w:r>
      <w:r>
        <w:rPr>
          <w:spacing w:val="-4"/>
        </w:rPr>
        <w:t xml:space="preserve"> </w:t>
      </w:r>
      <w:r>
        <w:t>therapy</w:t>
      </w:r>
      <w:r>
        <w:rPr>
          <w:spacing w:val="-3"/>
        </w:rPr>
        <w:t xml:space="preserve"> </w:t>
      </w:r>
      <w:r>
        <w:t>on</w:t>
      </w:r>
      <w:r>
        <w:rPr>
          <w:spacing w:val="-4"/>
        </w:rPr>
        <w:t xml:space="preserve"> </w:t>
      </w:r>
      <w:r>
        <w:t>5-year cardiovascular outcomes in individuals with type 2 diabetes detected by screening (ADDITION-Europe): a cluster-</w:t>
      </w:r>
      <w:proofErr w:type="spellStart"/>
      <w:r>
        <w:t>randomised</w:t>
      </w:r>
      <w:proofErr w:type="spellEnd"/>
      <w:r>
        <w:t xml:space="preserve"> trial [published correction appears in Lancet. 2012 Mar 3;379(9818):804]. Lancet. 2011;378(9786):156-167. doi:10.1016/S0140-6736(11)60698-3</w:t>
      </w:r>
    </w:p>
    <w:p w14:paraId="7A4C2EED" w14:textId="77777777" w:rsidR="00E13D3F" w:rsidRDefault="00FB2D6A" w:rsidP="00990D2B">
      <w:pPr>
        <w:pStyle w:val="ListParagraph"/>
        <w:numPr>
          <w:ilvl w:val="0"/>
          <w:numId w:val="35"/>
        </w:numPr>
        <w:tabs>
          <w:tab w:val="left" w:pos="1798"/>
          <w:tab w:val="left" w:pos="1800"/>
        </w:tabs>
        <w:spacing w:before="1" w:line="273" w:lineRule="auto"/>
        <w:ind w:right="1721"/>
      </w:pPr>
      <w:r>
        <w:t>Australian</w:t>
      </w:r>
      <w:r>
        <w:rPr>
          <w:spacing w:val="-3"/>
        </w:rPr>
        <w:t xml:space="preserve"> </w:t>
      </w:r>
      <w:r>
        <w:t>Institute</w:t>
      </w:r>
      <w:r>
        <w:rPr>
          <w:spacing w:val="-4"/>
        </w:rPr>
        <w:t xml:space="preserve"> </w:t>
      </w:r>
      <w:r>
        <w:t>of</w:t>
      </w:r>
      <w:r>
        <w:rPr>
          <w:spacing w:val="-5"/>
        </w:rPr>
        <w:t xml:space="preserve"> </w:t>
      </w:r>
      <w:r>
        <w:t>Health</w:t>
      </w:r>
      <w:r>
        <w:rPr>
          <w:spacing w:val="-2"/>
        </w:rPr>
        <w:t xml:space="preserve"> </w:t>
      </w:r>
      <w:r>
        <w:t>and</w:t>
      </w:r>
      <w:r>
        <w:rPr>
          <w:spacing w:val="-3"/>
        </w:rPr>
        <w:t xml:space="preserve"> </w:t>
      </w:r>
      <w:r>
        <w:t>Welfare</w:t>
      </w:r>
      <w:r>
        <w:rPr>
          <w:spacing w:val="-2"/>
        </w:rPr>
        <w:t xml:space="preserve"> </w:t>
      </w:r>
      <w:r>
        <w:t>(2022).</w:t>
      </w:r>
      <w:r>
        <w:rPr>
          <w:spacing w:val="-2"/>
        </w:rPr>
        <w:t xml:space="preserve"> </w:t>
      </w:r>
      <w:r>
        <w:t>Diabetes:</w:t>
      </w:r>
      <w:r>
        <w:rPr>
          <w:spacing w:val="-2"/>
        </w:rPr>
        <w:t xml:space="preserve"> </w:t>
      </w:r>
      <w:r>
        <w:t>Australian</w:t>
      </w:r>
      <w:r>
        <w:rPr>
          <w:spacing w:val="-3"/>
        </w:rPr>
        <w:t xml:space="preserve"> </w:t>
      </w:r>
      <w:r>
        <w:t>facts,</w:t>
      </w:r>
      <w:r>
        <w:rPr>
          <w:spacing w:val="-2"/>
        </w:rPr>
        <w:t xml:space="preserve"> </w:t>
      </w:r>
      <w:r>
        <w:t>AIHW,</w:t>
      </w:r>
      <w:r>
        <w:rPr>
          <w:spacing w:val="-2"/>
        </w:rPr>
        <w:t xml:space="preserve"> </w:t>
      </w:r>
      <w:r>
        <w:t xml:space="preserve">Australian </w:t>
      </w:r>
      <w:r>
        <w:rPr>
          <w:spacing w:val="-2"/>
        </w:rPr>
        <w:t>Government.</w:t>
      </w:r>
    </w:p>
    <w:p w14:paraId="7A4C2EEE" w14:textId="77777777" w:rsidR="00E13D3F" w:rsidRDefault="00FB2D6A" w:rsidP="00990D2B">
      <w:pPr>
        <w:pStyle w:val="ListParagraph"/>
        <w:numPr>
          <w:ilvl w:val="0"/>
          <w:numId w:val="35"/>
        </w:numPr>
        <w:tabs>
          <w:tab w:val="left" w:pos="1798"/>
          <w:tab w:val="left" w:pos="1800"/>
        </w:tabs>
        <w:spacing w:before="4" w:line="276" w:lineRule="auto"/>
        <w:ind w:right="1887"/>
      </w:pPr>
      <w:proofErr w:type="spellStart"/>
      <w:r>
        <w:t>Brateanu</w:t>
      </w:r>
      <w:proofErr w:type="spellEnd"/>
      <w:r>
        <w:t xml:space="preserve"> A, </w:t>
      </w:r>
      <w:proofErr w:type="spellStart"/>
      <w:r>
        <w:t>Barwacz</w:t>
      </w:r>
      <w:proofErr w:type="spellEnd"/>
      <w:r>
        <w:t xml:space="preserve"> T, Kou L, et al. Determining the optimal screening interval for type 2 diabetes</w:t>
      </w:r>
      <w:r>
        <w:rPr>
          <w:spacing w:val="-5"/>
        </w:rPr>
        <w:t xml:space="preserve"> </w:t>
      </w:r>
      <w:r>
        <w:t>mellitus</w:t>
      </w:r>
      <w:r>
        <w:rPr>
          <w:spacing w:val="-3"/>
        </w:rPr>
        <w:t xml:space="preserve"> </w:t>
      </w:r>
      <w:r>
        <w:t>using</w:t>
      </w:r>
      <w:r>
        <w:rPr>
          <w:spacing w:val="-4"/>
        </w:rPr>
        <w:t xml:space="preserve"> </w:t>
      </w:r>
      <w:r>
        <w:t>a</w:t>
      </w:r>
      <w:r>
        <w:rPr>
          <w:spacing w:val="-3"/>
        </w:rPr>
        <w:t xml:space="preserve"> </w:t>
      </w:r>
      <w:r>
        <w:t>risk</w:t>
      </w:r>
      <w:r>
        <w:rPr>
          <w:spacing w:val="-3"/>
        </w:rPr>
        <w:t xml:space="preserve"> </w:t>
      </w:r>
      <w:r>
        <w:t>prediction</w:t>
      </w:r>
      <w:r>
        <w:rPr>
          <w:spacing w:val="-6"/>
        </w:rPr>
        <w:t xml:space="preserve"> </w:t>
      </w:r>
      <w:r>
        <w:t>model.</w:t>
      </w:r>
      <w:r>
        <w:rPr>
          <w:spacing w:val="-3"/>
        </w:rPr>
        <w:t xml:space="preserve"> </w:t>
      </w:r>
      <w:proofErr w:type="spellStart"/>
      <w:r>
        <w:t>PLoS</w:t>
      </w:r>
      <w:proofErr w:type="spellEnd"/>
      <w:r>
        <w:rPr>
          <w:spacing w:val="-6"/>
        </w:rPr>
        <w:t xml:space="preserve"> </w:t>
      </w:r>
      <w:r>
        <w:t>One.</w:t>
      </w:r>
      <w:r>
        <w:rPr>
          <w:spacing w:val="-3"/>
        </w:rPr>
        <w:t xml:space="preserve"> </w:t>
      </w:r>
      <w:r>
        <w:t>2017;12(11):e0187695.</w:t>
      </w:r>
      <w:r>
        <w:rPr>
          <w:spacing w:val="-3"/>
        </w:rPr>
        <w:t xml:space="preserve"> </w:t>
      </w:r>
      <w:r>
        <w:t>Published 2017 Nov 14. doi:10.1371/journal.pone.0187695</w:t>
      </w:r>
    </w:p>
    <w:p w14:paraId="7A4C2EEF" w14:textId="77777777" w:rsidR="00E13D3F" w:rsidRDefault="00E13D3F">
      <w:pPr>
        <w:pStyle w:val="ListParagraph"/>
        <w:spacing w:line="276" w:lineRule="auto"/>
        <w:sectPr w:rsidR="00E13D3F">
          <w:pgSz w:w="11910" w:h="16840"/>
          <w:pgMar w:top="1780" w:right="0" w:bottom="1200" w:left="0" w:header="0" w:footer="1000" w:gutter="0"/>
          <w:cols w:space="720"/>
        </w:sectPr>
      </w:pPr>
    </w:p>
    <w:p w14:paraId="7A4C2EF0" w14:textId="77777777" w:rsidR="00E13D3F" w:rsidRDefault="00FB2D6A" w:rsidP="00990D2B">
      <w:pPr>
        <w:pStyle w:val="Heading1"/>
        <w:numPr>
          <w:ilvl w:val="0"/>
          <w:numId w:val="53"/>
        </w:numPr>
        <w:tabs>
          <w:tab w:val="left" w:pos="1800"/>
        </w:tabs>
        <w:spacing w:line="259" w:lineRule="auto"/>
        <w:ind w:right="2274"/>
        <w:rPr>
          <w:color w:val="2E5395"/>
          <w:u w:color="2E5395"/>
        </w:rPr>
      </w:pPr>
      <w:r>
        <w:rPr>
          <w:color w:val="2E5395"/>
          <w:u w:color="2E5395"/>
        </w:rPr>
        <w:lastRenderedPageBreak/>
        <w:t>The</w:t>
      </w:r>
      <w:r>
        <w:rPr>
          <w:color w:val="2E5395"/>
          <w:spacing w:val="-4"/>
          <w:u w:color="2E5395"/>
        </w:rPr>
        <w:t xml:space="preserve"> </w:t>
      </w:r>
      <w:r>
        <w:rPr>
          <w:color w:val="2E5395"/>
          <w:u w:color="2E5395"/>
        </w:rPr>
        <w:t>Health</w:t>
      </w:r>
      <w:r>
        <w:rPr>
          <w:color w:val="2E5395"/>
          <w:spacing w:val="-4"/>
          <w:u w:color="2E5395"/>
        </w:rPr>
        <w:t xml:space="preserve"> </w:t>
      </w:r>
      <w:r>
        <w:rPr>
          <w:color w:val="2E5395"/>
          <w:u w:color="2E5395"/>
        </w:rPr>
        <w:t>Assessment</w:t>
      </w:r>
      <w:r>
        <w:rPr>
          <w:color w:val="2E5395"/>
          <w:spacing w:val="-3"/>
          <w:u w:color="2E5395"/>
        </w:rPr>
        <w:t xml:space="preserve"> </w:t>
      </w:r>
      <w:r>
        <w:rPr>
          <w:color w:val="2E5395"/>
          <w:u w:color="2E5395"/>
        </w:rPr>
        <w:t>component:</w:t>
      </w:r>
      <w:r>
        <w:rPr>
          <w:color w:val="2E5395"/>
          <w:spacing w:val="-3"/>
          <w:u w:color="2E5395"/>
        </w:rPr>
        <w:t xml:space="preserve"> </w:t>
      </w:r>
      <w:r>
        <w:rPr>
          <w:color w:val="2E5395"/>
          <w:u w:color="2E5395"/>
        </w:rPr>
        <w:t>Detection</w:t>
      </w:r>
      <w:r>
        <w:rPr>
          <w:color w:val="2E5395"/>
          <w:spacing w:val="-6"/>
          <w:u w:color="2E5395"/>
        </w:rPr>
        <w:t xml:space="preserve"> </w:t>
      </w:r>
      <w:r>
        <w:rPr>
          <w:color w:val="2E5395"/>
          <w:u w:color="2E5395"/>
        </w:rPr>
        <w:t>and</w:t>
      </w:r>
      <w:r>
        <w:rPr>
          <w:color w:val="2E5395"/>
          <w:spacing w:val="-5"/>
          <w:u w:color="2E5395"/>
        </w:rPr>
        <w:t xml:space="preserve"> </w:t>
      </w:r>
      <w:r>
        <w:rPr>
          <w:color w:val="2E5395"/>
          <w:u w:color="2E5395"/>
        </w:rPr>
        <w:t>advice</w:t>
      </w:r>
      <w:r>
        <w:rPr>
          <w:color w:val="2E5395"/>
          <w:spacing w:val="-3"/>
          <w:u w:color="2E5395"/>
        </w:rPr>
        <w:t xml:space="preserve"> </w:t>
      </w:r>
      <w:r>
        <w:rPr>
          <w:color w:val="2E5395"/>
          <w:u w:color="2E5395"/>
        </w:rPr>
        <w:t>on</w:t>
      </w:r>
      <w:r>
        <w:rPr>
          <w:color w:val="2E5395"/>
          <w:u w:val="none"/>
        </w:rPr>
        <w:t xml:space="preserve"> </w:t>
      </w:r>
      <w:r>
        <w:rPr>
          <w:color w:val="2E5395"/>
          <w:u w:color="2E5395"/>
        </w:rPr>
        <w:t>Smoking cessation</w:t>
      </w:r>
    </w:p>
    <w:p w14:paraId="7A4C2EF1" w14:textId="77777777" w:rsidR="00E13D3F" w:rsidRDefault="00FB2D6A">
      <w:pPr>
        <w:pStyle w:val="Heading2"/>
        <w:spacing w:before="39"/>
      </w:pPr>
      <w:r>
        <w:rPr>
          <w:color w:val="2E5395"/>
        </w:rPr>
        <w:t>Background</w:t>
      </w:r>
      <w:r>
        <w:rPr>
          <w:color w:val="2E5395"/>
          <w:spacing w:val="-11"/>
        </w:rPr>
        <w:t xml:space="preserve"> </w:t>
      </w:r>
      <w:r>
        <w:rPr>
          <w:color w:val="2E5395"/>
        </w:rPr>
        <w:t>and</w:t>
      </w:r>
      <w:r>
        <w:rPr>
          <w:color w:val="2E5395"/>
          <w:spacing w:val="-10"/>
        </w:rPr>
        <w:t xml:space="preserve"> </w:t>
      </w:r>
      <w:r>
        <w:rPr>
          <w:color w:val="2E5395"/>
          <w:spacing w:val="-2"/>
        </w:rPr>
        <w:t>Description</w:t>
      </w:r>
    </w:p>
    <w:p w14:paraId="7A4C2EF2" w14:textId="77777777" w:rsidR="00E13D3F" w:rsidRDefault="00FB2D6A">
      <w:pPr>
        <w:pStyle w:val="BodyText"/>
        <w:spacing w:before="25" w:line="276" w:lineRule="auto"/>
        <w:ind w:right="1672"/>
      </w:pPr>
      <w:r>
        <w:t>Smoking</w:t>
      </w:r>
      <w:r>
        <w:rPr>
          <w:spacing w:val="-3"/>
        </w:rPr>
        <w:t xml:space="preserve"> </w:t>
      </w:r>
      <w:r>
        <w:t>has</w:t>
      </w:r>
      <w:r>
        <w:rPr>
          <w:spacing w:val="-5"/>
        </w:rPr>
        <w:t xml:space="preserve"> </w:t>
      </w:r>
      <w:r>
        <w:t>been</w:t>
      </w:r>
      <w:r>
        <w:rPr>
          <w:spacing w:val="-4"/>
        </w:rPr>
        <w:t xml:space="preserve"> </w:t>
      </w:r>
      <w:r>
        <w:t>declining</w:t>
      </w:r>
      <w:r>
        <w:rPr>
          <w:spacing w:val="-3"/>
        </w:rPr>
        <w:t xml:space="preserve"> </w:t>
      </w:r>
      <w:r>
        <w:t>steadily</w:t>
      </w:r>
      <w:r>
        <w:rPr>
          <w:spacing w:val="-3"/>
        </w:rPr>
        <w:t xml:space="preserve"> </w:t>
      </w:r>
      <w:r>
        <w:t>in</w:t>
      </w:r>
      <w:r>
        <w:rPr>
          <w:spacing w:val="-2"/>
        </w:rPr>
        <w:t xml:space="preserve"> </w:t>
      </w:r>
      <w:r>
        <w:t>Australia,</w:t>
      </w:r>
      <w:r>
        <w:rPr>
          <w:spacing w:val="-5"/>
        </w:rPr>
        <w:t xml:space="preserve"> </w:t>
      </w:r>
      <w:r>
        <w:t>but,</w:t>
      </w:r>
      <w:r>
        <w:rPr>
          <w:spacing w:val="-5"/>
        </w:rPr>
        <w:t xml:space="preserve"> </w:t>
      </w:r>
      <w:r>
        <w:t>with</w:t>
      </w:r>
      <w:r>
        <w:rPr>
          <w:spacing w:val="-4"/>
        </w:rPr>
        <w:t xml:space="preserve"> </w:t>
      </w:r>
      <w:r>
        <w:t>around</w:t>
      </w:r>
      <w:r>
        <w:rPr>
          <w:spacing w:val="-2"/>
        </w:rPr>
        <w:t xml:space="preserve"> </w:t>
      </w:r>
      <w:r>
        <w:t>15%</w:t>
      </w:r>
      <w:r>
        <w:rPr>
          <w:spacing w:val="-3"/>
        </w:rPr>
        <w:t xml:space="preserve"> </w:t>
      </w:r>
      <w:r>
        <w:t>of</w:t>
      </w:r>
      <w:r>
        <w:rPr>
          <w:spacing w:val="-5"/>
        </w:rPr>
        <w:t xml:space="preserve"> </w:t>
      </w:r>
      <w:r>
        <w:t>adults</w:t>
      </w:r>
      <w:r>
        <w:rPr>
          <w:spacing w:val="-3"/>
        </w:rPr>
        <w:t xml:space="preserve"> </w:t>
      </w:r>
      <w:r>
        <w:t>still</w:t>
      </w:r>
      <w:r>
        <w:rPr>
          <w:spacing w:val="-5"/>
        </w:rPr>
        <w:t xml:space="preserve"> </w:t>
      </w:r>
      <w:r>
        <w:t>being regular smokers, remains a significant problem. The health implications are substantial: data from the NSW 45 and Up study concluded that up to two-thirds of deaths in current smokers can be attributed to smoking, who each lose on average 10 years of life.</w:t>
      </w:r>
    </w:p>
    <w:p w14:paraId="7A4C2EF3" w14:textId="77777777" w:rsidR="00E13D3F" w:rsidRDefault="00FB2D6A">
      <w:pPr>
        <w:pStyle w:val="BodyText"/>
        <w:spacing w:before="160" w:line="276" w:lineRule="auto"/>
        <w:ind w:right="1450"/>
      </w:pPr>
      <w:r>
        <w:t>Most smokers make multiple attempts to quit before they finally succeed long-term, GPs have an important role to play with brief advice to quit. For example, the three-step brief intervention</w:t>
      </w:r>
      <w:r>
        <w:rPr>
          <w:spacing w:val="-4"/>
        </w:rPr>
        <w:t xml:space="preserve"> </w:t>
      </w:r>
      <w:r>
        <w:t>model</w:t>
      </w:r>
      <w:r>
        <w:rPr>
          <w:spacing w:val="-2"/>
        </w:rPr>
        <w:t xml:space="preserve"> </w:t>
      </w:r>
      <w:r>
        <w:t>consists</w:t>
      </w:r>
      <w:r>
        <w:rPr>
          <w:spacing w:val="-3"/>
        </w:rPr>
        <w:t xml:space="preserve"> </w:t>
      </w:r>
      <w:r>
        <w:t>of:</w:t>
      </w:r>
      <w:r>
        <w:rPr>
          <w:spacing w:val="-3"/>
        </w:rPr>
        <w:t xml:space="preserve"> </w:t>
      </w:r>
      <w:r>
        <w:t>(</w:t>
      </w:r>
      <w:proofErr w:type="spellStart"/>
      <w:r>
        <w:t>i</w:t>
      </w:r>
      <w:proofErr w:type="spellEnd"/>
      <w:r>
        <w:t>)</w:t>
      </w:r>
      <w:r>
        <w:rPr>
          <w:spacing w:val="-4"/>
        </w:rPr>
        <w:t xml:space="preserve"> </w:t>
      </w:r>
      <w:r>
        <w:t>Ask</w:t>
      </w:r>
      <w:r>
        <w:rPr>
          <w:spacing w:val="-4"/>
        </w:rPr>
        <w:t xml:space="preserve"> </w:t>
      </w:r>
      <w:r>
        <w:t>and</w:t>
      </w:r>
      <w:r>
        <w:rPr>
          <w:spacing w:val="-2"/>
        </w:rPr>
        <w:t xml:space="preserve"> </w:t>
      </w:r>
      <w:r>
        <w:t>record</w:t>
      </w:r>
      <w:r>
        <w:rPr>
          <w:spacing w:val="-6"/>
        </w:rPr>
        <w:t xml:space="preserve"> </w:t>
      </w:r>
      <w:r>
        <w:t>smoking</w:t>
      </w:r>
      <w:r>
        <w:rPr>
          <w:spacing w:val="-3"/>
        </w:rPr>
        <w:t xml:space="preserve"> </w:t>
      </w:r>
      <w:r>
        <w:t>status;</w:t>
      </w:r>
      <w:r>
        <w:rPr>
          <w:spacing w:val="-5"/>
        </w:rPr>
        <w:t xml:space="preserve"> </w:t>
      </w:r>
      <w:r>
        <w:t>(ii)</w:t>
      </w:r>
      <w:r>
        <w:rPr>
          <w:spacing w:val="-4"/>
        </w:rPr>
        <w:t xml:space="preserve"> </w:t>
      </w:r>
      <w:r>
        <w:t>Advise</w:t>
      </w:r>
      <w:r>
        <w:rPr>
          <w:spacing w:val="-2"/>
        </w:rPr>
        <w:t xml:space="preserve"> </w:t>
      </w:r>
      <w:r>
        <w:t>all</w:t>
      </w:r>
      <w:r>
        <w:rPr>
          <w:spacing w:val="-5"/>
        </w:rPr>
        <w:t xml:space="preserve"> </w:t>
      </w:r>
      <w:r>
        <w:t>people</w:t>
      </w:r>
      <w:r>
        <w:rPr>
          <w:spacing w:val="-4"/>
        </w:rPr>
        <w:t xml:space="preserve"> </w:t>
      </w:r>
      <w:r>
        <w:t xml:space="preserve">who smoke to quit and on the most effective methods; (iii) help by offering to arrange referral, encourage use of </w:t>
      </w:r>
      <w:proofErr w:type="spellStart"/>
      <w:r>
        <w:t>behavioural</w:t>
      </w:r>
      <w:proofErr w:type="spellEnd"/>
      <w:r>
        <w:t xml:space="preserve"> intervention and use of evidence-based smoking cessation </w:t>
      </w:r>
      <w:r>
        <w:rPr>
          <w:spacing w:val="-2"/>
        </w:rPr>
        <w:t>pharmacotherapy.</w:t>
      </w:r>
    </w:p>
    <w:p w14:paraId="7A4C2EF4" w14:textId="77777777" w:rsidR="00E13D3F" w:rsidRDefault="00FB2D6A">
      <w:pPr>
        <w:pStyle w:val="BodyText"/>
        <w:spacing w:before="161" w:line="276" w:lineRule="auto"/>
        <w:ind w:right="1450"/>
      </w:pPr>
      <w:r>
        <w:t>Such</w:t>
      </w:r>
      <w:r>
        <w:rPr>
          <w:spacing w:val="-2"/>
        </w:rPr>
        <w:t xml:space="preserve"> </w:t>
      </w:r>
      <w:r>
        <w:t>checks</w:t>
      </w:r>
      <w:r>
        <w:rPr>
          <w:spacing w:val="-3"/>
        </w:rPr>
        <w:t xml:space="preserve"> </w:t>
      </w:r>
      <w:r>
        <w:t>and</w:t>
      </w:r>
      <w:r>
        <w:rPr>
          <w:spacing w:val="-4"/>
        </w:rPr>
        <w:t xml:space="preserve"> </w:t>
      </w:r>
      <w:r>
        <w:t>brief</w:t>
      </w:r>
      <w:r>
        <w:rPr>
          <w:spacing w:val="-2"/>
        </w:rPr>
        <w:t xml:space="preserve"> </w:t>
      </w:r>
      <w:r>
        <w:t>advice</w:t>
      </w:r>
      <w:r>
        <w:rPr>
          <w:spacing w:val="-2"/>
        </w:rPr>
        <w:t xml:space="preserve"> </w:t>
      </w:r>
      <w:r>
        <w:t>should</w:t>
      </w:r>
      <w:r>
        <w:rPr>
          <w:spacing w:val="-4"/>
        </w:rPr>
        <w:t xml:space="preserve"> </w:t>
      </w:r>
      <w:r>
        <w:t>be</w:t>
      </w:r>
      <w:r>
        <w:rPr>
          <w:spacing w:val="-4"/>
        </w:rPr>
        <w:t xml:space="preserve"> </w:t>
      </w:r>
      <w:r>
        <w:t>part</w:t>
      </w:r>
      <w:r>
        <w:rPr>
          <w:spacing w:val="-3"/>
        </w:rPr>
        <w:t xml:space="preserve"> </w:t>
      </w:r>
      <w:r>
        <w:t>of</w:t>
      </w:r>
      <w:r>
        <w:rPr>
          <w:spacing w:val="-2"/>
        </w:rPr>
        <w:t xml:space="preserve"> </w:t>
      </w:r>
      <w:r>
        <w:t>ongoing</w:t>
      </w:r>
      <w:r>
        <w:rPr>
          <w:spacing w:val="-3"/>
        </w:rPr>
        <w:t xml:space="preserve"> </w:t>
      </w:r>
      <w:r>
        <w:t>primary</w:t>
      </w:r>
      <w:r>
        <w:rPr>
          <w:spacing w:val="-3"/>
        </w:rPr>
        <w:t xml:space="preserve"> </w:t>
      </w:r>
      <w:r>
        <w:t>care</w:t>
      </w:r>
      <w:r>
        <w:rPr>
          <w:spacing w:val="-4"/>
        </w:rPr>
        <w:t xml:space="preserve"> </w:t>
      </w:r>
      <w:r>
        <w:t>but</w:t>
      </w:r>
      <w:r>
        <w:rPr>
          <w:spacing w:val="-4"/>
        </w:rPr>
        <w:t xml:space="preserve"> </w:t>
      </w:r>
      <w:r>
        <w:t>are</w:t>
      </w:r>
      <w:r>
        <w:rPr>
          <w:spacing w:val="-2"/>
        </w:rPr>
        <w:t xml:space="preserve"> </w:t>
      </w:r>
      <w:r>
        <w:t>also</w:t>
      </w:r>
      <w:r>
        <w:rPr>
          <w:spacing w:val="-4"/>
        </w:rPr>
        <w:t xml:space="preserve"> </w:t>
      </w:r>
      <w:r>
        <w:t>a component of intermittent and more comprehensive health assessments.</w:t>
      </w:r>
    </w:p>
    <w:p w14:paraId="7A4C2EF5" w14:textId="77777777" w:rsidR="00E13D3F" w:rsidRDefault="00FB2D6A">
      <w:pPr>
        <w:pStyle w:val="Heading2"/>
        <w:spacing w:before="161"/>
      </w:pPr>
      <w:r>
        <w:rPr>
          <w:color w:val="2E5395"/>
        </w:rPr>
        <w:t>Evidence</w:t>
      </w:r>
      <w:r>
        <w:rPr>
          <w:color w:val="2E5395"/>
          <w:spacing w:val="-9"/>
        </w:rPr>
        <w:t xml:space="preserve"> </w:t>
      </w:r>
      <w:r>
        <w:rPr>
          <w:color w:val="2E5395"/>
        </w:rPr>
        <w:t>of</w:t>
      </w:r>
      <w:r>
        <w:rPr>
          <w:color w:val="2E5395"/>
          <w:spacing w:val="-10"/>
        </w:rPr>
        <w:t xml:space="preserve"> </w:t>
      </w:r>
      <w:r>
        <w:rPr>
          <w:color w:val="2E5395"/>
          <w:spacing w:val="-2"/>
        </w:rPr>
        <w:t>Effectiveness</w:t>
      </w:r>
    </w:p>
    <w:p w14:paraId="7A4C2EF6" w14:textId="77777777" w:rsidR="00E13D3F" w:rsidRDefault="00FB2D6A">
      <w:pPr>
        <w:pStyle w:val="BodyText"/>
        <w:spacing w:before="23" w:line="276" w:lineRule="auto"/>
        <w:ind w:right="1519"/>
      </w:pPr>
      <w:r>
        <w:t>No systematic reviews for the effect of screening</w:t>
      </w:r>
      <w:r>
        <w:rPr>
          <w:spacing w:val="-2"/>
        </w:rPr>
        <w:t xml:space="preserve"> </w:t>
      </w:r>
      <w:r>
        <w:t>for smoking on future morbidity and/or mortality were identified. Linked evidence for the effect of interventions once smoking is detected is provided by a) a network meta-analysis of the effect of the provision of brief advice</w:t>
      </w:r>
      <w:r>
        <w:rPr>
          <w:spacing w:val="-2"/>
        </w:rPr>
        <w:t xml:space="preserve"> </w:t>
      </w:r>
      <w:r>
        <w:t>to</w:t>
      </w:r>
      <w:r>
        <w:rPr>
          <w:spacing w:val="-2"/>
        </w:rPr>
        <w:t xml:space="preserve"> </w:t>
      </w:r>
      <w:r>
        <w:t>quit</w:t>
      </w:r>
      <w:r>
        <w:rPr>
          <w:spacing w:val="-4"/>
        </w:rPr>
        <w:t xml:space="preserve"> </w:t>
      </w:r>
      <w:r>
        <w:t>smoking</w:t>
      </w:r>
      <w:r>
        <w:rPr>
          <w:spacing w:val="-4"/>
        </w:rPr>
        <w:t xml:space="preserve"> </w:t>
      </w:r>
      <w:r>
        <w:t>on</w:t>
      </w:r>
      <w:r>
        <w:rPr>
          <w:spacing w:val="-2"/>
        </w:rPr>
        <w:t xml:space="preserve"> </w:t>
      </w:r>
      <w:r>
        <w:t>quit</w:t>
      </w:r>
      <w:r>
        <w:rPr>
          <w:spacing w:val="-4"/>
        </w:rPr>
        <w:t xml:space="preserve"> </w:t>
      </w:r>
      <w:r>
        <w:t>rate</w:t>
      </w:r>
      <w:r>
        <w:rPr>
          <w:spacing w:val="-2"/>
        </w:rPr>
        <w:t xml:space="preserve"> </w:t>
      </w:r>
      <w:r>
        <w:t>in</w:t>
      </w:r>
      <w:r>
        <w:rPr>
          <w:spacing w:val="-2"/>
        </w:rPr>
        <w:t xml:space="preserve"> </w:t>
      </w:r>
      <w:r>
        <w:t>the</w:t>
      </w:r>
      <w:r>
        <w:rPr>
          <w:spacing w:val="-4"/>
        </w:rPr>
        <w:t xml:space="preserve"> </w:t>
      </w:r>
      <w:r>
        <w:t>short</w:t>
      </w:r>
      <w:r>
        <w:rPr>
          <w:spacing w:val="-2"/>
        </w:rPr>
        <w:t xml:space="preserve"> </w:t>
      </w:r>
      <w:r>
        <w:t>and</w:t>
      </w:r>
      <w:r>
        <w:rPr>
          <w:spacing w:val="-4"/>
        </w:rPr>
        <w:t xml:space="preserve"> </w:t>
      </w:r>
      <w:r>
        <w:t>b)</w:t>
      </w:r>
      <w:r>
        <w:rPr>
          <w:spacing w:val="-4"/>
        </w:rPr>
        <w:t xml:space="preserve"> </w:t>
      </w:r>
      <w:r>
        <w:t>studies</w:t>
      </w:r>
      <w:r>
        <w:rPr>
          <w:spacing w:val="-4"/>
        </w:rPr>
        <w:t xml:space="preserve"> </w:t>
      </w:r>
      <w:r>
        <w:t>of</w:t>
      </w:r>
      <w:r>
        <w:rPr>
          <w:spacing w:val="-4"/>
        </w:rPr>
        <w:t xml:space="preserve"> </w:t>
      </w:r>
      <w:r>
        <w:t>varying</w:t>
      </w:r>
      <w:r>
        <w:rPr>
          <w:spacing w:val="-4"/>
        </w:rPr>
        <w:t xml:space="preserve"> </w:t>
      </w:r>
      <w:r>
        <w:t>designs</w:t>
      </w:r>
      <w:r>
        <w:rPr>
          <w:spacing w:val="-3"/>
        </w:rPr>
        <w:t xml:space="preserve"> </w:t>
      </w:r>
      <w:r>
        <w:t>reporting on the impact of smoking cessation with health outcomes.</w:t>
      </w:r>
    </w:p>
    <w:p w14:paraId="7A4C2EF7" w14:textId="77777777" w:rsidR="00E13D3F" w:rsidRDefault="00FB2D6A">
      <w:pPr>
        <w:spacing w:before="162"/>
        <w:ind w:left="1440"/>
        <w:rPr>
          <w:i/>
          <w:sz w:val="24"/>
        </w:rPr>
      </w:pPr>
      <w:r>
        <w:rPr>
          <w:b/>
          <w:sz w:val="24"/>
        </w:rPr>
        <w:t>Linked</w:t>
      </w:r>
      <w:r>
        <w:rPr>
          <w:b/>
          <w:spacing w:val="-4"/>
          <w:sz w:val="24"/>
        </w:rPr>
        <w:t xml:space="preserve"> </w:t>
      </w:r>
      <w:r>
        <w:rPr>
          <w:b/>
          <w:sz w:val="24"/>
        </w:rPr>
        <w:t xml:space="preserve">Evidence: </w:t>
      </w:r>
      <w:r>
        <w:rPr>
          <w:i/>
          <w:sz w:val="24"/>
        </w:rPr>
        <w:t>a)</w:t>
      </w:r>
      <w:r>
        <w:rPr>
          <w:i/>
          <w:spacing w:val="-3"/>
          <w:sz w:val="24"/>
        </w:rPr>
        <w:t xml:space="preserve"> </w:t>
      </w:r>
      <w:r>
        <w:rPr>
          <w:i/>
          <w:sz w:val="24"/>
        </w:rPr>
        <w:t>The</w:t>
      </w:r>
      <w:r>
        <w:rPr>
          <w:i/>
          <w:spacing w:val="-3"/>
          <w:sz w:val="24"/>
        </w:rPr>
        <w:t xml:space="preserve"> </w:t>
      </w:r>
      <w:r>
        <w:rPr>
          <w:i/>
          <w:sz w:val="24"/>
        </w:rPr>
        <w:t>effect</w:t>
      </w:r>
      <w:r>
        <w:rPr>
          <w:i/>
          <w:spacing w:val="-4"/>
          <w:sz w:val="24"/>
        </w:rPr>
        <w:t xml:space="preserve"> </w:t>
      </w:r>
      <w:r>
        <w:rPr>
          <w:i/>
          <w:sz w:val="24"/>
        </w:rPr>
        <w:t>of</w:t>
      </w:r>
      <w:r>
        <w:rPr>
          <w:i/>
          <w:spacing w:val="-1"/>
          <w:sz w:val="24"/>
        </w:rPr>
        <w:t xml:space="preserve"> </w:t>
      </w:r>
      <w:r>
        <w:rPr>
          <w:i/>
          <w:sz w:val="24"/>
        </w:rPr>
        <w:t>brief</w:t>
      </w:r>
      <w:r>
        <w:rPr>
          <w:i/>
          <w:spacing w:val="-3"/>
          <w:sz w:val="24"/>
        </w:rPr>
        <w:t xml:space="preserve"> </w:t>
      </w:r>
      <w:r>
        <w:rPr>
          <w:i/>
          <w:sz w:val="24"/>
        </w:rPr>
        <w:t>advice</w:t>
      </w:r>
      <w:r>
        <w:rPr>
          <w:i/>
          <w:spacing w:val="-3"/>
          <w:sz w:val="24"/>
        </w:rPr>
        <w:t xml:space="preserve"> </w:t>
      </w:r>
      <w:r>
        <w:rPr>
          <w:i/>
          <w:sz w:val="24"/>
        </w:rPr>
        <w:t>to</w:t>
      </w:r>
      <w:r>
        <w:rPr>
          <w:i/>
          <w:spacing w:val="-4"/>
          <w:sz w:val="24"/>
        </w:rPr>
        <w:t xml:space="preserve"> </w:t>
      </w:r>
      <w:r>
        <w:rPr>
          <w:i/>
          <w:sz w:val="24"/>
        </w:rPr>
        <w:t>quit</w:t>
      </w:r>
      <w:r>
        <w:rPr>
          <w:i/>
          <w:spacing w:val="-1"/>
          <w:sz w:val="24"/>
        </w:rPr>
        <w:t xml:space="preserve"> </w:t>
      </w:r>
      <w:r>
        <w:rPr>
          <w:i/>
          <w:sz w:val="24"/>
        </w:rPr>
        <w:t>smoking</w:t>
      </w:r>
      <w:r>
        <w:rPr>
          <w:i/>
          <w:spacing w:val="-3"/>
          <w:sz w:val="24"/>
        </w:rPr>
        <w:t xml:space="preserve"> </w:t>
      </w:r>
      <w:r>
        <w:rPr>
          <w:i/>
          <w:sz w:val="24"/>
        </w:rPr>
        <w:t>on</w:t>
      </w:r>
      <w:r>
        <w:rPr>
          <w:i/>
          <w:spacing w:val="-3"/>
          <w:sz w:val="24"/>
        </w:rPr>
        <w:t xml:space="preserve"> </w:t>
      </w:r>
      <w:r>
        <w:rPr>
          <w:i/>
          <w:sz w:val="24"/>
        </w:rPr>
        <w:t>quit</w:t>
      </w:r>
      <w:r>
        <w:rPr>
          <w:i/>
          <w:spacing w:val="-1"/>
          <w:sz w:val="24"/>
        </w:rPr>
        <w:t xml:space="preserve"> </w:t>
      </w:r>
      <w:r>
        <w:rPr>
          <w:i/>
          <w:spacing w:val="-2"/>
          <w:sz w:val="24"/>
        </w:rPr>
        <w:t>rates.</w:t>
      </w:r>
    </w:p>
    <w:p w14:paraId="7A4C2EF8" w14:textId="77777777" w:rsidR="00E13D3F" w:rsidRDefault="00FB2D6A">
      <w:pPr>
        <w:pStyle w:val="BodyText"/>
        <w:spacing w:before="182" w:line="276" w:lineRule="auto"/>
        <w:ind w:right="1475"/>
      </w:pPr>
      <w:r>
        <w:t>There is high quality evidence that brief advice to quit smoking increases the quit rate. A Cochrane network meta-analysis found that (based on 194 randomized trials, n = 72,273) the</w:t>
      </w:r>
      <w:r>
        <w:rPr>
          <w:spacing w:val="-3"/>
        </w:rPr>
        <w:t xml:space="preserve"> </w:t>
      </w:r>
      <w:r>
        <w:t>provision</w:t>
      </w:r>
      <w:r>
        <w:rPr>
          <w:spacing w:val="-1"/>
        </w:rPr>
        <w:t xml:space="preserve"> </w:t>
      </w:r>
      <w:r>
        <w:t>of counselling</w:t>
      </w:r>
      <w:r>
        <w:rPr>
          <w:spacing w:val="-1"/>
        </w:rPr>
        <w:t xml:space="preserve"> </w:t>
      </w:r>
      <w:r>
        <w:t>increased</w:t>
      </w:r>
      <w:r>
        <w:rPr>
          <w:spacing w:val="-2"/>
        </w:rPr>
        <w:t xml:space="preserve"> </w:t>
      </w:r>
      <w:r>
        <w:t>the quit</w:t>
      </w:r>
      <w:r>
        <w:rPr>
          <w:spacing w:val="-2"/>
        </w:rPr>
        <w:t xml:space="preserve"> </w:t>
      </w:r>
      <w:r>
        <w:t>rate by 44%</w:t>
      </w:r>
      <w:r>
        <w:rPr>
          <w:spacing w:val="-1"/>
        </w:rPr>
        <w:t xml:space="preserve"> </w:t>
      </w:r>
      <w:r>
        <w:t>(OR</w:t>
      </w:r>
      <w:r>
        <w:rPr>
          <w:spacing w:val="-2"/>
        </w:rPr>
        <w:t xml:space="preserve"> </w:t>
      </w:r>
      <w:r>
        <w:t>1.44,</w:t>
      </w:r>
      <w:r>
        <w:rPr>
          <w:spacing w:val="-3"/>
        </w:rPr>
        <w:t xml:space="preserve"> </w:t>
      </w:r>
      <w:r>
        <w:t>95%</w:t>
      </w:r>
      <w:r>
        <w:rPr>
          <w:spacing w:val="-2"/>
        </w:rPr>
        <w:t xml:space="preserve"> </w:t>
      </w:r>
      <w:r>
        <w:t>credibility</w:t>
      </w:r>
      <w:r>
        <w:rPr>
          <w:spacing w:val="-1"/>
        </w:rPr>
        <w:t xml:space="preserve"> </w:t>
      </w:r>
      <w:r>
        <w:t>interval (</w:t>
      </w:r>
      <w:proofErr w:type="spellStart"/>
      <w:r>
        <w:t>CrI</w:t>
      </w:r>
      <w:proofErr w:type="spellEnd"/>
      <w:r>
        <w:t>) 1.22 to 1.70) (1). Counselling included a wide range of interventions. Specifically relevant to this health assessment component they noted that a 2013 Cochrane Review (AMSTAR</w:t>
      </w:r>
      <w:r>
        <w:rPr>
          <w:spacing w:val="-3"/>
        </w:rPr>
        <w:t xml:space="preserve"> </w:t>
      </w:r>
      <w:r>
        <w:t>rating</w:t>
      </w:r>
      <w:r>
        <w:rPr>
          <w:spacing w:val="-4"/>
        </w:rPr>
        <w:t xml:space="preserve"> </w:t>
      </w:r>
      <w:r>
        <w:t>9/11)</w:t>
      </w:r>
      <w:r>
        <w:rPr>
          <w:spacing w:val="-3"/>
        </w:rPr>
        <w:t xml:space="preserve"> </w:t>
      </w:r>
      <w:r>
        <w:t>of</w:t>
      </w:r>
      <w:r>
        <w:rPr>
          <w:spacing w:val="-3"/>
        </w:rPr>
        <w:t xml:space="preserve"> </w:t>
      </w:r>
      <w:r>
        <w:t>42</w:t>
      </w:r>
      <w:r>
        <w:rPr>
          <w:spacing w:val="-3"/>
        </w:rPr>
        <w:t xml:space="preserve"> </w:t>
      </w:r>
      <w:r>
        <w:t>trials</w:t>
      </w:r>
      <w:r>
        <w:rPr>
          <w:spacing w:val="-2"/>
        </w:rPr>
        <w:t xml:space="preserve"> </w:t>
      </w:r>
      <w:r>
        <w:t>reported</w:t>
      </w:r>
      <w:r>
        <w:rPr>
          <w:spacing w:val="-1"/>
        </w:rPr>
        <w:t xml:space="preserve"> </w:t>
      </w:r>
      <w:r>
        <w:t>that</w:t>
      </w:r>
      <w:r>
        <w:rPr>
          <w:spacing w:val="-3"/>
        </w:rPr>
        <w:t xml:space="preserve"> </w:t>
      </w:r>
      <w:r>
        <w:t>compared</w:t>
      </w:r>
      <w:r>
        <w:rPr>
          <w:spacing w:val="-3"/>
        </w:rPr>
        <w:t xml:space="preserve"> </w:t>
      </w:r>
      <w:r>
        <w:t>with usual</w:t>
      </w:r>
      <w:r>
        <w:rPr>
          <w:spacing w:val="-1"/>
        </w:rPr>
        <w:t xml:space="preserve"> </w:t>
      </w:r>
      <w:r>
        <w:t>care</w:t>
      </w:r>
      <w:r>
        <w:rPr>
          <w:spacing w:val="-5"/>
        </w:rPr>
        <w:t xml:space="preserve"> </w:t>
      </w:r>
      <w:r>
        <w:t>or</w:t>
      </w:r>
      <w:r>
        <w:rPr>
          <w:spacing w:val="-1"/>
        </w:rPr>
        <w:t xml:space="preserve"> </w:t>
      </w:r>
      <w:r>
        <w:t>no</w:t>
      </w:r>
      <w:r>
        <w:rPr>
          <w:spacing w:val="-1"/>
        </w:rPr>
        <w:t xml:space="preserve"> </w:t>
      </w:r>
      <w:r>
        <w:t>advice,</w:t>
      </w:r>
      <w:r>
        <w:rPr>
          <w:spacing w:val="-4"/>
        </w:rPr>
        <w:t xml:space="preserve"> </w:t>
      </w:r>
      <w:r>
        <w:t>brief advice from a physician increased cessation rates by 76% (RR 1.76, 95% CI 1.58 to 1.96; I2 = 40%; 26 studies, n = 22,239) (2). Of the 42 studies, only one study determined the effect of smoking advice on mortality, which found no statistically significant differences in death</w:t>
      </w:r>
    </w:p>
    <w:p w14:paraId="7A4C2EF9" w14:textId="77777777" w:rsidR="00E13D3F" w:rsidRDefault="00FB2D6A">
      <w:pPr>
        <w:pStyle w:val="BodyText"/>
        <w:spacing w:line="293" w:lineRule="exact"/>
      </w:pPr>
      <w:r>
        <w:t>rates</w:t>
      </w:r>
      <w:r>
        <w:rPr>
          <w:spacing w:val="-4"/>
        </w:rPr>
        <w:t xml:space="preserve"> </w:t>
      </w:r>
      <w:r>
        <w:t>at</w:t>
      </w:r>
      <w:r>
        <w:rPr>
          <w:spacing w:val="-5"/>
        </w:rPr>
        <w:t xml:space="preserve"> </w:t>
      </w:r>
      <w:r>
        <w:t>20</w:t>
      </w:r>
      <w:r>
        <w:rPr>
          <w:spacing w:val="-3"/>
        </w:rPr>
        <w:t xml:space="preserve"> </w:t>
      </w:r>
      <w:r>
        <w:t>years</w:t>
      </w:r>
      <w:r>
        <w:rPr>
          <w:spacing w:val="-5"/>
        </w:rPr>
        <w:t xml:space="preserve"> </w:t>
      </w:r>
      <w:r>
        <w:t>follow-</w:t>
      </w:r>
      <w:r>
        <w:rPr>
          <w:spacing w:val="-5"/>
        </w:rPr>
        <w:t>up.</w:t>
      </w:r>
    </w:p>
    <w:p w14:paraId="7A4C2EFA" w14:textId="77777777" w:rsidR="00E13D3F" w:rsidRDefault="00FB2D6A">
      <w:pPr>
        <w:pStyle w:val="BodyText"/>
        <w:spacing w:before="204"/>
      </w:pPr>
      <w:r>
        <w:t>The</w:t>
      </w:r>
      <w:r>
        <w:rPr>
          <w:spacing w:val="-5"/>
        </w:rPr>
        <w:t xml:space="preserve"> </w:t>
      </w:r>
      <w:r>
        <w:t>extent</w:t>
      </w:r>
      <w:r>
        <w:rPr>
          <w:spacing w:val="-3"/>
        </w:rPr>
        <w:t xml:space="preserve"> </w:t>
      </w:r>
      <w:r>
        <w:t>of</w:t>
      </w:r>
      <w:r>
        <w:rPr>
          <w:spacing w:val="-3"/>
        </w:rPr>
        <w:t xml:space="preserve"> </w:t>
      </w:r>
      <w:r>
        <w:t>the</w:t>
      </w:r>
      <w:r>
        <w:rPr>
          <w:spacing w:val="-2"/>
        </w:rPr>
        <w:t xml:space="preserve"> </w:t>
      </w:r>
      <w:r>
        <w:t>impact</w:t>
      </w:r>
      <w:r>
        <w:rPr>
          <w:spacing w:val="-2"/>
        </w:rPr>
        <w:t xml:space="preserve"> </w:t>
      </w:r>
      <w:r>
        <w:t>on</w:t>
      </w:r>
      <w:r>
        <w:rPr>
          <w:spacing w:val="-3"/>
        </w:rPr>
        <w:t xml:space="preserve"> </w:t>
      </w:r>
      <w:r>
        <w:t>long-term</w:t>
      </w:r>
      <w:r>
        <w:rPr>
          <w:spacing w:val="-2"/>
        </w:rPr>
        <w:t xml:space="preserve"> </w:t>
      </w:r>
      <w:r>
        <w:t>quit</w:t>
      </w:r>
      <w:r>
        <w:rPr>
          <w:spacing w:val="-3"/>
        </w:rPr>
        <w:t xml:space="preserve"> </w:t>
      </w:r>
      <w:r>
        <w:t>rates</w:t>
      </w:r>
      <w:r>
        <w:rPr>
          <w:spacing w:val="-3"/>
        </w:rPr>
        <w:t xml:space="preserve"> </w:t>
      </w:r>
      <w:r>
        <w:t>and</w:t>
      </w:r>
      <w:r>
        <w:rPr>
          <w:spacing w:val="-3"/>
        </w:rPr>
        <w:t xml:space="preserve"> </w:t>
      </w:r>
      <w:r>
        <w:t>disease</w:t>
      </w:r>
      <w:r>
        <w:rPr>
          <w:spacing w:val="-3"/>
        </w:rPr>
        <w:t xml:space="preserve"> </w:t>
      </w:r>
      <w:r>
        <w:t>reduction</w:t>
      </w:r>
      <w:r>
        <w:rPr>
          <w:spacing w:val="-1"/>
        </w:rPr>
        <w:t xml:space="preserve"> </w:t>
      </w:r>
      <w:r>
        <w:t>is</w:t>
      </w:r>
      <w:r>
        <w:rPr>
          <w:spacing w:val="-4"/>
        </w:rPr>
        <w:t xml:space="preserve"> </w:t>
      </w:r>
      <w:r>
        <w:t>less</w:t>
      </w:r>
      <w:r>
        <w:rPr>
          <w:spacing w:val="-2"/>
        </w:rPr>
        <w:t xml:space="preserve"> </w:t>
      </w:r>
      <w:r>
        <w:t>clear.</w:t>
      </w:r>
      <w:r>
        <w:rPr>
          <w:spacing w:val="-2"/>
        </w:rPr>
        <w:t xml:space="preserve"> Table</w:t>
      </w:r>
    </w:p>
    <w:p w14:paraId="7A4C2EFB" w14:textId="77777777" w:rsidR="00E13D3F" w:rsidRDefault="00FB2D6A" w:rsidP="00990D2B">
      <w:pPr>
        <w:pStyle w:val="ListParagraph"/>
        <w:numPr>
          <w:ilvl w:val="1"/>
          <w:numId w:val="53"/>
        </w:numPr>
        <w:tabs>
          <w:tab w:val="left" w:pos="1798"/>
        </w:tabs>
        <w:spacing w:before="45" w:line="276" w:lineRule="auto"/>
        <w:ind w:right="1626" w:firstLine="0"/>
        <w:rPr>
          <w:sz w:val="24"/>
        </w:rPr>
      </w:pPr>
      <w:r>
        <w:rPr>
          <w:sz w:val="24"/>
        </w:rPr>
        <w:t>below shows the longer-term (5 to 9 years) quit rate in four large studies of smoking cessation which looked at CVD and lung cancer outcomes (</w:t>
      </w:r>
      <w:r>
        <w:rPr>
          <w:i/>
          <w:sz w:val="24"/>
        </w:rPr>
        <w:t>See section on direct evidence</w:t>
      </w:r>
      <w:r>
        <w:rPr>
          <w:sz w:val="24"/>
        </w:rPr>
        <w:t>). The</w:t>
      </w:r>
      <w:r>
        <w:rPr>
          <w:spacing w:val="-2"/>
          <w:sz w:val="24"/>
        </w:rPr>
        <w:t xml:space="preserve"> </w:t>
      </w:r>
      <w:r>
        <w:rPr>
          <w:sz w:val="24"/>
        </w:rPr>
        <w:t>reductions</w:t>
      </w:r>
      <w:r>
        <w:rPr>
          <w:spacing w:val="-3"/>
          <w:sz w:val="24"/>
        </w:rPr>
        <w:t xml:space="preserve"> </w:t>
      </w:r>
      <w:r>
        <w:rPr>
          <w:sz w:val="24"/>
        </w:rPr>
        <w:t>in</w:t>
      </w:r>
      <w:r>
        <w:rPr>
          <w:spacing w:val="-4"/>
          <w:sz w:val="24"/>
        </w:rPr>
        <w:t xml:space="preserve"> </w:t>
      </w:r>
      <w:r>
        <w:rPr>
          <w:sz w:val="24"/>
        </w:rPr>
        <w:t>smoking</w:t>
      </w:r>
      <w:r>
        <w:rPr>
          <w:spacing w:val="-3"/>
          <w:sz w:val="24"/>
        </w:rPr>
        <w:t xml:space="preserve"> </w:t>
      </w:r>
      <w:r>
        <w:rPr>
          <w:sz w:val="24"/>
        </w:rPr>
        <w:t>are</w:t>
      </w:r>
      <w:r>
        <w:rPr>
          <w:spacing w:val="-2"/>
          <w:sz w:val="24"/>
        </w:rPr>
        <w:t xml:space="preserve"> </w:t>
      </w:r>
      <w:r>
        <w:rPr>
          <w:sz w:val="24"/>
        </w:rPr>
        <w:t>modest</w:t>
      </w:r>
      <w:r>
        <w:rPr>
          <w:spacing w:val="-2"/>
          <w:sz w:val="24"/>
        </w:rPr>
        <w:t xml:space="preserve"> </w:t>
      </w:r>
      <w:r>
        <w:rPr>
          <w:sz w:val="24"/>
        </w:rPr>
        <w:t>but</w:t>
      </w:r>
      <w:r>
        <w:rPr>
          <w:spacing w:val="-4"/>
          <w:sz w:val="24"/>
        </w:rPr>
        <w:t xml:space="preserve"> </w:t>
      </w:r>
      <w:r>
        <w:rPr>
          <w:sz w:val="24"/>
        </w:rPr>
        <w:t>important</w:t>
      </w:r>
      <w:r>
        <w:rPr>
          <w:spacing w:val="-2"/>
          <w:sz w:val="24"/>
        </w:rPr>
        <w:t xml:space="preserve"> </w:t>
      </w:r>
      <w:r>
        <w:rPr>
          <w:sz w:val="24"/>
        </w:rPr>
        <w:t>given</w:t>
      </w:r>
      <w:r>
        <w:rPr>
          <w:spacing w:val="-4"/>
          <w:sz w:val="24"/>
        </w:rPr>
        <w:t xml:space="preserve"> </w:t>
      </w:r>
      <w:r>
        <w:rPr>
          <w:sz w:val="24"/>
        </w:rPr>
        <w:t>the</w:t>
      </w:r>
      <w:r>
        <w:rPr>
          <w:spacing w:val="-2"/>
          <w:sz w:val="24"/>
        </w:rPr>
        <w:t xml:space="preserve"> </w:t>
      </w:r>
      <w:r>
        <w:rPr>
          <w:sz w:val="24"/>
        </w:rPr>
        <w:t>importance</w:t>
      </w:r>
      <w:r>
        <w:rPr>
          <w:spacing w:val="-2"/>
          <w:sz w:val="24"/>
        </w:rPr>
        <w:t xml:space="preserve"> </w:t>
      </w:r>
      <w:r>
        <w:rPr>
          <w:sz w:val="24"/>
        </w:rPr>
        <w:t>of</w:t>
      </w:r>
      <w:r>
        <w:rPr>
          <w:spacing w:val="-4"/>
          <w:sz w:val="24"/>
        </w:rPr>
        <w:t xml:space="preserve"> </w:t>
      </w:r>
      <w:r>
        <w:rPr>
          <w:sz w:val="24"/>
        </w:rPr>
        <w:t>smoking</w:t>
      </w:r>
      <w:r>
        <w:rPr>
          <w:spacing w:val="-3"/>
          <w:sz w:val="24"/>
        </w:rPr>
        <w:t xml:space="preserve"> </w:t>
      </w:r>
      <w:r>
        <w:rPr>
          <w:sz w:val="24"/>
        </w:rPr>
        <w:t>as</w:t>
      </w:r>
      <w:r>
        <w:rPr>
          <w:spacing w:val="-5"/>
          <w:sz w:val="24"/>
        </w:rPr>
        <w:t xml:space="preserve"> </w:t>
      </w:r>
      <w:r>
        <w:rPr>
          <w:sz w:val="24"/>
        </w:rPr>
        <w:t>a risk factor.</w:t>
      </w:r>
    </w:p>
    <w:p w14:paraId="7A4C2EFC" w14:textId="77777777" w:rsidR="00E13D3F" w:rsidRDefault="00E13D3F">
      <w:pPr>
        <w:pStyle w:val="ListParagraph"/>
        <w:spacing w:line="276" w:lineRule="auto"/>
        <w:rPr>
          <w:sz w:val="24"/>
        </w:rPr>
        <w:sectPr w:rsidR="00E13D3F">
          <w:pgSz w:w="11910" w:h="16840"/>
          <w:pgMar w:top="1400" w:right="0" w:bottom="1200" w:left="0" w:header="0" w:footer="1000" w:gutter="0"/>
          <w:cols w:space="720"/>
        </w:sectPr>
      </w:pPr>
    </w:p>
    <w:p w14:paraId="7A4C2EFD" w14:textId="77777777" w:rsidR="00E13D3F" w:rsidRDefault="00FB2D6A">
      <w:pPr>
        <w:spacing w:before="41"/>
        <w:ind w:left="1440"/>
        <w:rPr>
          <w:b/>
        </w:rPr>
      </w:pPr>
      <w:r>
        <w:rPr>
          <w:b/>
        </w:rPr>
        <w:lastRenderedPageBreak/>
        <w:t>Table</w:t>
      </w:r>
      <w:r>
        <w:rPr>
          <w:b/>
          <w:spacing w:val="-6"/>
        </w:rPr>
        <w:t xml:space="preserve"> </w:t>
      </w:r>
      <w:r>
        <w:rPr>
          <w:b/>
        </w:rPr>
        <w:t>5.1:</w:t>
      </w:r>
      <w:r>
        <w:rPr>
          <w:b/>
          <w:spacing w:val="-6"/>
        </w:rPr>
        <w:t xml:space="preserve"> </w:t>
      </w:r>
      <w:r>
        <w:rPr>
          <w:b/>
        </w:rPr>
        <w:t>Number</w:t>
      </w:r>
      <w:r>
        <w:rPr>
          <w:b/>
          <w:spacing w:val="-5"/>
        </w:rPr>
        <w:t xml:space="preserve"> </w:t>
      </w:r>
      <w:r>
        <w:rPr>
          <w:b/>
        </w:rPr>
        <w:t>of</w:t>
      </w:r>
      <w:r>
        <w:rPr>
          <w:b/>
          <w:spacing w:val="-4"/>
        </w:rPr>
        <w:t xml:space="preserve"> </w:t>
      </w:r>
      <w:r>
        <w:rPr>
          <w:b/>
        </w:rPr>
        <w:t>participants</w:t>
      </w:r>
      <w:r>
        <w:rPr>
          <w:b/>
          <w:spacing w:val="-5"/>
        </w:rPr>
        <w:t xml:space="preserve"> </w:t>
      </w:r>
      <w:r>
        <w:rPr>
          <w:b/>
        </w:rPr>
        <w:t>who</w:t>
      </w:r>
      <w:r>
        <w:rPr>
          <w:b/>
          <w:spacing w:val="-4"/>
        </w:rPr>
        <w:t xml:space="preserve"> </w:t>
      </w:r>
      <w:r>
        <w:rPr>
          <w:b/>
        </w:rPr>
        <w:t>quit</w:t>
      </w:r>
      <w:r>
        <w:rPr>
          <w:b/>
          <w:spacing w:val="-6"/>
        </w:rPr>
        <w:t xml:space="preserve"> </w:t>
      </w:r>
      <w:r>
        <w:rPr>
          <w:b/>
        </w:rPr>
        <w:t>smoking</w:t>
      </w:r>
      <w:r>
        <w:rPr>
          <w:b/>
          <w:spacing w:val="-5"/>
        </w:rPr>
        <w:t xml:space="preserve"> </w:t>
      </w:r>
      <w:r>
        <w:rPr>
          <w:b/>
        </w:rPr>
        <w:t>in</w:t>
      </w:r>
      <w:r>
        <w:rPr>
          <w:b/>
          <w:spacing w:val="-4"/>
        </w:rPr>
        <w:t xml:space="preserve"> </w:t>
      </w:r>
      <w:r>
        <w:rPr>
          <w:b/>
        </w:rPr>
        <w:t>the</w:t>
      </w:r>
      <w:r>
        <w:rPr>
          <w:b/>
          <w:spacing w:val="-1"/>
        </w:rPr>
        <w:t xml:space="preserve"> </w:t>
      </w:r>
      <w:r>
        <w:rPr>
          <w:b/>
        </w:rPr>
        <w:t>long-term</w:t>
      </w:r>
      <w:r>
        <w:rPr>
          <w:b/>
          <w:spacing w:val="-3"/>
        </w:rPr>
        <w:t xml:space="preserve"> </w:t>
      </w:r>
      <w:r>
        <w:rPr>
          <w:b/>
          <w:spacing w:val="-2"/>
        </w:rPr>
        <w:t>trials</w:t>
      </w:r>
    </w:p>
    <w:p w14:paraId="7A4C2EFE" w14:textId="77777777" w:rsidR="00E13D3F" w:rsidRDefault="00E13D3F">
      <w:pPr>
        <w:pStyle w:val="BodyText"/>
        <w:spacing w:before="4"/>
        <w:ind w:left="0"/>
        <w:rPr>
          <w:b/>
          <w:sz w:val="17"/>
        </w:rPr>
      </w:pPr>
    </w:p>
    <w:tbl>
      <w:tblPr>
        <w:tblW w:w="0" w:type="auto"/>
        <w:tblInd w:w="1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2"/>
        <w:gridCol w:w="1815"/>
        <w:gridCol w:w="1959"/>
        <w:gridCol w:w="1621"/>
      </w:tblGrid>
      <w:tr w:rsidR="00E13D3F" w14:paraId="7A4C2F03" w14:textId="77777777">
        <w:trPr>
          <w:trHeight w:val="268"/>
        </w:trPr>
        <w:tc>
          <w:tcPr>
            <w:tcW w:w="3332" w:type="dxa"/>
            <w:vMerge w:val="restart"/>
            <w:shd w:val="clear" w:color="auto" w:fill="D9D9D9"/>
          </w:tcPr>
          <w:p w14:paraId="7A4C2EFF" w14:textId="77777777" w:rsidR="00E13D3F" w:rsidRDefault="00FB2D6A">
            <w:pPr>
              <w:pStyle w:val="TableParagraph"/>
              <w:spacing w:line="268" w:lineRule="exact"/>
              <w:ind w:left="107"/>
              <w:rPr>
                <w:b/>
              </w:rPr>
            </w:pPr>
            <w:r>
              <w:rPr>
                <w:b/>
              </w:rPr>
              <w:t>Study</w:t>
            </w:r>
            <w:r>
              <w:rPr>
                <w:b/>
                <w:spacing w:val="-4"/>
              </w:rPr>
              <w:t xml:space="preserve"> </w:t>
            </w:r>
            <w:r>
              <w:rPr>
                <w:b/>
                <w:spacing w:val="-5"/>
              </w:rPr>
              <w:t>ID</w:t>
            </w:r>
          </w:p>
        </w:tc>
        <w:tc>
          <w:tcPr>
            <w:tcW w:w="1815" w:type="dxa"/>
            <w:shd w:val="clear" w:color="auto" w:fill="D9D9D9"/>
          </w:tcPr>
          <w:p w14:paraId="7A4C2F00" w14:textId="77777777" w:rsidR="00E13D3F" w:rsidRDefault="00FB2D6A">
            <w:pPr>
              <w:pStyle w:val="TableParagraph"/>
              <w:spacing w:line="248" w:lineRule="exact"/>
              <w:ind w:left="10" w:right="1"/>
              <w:jc w:val="center"/>
              <w:rPr>
                <w:b/>
              </w:rPr>
            </w:pPr>
            <w:r>
              <w:rPr>
                <w:b/>
                <w:spacing w:val="-2"/>
              </w:rPr>
              <w:t>Intervention</w:t>
            </w:r>
          </w:p>
        </w:tc>
        <w:tc>
          <w:tcPr>
            <w:tcW w:w="1959" w:type="dxa"/>
            <w:shd w:val="clear" w:color="auto" w:fill="D9D9D9"/>
          </w:tcPr>
          <w:p w14:paraId="7A4C2F01" w14:textId="77777777" w:rsidR="00E13D3F" w:rsidRDefault="00FB2D6A">
            <w:pPr>
              <w:pStyle w:val="TableParagraph"/>
              <w:spacing w:line="248" w:lineRule="exact"/>
              <w:ind w:left="10"/>
              <w:jc w:val="center"/>
              <w:rPr>
                <w:b/>
              </w:rPr>
            </w:pPr>
            <w:r>
              <w:rPr>
                <w:b/>
              </w:rPr>
              <w:t>Usual</w:t>
            </w:r>
            <w:r>
              <w:rPr>
                <w:b/>
                <w:spacing w:val="-4"/>
              </w:rPr>
              <w:t xml:space="preserve"> care</w:t>
            </w:r>
          </w:p>
        </w:tc>
        <w:tc>
          <w:tcPr>
            <w:tcW w:w="1621" w:type="dxa"/>
            <w:shd w:val="clear" w:color="auto" w:fill="D9D9D9"/>
          </w:tcPr>
          <w:p w14:paraId="7A4C2F02" w14:textId="77777777" w:rsidR="00E13D3F" w:rsidRDefault="00FB2D6A">
            <w:pPr>
              <w:pStyle w:val="TableParagraph"/>
              <w:spacing w:line="248" w:lineRule="exact"/>
              <w:ind w:left="10" w:right="3"/>
              <w:jc w:val="center"/>
              <w:rPr>
                <w:b/>
              </w:rPr>
            </w:pPr>
            <w:r>
              <w:rPr>
                <w:b/>
              </w:rPr>
              <w:t>Quit</w:t>
            </w:r>
            <w:r>
              <w:rPr>
                <w:b/>
                <w:spacing w:val="-2"/>
              </w:rPr>
              <w:t xml:space="preserve"> </w:t>
            </w:r>
            <w:r>
              <w:rPr>
                <w:b/>
                <w:spacing w:val="-4"/>
              </w:rPr>
              <w:t>Rate</w:t>
            </w:r>
          </w:p>
        </w:tc>
      </w:tr>
      <w:tr w:rsidR="00E13D3F" w14:paraId="7A4C2F08" w14:textId="77777777">
        <w:trPr>
          <w:trHeight w:val="268"/>
        </w:trPr>
        <w:tc>
          <w:tcPr>
            <w:tcW w:w="3332" w:type="dxa"/>
            <w:vMerge/>
            <w:tcBorders>
              <w:top w:val="nil"/>
            </w:tcBorders>
            <w:shd w:val="clear" w:color="auto" w:fill="D9D9D9"/>
          </w:tcPr>
          <w:p w14:paraId="7A4C2F04" w14:textId="77777777" w:rsidR="00E13D3F" w:rsidRDefault="00E13D3F">
            <w:pPr>
              <w:rPr>
                <w:sz w:val="2"/>
                <w:szCs w:val="2"/>
              </w:rPr>
            </w:pPr>
          </w:p>
        </w:tc>
        <w:tc>
          <w:tcPr>
            <w:tcW w:w="1815" w:type="dxa"/>
            <w:shd w:val="clear" w:color="auto" w:fill="D9D9D9"/>
          </w:tcPr>
          <w:p w14:paraId="7A4C2F05" w14:textId="77777777" w:rsidR="00E13D3F" w:rsidRDefault="00FB2D6A">
            <w:pPr>
              <w:pStyle w:val="TableParagraph"/>
              <w:spacing w:line="248" w:lineRule="exact"/>
              <w:ind w:left="10" w:right="3"/>
              <w:jc w:val="center"/>
              <w:rPr>
                <w:b/>
              </w:rPr>
            </w:pPr>
            <w:r>
              <w:rPr>
                <w:b/>
              </w:rPr>
              <w:t>%</w:t>
            </w:r>
            <w:r>
              <w:rPr>
                <w:b/>
                <w:spacing w:val="-2"/>
              </w:rPr>
              <w:t xml:space="preserve"> (Numbers)</w:t>
            </w:r>
          </w:p>
        </w:tc>
        <w:tc>
          <w:tcPr>
            <w:tcW w:w="1959" w:type="dxa"/>
            <w:shd w:val="clear" w:color="auto" w:fill="D9D9D9"/>
          </w:tcPr>
          <w:p w14:paraId="7A4C2F06" w14:textId="77777777" w:rsidR="00E13D3F" w:rsidRDefault="00FB2D6A">
            <w:pPr>
              <w:pStyle w:val="TableParagraph"/>
              <w:spacing w:line="248" w:lineRule="exact"/>
              <w:ind w:left="10" w:right="5"/>
              <w:jc w:val="center"/>
              <w:rPr>
                <w:b/>
              </w:rPr>
            </w:pPr>
            <w:r>
              <w:rPr>
                <w:b/>
                <w:spacing w:val="-10"/>
              </w:rPr>
              <w:t>%</w:t>
            </w:r>
          </w:p>
        </w:tc>
        <w:tc>
          <w:tcPr>
            <w:tcW w:w="1621" w:type="dxa"/>
            <w:shd w:val="clear" w:color="auto" w:fill="D9D9D9"/>
          </w:tcPr>
          <w:p w14:paraId="7A4C2F07" w14:textId="77777777" w:rsidR="00E13D3F" w:rsidRDefault="00FB2D6A">
            <w:pPr>
              <w:pStyle w:val="TableParagraph"/>
              <w:spacing w:line="248" w:lineRule="exact"/>
              <w:ind w:left="10"/>
              <w:jc w:val="center"/>
              <w:rPr>
                <w:b/>
              </w:rPr>
            </w:pPr>
            <w:r>
              <w:rPr>
                <w:b/>
                <w:spacing w:val="-2"/>
              </w:rPr>
              <w:t>Difference</w:t>
            </w:r>
          </w:p>
        </w:tc>
      </w:tr>
      <w:tr w:rsidR="00E13D3F" w14:paraId="7A4C2F0B" w14:textId="77777777">
        <w:trPr>
          <w:trHeight w:val="268"/>
        </w:trPr>
        <w:tc>
          <w:tcPr>
            <w:tcW w:w="7106" w:type="dxa"/>
            <w:gridSpan w:val="3"/>
          </w:tcPr>
          <w:p w14:paraId="7A4C2F09" w14:textId="77777777" w:rsidR="00E13D3F" w:rsidRDefault="00FB2D6A">
            <w:pPr>
              <w:pStyle w:val="TableParagraph"/>
              <w:spacing w:line="248" w:lineRule="exact"/>
              <w:ind w:left="107"/>
              <w:rPr>
                <w:i/>
              </w:rPr>
            </w:pPr>
            <w:r>
              <w:rPr>
                <w:i/>
              </w:rPr>
              <w:t>Smoking</w:t>
            </w:r>
            <w:r>
              <w:rPr>
                <w:i/>
                <w:spacing w:val="-6"/>
              </w:rPr>
              <w:t xml:space="preserve"> </w:t>
            </w:r>
            <w:r>
              <w:rPr>
                <w:i/>
              </w:rPr>
              <w:t>cessation</w:t>
            </w:r>
            <w:r>
              <w:rPr>
                <w:i/>
                <w:spacing w:val="-6"/>
              </w:rPr>
              <w:t xml:space="preserve"> </w:t>
            </w:r>
            <w:r>
              <w:rPr>
                <w:i/>
              </w:rPr>
              <w:t>alone</w:t>
            </w:r>
            <w:r>
              <w:rPr>
                <w:i/>
                <w:spacing w:val="-7"/>
              </w:rPr>
              <w:t xml:space="preserve"> </w:t>
            </w:r>
            <w:r>
              <w:rPr>
                <w:i/>
              </w:rPr>
              <w:t>vs</w:t>
            </w:r>
            <w:r>
              <w:rPr>
                <w:i/>
                <w:spacing w:val="-7"/>
              </w:rPr>
              <w:t xml:space="preserve"> </w:t>
            </w:r>
            <w:r>
              <w:rPr>
                <w:i/>
              </w:rPr>
              <w:t>usual</w:t>
            </w:r>
            <w:r>
              <w:rPr>
                <w:i/>
                <w:spacing w:val="-4"/>
              </w:rPr>
              <w:t xml:space="preserve"> care</w:t>
            </w:r>
          </w:p>
        </w:tc>
        <w:tc>
          <w:tcPr>
            <w:tcW w:w="1621" w:type="dxa"/>
          </w:tcPr>
          <w:p w14:paraId="7A4C2F0A" w14:textId="77777777" w:rsidR="00E13D3F" w:rsidRDefault="00E13D3F">
            <w:pPr>
              <w:pStyle w:val="TableParagraph"/>
              <w:rPr>
                <w:rFonts w:ascii="Times New Roman"/>
                <w:sz w:val="18"/>
              </w:rPr>
            </w:pPr>
          </w:p>
        </w:tc>
      </w:tr>
      <w:tr w:rsidR="00E13D3F" w14:paraId="7A4C2F12" w14:textId="77777777">
        <w:trPr>
          <w:trHeight w:val="537"/>
        </w:trPr>
        <w:tc>
          <w:tcPr>
            <w:tcW w:w="3332" w:type="dxa"/>
          </w:tcPr>
          <w:p w14:paraId="7A4C2F0C" w14:textId="77777777" w:rsidR="00E13D3F" w:rsidRDefault="00FB2D6A">
            <w:pPr>
              <w:pStyle w:val="TableParagraph"/>
              <w:spacing w:line="268" w:lineRule="exact"/>
              <w:ind w:left="107"/>
              <w:rPr>
                <w:b/>
              </w:rPr>
            </w:pPr>
            <w:r>
              <w:rPr>
                <w:b/>
              </w:rPr>
              <w:t>Lung</w:t>
            </w:r>
            <w:r>
              <w:rPr>
                <w:b/>
                <w:spacing w:val="-2"/>
              </w:rPr>
              <w:t xml:space="preserve"> </w:t>
            </w:r>
            <w:r>
              <w:rPr>
                <w:b/>
              </w:rPr>
              <w:t>Health</w:t>
            </w:r>
            <w:r>
              <w:rPr>
                <w:b/>
                <w:spacing w:val="-4"/>
              </w:rPr>
              <w:t xml:space="preserve"> </w:t>
            </w:r>
            <w:r>
              <w:rPr>
                <w:b/>
              </w:rPr>
              <w:t>study-</w:t>
            </w:r>
            <w:r>
              <w:rPr>
                <w:b/>
                <w:spacing w:val="-4"/>
              </w:rPr>
              <w:t xml:space="preserve"> </w:t>
            </w:r>
            <w:r>
              <w:rPr>
                <w:b/>
              </w:rPr>
              <w:t>5</w:t>
            </w:r>
            <w:r>
              <w:rPr>
                <w:b/>
                <w:spacing w:val="-3"/>
              </w:rPr>
              <w:t xml:space="preserve"> </w:t>
            </w:r>
            <w:r>
              <w:rPr>
                <w:b/>
                <w:spacing w:val="-4"/>
              </w:rPr>
              <w:t>years</w:t>
            </w:r>
          </w:p>
        </w:tc>
        <w:tc>
          <w:tcPr>
            <w:tcW w:w="1815" w:type="dxa"/>
          </w:tcPr>
          <w:p w14:paraId="7A4C2F0D" w14:textId="77777777" w:rsidR="00E13D3F" w:rsidRDefault="00FB2D6A">
            <w:pPr>
              <w:pStyle w:val="TableParagraph"/>
              <w:spacing w:line="268" w:lineRule="exact"/>
              <w:ind w:left="10"/>
              <w:jc w:val="center"/>
            </w:pPr>
            <w:r>
              <w:rPr>
                <w:spacing w:val="-5"/>
              </w:rPr>
              <w:t>22%</w:t>
            </w:r>
          </w:p>
          <w:p w14:paraId="7A4C2F0E" w14:textId="77777777" w:rsidR="00E13D3F" w:rsidRDefault="00FB2D6A">
            <w:pPr>
              <w:pStyle w:val="TableParagraph"/>
              <w:spacing w:line="249" w:lineRule="exact"/>
              <w:ind w:left="10" w:right="1"/>
              <w:jc w:val="center"/>
            </w:pPr>
            <w:r>
              <w:rPr>
                <w:spacing w:val="-2"/>
              </w:rPr>
              <w:t>(432/1962)</w:t>
            </w:r>
          </w:p>
        </w:tc>
        <w:tc>
          <w:tcPr>
            <w:tcW w:w="1959" w:type="dxa"/>
          </w:tcPr>
          <w:p w14:paraId="7A4C2F0F" w14:textId="77777777" w:rsidR="00E13D3F" w:rsidRDefault="00FB2D6A">
            <w:pPr>
              <w:pStyle w:val="TableParagraph"/>
              <w:spacing w:line="268" w:lineRule="exact"/>
              <w:ind w:left="10"/>
              <w:jc w:val="center"/>
            </w:pPr>
            <w:r>
              <w:rPr>
                <w:spacing w:val="-5"/>
              </w:rPr>
              <w:t>5%</w:t>
            </w:r>
          </w:p>
          <w:p w14:paraId="7A4C2F10" w14:textId="77777777" w:rsidR="00E13D3F" w:rsidRDefault="00FB2D6A">
            <w:pPr>
              <w:pStyle w:val="TableParagraph"/>
              <w:spacing w:line="249" w:lineRule="exact"/>
              <w:ind w:left="10" w:right="1"/>
              <w:jc w:val="center"/>
            </w:pPr>
            <w:r>
              <w:rPr>
                <w:spacing w:val="-2"/>
              </w:rPr>
              <w:t>(98/1964)</w:t>
            </w:r>
          </w:p>
        </w:tc>
        <w:tc>
          <w:tcPr>
            <w:tcW w:w="1621" w:type="dxa"/>
          </w:tcPr>
          <w:p w14:paraId="7A4C2F11" w14:textId="77777777" w:rsidR="00E13D3F" w:rsidRDefault="00FB2D6A">
            <w:pPr>
              <w:pStyle w:val="TableParagraph"/>
              <w:spacing w:line="268" w:lineRule="exact"/>
              <w:ind w:left="10" w:right="4"/>
              <w:jc w:val="center"/>
            </w:pPr>
            <w:r>
              <w:rPr>
                <w:spacing w:val="-5"/>
              </w:rPr>
              <w:t>17%</w:t>
            </w:r>
          </w:p>
        </w:tc>
      </w:tr>
      <w:tr w:rsidR="00E13D3F" w14:paraId="7A4C2F18" w14:textId="77777777">
        <w:trPr>
          <w:trHeight w:val="537"/>
        </w:trPr>
        <w:tc>
          <w:tcPr>
            <w:tcW w:w="3332" w:type="dxa"/>
          </w:tcPr>
          <w:p w14:paraId="7A4C2F13" w14:textId="77777777" w:rsidR="00E13D3F" w:rsidRDefault="00FB2D6A">
            <w:pPr>
              <w:pStyle w:val="TableParagraph"/>
              <w:spacing w:line="268" w:lineRule="exact"/>
              <w:ind w:left="107"/>
              <w:rPr>
                <w:b/>
              </w:rPr>
            </w:pPr>
            <w:r>
              <w:rPr>
                <w:b/>
              </w:rPr>
              <w:t>Whitehall</w:t>
            </w:r>
            <w:r>
              <w:rPr>
                <w:b/>
                <w:spacing w:val="-7"/>
              </w:rPr>
              <w:t xml:space="preserve"> </w:t>
            </w:r>
            <w:r>
              <w:rPr>
                <w:b/>
              </w:rPr>
              <w:t>study-</w:t>
            </w:r>
            <w:r>
              <w:rPr>
                <w:b/>
                <w:spacing w:val="-5"/>
              </w:rPr>
              <w:t xml:space="preserve"> </w:t>
            </w:r>
            <w:r>
              <w:rPr>
                <w:b/>
              </w:rPr>
              <w:t>9</w:t>
            </w:r>
            <w:r>
              <w:rPr>
                <w:b/>
                <w:spacing w:val="-4"/>
              </w:rPr>
              <w:t xml:space="preserve"> years</w:t>
            </w:r>
          </w:p>
        </w:tc>
        <w:tc>
          <w:tcPr>
            <w:tcW w:w="1815" w:type="dxa"/>
          </w:tcPr>
          <w:p w14:paraId="7A4C2F14" w14:textId="77777777" w:rsidR="00E13D3F" w:rsidRDefault="00FB2D6A">
            <w:pPr>
              <w:pStyle w:val="TableParagraph"/>
              <w:spacing w:line="268" w:lineRule="exact"/>
              <w:ind w:left="10"/>
              <w:jc w:val="center"/>
            </w:pPr>
            <w:r>
              <w:rPr>
                <w:spacing w:val="-5"/>
              </w:rPr>
              <w:t>55%</w:t>
            </w:r>
          </w:p>
          <w:p w14:paraId="7A4C2F15" w14:textId="77777777" w:rsidR="00E13D3F" w:rsidRDefault="00FB2D6A">
            <w:pPr>
              <w:pStyle w:val="TableParagraph"/>
              <w:spacing w:line="249" w:lineRule="exact"/>
              <w:ind w:left="10" w:right="1"/>
              <w:jc w:val="center"/>
            </w:pPr>
            <w:r>
              <w:rPr>
                <w:spacing w:val="-2"/>
              </w:rPr>
              <w:t>(393/714)</w:t>
            </w:r>
          </w:p>
        </w:tc>
        <w:tc>
          <w:tcPr>
            <w:tcW w:w="1959" w:type="dxa"/>
          </w:tcPr>
          <w:p w14:paraId="7A4C2F16" w14:textId="77777777" w:rsidR="00E13D3F" w:rsidRDefault="00FB2D6A">
            <w:pPr>
              <w:pStyle w:val="TableParagraph"/>
              <w:spacing w:line="268" w:lineRule="exact"/>
              <w:ind w:left="10" w:right="2"/>
              <w:jc w:val="center"/>
            </w:pPr>
            <w:r>
              <w:t xml:space="preserve">No </w:t>
            </w:r>
            <w:r>
              <w:rPr>
                <w:spacing w:val="-4"/>
              </w:rPr>
              <w:t>data</w:t>
            </w:r>
          </w:p>
        </w:tc>
        <w:tc>
          <w:tcPr>
            <w:tcW w:w="1621" w:type="dxa"/>
          </w:tcPr>
          <w:p w14:paraId="7A4C2F17" w14:textId="77777777" w:rsidR="00E13D3F" w:rsidRDefault="00FB2D6A">
            <w:pPr>
              <w:pStyle w:val="TableParagraph"/>
              <w:spacing w:line="268" w:lineRule="exact"/>
              <w:ind w:left="10" w:right="4"/>
              <w:jc w:val="center"/>
            </w:pPr>
            <w:r>
              <w:rPr>
                <w:spacing w:val="-10"/>
              </w:rPr>
              <w:t>?</w:t>
            </w:r>
          </w:p>
        </w:tc>
      </w:tr>
      <w:tr w:rsidR="00E13D3F" w14:paraId="7A4C2F1B" w14:textId="77777777">
        <w:trPr>
          <w:trHeight w:val="268"/>
        </w:trPr>
        <w:tc>
          <w:tcPr>
            <w:tcW w:w="7106" w:type="dxa"/>
            <w:gridSpan w:val="3"/>
          </w:tcPr>
          <w:p w14:paraId="7A4C2F19" w14:textId="77777777" w:rsidR="00E13D3F" w:rsidRDefault="00FB2D6A">
            <w:pPr>
              <w:pStyle w:val="TableParagraph"/>
              <w:spacing w:line="248" w:lineRule="exact"/>
              <w:ind w:left="107"/>
              <w:rPr>
                <w:i/>
              </w:rPr>
            </w:pPr>
            <w:r>
              <w:rPr>
                <w:i/>
              </w:rPr>
              <w:t>Multicomponent</w:t>
            </w:r>
            <w:r>
              <w:rPr>
                <w:i/>
                <w:spacing w:val="-7"/>
              </w:rPr>
              <w:t xml:space="preserve"> </w:t>
            </w:r>
            <w:r>
              <w:rPr>
                <w:i/>
              </w:rPr>
              <w:t>vs</w:t>
            </w:r>
            <w:r>
              <w:rPr>
                <w:i/>
                <w:spacing w:val="-5"/>
              </w:rPr>
              <w:t xml:space="preserve"> </w:t>
            </w:r>
            <w:r>
              <w:rPr>
                <w:i/>
              </w:rPr>
              <w:t>usual</w:t>
            </w:r>
            <w:r>
              <w:rPr>
                <w:i/>
                <w:spacing w:val="-4"/>
              </w:rPr>
              <w:t xml:space="preserve"> care</w:t>
            </w:r>
          </w:p>
        </w:tc>
        <w:tc>
          <w:tcPr>
            <w:tcW w:w="1621" w:type="dxa"/>
          </w:tcPr>
          <w:p w14:paraId="7A4C2F1A" w14:textId="77777777" w:rsidR="00E13D3F" w:rsidRDefault="00E13D3F">
            <w:pPr>
              <w:pStyle w:val="TableParagraph"/>
              <w:rPr>
                <w:rFonts w:ascii="Times New Roman"/>
                <w:sz w:val="18"/>
              </w:rPr>
            </w:pPr>
          </w:p>
        </w:tc>
      </w:tr>
      <w:tr w:rsidR="00E13D3F" w14:paraId="7A4C2F22" w14:textId="77777777">
        <w:trPr>
          <w:trHeight w:val="537"/>
        </w:trPr>
        <w:tc>
          <w:tcPr>
            <w:tcW w:w="3332" w:type="dxa"/>
          </w:tcPr>
          <w:p w14:paraId="7A4C2F1C" w14:textId="77777777" w:rsidR="00E13D3F" w:rsidRDefault="00FB2D6A">
            <w:pPr>
              <w:pStyle w:val="TableParagraph"/>
              <w:spacing w:line="268" w:lineRule="exact"/>
              <w:ind w:left="107"/>
              <w:rPr>
                <w:b/>
              </w:rPr>
            </w:pPr>
            <w:r>
              <w:rPr>
                <w:b/>
              </w:rPr>
              <w:t>MRFIT-</w:t>
            </w:r>
            <w:r>
              <w:rPr>
                <w:b/>
                <w:spacing w:val="-3"/>
              </w:rPr>
              <w:t xml:space="preserve"> </w:t>
            </w:r>
            <w:r>
              <w:rPr>
                <w:b/>
              </w:rPr>
              <w:t>6</w:t>
            </w:r>
            <w:r>
              <w:rPr>
                <w:b/>
                <w:spacing w:val="-2"/>
              </w:rPr>
              <w:t xml:space="preserve"> years</w:t>
            </w:r>
          </w:p>
        </w:tc>
        <w:tc>
          <w:tcPr>
            <w:tcW w:w="1815" w:type="dxa"/>
          </w:tcPr>
          <w:p w14:paraId="7A4C2F1D" w14:textId="77777777" w:rsidR="00E13D3F" w:rsidRDefault="00FB2D6A">
            <w:pPr>
              <w:pStyle w:val="TableParagraph"/>
              <w:spacing w:line="268" w:lineRule="exact"/>
              <w:ind w:left="10"/>
              <w:jc w:val="center"/>
            </w:pPr>
            <w:r>
              <w:rPr>
                <w:spacing w:val="-5"/>
              </w:rPr>
              <w:t>27%</w:t>
            </w:r>
          </w:p>
          <w:p w14:paraId="7A4C2F1E" w14:textId="77777777" w:rsidR="00E13D3F" w:rsidRDefault="00FB2D6A">
            <w:pPr>
              <w:pStyle w:val="TableParagraph"/>
              <w:spacing w:line="249" w:lineRule="exact"/>
              <w:ind w:left="10" w:right="3"/>
              <w:jc w:val="center"/>
            </w:pPr>
            <w:r>
              <w:rPr>
                <w:spacing w:val="-2"/>
              </w:rPr>
              <w:t>(1734/6428)</w:t>
            </w:r>
          </w:p>
        </w:tc>
        <w:tc>
          <w:tcPr>
            <w:tcW w:w="1959" w:type="dxa"/>
          </w:tcPr>
          <w:p w14:paraId="7A4C2F1F" w14:textId="77777777" w:rsidR="00E13D3F" w:rsidRDefault="00FB2D6A">
            <w:pPr>
              <w:pStyle w:val="TableParagraph"/>
              <w:spacing w:line="268" w:lineRule="exact"/>
              <w:ind w:left="10" w:right="1"/>
              <w:jc w:val="center"/>
            </w:pPr>
            <w:r>
              <w:rPr>
                <w:spacing w:val="-5"/>
              </w:rPr>
              <w:t>16%</w:t>
            </w:r>
          </w:p>
          <w:p w14:paraId="7A4C2F20" w14:textId="77777777" w:rsidR="00E13D3F" w:rsidRDefault="00FB2D6A">
            <w:pPr>
              <w:pStyle w:val="TableParagraph"/>
              <w:spacing w:line="249" w:lineRule="exact"/>
              <w:ind w:left="10" w:right="4"/>
              <w:jc w:val="center"/>
            </w:pPr>
            <w:r>
              <w:rPr>
                <w:spacing w:val="-2"/>
              </w:rPr>
              <w:t>(1009/6438)</w:t>
            </w:r>
          </w:p>
        </w:tc>
        <w:tc>
          <w:tcPr>
            <w:tcW w:w="1621" w:type="dxa"/>
          </w:tcPr>
          <w:p w14:paraId="7A4C2F21" w14:textId="77777777" w:rsidR="00E13D3F" w:rsidRDefault="00FB2D6A">
            <w:pPr>
              <w:pStyle w:val="TableParagraph"/>
              <w:spacing w:line="268" w:lineRule="exact"/>
              <w:ind w:left="10" w:right="4"/>
              <w:jc w:val="center"/>
            </w:pPr>
            <w:r>
              <w:rPr>
                <w:spacing w:val="-5"/>
              </w:rPr>
              <w:t>11%</w:t>
            </w:r>
          </w:p>
        </w:tc>
      </w:tr>
      <w:tr w:rsidR="00E13D3F" w14:paraId="7A4C2F29" w14:textId="77777777">
        <w:trPr>
          <w:trHeight w:val="537"/>
        </w:trPr>
        <w:tc>
          <w:tcPr>
            <w:tcW w:w="3332" w:type="dxa"/>
          </w:tcPr>
          <w:p w14:paraId="7A4C2F23" w14:textId="77777777" w:rsidR="00E13D3F" w:rsidRDefault="00FB2D6A">
            <w:pPr>
              <w:pStyle w:val="TableParagraph"/>
              <w:spacing w:line="268" w:lineRule="exact"/>
              <w:ind w:left="107"/>
              <w:rPr>
                <w:b/>
              </w:rPr>
            </w:pPr>
            <w:r>
              <w:rPr>
                <w:b/>
              </w:rPr>
              <w:t>Oslo</w:t>
            </w:r>
            <w:r>
              <w:rPr>
                <w:b/>
                <w:spacing w:val="-3"/>
              </w:rPr>
              <w:t xml:space="preserve"> </w:t>
            </w:r>
            <w:r>
              <w:rPr>
                <w:b/>
              </w:rPr>
              <w:t>study-</w:t>
            </w:r>
            <w:r>
              <w:rPr>
                <w:b/>
                <w:spacing w:val="-1"/>
              </w:rPr>
              <w:t xml:space="preserve"> </w:t>
            </w:r>
            <w:r>
              <w:rPr>
                <w:b/>
              </w:rPr>
              <w:t>5</w:t>
            </w:r>
            <w:r>
              <w:rPr>
                <w:b/>
                <w:spacing w:val="-3"/>
              </w:rPr>
              <w:t xml:space="preserve"> </w:t>
            </w:r>
            <w:r>
              <w:rPr>
                <w:b/>
                <w:spacing w:val="-2"/>
              </w:rPr>
              <w:t>years</w:t>
            </w:r>
          </w:p>
        </w:tc>
        <w:tc>
          <w:tcPr>
            <w:tcW w:w="1815" w:type="dxa"/>
          </w:tcPr>
          <w:p w14:paraId="7A4C2F24" w14:textId="77777777" w:rsidR="00E13D3F" w:rsidRDefault="00FB2D6A">
            <w:pPr>
              <w:pStyle w:val="TableParagraph"/>
              <w:spacing w:line="268" w:lineRule="exact"/>
              <w:ind w:left="10"/>
              <w:jc w:val="center"/>
            </w:pPr>
            <w:r>
              <w:rPr>
                <w:spacing w:val="-5"/>
              </w:rPr>
              <w:t>24%</w:t>
            </w:r>
          </w:p>
          <w:p w14:paraId="7A4C2F25" w14:textId="77777777" w:rsidR="00E13D3F" w:rsidRDefault="00FB2D6A">
            <w:pPr>
              <w:pStyle w:val="TableParagraph"/>
              <w:spacing w:line="250" w:lineRule="exact"/>
              <w:ind w:left="10" w:right="1"/>
              <w:jc w:val="center"/>
            </w:pPr>
            <w:r>
              <w:rPr>
                <w:spacing w:val="-2"/>
              </w:rPr>
              <w:t>(145/604)</w:t>
            </w:r>
          </w:p>
        </w:tc>
        <w:tc>
          <w:tcPr>
            <w:tcW w:w="1959" w:type="dxa"/>
          </w:tcPr>
          <w:p w14:paraId="7A4C2F26" w14:textId="77777777" w:rsidR="00E13D3F" w:rsidRDefault="00FB2D6A">
            <w:pPr>
              <w:pStyle w:val="TableParagraph"/>
              <w:spacing w:line="268" w:lineRule="exact"/>
              <w:ind w:left="10" w:right="1"/>
              <w:jc w:val="center"/>
            </w:pPr>
            <w:r>
              <w:rPr>
                <w:spacing w:val="-5"/>
              </w:rPr>
              <w:t>17%</w:t>
            </w:r>
          </w:p>
          <w:p w14:paraId="7A4C2F27" w14:textId="77777777" w:rsidR="00E13D3F" w:rsidRDefault="00FB2D6A">
            <w:pPr>
              <w:pStyle w:val="TableParagraph"/>
              <w:spacing w:line="250" w:lineRule="exact"/>
              <w:ind w:left="10" w:right="1"/>
              <w:jc w:val="center"/>
            </w:pPr>
            <w:r>
              <w:rPr>
                <w:spacing w:val="-2"/>
              </w:rPr>
              <w:t>(107/628)</w:t>
            </w:r>
          </w:p>
        </w:tc>
        <w:tc>
          <w:tcPr>
            <w:tcW w:w="1621" w:type="dxa"/>
          </w:tcPr>
          <w:p w14:paraId="7A4C2F28" w14:textId="77777777" w:rsidR="00E13D3F" w:rsidRDefault="00FB2D6A">
            <w:pPr>
              <w:pStyle w:val="TableParagraph"/>
              <w:spacing w:line="268" w:lineRule="exact"/>
              <w:ind w:left="10" w:right="3"/>
              <w:jc w:val="center"/>
            </w:pPr>
            <w:r>
              <w:rPr>
                <w:spacing w:val="-5"/>
              </w:rPr>
              <w:t>7%</w:t>
            </w:r>
          </w:p>
        </w:tc>
      </w:tr>
    </w:tbl>
    <w:p w14:paraId="7A4C2F2A" w14:textId="77777777" w:rsidR="00E13D3F" w:rsidRDefault="00E13D3F">
      <w:pPr>
        <w:pStyle w:val="BodyText"/>
        <w:spacing w:before="182"/>
        <w:ind w:left="0"/>
        <w:rPr>
          <w:b/>
          <w:sz w:val="22"/>
        </w:rPr>
      </w:pPr>
    </w:p>
    <w:p w14:paraId="7A4C2F2B" w14:textId="77777777" w:rsidR="00E13D3F" w:rsidRDefault="00FB2D6A" w:rsidP="00990D2B">
      <w:pPr>
        <w:pStyle w:val="ListParagraph"/>
        <w:numPr>
          <w:ilvl w:val="0"/>
          <w:numId w:val="34"/>
        </w:numPr>
        <w:tabs>
          <w:tab w:val="left" w:pos="1688"/>
        </w:tabs>
        <w:ind w:left="1688" w:hanging="248"/>
        <w:rPr>
          <w:i/>
          <w:sz w:val="24"/>
        </w:rPr>
      </w:pPr>
      <w:r>
        <w:rPr>
          <w:i/>
          <w:sz w:val="24"/>
        </w:rPr>
        <w:t>The</w:t>
      </w:r>
      <w:r>
        <w:rPr>
          <w:i/>
          <w:spacing w:val="-2"/>
          <w:sz w:val="24"/>
        </w:rPr>
        <w:t xml:space="preserve"> </w:t>
      </w:r>
      <w:r>
        <w:rPr>
          <w:i/>
          <w:sz w:val="24"/>
        </w:rPr>
        <w:t>effect</w:t>
      </w:r>
      <w:r>
        <w:rPr>
          <w:i/>
          <w:spacing w:val="-3"/>
          <w:sz w:val="24"/>
        </w:rPr>
        <w:t xml:space="preserve"> </w:t>
      </w:r>
      <w:r>
        <w:rPr>
          <w:i/>
          <w:sz w:val="24"/>
        </w:rPr>
        <w:t>of</w:t>
      </w:r>
      <w:r>
        <w:rPr>
          <w:i/>
          <w:spacing w:val="-2"/>
          <w:sz w:val="24"/>
        </w:rPr>
        <w:t xml:space="preserve"> </w:t>
      </w:r>
      <w:r>
        <w:rPr>
          <w:i/>
          <w:sz w:val="24"/>
        </w:rPr>
        <w:t>smoking</w:t>
      </w:r>
      <w:r>
        <w:rPr>
          <w:i/>
          <w:spacing w:val="-3"/>
          <w:sz w:val="24"/>
        </w:rPr>
        <w:t xml:space="preserve"> </w:t>
      </w:r>
      <w:r>
        <w:rPr>
          <w:i/>
          <w:sz w:val="24"/>
        </w:rPr>
        <w:t>cessation</w:t>
      </w:r>
      <w:r>
        <w:rPr>
          <w:i/>
          <w:spacing w:val="-4"/>
          <w:sz w:val="24"/>
        </w:rPr>
        <w:t xml:space="preserve"> </w:t>
      </w:r>
      <w:r>
        <w:rPr>
          <w:i/>
          <w:sz w:val="24"/>
        </w:rPr>
        <w:t>on</w:t>
      </w:r>
      <w:r>
        <w:rPr>
          <w:i/>
          <w:spacing w:val="-3"/>
          <w:sz w:val="24"/>
        </w:rPr>
        <w:t xml:space="preserve"> </w:t>
      </w:r>
      <w:r>
        <w:rPr>
          <w:i/>
          <w:sz w:val="24"/>
        </w:rPr>
        <w:t>health</w:t>
      </w:r>
      <w:r>
        <w:rPr>
          <w:i/>
          <w:spacing w:val="-3"/>
          <w:sz w:val="24"/>
        </w:rPr>
        <w:t xml:space="preserve"> </w:t>
      </w:r>
      <w:r>
        <w:rPr>
          <w:i/>
          <w:spacing w:val="-2"/>
          <w:sz w:val="24"/>
        </w:rPr>
        <w:t>outcomes</w:t>
      </w:r>
    </w:p>
    <w:p w14:paraId="7A4C2F2C" w14:textId="77777777" w:rsidR="00E13D3F" w:rsidRDefault="00FB2D6A">
      <w:pPr>
        <w:pStyle w:val="BodyText"/>
        <w:spacing w:before="204" w:line="278" w:lineRule="auto"/>
        <w:ind w:right="1137"/>
      </w:pPr>
      <w:r>
        <w:t>There</w:t>
      </w:r>
      <w:r>
        <w:rPr>
          <w:spacing w:val="-5"/>
        </w:rPr>
        <w:t xml:space="preserve"> </w:t>
      </w:r>
      <w:r>
        <w:t>are</w:t>
      </w:r>
      <w:r>
        <w:rPr>
          <w:spacing w:val="-4"/>
        </w:rPr>
        <w:t xml:space="preserve"> </w:t>
      </w:r>
      <w:r>
        <w:t>two</w:t>
      </w:r>
      <w:r>
        <w:rPr>
          <w:spacing w:val="-2"/>
        </w:rPr>
        <w:t xml:space="preserve"> </w:t>
      </w:r>
      <w:r>
        <w:t>elements</w:t>
      </w:r>
      <w:r>
        <w:rPr>
          <w:spacing w:val="-5"/>
        </w:rPr>
        <w:t xml:space="preserve"> </w:t>
      </w:r>
      <w:r>
        <w:t>of</w:t>
      </w:r>
      <w:r>
        <w:rPr>
          <w:spacing w:val="-1"/>
        </w:rPr>
        <w:t xml:space="preserve"> </w:t>
      </w:r>
      <w:r>
        <w:t>linked</w:t>
      </w:r>
      <w:r>
        <w:rPr>
          <w:spacing w:val="-4"/>
        </w:rPr>
        <w:t xml:space="preserve"> </w:t>
      </w:r>
      <w:r>
        <w:t>evidence</w:t>
      </w:r>
      <w:r>
        <w:rPr>
          <w:spacing w:val="-2"/>
        </w:rPr>
        <w:t xml:space="preserve"> </w:t>
      </w:r>
      <w:r>
        <w:t>to</w:t>
      </w:r>
      <w:r>
        <w:rPr>
          <w:spacing w:val="-2"/>
        </w:rPr>
        <w:t xml:space="preserve"> </w:t>
      </w:r>
      <w:r>
        <w:t>suggest impacts</w:t>
      </w:r>
      <w:r>
        <w:rPr>
          <w:spacing w:val="-3"/>
        </w:rPr>
        <w:t xml:space="preserve"> </w:t>
      </w:r>
      <w:r>
        <w:t>on</w:t>
      </w:r>
      <w:r>
        <w:rPr>
          <w:spacing w:val="-4"/>
        </w:rPr>
        <w:t xml:space="preserve"> </w:t>
      </w:r>
      <w:r>
        <w:t>health</w:t>
      </w:r>
      <w:r>
        <w:rPr>
          <w:spacing w:val="-4"/>
        </w:rPr>
        <w:t xml:space="preserve"> </w:t>
      </w:r>
      <w:r>
        <w:t>outcomes:</w:t>
      </w:r>
      <w:r>
        <w:rPr>
          <w:spacing w:val="-4"/>
        </w:rPr>
        <w:t xml:space="preserve"> </w:t>
      </w:r>
      <w:r>
        <w:t>(</w:t>
      </w:r>
      <w:proofErr w:type="spellStart"/>
      <w:r>
        <w:t>i</w:t>
      </w:r>
      <w:proofErr w:type="spellEnd"/>
      <w:r>
        <w:t>) observational studies, and (ii) trials in those with established disease.</w:t>
      </w:r>
    </w:p>
    <w:p w14:paraId="7A4C2F2D" w14:textId="77777777" w:rsidR="00E13D3F" w:rsidRDefault="00FB2D6A" w:rsidP="00990D2B">
      <w:pPr>
        <w:pStyle w:val="ListParagraph"/>
        <w:numPr>
          <w:ilvl w:val="1"/>
          <w:numId w:val="34"/>
        </w:numPr>
        <w:tabs>
          <w:tab w:val="left" w:pos="1691"/>
        </w:tabs>
        <w:spacing w:before="156" w:line="276" w:lineRule="auto"/>
        <w:ind w:right="1460" w:firstLine="0"/>
        <w:rPr>
          <w:sz w:val="24"/>
        </w:rPr>
      </w:pPr>
      <w:r>
        <w:rPr>
          <w:sz w:val="24"/>
        </w:rPr>
        <w:t>Observational studies: Observational studies show a strong association with reduced cardiovascular risk. For example, an individual participant meta-analysis of 25 cohorts (in</w:t>
      </w:r>
      <w:r>
        <w:rPr>
          <w:spacing w:val="40"/>
          <w:sz w:val="24"/>
        </w:rPr>
        <w:t xml:space="preserve"> </w:t>
      </w:r>
      <w:r>
        <w:rPr>
          <w:sz w:val="24"/>
        </w:rPr>
        <w:t>the</w:t>
      </w:r>
      <w:r>
        <w:rPr>
          <w:spacing w:val="-4"/>
          <w:sz w:val="24"/>
        </w:rPr>
        <w:t xml:space="preserve"> </w:t>
      </w:r>
      <w:r>
        <w:rPr>
          <w:sz w:val="24"/>
        </w:rPr>
        <w:t>CHANCES</w:t>
      </w:r>
      <w:r>
        <w:rPr>
          <w:spacing w:val="-1"/>
          <w:sz w:val="24"/>
        </w:rPr>
        <w:t xml:space="preserve"> </w:t>
      </w:r>
      <w:r>
        <w:rPr>
          <w:sz w:val="24"/>
        </w:rPr>
        <w:t>consortium)</w:t>
      </w:r>
      <w:r>
        <w:rPr>
          <w:spacing w:val="-3"/>
          <w:sz w:val="24"/>
        </w:rPr>
        <w:t xml:space="preserve"> </w:t>
      </w:r>
      <w:r>
        <w:rPr>
          <w:sz w:val="24"/>
        </w:rPr>
        <w:t>with</w:t>
      </w:r>
      <w:r>
        <w:rPr>
          <w:spacing w:val="-1"/>
          <w:sz w:val="24"/>
        </w:rPr>
        <w:t xml:space="preserve"> </w:t>
      </w:r>
      <w:r>
        <w:rPr>
          <w:sz w:val="24"/>
        </w:rPr>
        <w:t>503,905</w:t>
      </w:r>
      <w:r>
        <w:rPr>
          <w:spacing w:val="-3"/>
          <w:sz w:val="24"/>
        </w:rPr>
        <w:t xml:space="preserve"> </w:t>
      </w:r>
      <w:r>
        <w:rPr>
          <w:sz w:val="24"/>
        </w:rPr>
        <w:t>participants</w:t>
      </w:r>
      <w:r>
        <w:rPr>
          <w:spacing w:val="-2"/>
          <w:sz w:val="24"/>
        </w:rPr>
        <w:t xml:space="preserve"> </w:t>
      </w:r>
      <w:r>
        <w:rPr>
          <w:sz w:val="24"/>
        </w:rPr>
        <w:t>aged</w:t>
      </w:r>
      <w:r>
        <w:rPr>
          <w:spacing w:val="-3"/>
          <w:sz w:val="24"/>
        </w:rPr>
        <w:t xml:space="preserve"> </w:t>
      </w:r>
      <w:r>
        <w:rPr>
          <w:sz w:val="24"/>
        </w:rPr>
        <w:t>60</w:t>
      </w:r>
      <w:r>
        <w:rPr>
          <w:spacing w:val="-3"/>
          <w:sz w:val="24"/>
        </w:rPr>
        <w:t xml:space="preserve"> </w:t>
      </w:r>
      <w:r>
        <w:rPr>
          <w:sz w:val="24"/>
        </w:rPr>
        <w:t>and</w:t>
      </w:r>
      <w:r>
        <w:rPr>
          <w:spacing w:val="-3"/>
          <w:sz w:val="24"/>
        </w:rPr>
        <w:t xml:space="preserve"> </w:t>
      </w:r>
      <w:r>
        <w:rPr>
          <w:sz w:val="24"/>
        </w:rPr>
        <w:t>older</w:t>
      </w:r>
      <w:r>
        <w:rPr>
          <w:spacing w:val="-3"/>
          <w:sz w:val="24"/>
        </w:rPr>
        <w:t xml:space="preserve"> </w:t>
      </w:r>
      <w:r>
        <w:rPr>
          <w:sz w:val="24"/>
        </w:rPr>
        <w:t>found</w:t>
      </w:r>
      <w:r>
        <w:rPr>
          <w:spacing w:val="-1"/>
          <w:sz w:val="24"/>
        </w:rPr>
        <w:t xml:space="preserve"> </w:t>
      </w:r>
      <w:r>
        <w:rPr>
          <w:sz w:val="24"/>
        </w:rPr>
        <w:t>cardiovascular mortality was doubled (HR 2.1, 95% CI 1.8 to 2.4) for current smokers and increased by almost 50% (HR 1.47, 95% CI 1.25 to 1.49) for former smokers compared with never</w:t>
      </w:r>
      <w:r>
        <w:rPr>
          <w:spacing w:val="40"/>
          <w:sz w:val="24"/>
        </w:rPr>
        <w:t xml:space="preserve"> </w:t>
      </w:r>
      <w:r>
        <w:rPr>
          <w:sz w:val="24"/>
        </w:rPr>
        <w:t>smokers</w:t>
      </w:r>
      <w:r>
        <w:rPr>
          <w:spacing w:val="-3"/>
          <w:sz w:val="24"/>
        </w:rPr>
        <w:t xml:space="preserve"> </w:t>
      </w:r>
      <w:r>
        <w:rPr>
          <w:sz w:val="24"/>
        </w:rPr>
        <w:t>(3).</w:t>
      </w:r>
      <w:r>
        <w:rPr>
          <w:spacing w:val="-4"/>
          <w:sz w:val="24"/>
        </w:rPr>
        <w:t xml:space="preserve"> </w:t>
      </w:r>
      <w:r>
        <w:rPr>
          <w:sz w:val="24"/>
        </w:rPr>
        <w:t>The</w:t>
      </w:r>
      <w:r>
        <w:rPr>
          <w:spacing w:val="-5"/>
          <w:sz w:val="24"/>
        </w:rPr>
        <w:t xml:space="preserve"> </w:t>
      </w:r>
      <w:r>
        <w:rPr>
          <w:sz w:val="24"/>
        </w:rPr>
        <w:t>excess</w:t>
      </w:r>
      <w:r>
        <w:rPr>
          <w:spacing w:val="-3"/>
          <w:sz w:val="24"/>
        </w:rPr>
        <w:t xml:space="preserve"> </w:t>
      </w:r>
      <w:r>
        <w:rPr>
          <w:sz w:val="24"/>
        </w:rPr>
        <w:t>risk</w:t>
      </w:r>
      <w:r>
        <w:rPr>
          <w:spacing w:val="-4"/>
          <w:sz w:val="24"/>
        </w:rPr>
        <w:t xml:space="preserve"> </w:t>
      </w:r>
      <w:r>
        <w:rPr>
          <w:sz w:val="24"/>
        </w:rPr>
        <w:t>in</w:t>
      </w:r>
      <w:r>
        <w:rPr>
          <w:spacing w:val="-2"/>
          <w:sz w:val="24"/>
        </w:rPr>
        <w:t xml:space="preserve"> </w:t>
      </w:r>
      <w:r>
        <w:rPr>
          <w:sz w:val="24"/>
        </w:rPr>
        <w:t>smokers</w:t>
      </w:r>
      <w:r>
        <w:rPr>
          <w:spacing w:val="-3"/>
          <w:sz w:val="24"/>
        </w:rPr>
        <w:t xml:space="preserve"> </w:t>
      </w:r>
      <w:r>
        <w:rPr>
          <w:sz w:val="24"/>
        </w:rPr>
        <w:t>increased</w:t>
      </w:r>
      <w:r>
        <w:rPr>
          <w:spacing w:val="-6"/>
          <w:sz w:val="24"/>
        </w:rPr>
        <w:t xml:space="preserve"> </w:t>
      </w:r>
      <w:r>
        <w:rPr>
          <w:sz w:val="24"/>
        </w:rPr>
        <w:t>with</w:t>
      </w:r>
      <w:r>
        <w:rPr>
          <w:spacing w:val="-2"/>
          <w:sz w:val="24"/>
        </w:rPr>
        <w:t xml:space="preserve"> </w:t>
      </w:r>
      <w:r>
        <w:rPr>
          <w:sz w:val="24"/>
        </w:rPr>
        <w:t>increasing</w:t>
      </w:r>
      <w:r>
        <w:rPr>
          <w:spacing w:val="-3"/>
          <w:sz w:val="24"/>
        </w:rPr>
        <w:t xml:space="preserve"> </w:t>
      </w:r>
      <w:r>
        <w:rPr>
          <w:sz w:val="24"/>
        </w:rPr>
        <w:t>cigarette</w:t>
      </w:r>
      <w:r>
        <w:rPr>
          <w:spacing w:val="-4"/>
          <w:sz w:val="24"/>
        </w:rPr>
        <w:t xml:space="preserve"> </w:t>
      </w:r>
      <w:r>
        <w:rPr>
          <w:sz w:val="24"/>
        </w:rPr>
        <w:t>consumption</w:t>
      </w:r>
      <w:r>
        <w:rPr>
          <w:spacing w:val="-2"/>
          <w:sz w:val="24"/>
        </w:rPr>
        <w:t xml:space="preserve"> </w:t>
      </w:r>
      <w:r>
        <w:rPr>
          <w:sz w:val="24"/>
        </w:rPr>
        <w:t>and decreased with time since smoking cessation in former smokers. A 2003 Cochrane review</w:t>
      </w:r>
    </w:p>
    <w:p w14:paraId="7A4C2F2E" w14:textId="77777777" w:rsidR="00E13D3F" w:rsidRDefault="00FB2D6A">
      <w:pPr>
        <w:pStyle w:val="BodyText"/>
        <w:spacing w:line="276" w:lineRule="auto"/>
        <w:ind w:right="1450"/>
      </w:pPr>
      <w:r>
        <w:t>(4)</w:t>
      </w:r>
      <w:r>
        <w:rPr>
          <w:spacing w:val="-3"/>
        </w:rPr>
        <w:t xml:space="preserve"> </w:t>
      </w:r>
      <w:r>
        <w:t>of</w:t>
      </w:r>
      <w:r>
        <w:rPr>
          <w:spacing w:val="-1"/>
        </w:rPr>
        <w:t xml:space="preserve"> </w:t>
      </w:r>
      <w:r>
        <w:t>20</w:t>
      </w:r>
      <w:r>
        <w:rPr>
          <w:spacing w:val="-2"/>
        </w:rPr>
        <w:t xml:space="preserve"> </w:t>
      </w:r>
      <w:r>
        <w:t>observational</w:t>
      </w:r>
      <w:r>
        <w:rPr>
          <w:spacing w:val="-3"/>
        </w:rPr>
        <w:t xml:space="preserve"> </w:t>
      </w:r>
      <w:r>
        <w:t>studies</w:t>
      </w:r>
      <w:r>
        <w:rPr>
          <w:spacing w:val="-4"/>
        </w:rPr>
        <w:t xml:space="preserve"> </w:t>
      </w:r>
      <w:r>
        <w:t>found</w:t>
      </w:r>
      <w:r>
        <w:rPr>
          <w:spacing w:val="-2"/>
        </w:rPr>
        <w:t xml:space="preserve"> </w:t>
      </w:r>
      <w:r>
        <w:t>a</w:t>
      </w:r>
      <w:r>
        <w:rPr>
          <w:spacing w:val="-4"/>
        </w:rPr>
        <w:t xml:space="preserve"> </w:t>
      </w:r>
      <w:r>
        <w:t>36%</w:t>
      </w:r>
      <w:r>
        <w:rPr>
          <w:spacing w:val="-2"/>
        </w:rPr>
        <w:t xml:space="preserve"> </w:t>
      </w:r>
      <w:r>
        <w:t>reduction</w:t>
      </w:r>
      <w:r>
        <w:rPr>
          <w:spacing w:val="-3"/>
        </w:rPr>
        <w:t xml:space="preserve"> </w:t>
      </w:r>
      <w:r>
        <w:t>in</w:t>
      </w:r>
      <w:r>
        <w:rPr>
          <w:spacing w:val="-3"/>
        </w:rPr>
        <w:t xml:space="preserve"> </w:t>
      </w:r>
      <w:r>
        <w:t>relative</w:t>
      </w:r>
      <w:r>
        <w:rPr>
          <w:spacing w:val="-3"/>
        </w:rPr>
        <w:t xml:space="preserve"> </w:t>
      </w:r>
      <w:r>
        <w:t>risk</w:t>
      </w:r>
      <w:r>
        <w:rPr>
          <w:spacing w:val="-3"/>
        </w:rPr>
        <w:t xml:space="preserve"> </w:t>
      </w:r>
      <w:r>
        <w:t>(RR)</w:t>
      </w:r>
      <w:r>
        <w:rPr>
          <w:spacing w:val="-3"/>
        </w:rPr>
        <w:t xml:space="preserve"> </w:t>
      </w:r>
      <w:r>
        <w:t>of</w:t>
      </w:r>
      <w:r>
        <w:rPr>
          <w:spacing w:val="-1"/>
        </w:rPr>
        <w:t xml:space="preserve"> </w:t>
      </w:r>
      <w:r>
        <w:t>mortality</w:t>
      </w:r>
      <w:r>
        <w:rPr>
          <w:spacing w:val="-3"/>
        </w:rPr>
        <w:t xml:space="preserve"> </w:t>
      </w:r>
      <w:r>
        <w:t>for those who quit smoking (RR 0.64, 95% CI 0.58 to 0.71), and a 32% reduction in non-fatal myocardial infarctions</w:t>
      </w:r>
      <w:r>
        <w:rPr>
          <w:spacing w:val="-3"/>
        </w:rPr>
        <w:t xml:space="preserve"> </w:t>
      </w:r>
      <w:r>
        <w:t>(RR</w:t>
      </w:r>
      <w:r>
        <w:rPr>
          <w:spacing w:val="-2"/>
        </w:rPr>
        <w:t xml:space="preserve"> </w:t>
      </w:r>
      <w:r>
        <w:t>0.68,</w:t>
      </w:r>
      <w:r>
        <w:rPr>
          <w:spacing w:val="-3"/>
        </w:rPr>
        <w:t xml:space="preserve"> </w:t>
      </w:r>
      <w:r>
        <w:t>95%</w:t>
      </w:r>
      <w:r>
        <w:rPr>
          <w:spacing w:val="-2"/>
        </w:rPr>
        <w:t xml:space="preserve"> </w:t>
      </w:r>
      <w:r>
        <w:t>CI</w:t>
      </w:r>
      <w:r>
        <w:rPr>
          <w:spacing w:val="-1"/>
        </w:rPr>
        <w:t xml:space="preserve"> </w:t>
      </w:r>
      <w:r>
        <w:t>0.57</w:t>
      </w:r>
      <w:r>
        <w:rPr>
          <w:spacing w:val="-2"/>
        </w:rPr>
        <w:t xml:space="preserve"> </w:t>
      </w:r>
      <w:r>
        <w:t>to</w:t>
      </w:r>
      <w:r>
        <w:rPr>
          <w:spacing w:val="-3"/>
        </w:rPr>
        <w:t xml:space="preserve"> </w:t>
      </w:r>
      <w:r>
        <w:t>0.82).</w:t>
      </w:r>
      <w:r>
        <w:rPr>
          <w:spacing w:val="-2"/>
        </w:rPr>
        <w:t xml:space="preserve"> </w:t>
      </w:r>
      <w:r>
        <w:t>Similarly,</w:t>
      </w:r>
      <w:r>
        <w:rPr>
          <w:spacing w:val="-1"/>
        </w:rPr>
        <w:t xml:space="preserve"> </w:t>
      </w:r>
      <w:r>
        <w:t>a</w:t>
      </w:r>
      <w:r>
        <w:rPr>
          <w:spacing w:val="-2"/>
        </w:rPr>
        <w:t xml:space="preserve"> </w:t>
      </w:r>
      <w:r>
        <w:t>meta-analysis</w:t>
      </w:r>
      <w:r>
        <w:rPr>
          <w:spacing w:val="-1"/>
        </w:rPr>
        <w:t xml:space="preserve"> </w:t>
      </w:r>
      <w:r>
        <w:t>of cohort studies of smoking cessation (5) after myocardial infarction found a 46% relative risk reduction (95% CI 54% to 38%) from successful quitting.</w:t>
      </w:r>
    </w:p>
    <w:p w14:paraId="7A4C2F2F" w14:textId="77777777" w:rsidR="00E13D3F" w:rsidRDefault="00FB2D6A" w:rsidP="00990D2B">
      <w:pPr>
        <w:pStyle w:val="ListParagraph"/>
        <w:numPr>
          <w:ilvl w:val="1"/>
          <w:numId w:val="34"/>
        </w:numPr>
        <w:tabs>
          <w:tab w:val="left" w:pos="1745"/>
        </w:tabs>
        <w:spacing w:before="159" w:line="276" w:lineRule="auto"/>
        <w:ind w:right="1447" w:firstLine="0"/>
        <w:rPr>
          <w:sz w:val="24"/>
        </w:rPr>
      </w:pPr>
      <w:r>
        <w:rPr>
          <w:sz w:val="24"/>
        </w:rPr>
        <w:t>Trials</w:t>
      </w:r>
      <w:r>
        <w:rPr>
          <w:spacing w:val="-3"/>
          <w:sz w:val="24"/>
        </w:rPr>
        <w:t xml:space="preserve"> </w:t>
      </w:r>
      <w:r>
        <w:rPr>
          <w:sz w:val="24"/>
        </w:rPr>
        <w:t>in</w:t>
      </w:r>
      <w:r>
        <w:rPr>
          <w:spacing w:val="-4"/>
          <w:sz w:val="24"/>
        </w:rPr>
        <w:t xml:space="preserve"> </w:t>
      </w:r>
      <w:r>
        <w:rPr>
          <w:sz w:val="24"/>
        </w:rPr>
        <w:t>those</w:t>
      </w:r>
      <w:r>
        <w:rPr>
          <w:spacing w:val="-4"/>
          <w:sz w:val="24"/>
        </w:rPr>
        <w:t xml:space="preserve"> </w:t>
      </w:r>
      <w:r>
        <w:rPr>
          <w:sz w:val="24"/>
        </w:rPr>
        <w:t>with</w:t>
      </w:r>
      <w:r>
        <w:rPr>
          <w:spacing w:val="-2"/>
          <w:sz w:val="24"/>
        </w:rPr>
        <w:t xml:space="preserve"> </w:t>
      </w:r>
      <w:r>
        <w:rPr>
          <w:sz w:val="24"/>
        </w:rPr>
        <w:t>established</w:t>
      </w:r>
      <w:r>
        <w:rPr>
          <w:spacing w:val="-4"/>
          <w:sz w:val="24"/>
        </w:rPr>
        <w:t xml:space="preserve"> </w:t>
      </w:r>
      <w:r>
        <w:rPr>
          <w:sz w:val="24"/>
        </w:rPr>
        <w:t>disease:</w:t>
      </w:r>
      <w:r>
        <w:rPr>
          <w:spacing w:val="-2"/>
          <w:sz w:val="24"/>
        </w:rPr>
        <w:t xml:space="preserve"> </w:t>
      </w:r>
      <w:r>
        <w:rPr>
          <w:sz w:val="24"/>
        </w:rPr>
        <w:t>Compared</w:t>
      </w:r>
      <w:r>
        <w:rPr>
          <w:spacing w:val="-4"/>
          <w:sz w:val="24"/>
        </w:rPr>
        <w:t xml:space="preserve"> </w:t>
      </w:r>
      <w:r>
        <w:rPr>
          <w:sz w:val="24"/>
        </w:rPr>
        <w:t>to</w:t>
      </w:r>
      <w:r>
        <w:rPr>
          <w:spacing w:val="-4"/>
          <w:sz w:val="24"/>
        </w:rPr>
        <w:t xml:space="preserve"> </w:t>
      </w:r>
      <w:r>
        <w:rPr>
          <w:sz w:val="24"/>
        </w:rPr>
        <w:t>the</w:t>
      </w:r>
      <w:r>
        <w:rPr>
          <w:spacing w:val="-2"/>
          <w:sz w:val="24"/>
        </w:rPr>
        <w:t xml:space="preserve"> </w:t>
      </w:r>
      <w:r>
        <w:rPr>
          <w:sz w:val="24"/>
        </w:rPr>
        <w:t>observational</w:t>
      </w:r>
      <w:r>
        <w:rPr>
          <w:spacing w:val="-3"/>
          <w:sz w:val="24"/>
        </w:rPr>
        <w:t xml:space="preserve"> </w:t>
      </w:r>
      <w:r>
        <w:rPr>
          <w:sz w:val="24"/>
        </w:rPr>
        <w:t>studies,</w:t>
      </w:r>
      <w:r>
        <w:rPr>
          <w:spacing w:val="-5"/>
          <w:sz w:val="24"/>
        </w:rPr>
        <w:t xml:space="preserve"> </w:t>
      </w:r>
      <w:r>
        <w:rPr>
          <w:sz w:val="24"/>
        </w:rPr>
        <w:t>there</w:t>
      </w:r>
      <w:r>
        <w:rPr>
          <w:spacing w:val="-2"/>
          <w:sz w:val="24"/>
        </w:rPr>
        <w:t xml:space="preserve"> </w:t>
      </w:r>
      <w:r>
        <w:rPr>
          <w:sz w:val="24"/>
        </w:rPr>
        <w:t>are few randomized trials with the long-term follow up needed to assess the health outcomes from smoking cessation. One randomized trial of intensive smoking cessation (sessions over 12 weeks with pharmacotherapy) in patients with cardiovascular disease achieved a rate of 33% long-term (2 year) abstinences and found a significant 44% relative risk reduction in mortality with an NNT of 11 (6).</w:t>
      </w:r>
    </w:p>
    <w:p w14:paraId="7A4C2F30" w14:textId="77777777" w:rsidR="00E13D3F" w:rsidRDefault="00FB2D6A">
      <w:pPr>
        <w:spacing w:before="161"/>
        <w:ind w:left="1440"/>
        <w:rPr>
          <w:sz w:val="24"/>
        </w:rPr>
      </w:pPr>
      <w:r>
        <w:rPr>
          <w:b/>
          <w:sz w:val="24"/>
        </w:rPr>
        <w:t>Direct</w:t>
      </w:r>
      <w:r>
        <w:rPr>
          <w:b/>
          <w:spacing w:val="-5"/>
          <w:sz w:val="24"/>
        </w:rPr>
        <w:t xml:space="preserve"> </w:t>
      </w:r>
      <w:r>
        <w:rPr>
          <w:b/>
          <w:sz w:val="24"/>
        </w:rPr>
        <w:t>Evidence:</w:t>
      </w:r>
      <w:r>
        <w:rPr>
          <w:b/>
          <w:spacing w:val="-3"/>
          <w:sz w:val="24"/>
        </w:rPr>
        <w:t xml:space="preserve"> </w:t>
      </w:r>
      <w:r>
        <w:rPr>
          <w:sz w:val="24"/>
        </w:rPr>
        <w:t>Trials</w:t>
      </w:r>
      <w:r>
        <w:rPr>
          <w:spacing w:val="-4"/>
          <w:sz w:val="24"/>
        </w:rPr>
        <w:t xml:space="preserve"> </w:t>
      </w:r>
      <w:r>
        <w:rPr>
          <w:sz w:val="24"/>
        </w:rPr>
        <w:t>of</w:t>
      </w:r>
      <w:r>
        <w:rPr>
          <w:spacing w:val="-3"/>
          <w:sz w:val="24"/>
        </w:rPr>
        <w:t xml:space="preserve"> </w:t>
      </w:r>
      <w:r>
        <w:rPr>
          <w:sz w:val="24"/>
        </w:rPr>
        <w:t>smoking</w:t>
      </w:r>
      <w:r>
        <w:rPr>
          <w:spacing w:val="-2"/>
          <w:sz w:val="24"/>
        </w:rPr>
        <w:t xml:space="preserve"> </w:t>
      </w:r>
      <w:r>
        <w:rPr>
          <w:sz w:val="24"/>
        </w:rPr>
        <w:t>cessation</w:t>
      </w:r>
      <w:r>
        <w:rPr>
          <w:spacing w:val="-3"/>
          <w:sz w:val="24"/>
        </w:rPr>
        <w:t xml:space="preserve"> </w:t>
      </w:r>
      <w:r>
        <w:rPr>
          <w:sz w:val="24"/>
        </w:rPr>
        <w:t>with</w:t>
      </w:r>
      <w:r>
        <w:rPr>
          <w:spacing w:val="-1"/>
          <w:sz w:val="24"/>
        </w:rPr>
        <w:t xml:space="preserve"> </w:t>
      </w:r>
      <w:r>
        <w:rPr>
          <w:sz w:val="24"/>
        </w:rPr>
        <w:t>long</w:t>
      </w:r>
      <w:r>
        <w:rPr>
          <w:spacing w:val="-4"/>
          <w:sz w:val="24"/>
        </w:rPr>
        <w:t xml:space="preserve"> </w:t>
      </w:r>
      <w:r>
        <w:rPr>
          <w:sz w:val="24"/>
        </w:rPr>
        <w:t>term</w:t>
      </w:r>
      <w:r>
        <w:rPr>
          <w:spacing w:val="-3"/>
          <w:sz w:val="24"/>
        </w:rPr>
        <w:t xml:space="preserve"> </w:t>
      </w:r>
      <w:r>
        <w:rPr>
          <w:sz w:val="24"/>
        </w:rPr>
        <w:t>follow-</w:t>
      </w:r>
      <w:r>
        <w:rPr>
          <w:spacing w:val="-5"/>
          <w:sz w:val="24"/>
        </w:rPr>
        <w:t>up</w:t>
      </w:r>
    </w:p>
    <w:p w14:paraId="7A4C2F31" w14:textId="77777777" w:rsidR="00E13D3F" w:rsidRDefault="00FB2D6A">
      <w:pPr>
        <w:pStyle w:val="BodyText"/>
        <w:spacing w:before="182" w:line="276" w:lineRule="auto"/>
        <w:ind w:right="1137"/>
      </w:pPr>
      <w:r>
        <w:t>We could not identify a systematic review of the long-term health outcomes of smoking cessation advice but did identify several long term trials (in-house systematic review in progress). Although certainty is low, smoking cessation programs offered as a stand-alone intervention</w:t>
      </w:r>
      <w:r>
        <w:rPr>
          <w:spacing w:val="-3"/>
        </w:rPr>
        <w:t xml:space="preserve"> </w:t>
      </w:r>
      <w:r>
        <w:t>may</w:t>
      </w:r>
      <w:r>
        <w:rPr>
          <w:spacing w:val="-2"/>
        </w:rPr>
        <w:t xml:space="preserve"> </w:t>
      </w:r>
      <w:r>
        <w:t>modestly</w:t>
      </w:r>
      <w:r>
        <w:rPr>
          <w:spacing w:val="-2"/>
        </w:rPr>
        <w:t xml:space="preserve"> </w:t>
      </w:r>
      <w:r>
        <w:t>reduce</w:t>
      </w:r>
      <w:r>
        <w:rPr>
          <w:spacing w:val="-1"/>
        </w:rPr>
        <w:t xml:space="preserve"> </w:t>
      </w:r>
      <w:r>
        <w:t>cardiovascular</w:t>
      </w:r>
      <w:r>
        <w:rPr>
          <w:spacing w:val="-4"/>
        </w:rPr>
        <w:t xml:space="preserve"> </w:t>
      </w:r>
      <w:r>
        <w:t>disease</w:t>
      </w:r>
      <w:r>
        <w:rPr>
          <w:spacing w:val="-3"/>
        </w:rPr>
        <w:t xml:space="preserve"> </w:t>
      </w:r>
      <w:r>
        <w:t>mortality</w:t>
      </w:r>
      <w:r>
        <w:rPr>
          <w:spacing w:val="-2"/>
        </w:rPr>
        <w:t xml:space="preserve"> </w:t>
      </w:r>
      <w:r>
        <w:t>(RR</w:t>
      </w:r>
      <w:r>
        <w:rPr>
          <w:spacing w:val="-3"/>
        </w:rPr>
        <w:t xml:space="preserve"> </w:t>
      </w:r>
      <w:r>
        <w:t>0.78,</w:t>
      </w:r>
      <w:r>
        <w:rPr>
          <w:spacing w:val="-2"/>
        </w:rPr>
        <w:t xml:space="preserve"> </w:t>
      </w:r>
      <w:r>
        <w:t>95%</w:t>
      </w:r>
      <w:r>
        <w:rPr>
          <w:spacing w:val="-2"/>
        </w:rPr>
        <w:t xml:space="preserve"> </w:t>
      </w:r>
      <w:r>
        <w:t>CI</w:t>
      </w:r>
      <w:r>
        <w:rPr>
          <w:spacing w:val="-2"/>
        </w:rPr>
        <w:t xml:space="preserve"> </w:t>
      </w:r>
      <w:r>
        <w:t>0.55</w:t>
      </w:r>
      <w:r>
        <w:rPr>
          <w:spacing w:val="-3"/>
        </w:rPr>
        <w:t xml:space="preserve"> </w:t>
      </w:r>
      <w:r>
        <w:t>to</w:t>
      </w:r>
    </w:p>
    <w:p w14:paraId="7A4C2F32" w14:textId="77777777" w:rsidR="00E13D3F" w:rsidRDefault="00E13D3F">
      <w:pPr>
        <w:pStyle w:val="BodyText"/>
        <w:spacing w:line="276" w:lineRule="auto"/>
        <w:sectPr w:rsidR="00E13D3F">
          <w:pgSz w:w="11910" w:h="16840"/>
          <w:pgMar w:top="1380" w:right="0" w:bottom="1200" w:left="0" w:header="0" w:footer="1000" w:gutter="0"/>
          <w:cols w:space="720"/>
        </w:sectPr>
      </w:pPr>
    </w:p>
    <w:p w14:paraId="7A4C2F33" w14:textId="77777777" w:rsidR="00E13D3F" w:rsidRDefault="00FB2D6A">
      <w:pPr>
        <w:pStyle w:val="BodyText"/>
        <w:spacing w:before="41" w:line="276" w:lineRule="auto"/>
        <w:ind w:right="1450"/>
      </w:pPr>
      <w:r>
        <w:lastRenderedPageBreak/>
        <w:t>1.08,</w:t>
      </w:r>
      <w:r>
        <w:rPr>
          <w:spacing w:val="-1"/>
        </w:rPr>
        <w:t xml:space="preserve"> </w:t>
      </w:r>
      <w:r>
        <w:t>with no</w:t>
      </w:r>
      <w:r>
        <w:rPr>
          <w:spacing w:val="-1"/>
        </w:rPr>
        <w:t xml:space="preserve"> </w:t>
      </w:r>
      <w:r>
        <w:t>heterogeneity; Table 5.2) There</w:t>
      </w:r>
      <w:r>
        <w:rPr>
          <w:spacing w:val="-2"/>
        </w:rPr>
        <w:t xml:space="preserve"> </w:t>
      </w:r>
      <w:r>
        <w:t>is</w:t>
      </w:r>
      <w:r>
        <w:rPr>
          <w:spacing w:val="-2"/>
        </w:rPr>
        <w:t xml:space="preserve"> </w:t>
      </w:r>
      <w:r>
        <w:t>no to</w:t>
      </w:r>
      <w:r>
        <w:rPr>
          <w:spacing w:val="-2"/>
        </w:rPr>
        <w:t xml:space="preserve"> </w:t>
      </w:r>
      <w:r>
        <w:t>little</w:t>
      </w:r>
      <w:r>
        <w:rPr>
          <w:spacing w:val="-2"/>
        </w:rPr>
        <w:t xml:space="preserve"> </w:t>
      </w:r>
      <w:r>
        <w:t>evidence</w:t>
      </w:r>
      <w:r>
        <w:rPr>
          <w:spacing w:val="-1"/>
        </w:rPr>
        <w:t xml:space="preserve"> </w:t>
      </w:r>
      <w:r>
        <w:t>that smoking cessation offered</w:t>
      </w:r>
      <w:r>
        <w:rPr>
          <w:spacing w:val="-4"/>
        </w:rPr>
        <w:t xml:space="preserve"> </w:t>
      </w:r>
      <w:r>
        <w:t>as</w:t>
      </w:r>
      <w:r>
        <w:rPr>
          <w:spacing w:val="-5"/>
        </w:rPr>
        <w:t xml:space="preserve"> </w:t>
      </w:r>
      <w:r>
        <w:t>part</w:t>
      </w:r>
      <w:r>
        <w:rPr>
          <w:spacing w:val="-3"/>
        </w:rPr>
        <w:t xml:space="preserve"> </w:t>
      </w:r>
      <w:r>
        <w:t>of</w:t>
      </w:r>
      <w:r>
        <w:rPr>
          <w:spacing w:val="-4"/>
        </w:rPr>
        <w:t xml:space="preserve"> </w:t>
      </w:r>
      <w:r>
        <w:t>multicomponent</w:t>
      </w:r>
      <w:r>
        <w:rPr>
          <w:spacing w:val="-2"/>
        </w:rPr>
        <w:t xml:space="preserve"> </w:t>
      </w:r>
      <w:r>
        <w:t>interventions</w:t>
      </w:r>
      <w:r>
        <w:rPr>
          <w:spacing w:val="-8"/>
        </w:rPr>
        <w:t xml:space="preserve"> </w:t>
      </w:r>
      <w:r>
        <w:t>would</w:t>
      </w:r>
      <w:r>
        <w:rPr>
          <w:spacing w:val="-2"/>
        </w:rPr>
        <w:t xml:space="preserve"> </w:t>
      </w:r>
      <w:r>
        <w:t>reduce</w:t>
      </w:r>
      <w:r>
        <w:rPr>
          <w:spacing w:val="-5"/>
        </w:rPr>
        <w:t xml:space="preserve"> </w:t>
      </w:r>
      <w:r>
        <w:t>CVD</w:t>
      </w:r>
      <w:r>
        <w:rPr>
          <w:spacing w:val="-4"/>
        </w:rPr>
        <w:t xml:space="preserve"> </w:t>
      </w:r>
      <w:r>
        <w:t>mortality</w:t>
      </w:r>
      <w:r>
        <w:rPr>
          <w:spacing w:val="-3"/>
        </w:rPr>
        <w:t xml:space="preserve"> </w:t>
      </w:r>
      <w:r>
        <w:t>(RR</w:t>
      </w:r>
      <w:r>
        <w:rPr>
          <w:spacing w:val="-4"/>
        </w:rPr>
        <w:t xml:space="preserve"> </w:t>
      </w:r>
      <w:r>
        <w:t>0.79,</w:t>
      </w:r>
      <w:r>
        <w:rPr>
          <w:spacing w:val="-5"/>
        </w:rPr>
        <w:t xml:space="preserve"> </w:t>
      </w:r>
      <w:r>
        <w:t>95% CI 0.47 to 1.32, with moderate heterogeneity) compared to usual care. A pooled analysis indicated that there was a non-significant reduction in CVD mortality for smoking cessation interventions compared to usual care (RR 0.84, 95% CI 0.69 to 1.03, no heterogeneity).</w:t>
      </w:r>
    </w:p>
    <w:p w14:paraId="7A4C2F34" w14:textId="77777777" w:rsidR="00E13D3F" w:rsidRDefault="00FB2D6A">
      <w:pPr>
        <w:pStyle w:val="BodyText"/>
        <w:spacing w:before="161" w:line="276" w:lineRule="auto"/>
        <w:ind w:right="1450"/>
      </w:pPr>
      <w:r>
        <w:t>Similarly,</w:t>
      </w:r>
      <w:r>
        <w:rPr>
          <w:spacing w:val="-3"/>
        </w:rPr>
        <w:t xml:space="preserve"> </w:t>
      </w:r>
      <w:r>
        <w:t>compared</w:t>
      </w:r>
      <w:r>
        <w:rPr>
          <w:spacing w:val="-4"/>
        </w:rPr>
        <w:t xml:space="preserve"> </w:t>
      </w:r>
      <w:r>
        <w:t>to</w:t>
      </w:r>
      <w:r>
        <w:rPr>
          <w:spacing w:val="-5"/>
        </w:rPr>
        <w:t xml:space="preserve"> </w:t>
      </w:r>
      <w:r>
        <w:t>usual</w:t>
      </w:r>
      <w:r>
        <w:rPr>
          <w:spacing w:val="-2"/>
        </w:rPr>
        <w:t xml:space="preserve"> </w:t>
      </w:r>
      <w:r>
        <w:t>care,</w:t>
      </w:r>
      <w:r>
        <w:rPr>
          <w:spacing w:val="-5"/>
        </w:rPr>
        <w:t xml:space="preserve"> </w:t>
      </w:r>
      <w:r>
        <w:t>there</w:t>
      </w:r>
      <w:r>
        <w:rPr>
          <w:spacing w:val="-4"/>
        </w:rPr>
        <w:t xml:space="preserve"> </w:t>
      </w:r>
      <w:r>
        <w:t>is</w:t>
      </w:r>
      <w:r>
        <w:rPr>
          <w:spacing w:val="-3"/>
        </w:rPr>
        <w:t xml:space="preserve"> </w:t>
      </w:r>
      <w:r>
        <w:t>no</w:t>
      </w:r>
      <w:r>
        <w:rPr>
          <w:spacing w:val="-2"/>
        </w:rPr>
        <w:t xml:space="preserve"> </w:t>
      </w:r>
      <w:r>
        <w:t>to</w:t>
      </w:r>
      <w:r>
        <w:rPr>
          <w:spacing w:val="-2"/>
        </w:rPr>
        <w:t xml:space="preserve"> </w:t>
      </w:r>
      <w:r>
        <w:t>little evidence</w:t>
      </w:r>
      <w:r>
        <w:rPr>
          <w:spacing w:val="-4"/>
        </w:rPr>
        <w:t xml:space="preserve"> </w:t>
      </w:r>
      <w:r>
        <w:t>that</w:t>
      </w:r>
      <w:r>
        <w:rPr>
          <w:spacing w:val="-2"/>
        </w:rPr>
        <w:t xml:space="preserve"> </w:t>
      </w:r>
      <w:r>
        <w:t>smoking</w:t>
      </w:r>
      <w:r>
        <w:rPr>
          <w:spacing w:val="-3"/>
        </w:rPr>
        <w:t xml:space="preserve"> </w:t>
      </w:r>
      <w:r>
        <w:t>cessation-alone interventions (RR 0.95, 95% CI 0.78 to 1.16, with no heterogeneity) and multicomponent interventions</w:t>
      </w:r>
      <w:r>
        <w:rPr>
          <w:spacing w:val="-2"/>
        </w:rPr>
        <w:t xml:space="preserve"> </w:t>
      </w:r>
      <w:r>
        <w:t>(RR</w:t>
      </w:r>
      <w:r>
        <w:rPr>
          <w:spacing w:val="-3"/>
        </w:rPr>
        <w:t xml:space="preserve"> </w:t>
      </w:r>
      <w:r>
        <w:t>0.87,</w:t>
      </w:r>
      <w:r>
        <w:rPr>
          <w:spacing w:val="-1"/>
        </w:rPr>
        <w:t xml:space="preserve"> </w:t>
      </w:r>
      <w:r>
        <w:t>95% CI</w:t>
      </w:r>
      <w:r>
        <w:rPr>
          <w:spacing w:val="-2"/>
        </w:rPr>
        <w:t xml:space="preserve"> </w:t>
      </w:r>
      <w:r>
        <w:t>0.56</w:t>
      </w:r>
      <w:r>
        <w:rPr>
          <w:spacing w:val="-3"/>
        </w:rPr>
        <w:t xml:space="preserve"> </w:t>
      </w:r>
      <w:r>
        <w:t>to</w:t>
      </w:r>
      <w:r>
        <w:rPr>
          <w:spacing w:val="-3"/>
        </w:rPr>
        <w:t xml:space="preserve"> </w:t>
      </w:r>
      <w:r>
        <w:t>1.35,</w:t>
      </w:r>
      <w:r>
        <w:rPr>
          <w:spacing w:val="-3"/>
        </w:rPr>
        <w:t xml:space="preserve"> </w:t>
      </w:r>
      <w:r>
        <w:t>with</w:t>
      </w:r>
      <w:r>
        <w:rPr>
          <w:spacing w:val="-3"/>
        </w:rPr>
        <w:t xml:space="preserve"> </w:t>
      </w:r>
      <w:r>
        <w:t>high</w:t>
      </w:r>
      <w:r>
        <w:rPr>
          <w:spacing w:val="-3"/>
        </w:rPr>
        <w:t xml:space="preserve"> </w:t>
      </w:r>
      <w:r>
        <w:t>heterogeneity)</w:t>
      </w:r>
      <w:r>
        <w:rPr>
          <w:spacing w:val="-3"/>
        </w:rPr>
        <w:t xml:space="preserve"> </w:t>
      </w:r>
      <w:r>
        <w:t>would</w:t>
      </w:r>
      <w:r>
        <w:rPr>
          <w:spacing w:val="-1"/>
        </w:rPr>
        <w:t xml:space="preserve"> </w:t>
      </w:r>
      <w:r>
        <w:t>reduce</w:t>
      </w:r>
      <w:r>
        <w:rPr>
          <w:spacing w:val="-4"/>
        </w:rPr>
        <w:t xml:space="preserve"> </w:t>
      </w:r>
      <w:r>
        <w:t>all-cause mortality. The pooled analysis of both interventions yielded non-significant reductions (RR 0.97, 95% CI 0.86 to 1.10, no heterogeneity) when compared to the control group.</w:t>
      </w:r>
    </w:p>
    <w:p w14:paraId="7A4C2F35" w14:textId="77777777" w:rsidR="00E13D3F" w:rsidRDefault="00FB2D6A">
      <w:pPr>
        <w:spacing w:before="162" w:line="259" w:lineRule="auto"/>
        <w:ind w:left="1440" w:right="1137"/>
        <w:rPr>
          <w:b/>
          <w:i/>
          <w:sz w:val="20"/>
        </w:rPr>
      </w:pPr>
      <w:r>
        <w:rPr>
          <w:b/>
          <w:sz w:val="20"/>
        </w:rPr>
        <w:t>Table</w:t>
      </w:r>
      <w:r>
        <w:rPr>
          <w:b/>
          <w:spacing w:val="-2"/>
          <w:sz w:val="20"/>
        </w:rPr>
        <w:t xml:space="preserve"> </w:t>
      </w:r>
      <w:r>
        <w:rPr>
          <w:b/>
          <w:sz w:val="20"/>
        </w:rPr>
        <w:t>5.2:</w:t>
      </w:r>
      <w:r>
        <w:rPr>
          <w:b/>
          <w:spacing w:val="-3"/>
          <w:sz w:val="20"/>
        </w:rPr>
        <w:t xml:space="preserve"> </w:t>
      </w:r>
      <w:r>
        <w:rPr>
          <w:b/>
          <w:sz w:val="20"/>
        </w:rPr>
        <w:t>Summary</w:t>
      </w:r>
      <w:r>
        <w:rPr>
          <w:b/>
          <w:spacing w:val="-4"/>
          <w:sz w:val="20"/>
        </w:rPr>
        <w:t xml:space="preserve"> </w:t>
      </w:r>
      <w:r>
        <w:rPr>
          <w:b/>
          <w:sz w:val="20"/>
        </w:rPr>
        <w:t>of</w:t>
      </w:r>
      <w:r>
        <w:rPr>
          <w:b/>
          <w:spacing w:val="-4"/>
          <w:sz w:val="20"/>
        </w:rPr>
        <w:t xml:space="preserve"> </w:t>
      </w:r>
      <w:r>
        <w:rPr>
          <w:b/>
          <w:sz w:val="20"/>
        </w:rPr>
        <w:t>primary</w:t>
      </w:r>
      <w:r>
        <w:rPr>
          <w:b/>
          <w:spacing w:val="-4"/>
          <w:sz w:val="20"/>
        </w:rPr>
        <w:t xml:space="preserve"> </w:t>
      </w:r>
      <w:r>
        <w:rPr>
          <w:b/>
          <w:sz w:val="20"/>
        </w:rPr>
        <w:t>outcomes</w:t>
      </w:r>
      <w:r>
        <w:rPr>
          <w:b/>
          <w:spacing w:val="-4"/>
          <w:sz w:val="20"/>
        </w:rPr>
        <w:t xml:space="preserve"> </w:t>
      </w:r>
      <w:r>
        <w:rPr>
          <w:b/>
          <w:sz w:val="20"/>
        </w:rPr>
        <w:t>for smoking</w:t>
      </w:r>
      <w:r>
        <w:rPr>
          <w:b/>
          <w:spacing w:val="-4"/>
          <w:sz w:val="20"/>
        </w:rPr>
        <w:t xml:space="preserve"> </w:t>
      </w:r>
      <w:r>
        <w:rPr>
          <w:b/>
          <w:sz w:val="20"/>
        </w:rPr>
        <w:t>cessation</w:t>
      </w:r>
      <w:r>
        <w:rPr>
          <w:b/>
          <w:spacing w:val="-3"/>
          <w:sz w:val="20"/>
        </w:rPr>
        <w:t xml:space="preserve"> </w:t>
      </w:r>
      <w:r>
        <w:rPr>
          <w:b/>
          <w:sz w:val="20"/>
        </w:rPr>
        <w:t>versus</w:t>
      </w:r>
      <w:r>
        <w:rPr>
          <w:b/>
          <w:spacing w:val="-4"/>
          <w:sz w:val="20"/>
        </w:rPr>
        <w:t xml:space="preserve"> </w:t>
      </w:r>
      <w:r>
        <w:rPr>
          <w:b/>
          <w:sz w:val="20"/>
        </w:rPr>
        <w:t>usual</w:t>
      </w:r>
      <w:r>
        <w:rPr>
          <w:b/>
          <w:spacing w:val="-4"/>
          <w:sz w:val="20"/>
        </w:rPr>
        <w:t xml:space="preserve"> </w:t>
      </w:r>
      <w:r>
        <w:rPr>
          <w:b/>
          <w:sz w:val="20"/>
        </w:rPr>
        <w:t>care</w:t>
      </w:r>
      <w:r>
        <w:rPr>
          <w:b/>
          <w:spacing w:val="-3"/>
          <w:sz w:val="20"/>
        </w:rPr>
        <w:t xml:space="preserve"> </w:t>
      </w:r>
      <w:r>
        <w:rPr>
          <w:b/>
          <w:sz w:val="20"/>
        </w:rPr>
        <w:t xml:space="preserve">at </w:t>
      </w:r>
      <w:r>
        <w:rPr>
          <w:b/>
          <w:i/>
          <w:sz w:val="20"/>
          <w:u w:val="single"/>
        </w:rPr>
        <w:t>5</w:t>
      </w:r>
      <w:r>
        <w:rPr>
          <w:b/>
          <w:i/>
          <w:spacing w:val="-4"/>
          <w:sz w:val="20"/>
          <w:u w:val="single"/>
        </w:rPr>
        <w:t xml:space="preserve"> </w:t>
      </w:r>
      <w:r>
        <w:rPr>
          <w:b/>
          <w:i/>
          <w:sz w:val="20"/>
          <w:u w:val="single"/>
        </w:rPr>
        <w:t>to</w:t>
      </w:r>
      <w:r>
        <w:rPr>
          <w:b/>
          <w:i/>
          <w:spacing w:val="-3"/>
          <w:sz w:val="20"/>
          <w:u w:val="single"/>
        </w:rPr>
        <w:t xml:space="preserve"> </w:t>
      </w:r>
      <w:r>
        <w:rPr>
          <w:b/>
          <w:i/>
          <w:sz w:val="20"/>
          <w:u w:val="single"/>
        </w:rPr>
        <w:t>10</w:t>
      </w:r>
      <w:r>
        <w:rPr>
          <w:b/>
          <w:i/>
          <w:spacing w:val="-3"/>
          <w:sz w:val="20"/>
          <w:u w:val="single"/>
        </w:rPr>
        <w:t xml:space="preserve"> </w:t>
      </w:r>
      <w:r>
        <w:rPr>
          <w:b/>
          <w:i/>
          <w:sz w:val="20"/>
          <w:u w:val="single"/>
        </w:rPr>
        <w:t>years</w:t>
      </w:r>
      <w:r>
        <w:rPr>
          <w:b/>
          <w:i/>
          <w:spacing w:val="-3"/>
          <w:sz w:val="20"/>
          <w:u w:val="single"/>
        </w:rPr>
        <w:t xml:space="preserve"> </w:t>
      </w:r>
      <w:r>
        <w:rPr>
          <w:b/>
          <w:i/>
          <w:sz w:val="20"/>
          <w:u w:val="single"/>
        </w:rPr>
        <w:t>post</w:t>
      </w:r>
      <w:r>
        <w:rPr>
          <w:b/>
          <w:i/>
          <w:sz w:val="20"/>
        </w:rPr>
        <w:t xml:space="preserve"> </w:t>
      </w:r>
      <w:r>
        <w:rPr>
          <w:b/>
          <w:i/>
          <w:spacing w:val="-2"/>
          <w:sz w:val="20"/>
          <w:u w:val="single"/>
        </w:rPr>
        <w:t>intervention</w:t>
      </w:r>
    </w:p>
    <w:tbl>
      <w:tblPr>
        <w:tblW w:w="0" w:type="auto"/>
        <w:tblInd w:w="145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1212"/>
        <w:gridCol w:w="967"/>
        <w:gridCol w:w="1176"/>
        <w:gridCol w:w="849"/>
        <w:gridCol w:w="1380"/>
        <w:gridCol w:w="981"/>
        <w:gridCol w:w="2683"/>
      </w:tblGrid>
      <w:tr w:rsidR="00E13D3F" w14:paraId="7A4C2F3F" w14:textId="77777777">
        <w:trPr>
          <w:trHeight w:val="486"/>
        </w:trPr>
        <w:tc>
          <w:tcPr>
            <w:tcW w:w="1212" w:type="dxa"/>
            <w:vMerge w:val="restart"/>
          </w:tcPr>
          <w:p w14:paraId="7A4C2F36" w14:textId="77777777" w:rsidR="00E13D3F" w:rsidRDefault="00FB2D6A">
            <w:pPr>
              <w:pStyle w:val="TableParagraph"/>
              <w:spacing w:before="1"/>
              <w:ind w:left="223"/>
              <w:rPr>
                <w:b/>
                <w:sz w:val="20"/>
              </w:rPr>
            </w:pPr>
            <w:r>
              <w:rPr>
                <w:b/>
                <w:spacing w:val="-2"/>
                <w:sz w:val="20"/>
              </w:rPr>
              <w:t>Outcome</w:t>
            </w:r>
          </w:p>
        </w:tc>
        <w:tc>
          <w:tcPr>
            <w:tcW w:w="967" w:type="dxa"/>
            <w:vMerge w:val="restart"/>
          </w:tcPr>
          <w:p w14:paraId="7A4C2F37" w14:textId="77777777" w:rsidR="00E13D3F" w:rsidRDefault="00FB2D6A">
            <w:pPr>
              <w:pStyle w:val="TableParagraph"/>
              <w:spacing w:before="1" w:line="243" w:lineRule="exact"/>
              <w:ind w:left="8" w:right="4"/>
              <w:jc w:val="center"/>
              <w:rPr>
                <w:b/>
                <w:sz w:val="20"/>
              </w:rPr>
            </w:pPr>
            <w:r>
              <w:rPr>
                <w:b/>
                <w:spacing w:val="-4"/>
                <w:sz w:val="20"/>
              </w:rPr>
              <w:t>RCTs</w:t>
            </w:r>
          </w:p>
          <w:p w14:paraId="7A4C2F38" w14:textId="77777777" w:rsidR="00E13D3F" w:rsidRDefault="00FB2D6A">
            <w:pPr>
              <w:pStyle w:val="TableParagraph"/>
              <w:spacing w:line="243" w:lineRule="exact"/>
              <w:ind w:left="8"/>
              <w:jc w:val="center"/>
              <w:rPr>
                <w:b/>
                <w:sz w:val="20"/>
              </w:rPr>
            </w:pPr>
            <w:r>
              <w:rPr>
                <w:b/>
                <w:spacing w:val="-2"/>
                <w:sz w:val="20"/>
              </w:rPr>
              <w:t>(people)</w:t>
            </w:r>
          </w:p>
        </w:tc>
        <w:tc>
          <w:tcPr>
            <w:tcW w:w="2025" w:type="dxa"/>
            <w:gridSpan w:val="2"/>
          </w:tcPr>
          <w:p w14:paraId="7A4C2F39" w14:textId="77777777" w:rsidR="00E13D3F" w:rsidRDefault="00FB2D6A">
            <w:pPr>
              <w:pStyle w:val="TableParagraph"/>
              <w:spacing w:before="1" w:line="243" w:lineRule="exact"/>
              <w:ind w:left="146"/>
              <w:rPr>
                <w:b/>
                <w:sz w:val="20"/>
              </w:rPr>
            </w:pPr>
            <w:r>
              <w:rPr>
                <w:b/>
                <w:spacing w:val="-2"/>
                <w:sz w:val="20"/>
              </w:rPr>
              <w:t>Anticipated</w:t>
            </w:r>
            <w:r>
              <w:rPr>
                <w:b/>
                <w:spacing w:val="8"/>
                <w:sz w:val="20"/>
              </w:rPr>
              <w:t xml:space="preserve"> </w:t>
            </w:r>
            <w:r>
              <w:rPr>
                <w:b/>
                <w:spacing w:val="-2"/>
                <w:sz w:val="20"/>
              </w:rPr>
              <w:t>absolute</w:t>
            </w:r>
          </w:p>
          <w:p w14:paraId="7A4C2F3A" w14:textId="77777777" w:rsidR="00E13D3F" w:rsidRDefault="00FB2D6A">
            <w:pPr>
              <w:pStyle w:val="TableParagraph"/>
              <w:spacing w:line="222" w:lineRule="exact"/>
              <w:ind w:left="230"/>
              <w:rPr>
                <w:b/>
                <w:sz w:val="20"/>
              </w:rPr>
            </w:pPr>
            <w:r>
              <w:rPr>
                <w:b/>
                <w:sz w:val="20"/>
              </w:rPr>
              <w:t>effects</w:t>
            </w:r>
            <w:r>
              <w:rPr>
                <w:b/>
                <w:spacing w:val="-6"/>
                <w:sz w:val="20"/>
              </w:rPr>
              <w:t xml:space="preserve"> </w:t>
            </w:r>
            <w:r>
              <w:rPr>
                <w:b/>
                <w:sz w:val="20"/>
              </w:rPr>
              <w:t>(per</w:t>
            </w:r>
            <w:r>
              <w:rPr>
                <w:b/>
                <w:spacing w:val="-6"/>
                <w:sz w:val="20"/>
              </w:rPr>
              <w:t xml:space="preserve"> </w:t>
            </w:r>
            <w:r>
              <w:rPr>
                <w:b/>
                <w:spacing w:val="-2"/>
                <w:sz w:val="20"/>
              </w:rPr>
              <w:t>1000)+</w:t>
            </w:r>
          </w:p>
        </w:tc>
        <w:tc>
          <w:tcPr>
            <w:tcW w:w="1380" w:type="dxa"/>
            <w:vMerge w:val="restart"/>
          </w:tcPr>
          <w:p w14:paraId="7A4C2F3B" w14:textId="77777777" w:rsidR="00E13D3F" w:rsidRDefault="00FB2D6A">
            <w:pPr>
              <w:pStyle w:val="TableParagraph"/>
              <w:spacing w:before="1"/>
              <w:ind w:left="375" w:right="143" w:hanging="214"/>
              <w:rPr>
                <w:b/>
                <w:sz w:val="20"/>
              </w:rPr>
            </w:pPr>
            <w:r>
              <w:rPr>
                <w:b/>
                <w:sz w:val="20"/>
              </w:rPr>
              <w:t>Relative</w:t>
            </w:r>
            <w:r>
              <w:rPr>
                <w:b/>
                <w:spacing w:val="-12"/>
                <w:sz w:val="20"/>
              </w:rPr>
              <w:t xml:space="preserve"> </w:t>
            </w:r>
            <w:r>
              <w:rPr>
                <w:b/>
                <w:sz w:val="20"/>
              </w:rPr>
              <w:t xml:space="preserve">Risk </w:t>
            </w:r>
            <w:r>
              <w:rPr>
                <w:b/>
                <w:spacing w:val="-2"/>
                <w:sz w:val="20"/>
              </w:rPr>
              <w:t>(95%CI)</w:t>
            </w:r>
          </w:p>
        </w:tc>
        <w:tc>
          <w:tcPr>
            <w:tcW w:w="981" w:type="dxa"/>
            <w:vMerge w:val="restart"/>
          </w:tcPr>
          <w:p w14:paraId="7A4C2F3C" w14:textId="77777777" w:rsidR="00E13D3F" w:rsidRDefault="00FB2D6A">
            <w:pPr>
              <w:pStyle w:val="TableParagraph"/>
              <w:spacing w:before="1" w:line="243" w:lineRule="exact"/>
              <w:ind w:left="198"/>
              <w:rPr>
                <w:b/>
                <w:sz w:val="20"/>
              </w:rPr>
            </w:pPr>
            <w:r>
              <w:rPr>
                <w:b/>
                <w:spacing w:val="-2"/>
                <w:sz w:val="20"/>
              </w:rPr>
              <w:t>GRADE</w:t>
            </w:r>
          </w:p>
          <w:p w14:paraId="7A4C2F3D" w14:textId="77777777" w:rsidR="00E13D3F" w:rsidRDefault="00FB2D6A">
            <w:pPr>
              <w:pStyle w:val="TableParagraph"/>
              <w:spacing w:line="243" w:lineRule="exact"/>
              <w:ind w:left="188"/>
              <w:rPr>
                <w:b/>
                <w:sz w:val="20"/>
              </w:rPr>
            </w:pPr>
            <w:r>
              <w:rPr>
                <w:b/>
                <w:spacing w:val="-2"/>
                <w:sz w:val="20"/>
              </w:rPr>
              <w:t>Quality</w:t>
            </w:r>
          </w:p>
        </w:tc>
        <w:tc>
          <w:tcPr>
            <w:tcW w:w="2683" w:type="dxa"/>
            <w:vMerge w:val="restart"/>
          </w:tcPr>
          <w:p w14:paraId="7A4C2F3E" w14:textId="77777777" w:rsidR="00E13D3F" w:rsidRDefault="00FB2D6A">
            <w:pPr>
              <w:pStyle w:val="TableParagraph"/>
              <w:spacing w:before="1"/>
              <w:ind w:left="895"/>
              <w:rPr>
                <w:b/>
                <w:sz w:val="20"/>
              </w:rPr>
            </w:pPr>
            <w:r>
              <w:rPr>
                <w:b/>
                <w:spacing w:val="-2"/>
                <w:sz w:val="20"/>
              </w:rPr>
              <w:t>Comments</w:t>
            </w:r>
          </w:p>
        </w:tc>
      </w:tr>
      <w:tr w:rsidR="00E13D3F" w14:paraId="7A4C2F47" w14:textId="77777777">
        <w:trPr>
          <w:trHeight w:val="489"/>
        </w:trPr>
        <w:tc>
          <w:tcPr>
            <w:tcW w:w="1212" w:type="dxa"/>
            <w:vMerge/>
            <w:tcBorders>
              <w:top w:val="nil"/>
            </w:tcBorders>
          </w:tcPr>
          <w:p w14:paraId="7A4C2F40" w14:textId="77777777" w:rsidR="00E13D3F" w:rsidRDefault="00E13D3F">
            <w:pPr>
              <w:rPr>
                <w:sz w:val="2"/>
                <w:szCs w:val="2"/>
              </w:rPr>
            </w:pPr>
          </w:p>
        </w:tc>
        <w:tc>
          <w:tcPr>
            <w:tcW w:w="967" w:type="dxa"/>
            <w:vMerge/>
            <w:tcBorders>
              <w:top w:val="nil"/>
            </w:tcBorders>
          </w:tcPr>
          <w:p w14:paraId="7A4C2F41" w14:textId="77777777" w:rsidR="00E13D3F" w:rsidRDefault="00E13D3F">
            <w:pPr>
              <w:rPr>
                <w:sz w:val="2"/>
                <w:szCs w:val="2"/>
              </w:rPr>
            </w:pPr>
          </w:p>
        </w:tc>
        <w:tc>
          <w:tcPr>
            <w:tcW w:w="1176" w:type="dxa"/>
            <w:shd w:val="clear" w:color="auto" w:fill="F1F1F1"/>
          </w:tcPr>
          <w:p w14:paraId="7A4C2F42" w14:textId="77777777" w:rsidR="00E13D3F" w:rsidRDefault="00FB2D6A">
            <w:pPr>
              <w:pStyle w:val="TableParagraph"/>
              <w:spacing w:line="240" w:lineRule="atLeast"/>
              <w:ind w:left="187" w:right="178" w:firstLine="45"/>
              <w:rPr>
                <w:b/>
                <w:sz w:val="20"/>
              </w:rPr>
            </w:pPr>
            <w:r>
              <w:rPr>
                <w:b/>
                <w:spacing w:val="-2"/>
                <w:sz w:val="20"/>
              </w:rPr>
              <w:t>Smoking Cessation</w:t>
            </w:r>
          </w:p>
        </w:tc>
        <w:tc>
          <w:tcPr>
            <w:tcW w:w="849" w:type="dxa"/>
            <w:shd w:val="clear" w:color="auto" w:fill="F1F1F1"/>
          </w:tcPr>
          <w:p w14:paraId="7A4C2F43" w14:textId="77777777" w:rsidR="00E13D3F" w:rsidRDefault="00FB2D6A">
            <w:pPr>
              <w:pStyle w:val="TableParagraph"/>
              <w:spacing w:line="240" w:lineRule="atLeast"/>
              <w:ind w:left="247" w:right="172" w:hanging="56"/>
              <w:rPr>
                <w:b/>
                <w:sz w:val="20"/>
              </w:rPr>
            </w:pPr>
            <w:r>
              <w:rPr>
                <w:b/>
                <w:spacing w:val="-2"/>
                <w:sz w:val="20"/>
              </w:rPr>
              <w:t xml:space="preserve">Usual </w:t>
            </w:r>
            <w:r>
              <w:rPr>
                <w:b/>
                <w:spacing w:val="-4"/>
                <w:sz w:val="20"/>
              </w:rPr>
              <w:t>care</w:t>
            </w:r>
          </w:p>
        </w:tc>
        <w:tc>
          <w:tcPr>
            <w:tcW w:w="1380" w:type="dxa"/>
            <w:vMerge/>
            <w:tcBorders>
              <w:top w:val="nil"/>
            </w:tcBorders>
          </w:tcPr>
          <w:p w14:paraId="7A4C2F44" w14:textId="77777777" w:rsidR="00E13D3F" w:rsidRDefault="00E13D3F">
            <w:pPr>
              <w:rPr>
                <w:sz w:val="2"/>
                <w:szCs w:val="2"/>
              </w:rPr>
            </w:pPr>
          </w:p>
        </w:tc>
        <w:tc>
          <w:tcPr>
            <w:tcW w:w="981" w:type="dxa"/>
            <w:vMerge/>
            <w:tcBorders>
              <w:top w:val="nil"/>
            </w:tcBorders>
          </w:tcPr>
          <w:p w14:paraId="7A4C2F45" w14:textId="77777777" w:rsidR="00E13D3F" w:rsidRDefault="00E13D3F">
            <w:pPr>
              <w:rPr>
                <w:sz w:val="2"/>
                <w:szCs w:val="2"/>
              </w:rPr>
            </w:pPr>
          </w:p>
        </w:tc>
        <w:tc>
          <w:tcPr>
            <w:tcW w:w="2683" w:type="dxa"/>
            <w:vMerge/>
            <w:tcBorders>
              <w:top w:val="nil"/>
            </w:tcBorders>
          </w:tcPr>
          <w:p w14:paraId="7A4C2F46" w14:textId="77777777" w:rsidR="00E13D3F" w:rsidRDefault="00E13D3F">
            <w:pPr>
              <w:rPr>
                <w:sz w:val="2"/>
                <w:szCs w:val="2"/>
              </w:rPr>
            </w:pPr>
          </w:p>
        </w:tc>
      </w:tr>
      <w:tr w:rsidR="00E13D3F" w14:paraId="7A4C2F49" w14:textId="77777777">
        <w:trPr>
          <w:trHeight w:val="244"/>
        </w:trPr>
        <w:tc>
          <w:tcPr>
            <w:tcW w:w="9248" w:type="dxa"/>
            <w:gridSpan w:val="7"/>
          </w:tcPr>
          <w:p w14:paraId="7A4C2F48" w14:textId="77777777" w:rsidR="00E13D3F" w:rsidRDefault="00FB2D6A">
            <w:pPr>
              <w:pStyle w:val="TableParagraph"/>
              <w:spacing w:before="1" w:line="223" w:lineRule="exact"/>
              <w:ind w:left="107"/>
              <w:rPr>
                <w:b/>
                <w:i/>
                <w:sz w:val="20"/>
              </w:rPr>
            </w:pPr>
            <w:r>
              <w:rPr>
                <w:b/>
                <w:i/>
                <w:sz w:val="20"/>
              </w:rPr>
              <w:t>Smoking</w:t>
            </w:r>
            <w:r>
              <w:rPr>
                <w:b/>
                <w:i/>
                <w:spacing w:val="-9"/>
                <w:sz w:val="20"/>
              </w:rPr>
              <w:t xml:space="preserve"> </w:t>
            </w:r>
            <w:r>
              <w:rPr>
                <w:b/>
                <w:i/>
                <w:sz w:val="20"/>
              </w:rPr>
              <w:t>cessation</w:t>
            </w:r>
            <w:r>
              <w:rPr>
                <w:b/>
                <w:i/>
                <w:spacing w:val="-8"/>
                <w:sz w:val="20"/>
              </w:rPr>
              <w:t xml:space="preserve"> </w:t>
            </w:r>
            <w:r>
              <w:rPr>
                <w:b/>
                <w:i/>
                <w:spacing w:val="-4"/>
                <w:sz w:val="20"/>
              </w:rPr>
              <w:t>alone</w:t>
            </w:r>
          </w:p>
        </w:tc>
      </w:tr>
      <w:tr w:rsidR="00E13D3F" w14:paraId="7A4C2F55" w14:textId="77777777">
        <w:trPr>
          <w:trHeight w:val="486"/>
        </w:trPr>
        <w:tc>
          <w:tcPr>
            <w:tcW w:w="1212" w:type="dxa"/>
            <w:shd w:val="clear" w:color="auto" w:fill="F1F1F1"/>
          </w:tcPr>
          <w:p w14:paraId="7A4C2F4A" w14:textId="77777777" w:rsidR="00E13D3F" w:rsidRDefault="00FB2D6A">
            <w:pPr>
              <w:pStyle w:val="TableParagraph"/>
              <w:spacing w:before="1" w:line="243" w:lineRule="exact"/>
              <w:ind w:left="107"/>
              <w:rPr>
                <w:b/>
                <w:sz w:val="20"/>
              </w:rPr>
            </w:pPr>
            <w:r>
              <w:rPr>
                <w:b/>
                <w:spacing w:val="-2"/>
                <w:sz w:val="20"/>
              </w:rPr>
              <w:t>All-</w:t>
            </w:r>
            <w:r>
              <w:rPr>
                <w:b/>
                <w:spacing w:val="-4"/>
                <w:sz w:val="20"/>
              </w:rPr>
              <w:t>cause</w:t>
            </w:r>
          </w:p>
          <w:p w14:paraId="7A4C2F4B" w14:textId="77777777" w:rsidR="00E13D3F" w:rsidRDefault="00FB2D6A">
            <w:pPr>
              <w:pStyle w:val="TableParagraph"/>
              <w:spacing w:line="222" w:lineRule="exact"/>
              <w:ind w:left="107"/>
              <w:rPr>
                <w:b/>
                <w:sz w:val="20"/>
              </w:rPr>
            </w:pPr>
            <w:r>
              <w:rPr>
                <w:b/>
                <w:spacing w:val="-2"/>
                <w:sz w:val="20"/>
              </w:rPr>
              <w:t>mortality</w:t>
            </w:r>
          </w:p>
        </w:tc>
        <w:tc>
          <w:tcPr>
            <w:tcW w:w="967" w:type="dxa"/>
            <w:shd w:val="clear" w:color="auto" w:fill="F1F1F1"/>
          </w:tcPr>
          <w:p w14:paraId="7A4C2F4C" w14:textId="77777777" w:rsidR="00E13D3F" w:rsidRDefault="00FB2D6A">
            <w:pPr>
              <w:pStyle w:val="TableParagraph"/>
              <w:spacing w:before="1" w:line="243" w:lineRule="exact"/>
              <w:ind w:left="8" w:right="1"/>
              <w:jc w:val="center"/>
              <w:rPr>
                <w:sz w:val="20"/>
              </w:rPr>
            </w:pPr>
            <w:r>
              <w:rPr>
                <w:spacing w:val="-10"/>
                <w:sz w:val="20"/>
              </w:rPr>
              <w:t>2</w:t>
            </w:r>
          </w:p>
          <w:p w14:paraId="7A4C2F4D" w14:textId="77777777" w:rsidR="00E13D3F" w:rsidRDefault="00FB2D6A">
            <w:pPr>
              <w:pStyle w:val="TableParagraph"/>
              <w:spacing w:line="222" w:lineRule="exact"/>
              <w:ind w:left="8" w:right="3"/>
              <w:jc w:val="center"/>
              <w:rPr>
                <w:sz w:val="20"/>
              </w:rPr>
            </w:pPr>
            <w:r>
              <w:rPr>
                <w:spacing w:val="-2"/>
                <w:sz w:val="20"/>
              </w:rPr>
              <w:t>(5,371)</w:t>
            </w:r>
          </w:p>
        </w:tc>
        <w:tc>
          <w:tcPr>
            <w:tcW w:w="1176" w:type="dxa"/>
            <w:shd w:val="clear" w:color="auto" w:fill="F1F1F1"/>
          </w:tcPr>
          <w:p w14:paraId="7A4C2F4E" w14:textId="77777777" w:rsidR="00E13D3F" w:rsidRDefault="00FB2D6A">
            <w:pPr>
              <w:pStyle w:val="TableParagraph"/>
              <w:spacing w:before="1"/>
              <w:ind w:left="41" w:right="30"/>
              <w:jc w:val="center"/>
              <w:rPr>
                <w:sz w:val="20"/>
              </w:rPr>
            </w:pPr>
            <w:r>
              <w:rPr>
                <w:spacing w:val="-5"/>
                <w:sz w:val="20"/>
              </w:rPr>
              <w:t>66</w:t>
            </w:r>
          </w:p>
        </w:tc>
        <w:tc>
          <w:tcPr>
            <w:tcW w:w="849" w:type="dxa"/>
            <w:shd w:val="clear" w:color="auto" w:fill="F1F1F1"/>
          </w:tcPr>
          <w:p w14:paraId="7A4C2F4F" w14:textId="77777777" w:rsidR="00E13D3F" w:rsidRDefault="00FB2D6A">
            <w:pPr>
              <w:pStyle w:val="TableParagraph"/>
              <w:spacing w:before="1"/>
              <w:ind w:left="11"/>
              <w:jc w:val="center"/>
              <w:rPr>
                <w:sz w:val="20"/>
              </w:rPr>
            </w:pPr>
            <w:r>
              <w:rPr>
                <w:spacing w:val="-5"/>
                <w:sz w:val="20"/>
              </w:rPr>
              <w:t>63</w:t>
            </w:r>
          </w:p>
        </w:tc>
        <w:tc>
          <w:tcPr>
            <w:tcW w:w="1380" w:type="dxa"/>
            <w:shd w:val="clear" w:color="auto" w:fill="F1F1F1"/>
          </w:tcPr>
          <w:p w14:paraId="7A4C2F50" w14:textId="77777777" w:rsidR="00E13D3F" w:rsidRDefault="00FB2D6A">
            <w:pPr>
              <w:pStyle w:val="TableParagraph"/>
              <w:spacing w:before="1" w:line="243" w:lineRule="exact"/>
              <w:ind w:left="10"/>
              <w:jc w:val="center"/>
              <w:rPr>
                <w:sz w:val="20"/>
              </w:rPr>
            </w:pPr>
            <w:r>
              <w:rPr>
                <w:sz w:val="20"/>
              </w:rPr>
              <w:t>RR</w:t>
            </w:r>
            <w:r>
              <w:rPr>
                <w:spacing w:val="-4"/>
                <w:sz w:val="20"/>
              </w:rPr>
              <w:t xml:space="preserve"> 0.95</w:t>
            </w:r>
          </w:p>
          <w:p w14:paraId="7A4C2F51" w14:textId="77777777" w:rsidR="00E13D3F" w:rsidRDefault="00FB2D6A">
            <w:pPr>
              <w:pStyle w:val="TableParagraph"/>
              <w:spacing w:line="222" w:lineRule="exact"/>
              <w:ind w:left="10" w:right="3"/>
              <w:jc w:val="center"/>
              <w:rPr>
                <w:sz w:val="20"/>
              </w:rPr>
            </w:pPr>
            <w:r>
              <w:rPr>
                <w:sz w:val="20"/>
              </w:rPr>
              <w:t>(0.78</w:t>
            </w:r>
            <w:r>
              <w:rPr>
                <w:spacing w:val="-4"/>
                <w:sz w:val="20"/>
              </w:rPr>
              <w:t xml:space="preserve"> </w:t>
            </w:r>
            <w:r>
              <w:rPr>
                <w:sz w:val="20"/>
              </w:rPr>
              <w:t>to</w:t>
            </w:r>
            <w:r>
              <w:rPr>
                <w:spacing w:val="-3"/>
                <w:sz w:val="20"/>
              </w:rPr>
              <w:t xml:space="preserve"> </w:t>
            </w:r>
            <w:r>
              <w:rPr>
                <w:spacing w:val="-2"/>
                <w:sz w:val="20"/>
              </w:rPr>
              <w:t>1.16)</w:t>
            </w:r>
          </w:p>
        </w:tc>
        <w:tc>
          <w:tcPr>
            <w:tcW w:w="981" w:type="dxa"/>
            <w:shd w:val="clear" w:color="auto" w:fill="F1F1F1"/>
          </w:tcPr>
          <w:p w14:paraId="7A4C2F52" w14:textId="77777777" w:rsidR="00E13D3F" w:rsidRDefault="00FB2D6A">
            <w:pPr>
              <w:pStyle w:val="TableParagraph"/>
              <w:spacing w:before="1"/>
              <w:ind w:left="10"/>
              <w:jc w:val="center"/>
              <w:rPr>
                <w:sz w:val="20"/>
              </w:rPr>
            </w:pPr>
            <w:r>
              <w:rPr>
                <w:spacing w:val="-5"/>
                <w:sz w:val="20"/>
              </w:rPr>
              <w:t>LOW</w:t>
            </w:r>
          </w:p>
        </w:tc>
        <w:tc>
          <w:tcPr>
            <w:tcW w:w="2683" w:type="dxa"/>
            <w:shd w:val="clear" w:color="auto" w:fill="F1F1F1"/>
          </w:tcPr>
          <w:p w14:paraId="7A4C2F53" w14:textId="77777777" w:rsidR="00E13D3F" w:rsidRDefault="00FB2D6A">
            <w:pPr>
              <w:pStyle w:val="TableParagraph"/>
              <w:spacing w:before="1" w:line="243" w:lineRule="exact"/>
              <w:ind w:left="110"/>
              <w:rPr>
                <w:sz w:val="20"/>
              </w:rPr>
            </w:pPr>
            <w:r>
              <w:rPr>
                <w:sz w:val="20"/>
              </w:rPr>
              <w:t>May</w:t>
            </w:r>
            <w:r>
              <w:rPr>
                <w:spacing w:val="-5"/>
                <w:sz w:val="20"/>
              </w:rPr>
              <w:t xml:space="preserve"> </w:t>
            </w:r>
            <w:r>
              <w:rPr>
                <w:sz w:val="20"/>
              </w:rPr>
              <w:t>slightly</w:t>
            </w:r>
            <w:r>
              <w:rPr>
                <w:spacing w:val="-5"/>
                <w:sz w:val="20"/>
              </w:rPr>
              <w:t xml:space="preserve"> </w:t>
            </w:r>
            <w:r>
              <w:rPr>
                <w:sz w:val="20"/>
              </w:rPr>
              <w:t>reduce</w:t>
            </w:r>
            <w:r>
              <w:rPr>
                <w:spacing w:val="-7"/>
                <w:sz w:val="20"/>
              </w:rPr>
              <w:t xml:space="preserve"> </w:t>
            </w:r>
            <w:r>
              <w:rPr>
                <w:spacing w:val="-2"/>
                <w:sz w:val="20"/>
              </w:rPr>
              <w:t>mortality;</w:t>
            </w:r>
          </w:p>
          <w:p w14:paraId="7A4C2F54" w14:textId="77777777" w:rsidR="00E13D3F" w:rsidRDefault="00FB2D6A">
            <w:pPr>
              <w:pStyle w:val="TableParagraph"/>
              <w:spacing w:line="222" w:lineRule="exact"/>
              <w:ind w:left="110"/>
              <w:rPr>
                <w:sz w:val="20"/>
              </w:rPr>
            </w:pPr>
            <w:r>
              <w:rPr>
                <w:sz w:val="20"/>
              </w:rPr>
              <w:t>NNTB=</w:t>
            </w:r>
            <w:r>
              <w:rPr>
                <w:spacing w:val="-10"/>
                <w:sz w:val="20"/>
              </w:rPr>
              <w:t xml:space="preserve"> </w:t>
            </w:r>
            <w:r>
              <w:rPr>
                <w:spacing w:val="-5"/>
                <w:sz w:val="20"/>
              </w:rPr>
              <w:t>250</w:t>
            </w:r>
          </w:p>
        </w:tc>
      </w:tr>
      <w:tr w:rsidR="00E13D3F" w14:paraId="7A4C2F60" w14:textId="77777777">
        <w:trPr>
          <w:trHeight w:val="489"/>
        </w:trPr>
        <w:tc>
          <w:tcPr>
            <w:tcW w:w="1212" w:type="dxa"/>
          </w:tcPr>
          <w:p w14:paraId="7A4C2F56" w14:textId="77777777" w:rsidR="00E13D3F" w:rsidRDefault="00FB2D6A">
            <w:pPr>
              <w:pStyle w:val="TableParagraph"/>
              <w:spacing w:before="1"/>
              <w:ind w:left="107"/>
              <w:rPr>
                <w:b/>
                <w:sz w:val="20"/>
              </w:rPr>
            </w:pPr>
            <w:r>
              <w:rPr>
                <w:b/>
                <w:spacing w:val="-5"/>
                <w:sz w:val="20"/>
              </w:rPr>
              <w:t>CVD</w:t>
            </w:r>
          </w:p>
          <w:p w14:paraId="7A4C2F57" w14:textId="77777777" w:rsidR="00E13D3F" w:rsidRDefault="00FB2D6A">
            <w:pPr>
              <w:pStyle w:val="TableParagraph"/>
              <w:spacing w:before="1" w:line="223" w:lineRule="exact"/>
              <w:ind w:left="107"/>
              <w:rPr>
                <w:b/>
                <w:sz w:val="20"/>
              </w:rPr>
            </w:pPr>
            <w:r>
              <w:rPr>
                <w:b/>
                <w:spacing w:val="-2"/>
                <w:sz w:val="20"/>
              </w:rPr>
              <w:t>mortality</w:t>
            </w:r>
          </w:p>
        </w:tc>
        <w:tc>
          <w:tcPr>
            <w:tcW w:w="967" w:type="dxa"/>
          </w:tcPr>
          <w:p w14:paraId="7A4C2F58" w14:textId="77777777" w:rsidR="00E13D3F" w:rsidRDefault="00FB2D6A">
            <w:pPr>
              <w:pStyle w:val="TableParagraph"/>
              <w:spacing w:before="1"/>
              <w:ind w:left="8" w:right="1"/>
              <w:jc w:val="center"/>
              <w:rPr>
                <w:sz w:val="20"/>
              </w:rPr>
            </w:pPr>
            <w:r>
              <w:rPr>
                <w:spacing w:val="-10"/>
                <w:sz w:val="20"/>
              </w:rPr>
              <w:t>2</w:t>
            </w:r>
          </w:p>
          <w:p w14:paraId="7A4C2F59" w14:textId="77777777" w:rsidR="00E13D3F" w:rsidRDefault="00FB2D6A">
            <w:pPr>
              <w:pStyle w:val="TableParagraph"/>
              <w:spacing w:before="1" w:line="223" w:lineRule="exact"/>
              <w:ind w:left="8" w:right="3"/>
              <w:jc w:val="center"/>
              <w:rPr>
                <w:sz w:val="20"/>
              </w:rPr>
            </w:pPr>
            <w:r>
              <w:rPr>
                <w:spacing w:val="-2"/>
                <w:sz w:val="20"/>
              </w:rPr>
              <w:t>(5,371)</w:t>
            </w:r>
          </w:p>
        </w:tc>
        <w:tc>
          <w:tcPr>
            <w:tcW w:w="1176" w:type="dxa"/>
          </w:tcPr>
          <w:p w14:paraId="7A4C2F5A" w14:textId="77777777" w:rsidR="00E13D3F" w:rsidRDefault="00FB2D6A">
            <w:pPr>
              <w:pStyle w:val="TableParagraph"/>
              <w:spacing w:before="1"/>
              <w:ind w:left="41" w:right="30"/>
              <w:jc w:val="center"/>
              <w:rPr>
                <w:sz w:val="20"/>
              </w:rPr>
            </w:pPr>
            <w:r>
              <w:rPr>
                <w:spacing w:val="-5"/>
                <w:sz w:val="20"/>
              </w:rPr>
              <w:t>27</w:t>
            </w:r>
          </w:p>
        </w:tc>
        <w:tc>
          <w:tcPr>
            <w:tcW w:w="849" w:type="dxa"/>
          </w:tcPr>
          <w:p w14:paraId="7A4C2F5B" w14:textId="77777777" w:rsidR="00E13D3F" w:rsidRDefault="00FB2D6A">
            <w:pPr>
              <w:pStyle w:val="TableParagraph"/>
              <w:spacing w:before="1"/>
              <w:ind w:left="11"/>
              <w:jc w:val="center"/>
              <w:rPr>
                <w:sz w:val="20"/>
              </w:rPr>
            </w:pPr>
            <w:r>
              <w:rPr>
                <w:spacing w:val="-5"/>
                <w:sz w:val="20"/>
              </w:rPr>
              <w:t>21</w:t>
            </w:r>
          </w:p>
        </w:tc>
        <w:tc>
          <w:tcPr>
            <w:tcW w:w="1380" w:type="dxa"/>
          </w:tcPr>
          <w:p w14:paraId="7A4C2F5C" w14:textId="77777777" w:rsidR="00E13D3F" w:rsidRDefault="00FB2D6A">
            <w:pPr>
              <w:pStyle w:val="TableParagraph"/>
              <w:spacing w:before="1"/>
              <w:ind w:left="10"/>
              <w:jc w:val="center"/>
              <w:rPr>
                <w:sz w:val="20"/>
              </w:rPr>
            </w:pPr>
            <w:r>
              <w:rPr>
                <w:sz w:val="20"/>
              </w:rPr>
              <w:t>RR</w:t>
            </w:r>
            <w:r>
              <w:rPr>
                <w:spacing w:val="-4"/>
                <w:sz w:val="20"/>
              </w:rPr>
              <w:t xml:space="preserve"> 0.78</w:t>
            </w:r>
          </w:p>
          <w:p w14:paraId="7A4C2F5D" w14:textId="77777777" w:rsidR="00E13D3F" w:rsidRDefault="00FB2D6A">
            <w:pPr>
              <w:pStyle w:val="TableParagraph"/>
              <w:spacing w:before="1" w:line="223" w:lineRule="exact"/>
              <w:ind w:left="10" w:right="3"/>
              <w:jc w:val="center"/>
              <w:rPr>
                <w:sz w:val="20"/>
              </w:rPr>
            </w:pPr>
            <w:r>
              <w:rPr>
                <w:sz w:val="20"/>
              </w:rPr>
              <w:t>(0.55</w:t>
            </w:r>
            <w:r>
              <w:rPr>
                <w:spacing w:val="-4"/>
                <w:sz w:val="20"/>
              </w:rPr>
              <w:t xml:space="preserve"> </w:t>
            </w:r>
            <w:r>
              <w:rPr>
                <w:sz w:val="20"/>
              </w:rPr>
              <w:t>to</w:t>
            </w:r>
            <w:r>
              <w:rPr>
                <w:spacing w:val="-3"/>
                <w:sz w:val="20"/>
              </w:rPr>
              <w:t xml:space="preserve"> </w:t>
            </w:r>
            <w:r>
              <w:rPr>
                <w:spacing w:val="-2"/>
                <w:sz w:val="20"/>
              </w:rPr>
              <w:t>1.08)</w:t>
            </w:r>
          </w:p>
        </w:tc>
        <w:tc>
          <w:tcPr>
            <w:tcW w:w="981" w:type="dxa"/>
          </w:tcPr>
          <w:p w14:paraId="7A4C2F5E" w14:textId="77777777" w:rsidR="00E13D3F" w:rsidRDefault="00FB2D6A">
            <w:pPr>
              <w:pStyle w:val="TableParagraph"/>
              <w:spacing w:before="1"/>
              <w:ind w:left="10"/>
              <w:jc w:val="center"/>
              <w:rPr>
                <w:sz w:val="20"/>
              </w:rPr>
            </w:pPr>
            <w:r>
              <w:rPr>
                <w:spacing w:val="-5"/>
                <w:sz w:val="20"/>
              </w:rPr>
              <w:t>LOW</w:t>
            </w:r>
          </w:p>
        </w:tc>
        <w:tc>
          <w:tcPr>
            <w:tcW w:w="2683" w:type="dxa"/>
          </w:tcPr>
          <w:p w14:paraId="7A4C2F5F" w14:textId="77777777" w:rsidR="00E13D3F" w:rsidRDefault="00FB2D6A">
            <w:pPr>
              <w:pStyle w:val="TableParagraph"/>
              <w:spacing w:line="240" w:lineRule="atLeast"/>
              <w:ind w:left="110"/>
              <w:rPr>
                <w:sz w:val="20"/>
              </w:rPr>
            </w:pPr>
            <w:r>
              <w:rPr>
                <w:sz w:val="20"/>
              </w:rPr>
              <w:t>May</w:t>
            </w:r>
            <w:r>
              <w:rPr>
                <w:spacing w:val="-12"/>
                <w:sz w:val="20"/>
              </w:rPr>
              <w:t xml:space="preserve"> </w:t>
            </w:r>
            <w:r>
              <w:rPr>
                <w:sz w:val="20"/>
              </w:rPr>
              <w:t>slightly</w:t>
            </w:r>
            <w:r>
              <w:rPr>
                <w:spacing w:val="-11"/>
                <w:sz w:val="20"/>
              </w:rPr>
              <w:t xml:space="preserve"> </w:t>
            </w:r>
            <w:r>
              <w:rPr>
                <w:sz w:val="20"/>
              </w:rPr>
              <w:t>reduce</w:t>
            </w:r>
            <w:r>
              <w:rPr>
                <w:spacing w:val="-11"/>
                <w:sz w:val="20"/>
              </w:rPr>
              <w:t xml:space="preserve"> </w:t>
            </w:r>
            <w:r>
              <w:rPr>
                <w:sz w:val="20"/>
              </w:rPr>
              <w:t>mortality; NNTB= 167</w:t>
            </w:r>
          </w:p>
        </w:tc>
      </w:tr>
      <w:tr w:rsidR="00E13D3F" w14:paraId="7A4C2F62" w14:textId="77777777">
        <w:trPr>
          <w:trHeight w:val="244"/>
        </w:trPr>
        <w:tc>
          <w:tcPr>
            <w:tcW w:w="9248" w:type="dxa"/>
            <w:gridSpan w:val="7"/>
            <w:shd w:val="clear" w:color="auto" w:fill="F1F1F1"/>
          </w:tcPr>
          <w:p w14:paraId="7A4C2F61" w14:textId="77777777" w:rsidR="00E13D3F" w:rsidRDefault="00FB2D6A">
            <w:pPr>
              <w:pStyle w:val="TableParagraph"/>
              <w:spacing w:before="1" w:line="223" w:lineRule="exact"/>
              <w:ind w:left="107"/>
              <w:rPr>
                <w:b/>
                <w:i/>
                <w:sz w:val="20"/>
              </w:rPr>
            </w:pPr>
            <w:r>
              <w:rPr>
                <w:b/>
                <w:i/>
                <w:spacing w:val="-2"/>
                <w:sz w:val="20"/>
              </w:rPr>
              <w:t>Multi-component</w:t>
            </w:r>
            <w:r>
              <w:rPr>
                <w:b/>
                <w:i/>
                <w:spacing w:val="10"/>
                <w:sz w:val="20"/>
              </w:rPr>
              <w:t xml:space="preserve"> </w:t>
            </w:r>
            <w:r>
              <w:rPr>
                <w:b/>
                <w:i/>
                <w:spacing w:val="-2"/>
                <w:sz w:val="20"/>
              </w:rPr>
              <w:t>intervention</w:t>
            </w:r>
          </w:p>
        </w:tc>
      </w:tr>
      <w:tr w:rsidR="00E13D3F" w14:paraId="7A4C2F6C" w14:textId="77777777">
        <w:trPr>
          <w:trHeight w:val="489"/>
        </w:trPr>
        <w:tc>
          <w:tcPr>
            <w:tcW w:w="1212" w:type="dxa"/>
          </w:tcPr>
          <w:p w14:paraId="7A4C2F63" w14:textId="77777777" w:rsidR="00E13D3F" w:rsidRDefault="00FB2D6A">
            <w:pPr>
              <w:pStyle w:val="TableParagraph"/>
              <w:spacing w:line="240" w:lineRule="atLeast"/>
              <w:ind w:left="107" w:right="309"/>
              <w:rPr>
                <w:b/>
                <w:sz w:val="20"/>
              </w:rPr>
            </w:pPr>
            <w:r>
              <w:rPr>
                <w:b/>
                <w:spacing w:val="-2"/>
                <w:sz w:val="20"/>
              </w:rPr>
              <w:t>All-cause Mortality</w:t>
            </w:r>
          </w:p>
        </w:tc>
        <w:tc>
          <w:tcPr>
            <w:tcW w:w="967" w:type="dxa"/>
          </w:tcPr>
          <w:p w14:paraId="7A4C2F64" w14:textId="77777777" w:rsidR="00E13D3F" w:rsidRDefault="00FB2D6A">
            <w:pPr>
              <w:pStyle w:val="TableParagraph"/>
              <w:spacing w:before="1"/>
              <w:ind w:left="8" w:right="1"/>
              <w:jc w:val="center"/>
              <w:rPr>
                <w:sz w:val="20"/>
              </w:rPr>
            </w:pPr>
            <w:r>
              <w:rPr>
                <w:spacing w:val="-10"/>
                <w:sz w:val="20"/>
              </w:rPr>
              <w:t>2</w:t>
            </w:r>
          </w:p>
          <w:p w14:paraId="7A4C2F65" w14:textId="77777777" w:rsidR="00E13D3F" w:rsidRDefault="00FB2D6A">
            <w:pPr>
              <w:pStyle w:val="TableParagraph"/>
              <w:spacing w:before="1" w:line="223" w:lineRule="exact"/>
              <w:ind w:left="8" w:right="1"/>
              <w:jc w:val="center"/>
              <w:rPr>
                <w:sz w:val="20"/>
              </w:rPr>
            </w:pPr>
            <w:r>
              <w:rPr>
                <w:spacing w:val="-2"/>
                <w:sz w:val="20"/>
              </w:rPr>
              <w:t>(14,098)</w:t>
            </w:r>
          </w:p>
        </w:tc>
        <w:tc>
          <w:tcPr>
            <w:tcW w:w="1176" w:type="dxa"/>
          </w:tcPr>
          <w:p w14:paraId="7A4C2F66" w14:textId="77777777" w:rsidR="00E13D3F" w:rsidRDefault="00FB2D6A">
            <w:pPr>
              <w:pStyle w:val="TableParagraph"/>
              <w:spacing w:before="1"/>
              <w:ind w:left="41" w:right="30"/>
              <w:jc w:val="center"/>
              <w:rPr>
                <w:sz w:val="20"/>
              </w:rPr>
            </w:pPr>
            <w:r>
              <w:rPr>
                <w:spacing w:val="-5"/>
                <w:sz w:val="20"/>
              </w:rPr>
              <w:t>41</w:t>
            </w:r>
          </w:p>
        </w:tc>
        <w:tc>
          <w:tcPr>
            <w:tcW w:w="849" w:type="dxa"/>
          </w:tcPr>
          <w:p w14:paraId="7A4C2F67" w14:textId="77777777" w:rsidR="00E13D3F" w:rsidRDefault="00FB2D6A">
            <w:pPr>
              <w:pStyle w:val="TableParagraph"/>
              <w:spacing w:before="1"/>
              <w:ind w:left="11"/>
              <w:jc w:val="center"/>
              <w:rPr>
                <w:sz w:val="20"/>
              </w:rPr>
            </w:pPr>
            <w:r>
              <w:rPr>
                <w:spacing w:val="-5"/>
                <w:sz w:val="20"/>
              </w:rPr>
              <w:t>36</w:t>
            </w:r>
          </w:p>
        </w:tc>
        <w:tc>
          <w:tcPr>
            <w:tcW w:w="1380" w:type="dxa"/>
          </w:tcPr>
          <w:p w14:paraId="7A4C2F68" w14:textId="77777777" w:rsidR="00E13D3F" w:rsidRDefault="00FB2D6A">
            <w:pPr>
              <w:pStyle w:val="TableParagraph"/>
              <w:spacing w:before="1"/>
              <w:ind w:left="10"/>
              <w:jc w:val="center"/>
              <w:rPr>
                <w:sz w:val="20"/>
              </w:rPr>
            </w:pPr>
            <w:r>
              <w:rPr>
                <w:sz w:val="20"/>
              </w:rPr>
              <w:t>RR</w:t>
            </w:r>
            <w:r>
              <w:rPr>
                <w:spacing w:val="-4"/>
                <w:sz w:val="20"/>
              </w:rPr>
              <w:t xml:space="preserve"> 0.87</w:t>
            </w:r>
          </w:p>
          <w:p w14:paraId="7A4C2F69" w14:textId="77777777" w:rsidR="00E13D3F" w:rsidRDefault="00FB2D6A">
            <w:pPr>
              <w:pStyle w:val="TableParagraph"/>
              <w:spacing w:before="1" w:line="223" w:lineRule="exact"/>
              <w:ind w:left="10" w:right="3"/>
              <w:jc w:val="center"/>
              <w:rPr>
                <w:sz w:val="20"/>
              </w:rPr>
            </w:pPr>
            <w:r>
              <w:rPr>
                <w:sz w:val="20"/>
              </w:rPr>
              <w:t>(0.56</w:t>
            </w:r>
            <w:r>
              <w:rPr>
                <w:spacing w:val="-4"/>
                <w:sz w:val="20"/>
              </w:rPr>
              <w:t xml:space="preserve"> </w:t>
            </w:r>
            <w:r>
              <w:rPr>
                <w:sz w:val="20"/>
              </w:rPr>
              <w:t>to</w:t>
            </w:r>
            <w:r>
              <w:rPr>
                <w:spacing w:val="-3"/>
                <w:sz w:val="20"/>
              </w:rPr>
              <w:t xml:space="preserve"> </w:t>
            </w:r>
            <w:r>
              <w:rPr>
                <w:spacing w:val="-2"/>
                <w:sz w:val="20"/>
              </w:rPr>
              <w:t>1.35)</w:t>
            </w:r>
          </w:p>
        </w:tc>
        <w:tc>
          <w:tcPr>
            <w:tcW w:w="981" w:type="dxa"/>
          </w:tcPr>
          <w:p w14:paraId="7A4C2F6A" w14:textId="77777777" w:rsidR="00E13D3F" w:rsidRDefault="00FB2D6A">
            <w:pPr>
              <w:pStyle w:val="TableParagraph"/>
              <w:spacing w:line="240" w:lineRule="atLeast"/>
              <w:ind w:left="294" w:right="265" w:hanging="10"/>
              <w:rPr>
                <w:sz w:val="20"/>
              </w:rPr>
            </w:pPr>
            <w:r>
              <w:rPr>
                <w:spacing w:val="-4"/>
                <w:sz w:val="20"/>
              </w:rPr>
              <w:t xml:space="preserve">VERY </w:t>
            </w:r>
            <w:r>
              <w:rPr>
                <w:spacing w:val="-5"/>
                <w:sz w:val="20"/>
              </w:rPr>
              <w:t>LOW</w:t>
            </w:r>
          </w:p>
        </w:tc>
        <w:tc>
          <w:tcPr>
            <w:tcW w:w="2683" w:type="dxa"/>
          </w:tcPr>
          <w:p w14:paraId="7A4C2F6B" w14:textId="77777777" w:rsidR="00E13D3F" w:rsidRDefault="00FB2D6A">
            <w:pPr>
              <w:pStyle w:val="TableParagraph"/>
              <w:spacing w:line="240" w:lineRule="atLeast"/>
              <w:ind w:left="110"/>
              <w:rPr>
                <w:sz w:val="20"/>
              </w:rPr>
            </w:pPr>
            <w:r>
              <w:rPr>
                <w:sz w:val="20"/>
              </w:rPr>
              <w:t>Little</w:t>
            </w:r>
            <w:r>
              <w:rPr>
                <w:spacing w:val="-12"/>
                <w:sz w:val="20"/>
              </w:rPr>
              <w:t xml:space="preserve"> </w:t>
            </w:r>
            <w:r>
              <w:rPr>
                <w:sz w:val="20"/>
              </w:rPr>
              <w:t>or</w:t>
            </w:r>
            <w:r>
              <w:rPr>
                <w:spacing w:val="-10"/>
                <w:sz w:val="20"/>
              </w:rPr>
              <w:t xml:space="preserve"> </w:t>
            </w:r>
            <w:r>
              <w:rPr>
                <w:sz w:val="20"/>
              </w:rPr>
              <w:t>no</w:t>
            </w:r>
            <w:r>
              <w:rPr>
                <w:spacing w:val="-9"/>
                <w:sz w:val="20"/>
              </w:rPr>
              <w:t xml:space="preserve"> </w:t>
            </w:r>
            <w:r>
              <w:rPr>
                <w:sz w:val="20"/>
              </w:rPr>
              <w:t>difference;</w:t>
            </w:r>
            <w:r>
              <w:rPr>
                <w:spacing w:val="-11"/>
                <w:sz w:val="20"/>
              </w:rPr>
              <w:t xml:space="preserve"> </w:t>
            </w:r>
            <w:r>
              <w:rPr>
                <w:sz w:val="20"/>
              </w:rPr>
              <w:t xml:space="preserve">NNTB= </w:t>
            </w:r>
            <w:r>
              <w:rPr>
                <w:spacing w:val="-4"/>
                <w:sz w:val="20"/>
              </w:rPr>
              <w:t>1000</w:t>
            </w:r>
          </w:p>
        </w:tc>
      </w:tr>
      <w:tr w:rsidR="00E13D3F" w14:paraId="7A4C2F78" w14:textId="77777777">
        <w:trPr>
          <w:trHeight w:val="487"/>
        </w:trPr>
        <w:tc>
          <w:tcPr>
            <w:tcW w:w="1212" w:type="dxa"/>
            <w:shd w:val="clear" w:color="auto" w:fill="F1F1F1"/>
          </w:tcPr>
          <w:p w14:paraId="7A4C2F6D" w14:textId="77777777" w:rsidR="00E13D3F" w:rsidRDefault="00FB2D6A">
            <w:pPr>
              <w:pStyle w:val="TableParagraph"/>
              <w:spacing w:line="244" w:lineRule="exact"/>
              <w:ind w:left="107"/>
              <w:rPr>
                <w:b/>
                <w:sz w:val="20"/>
              </w:rPr>
            </w:pPr>
            <w:r>
              <w:rPr>
                <w:b/>
                <w:spacing w:val="-5"/>
                <w:sz w:val="20"/>
              </w:rPr>
              <w:t>CVD</w:t>
            </w:r>
          </w:p>
          <w:p w14:paraId="7A4C2F6E" w14:textId="77777777" w:rsidR="00E13D3F" w:rsidRDefault="00FB2D6A">
            <w:pPr>
              <w:pStyle w:val="TableParagraph"/>
              <w:spacing w:line="223" w:lineRule="exact"/>
              <w:ind w:left="107"/>
              <w:rPr>
                <w:b/>
                <w:sz w:val="20"/>
              </w:rPr>
            </w:pPr>
            <w:r>
              <w:rPr>
                <w:b/>
                <w:spacing w:val="-2"/>
                <w:sz w:val="20"/>
              </w:rPr>
              <w:t>mortality</w:t>
            </w:r>
          </w:p>
        </w:tc>
        <w:tc>
          <w:tcPr>
            <w:tcW w:w="967" w:type="dxa"/>
            <w:shd w:val="clear" w:color="auto" w:fill="F1F1F1"/>
          </w:tcPr>
          <w:p w14:paraId="7A4C2F6F" w14:textId="77777777" w:rsidR="00E13D3F" w:rsidRDefault="00FB2D6A">
            <w:pPr>
              <w:pStyle w:val="TableParagraph"/>
              <w:spacing w:line="244" w:lineRule="exact"/>
              <w:ind w:left="8" w:right="1"/>
              <w:jc w:val="center"/>
              <w:rPr>
                <w:sz w:val="20"/>
              </w:rPr>
            </w:pPr>
            <w:r>
              <w:rPr>
                <w:spacing w:val="-10"/>
                <w:sz w:val="20"/>
              </w:rPr>
              <w:t>2</w:t>
            </w:r>
          </w:p>
          <w:p w14:paraId="7A4C2F70" w14:textId="77777777" w:rsidR="00E13D3F" w:rsidRDefault="00FB2D6A">
            <w:pPr>
              <w:pStyle w:val="TableParagraph"/>
              <w:spacing w:line="223" w:lineRule="exact"/>
              <w:ind w:left="8" w:right="1"/>
              <w:jc w:val="center"/>
              <w:rPr>
                <w:sz w:val="20"/>
              </w:rPr>
            </w:pPr>
            <w:r>
              <w:rPr>
                <w:spacing w:val="-2"/>
                <w:sz w:val="20"/>
              </w:rPr>
              <w:t>(14,098)</w:t>
            </w:r>
          </w:p>
        </w:tc>
        <w:tc>
          <w:tcPr>
            <w:tcW w:w="1176" w:type="dxa"/>
            <w:shd w:val="clear" w:color="auto" w:fill="F1F1F1"/>
          </w:tcPr>
          <w:p w14:paraId="7A4C2F71" w14:textId="77777777" w:rsidR="00E13D3F" w:rsidRDefault="00FB2D6A">
            <w:pPr>
              <w:pStyle w:val="TableParagraph"/>
              <w:spacing w:line="244" w:lineRule="exact"/>
              <w:ind w:left="41" w:right="30"/>
              <w:jc w:val="center"/>
              <w:rPr>
                <w:sz w:val="20"/>
              </w:rPr>
            </w:pPr>
            <w:r>
              <w:rPr>
                <w:spacing w:val="-5"/>
                <w:sz w:val="20"/>
              </w:rPr>
              <w:t>20</w:t>
            </w:r>
          </w:p>
        </w:tc>
        <w:tc>
          <w:tcPr>
            <w:tcW w:w="849" w:type="dxa"/>
            <w:shd w:val="clear" w:color="auto" w:fill="F1F1F1"/>
          </w:tcPr>
          <w:p w14:paraId="7A4C2F72" w14:textId="77777777" w:rsidR="00E13D3F" w:rsidRDefault="00FB2D6A">
            <w:pPr>
              <w:pStyle w:val="TableParagraph"/>
              <w:spacing w:line="244" w:lineRule="exact"/>
              <w:ind w:left="11"/>
              <w:jc w:val="center"/>
              <w:rPr>
                <w:sz w:val="20"/>
              </w:rPr>
            </w:pPr>
            <w:r>
              <w:rPr>
                <w:spacing w:val="-5"/>
                <w:sz w:val="20"/>
              </w:rPr>
              <w:t>16</w:t>
            </w:r>
          </w:p>
        </w:tc>
        <w:tc>
          <w:tcPr>
            <w:tcW w:w="1380" w:type="dxa"/>
            <w:shd w:val="clear" w:color="auto" w:fill="F1F1F1"/>
          </w:tcPr>
          <w:p w14:paraId="7A4C2F73" w14:textId="77777777" w:rsidR="00E13D3F" w:rsidRDefault="00FB2D6A">
            <w:pPr>
              <w:pStyle w:val="TableParagraph"/>
              <w:spacing w:line="244" w:lineRule="exact"/>
              <w:ind w:left="10"/>
              <w:jc w:val="center"/>
              <w:rPr>
                <w:sz w:val="20"/>
              </w:rPr>
            </w:pPr>
            <w:r>
              <w:rPr>
                <w:sz w:val="20"/>
              </w:rPr>
              <w:t>RR</w:t>
            </w:r>
            <w:r>
              <w:rPr>
                <w:spacing w:val="-4"/>
                <w:sz w:val="20"/>
              </w:rPr>
              <w:t xml:space="preserve"> 0.79</w:t>
            </w:r>
          </w:p>
          <w:p w14:paraId="7A4C2F74" w14:textId="77777777" w:rsidR="00E13D3F" w:rsidRDefault="00FB2D6A">
            <w:pPr>
              <w:pStyle w:val="TableParagraph"/>
              <w:spacing w:line="223" w:lineRule="exact"/>
              <w:ind w:left="10" w:right="3"/>
              <w:jc w:val="center"/>
              <w:rPr>
                <w:sz w:val="20"/>
              </w:rPr>
            </w:pPr>
            <w:r>
              <w:rPr>
                <w:sz w:val="20"/>
              </w:rPr>
              <w:t>(0.47</w:t>
            </w:r>
            <w:r>
              <w:rPr>
                <w:spacing w:val="-4"/>
                <w:sz w:val="20"/>
              </w:rPr>
              <w:t xml:space="preserve"> </w:t>
            </w:r>
            <w:r>
              <w:rPr>
                <w:sz w:val="20"/>
              </w:rPr>
              <w:t>to</w:t>
            </w:r>
            <w:r>
              <w:rPr>
                <w:spacing w:val="-3"/>
                <w:sz w:val="20"/>
              </w:rPr>
              <w:t xml:space="preserve"> </w:t>
            </w:r>
            <w:r>
              <w:rPr>
                <w:spacing w:val="-2"/>
                <w:sz w:val="20"/>
              </w:rPr>
              <w:t>1.32)</w:t>
            </w:r>
          </w:p>
        </w:tc>
        <w:tc>
          <w:tcPr>
            <w:tcW w:w="981" w:type="dxa"/>
            <w:shd w:val="clear" w:color="auto" w:fill="F1F1F1"/>
          </w:tcPr>
          <w:p w14:paraId="7A4C2F75" w14:textId="77777777" w:rsidR="00E13D3F" w:rsidRDefault="00FB2D6A">
            <w:pPr>
              <w:pStyle w:val="TableParagraph"/>
              <w:spacing w:line="244" w:lineRule="exact"/>
              <w:ind w:left="10"/>
              <w:jc w:val="center"/>
              <w:rPr>
                <w:sz w:val="20"/>
              </w:rPr>
            </w:pPr>
            <w:r>
              <w:rPr>
                <w:spacing w:val="-5"/>
                <w:sz w:val="20"/>
              </w:rPr>
              <w:t>LOW</w:t>
            </w:r>
          </w:p>
        </w:tc>
        <w:tc>
          <w:tcPr>
            <w:tcW w:w="2683" w:type="dxa"/>
            <w:shd w:val="clear" w:color="auto" w:fill="F1F1F1"/>
          </w:tcPr>
          <w:p w14:paraId="7A4C2F76" w14:textId="77777777" w:rsidR="00E13D3F" w:rsidRDefault="00FB2D6A">
            <w:pPr>
              <w:pStyle w:val="TableParagraph"/>
              <w:spacing w:line="244" w:lineRule="exact"/>
              <w:ind w:left="110"/>
              <w:rPr>
                <w:sz w:val="20"/>
              </w:rPr>
            </w:pPr>
            <w:r>
              <w:rPr>
                <w:sz w:val="20"/>
              </w:rPr>
              <w:t>Little</w:t>
            </w:r>
            <w:r>
              <w:rPr>
                <w:spacing w:val="-8"/>
                <w:sz w:val="20"/>
              </w:rPr>
              <w:t xml:space="preserve"> </w:t>
            </w:r>
            <w:r>
              <w:rPr>
                <w:sz w:val="20"/>
              </w:rPr>
              <w:t>or</w:t>
            </w:r>
            <w:r>
              <w:rPr>
                <w:spacing w:val="-5"/>
                <w:sz w:val="20"/>
              </w:rPr>
              <w:t xml:space="preserve"> </w:t>
            </w:r>
            <w:r>
              <w:rPr>
                <w:sz w:val="20"/>
              </w:rPr>
              <w:t>no</w:t>
            </w:r>
            <w:r>
              <w:rPr>
                <w:spacing w:val="-5"/>
                <w:sz w:val="20"/>
              </w:rPr>
              <w:t xml:space="preserve"> </w:t>
            </w:r>
            <w:r>
              <w:rPr>
                <w:sz w:val="20"/>
              </w:rPr>
              <w:t>difference;</w:t>
            </w:r>
            <w:r>
              <w:rPr>
                <w:spacing w:val="-6"/>
                <w:sz w:val="20"/>
              </w:rPr>
              <w:t xml:space="preserve"> </w:t>
            </w:r>
            <w:r>
              <w:rPr>
                <w:spacing w:val="-4"/>
                <w:sz w:val="20"/>
              </w:rPr>
              <w:t>NNTB=</w:t>
            </w:r>
          </w:p>
          <w:p w14:paraId="7A4C2F77" w14:textId="77777777" w:rsidR="00E13D3F" w:rsidRDefault="00FB2D6A">
            <w:pPr>
              <w:pStyle w:val="TableParagraph"/>
              <w:spacing w:line="223" w:lineRule="exact"/>
              <w:ind w:left="110"/>
              <w:rPr>
                <w:sz w:val="20"/>
              </w:rPr>
            </w:pPr>
            <w:r>
              <w:rPr>
                <w:spacing w:val="-5"/>
                <w:sz w:val="20"/>
              </w:rPr>
              <w:t>500</w:t>
            </w:r>
          </w:p>
        </w:tc>
      </w:tr>
    </w:tbl>
    <w:p w14:paraId="7A4C2F79" w14:textId="77777777" w:rsidR="00E13D3F" w:rsidRDefault="00E13D3F">
      <w:pPr>
        <w:pStyle w:val="BodyText"/>
        <w:spacing w:before="210"/>
        <w:ind w:left="0"/>
        <w:rPr>
          <w:b/>
          <w:i/>
          <w:sz w:val="20"/>
        </w:rPr>
      </w:pPr>
    </w:p>
    <w:p w14:paraId="7A4C2F7A" w14:textId="77777777" w:rsidR="00E13D3F" w:rsidRDefault="00FB2D6A">
      <w:pPr>
        <w:pStyle w:val="Heading2"/>
        <w:spacing w:before="1"/>
      </w:pPr>
      <w:r>
        <w:rPr>
          <w:color w:val="2E5395"/>
        </w:rPr>
        <w:t>Starting</w:t>
      </w:r>
      <w:r>
        <w:rPr>
          <w:color w:val="2E5395"/>
          <w:spacing w:val="-8"/>
        </w:rPr>
        <w:t xml:space="preserve"> </w:t>
      </w:r>
      <w:r>
        <w:rPr>
          <w:color w:val="2E5395"/>
        </w:rPr>
        <w:t>and</w:t>
      </w:r>
      <w:r>
        <w:rPr>
          <w:color w:val="2E5395"/>
          <w:spacing w:val="-8"/>
        </w:rPr>
        <w:t xml:space="preserve"> </w:t>
      </w:r>
      <w:r>
        <w:rPr>
          <w:color w:val="2E5395"/>
        </w:rPr>
        <w:t>Stopping</w:t>
      </w:r>
      <w:r>
        <w:rPr>
          <w:color w:val="2E5395"/>
          <w:spacing w:val="-8"/>
        </w:rPr>
        <w:t xml:space="preserve"> </w:t>
      </w:r>
      <w:r>
        <w:rPr>
          <w:color w:val="2E5395"/>
          <w:spacing w:val="-4"/>
        </w:rPr>
        <w:t>Ages</w:t>
      </w:r>
    </w:p>
    <w:p w14:paraId="7A4C2F7B" w14:textId="77777777" w:rsidR="00E13D3F" w:rsidRDefault="00FB2D6A">
      <w:pPr>
        <w:pStyle w:val="BodyText"/>
        <w:spacing w:before="20" w:line="276" w:lineRule="auto"/>
        <w:ind w:right="1467"/>
      </w:pPr>
      <w:r>
        <w:t>Most smokers begin during their teenage and young adult years, with peak prevalence currently</w:t>
      </w:r>
      <w:r>
        <w:rPr>
          <w:spacing w:val="-3"/>
        </w:rPr>
        <w:t xml:space="preserve"> </w:t>
      </w:r>
      <w:r>
        <w:t>in</w:t>
      </w:r>
      <w:r>
        <w:rPr>
          <w:spacing w:val="-4"/>
        </w:rPr>
        <w:t xml:space="preserve"> </w:t>
      </w:r>
      <w:r>
        <w:t>the</w:t>
      </w:r>
      <w:r>
        <w:rPr>
          <w:spacing w:val="-3"/>
        </w:rPr>
        <w:t xml:space="preserve"> </w:t>
      </w:r>
      <w:r>
        <w:t>40-49</w:t>
      </w:r>
      <w:r>
        <w:rPr>
          <w:spacing w:val="-2"/>
        </w:rPr>
        <w:t xml:space="preserve"> </w:t>
      </w:r>
      <w:r>
        <w:t>age</w:t>
      </w:r>
      <w:r>
        <w:rPr>
          <w:spacing w:val="-2"/>
        </w:rPr>
        <w:t xml:space="preserve"> </w:t>
      </w:r>
      <w:r>
        <w:t>group</w:t>
      </w:r>
      <w:r>
        <w:rPr>
          <w:spacing w:val="-2"/>
        </w:rPr>
        <w:t xml:space="preserve"> </w:t>
      </w:r>
      <w:r>
        <w:t>(Figure 5.1).</w:t>
      </w:r>
      <w:r>
        <w:rPr>
          <w:spacing w:val="-4"/>
        </w:rPr>
        <w:t xml:space="preserve"> </w:t>
      </w:r>
      <w:r>
        <w:t>There</w:t>
      </w:r>
      <w:r>
        <w:rPr>
          <w:spacing w:val="-2"/>
        </w:rPr>
        <w:t xml:space="preserve"> </w:t>
      </w:r>
      <w:r>
        <w:t>is</w:t>
      </w:r>
      <w:r>
        <w:rPr>
          <w:spacing w:val="-3"/>
        </w:rPr>
        <w:t xml:space="preserve"> </w:t>
      </w:r>
      <w:r>
        <w:t>a</w:t>
      </w:r>
      <w:r>
        <w:rPr>
          <w:spacing w:val="-5"/>
        </w:rPr>
        <w:t xml:space="preserve"> </w:t>
      </w:r>
      <w:r>
        <w:t>lag</w:t>
      </w:r>
      <w:r>
        <w:rPr>
          <w:spacing w:val="-3"/>
        </w:rPr>
        <w:t xml:space="preserve"> </w:t>
      </w:r>
      <w:r>
        <w:t>of</w:t>
      </w:r>
      <w:r>
        <w:rPr>
          <w:spacing w:val="-2"/>
        </w:rPr>
        <w:t xml:space="preserve"> </w:t>
      </w:r>
      <w:r>
        <w:t>several</w:t>
      </w:r>
      <w:r>
        <w:rPr>
          <w:spacing w:val="-2"/>
        </w:rPr>
        <w:t xml:space="preserve"> </w:t>
      </w:r>
      <w:r>
        <w:t>years</w:t>
      </w:r>
      <w:r>
        <w:rPr>
          <w:spacing w:val="-3"/>
        </w:rPr>
        <w:t xml:space="preserve"> </w:t>
      </w:r>
      <w:r>
        <w:t>between</w:t>
      </w:r>
      <w:r>
        <w:rPr>
          <w:spacing w:val="-4"/>
        </w:rPr>
        <w:t xml:space="preserve"> </w:t>
      </w:r>
      <w:r>
        <w:t>quitting smoking and the reduction in health risk, but with variation in the risk reduction for</w:t>
      </w:r>
      <w:r>
        <w:rPr>
          <w:spacing w:val="40"/>
        </w:rPr>
        <w:t xml:space="preserve"> </w:t>
      </w:r>
      <w:r>
        <w:t>different health conditions, such as CVD, lung cancer, and COPD. Hence detecting smoking and implementing interventions for smoking cessation is important at any age, and one of the most common health issues that should be identified in a health assessment.</w:t>
      </w:r>
    </w:p>
    <w:p w14:paraId="7A4C2F7C" w14:textId="77777777" w:rsidR="00E13D3F" w:rsidRDefault="00E13D3F">
      <w:pPr>
        <w:pStyle w:val="BodyText"/>
        <w:spacing w:line="276" w:lineRule="auto"/>
        <w:sectPr w:rsidR="00E13D3F">
          <w:pgSz w:w="11910" w:h="16840"/>
          <w:pgMar w:top="1380" w:right="0" w:bottom="1200" w:left="0" w:header="0" w:footer="1000" w:gutter="0"/>
          <w:cols w:space="720"/>
        </w:sectPr>
      </w:pPr>
    </w:p>
    <w:p w14:paraId="7A4C2F7D" w14:textId="77777777" w:rsidR="00E13D3F" w:rsidRDefault="00FB2D6A">
      <w:pPr>
        <w:ind w:left="2353"/>
        <w:rPr>
          <w:sz w:val="20"/>
        </w:rPr>
      </w:pPr>
      <w:r>
        <w:rPr>
          <w:noProof/>
          <w:sz w:val="20"/>
        </w:rPr>
        <w:lastRenderedPageBreak/>
        <w:drawing>
          <wp:inline distT="0" distB="0" distL="0" distR="0" wp14:anchorId="7A4C3C42" wp14:editId="7A4C3C43">
            <wp:extent cx="4575386" cy="3088385"/>
            <wp:effectExtent l="0" t="0" r="0" b="0"/>
            <wp:docPr id="51" name="Image 51" descr="Chart, line char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descr="Chart, line chart  Description automatically generated"/>
                    <pic:cNvPicPr/>
                  </pic:nvPicPr>
                  <pic:blipFill>
                    <a:blip r:embed="rId30" cstate="print"/>
                    <a:stretch>
                      <a:fillRect/>
                    </a:stretch>
                  </pic:blipFill>
                  <pic:spPr>
                    <a:xfrm>
                      <a:off x="0" y="0"/>
                      <a:ext cx="4575386" cy="3088385"/>
                    </a:xfrm>
                    <a:prstGeom prst="rect">
                      <a:avLst/>
                    </a:prstGeom>
                  </pic:spPr>
                </pic:pic>
              </a:graphicData>
            </a:graphic>
          </wp:inline>
        </w:drawing>
      </w:r>
    </w:p>
    <w:p w14:paraId="7A4C2F7E" w14:textId="77777777" w:rsidR="00E13D3F" w:rsidRDefault="00FB2D6A">
      <w:pPr>
        <w:spacing w:before="178" w:line="256" w:lineRule="auto"/>
        <w:ind w:left="4966" w:right="1137" w:hanging="3407"/>
      </w:pPr>
      <w:r>
        <w:rPr>
          <w:b/>
        </w:rPr>
        <w:t>Figure</w:t>
      </w:r>
      <w:r>
        <w:rPr>
          <w:b/>
          <w:spacing w:val="-5"/>
        </w:rPr>
        <w:t xml:space="preserve"> </w:t>
      </w:r>
      <w:r>
        <w:rPr>
          <w:b/>
        </w:rPr>
        <w:t>5.1</w:t>
      </w:r>
      <w:r>
        <w:t>:</w:t>
      </w:r>
      <w:r>
        <w:rPr>
          <w:spacing w:val="-4"/>
        </w:rPr>
        <w:t xml:space="preserve"> </w:t>
      </w:r>
      <w:r>
        <w:t>Prevalence</w:t>
      </w:r>
      <w:r>
        <w:rPr>
          <w:spacing w:val="-4"/>
        </w:rPr>
        <w:t xml:space="preserve"> </w:t>
      </w:r>
      <w:r>
        <w:t>of</w:t>
      </w:r>
      <w:r>
        <w:rPr>
          <w:spacing w:val="-4"/>
        </w:rPr>
        <w:t xml:space="preserve"> </w:t>
      </w:r>
      <w:r>
        <w:t>smokers</w:t>
      </w:r>
      <w:r>
        <w:rPr>
          <w:spacing w:val="-5"/>
        </w:rPr>
        <w:t xml:space="preserve"> </w:t>
      </w:r>
      <w:r>
        <w:t>in</w:t>
      </w:r>
      <w:r>
        <w:rPr>
          <w:spacing w:val="-2"/>
        </w:rPr>
        <w:t xml:space="preserve"> </w:t>
      </w:r>
      <w:r>
        <w:t>Australia</w:t>
      </w:r>
      <w:r>
        <w:rPr>
          <w:spacing w:val="-2"/>
        </w:rPr>
        <w:t xml:space="preserve"> </w:t>
      </w:r>
      <w:r>
        <w:t>at</w:t>
      </w:r>
      <w:r>
        <w:rPr>
          <w:spacing w:val="-2"/>
        </w:rPr>
        <w:t xml:space="preserve"> </w:t>
      </w:r>
      <w:r>
        <w:t>different</w:t>
      </w:r>
      <w:r>
        <w:rPr>
          <w:spacing w:val="-2"/>
        </w:rPr>
        <w:t xml:space="preserve"> </w:t>
      </w:r>
      <w:r>
        <w:t>ages.</w:t>
      </w:r>
      <w:r>
        <w:rPr>
          <w:spacing w:val="-5"/>
        </w:rPr>
        <w:t xml:space="preserve"> </w:t>
      </w:r>
      <w:r>
        <w:t>(from</w:t>
      </w:r>
      <w:r>
        <w:rPr>
          <w:spacing w:val="-3"/>
        </w:rPr>
        <w:t xml:space="preserve"> </w:t>
      </w:r>
      <w:r>
        <w:t>2019 National</w:t>
      </w:r>
      <w:r>
        <w:rPr>
          <w:spacing w:val="-2"/>
        </w:rPr>
        <w:t xml:space="preserve"> </w:t>
      </w:r>
      <w:r>
        <w:t>Drug</w:t>
      </w:r>
      <w:r>
        <w:rPr>
          <w:spacing w:val="-3"/>
        </w:rPr>
        <w:t xml:space="preserve"> </w:t>
      </w:r>
      <w:r>
        <w:t>Strategy Household Survey) (7)</w:t>
      </w:r>
    </w:p>
    <w:p w14:paraId="7A4C2F7F" w14:textId="77777777" w:rsidR="00E13D3F" w:rsidRDefault="00FB2D6A">
      <w:pPr>
        <w:pStyle w:val="Heading2"/>
        <w:spacing w:before="168"/>
      </w:pPr>
      <w:r>
        <w:rPr>
          <w:color w:val="2E5395"/>
        </w:rPr>
        <w:t>Interval</w:t>
      </w:r>
      <w:r>
        <w:rPr>
          <w:color w:val="2E5395"/>
          <w:spacing w:val="-6"/>
        </w:rPr>
        <w:t xml:space="preserve"> </w:t>
      </w:r>
      <w:r>
        <w:rPr>
          <w:color w:val="2E5395"/>
        </w:rPr>
        <w:t>for</w:t>
      </w:r>
      <w:r>
        <w:rPr>
          <w:color w:val="2E5395"/>
          <w:spacing w:val="-8"/>
        </w:rPr>
        <w:t xml:space="preserve"> </w:t>
      </w:r>
      <w:r>
        <w:rPr>
          <w:color w:val="2E5395"/>
          <w:spacing w:val="-2"/>
        </w:rPr>
        <w:t>Assessment</w:t>
      </w:r>
    </w:p>
    <w:p w14:paraId="7A4C2F80" w14:textId="77777777" w:rsidR="00E13D3F" w:rsidRDefault="00FB2D6A">
      <w:pPr>
        <w:pStyle w:val="BodyText"/>
        <w:spacing w:before="20" w:line="276" w:lineRule="auto"/>
        <w:ind w:right="1450"/>
      </w:pPr>
      <w:r>
        <w:t>Given the impact of smoking on health, identifying smokers, and offering brief advice and support is valuable as part of a health assessment. However, smoking should also be addressed</w:t>
      </w:r>
      <w:r>
        <w:rPr>
          <w:spacing w:val="-4"/>
        </w:rPr>
        <w:t xml:space="preserve"> </w:t>
      </w:r>
      <w:r>
        <w:t>opportunistically</w:t>
      </w:r>
      <w:r>
        <w:rPr>
          <w:spacing w:val="-3"/>
        </w:rPr>
        <w:t xml:space="preserve"> </w:t>
      </w:r>
      <w:r>
        <w:t>at</w:t>
      </w:r>
      <w:r>
        <w:rPr>
          <w:spacing w:val="-2"/>
        </w:rPr>
        <w:t xml:space="preserve"> </w:t>
      </w:r>
      <w:r>
        <w:t>consultations</w:t>
      </w:r>
      <w:r>
        <w:rPr>
          <w:spacing w:val="-5"/>
        </w:rPr>
        <w:t xml:space="preserve"> </w:t>
      </w:r>
      <w:r>
        <w:t>for</w:t>
      </w:r>
      <w:r>
        <w:rPr>
          <w:spacing w:val="-6"/>
        </w:rPr>
        <w:t xml:space="preserve"> </w:t>
      </w:r>
      <w:r>
        <w:t>other</w:t>
      </w:r>
      <w:r>
        <w:rPr>
          <w:spacing w:val="-2"/>
        </w:rPr>
        <w:t xml:space="preserve"> </w:t>
      </w:r>
      <w:r>
        <w:t>reasons.</w:t>
      </w:r>
      <w:r>
        <w:rPr>
          <w:spacing w:val="-4"/>
        </w:rPr>
        <w:t xml:space="preserve"> </w:t>
      </w:r>
      <w:r>
        <w:t>Hence</w:t>
      </w:r>
      <w:r>
        <w:rPr>
          <w:spacing w:val="-5"/>
        </w:rPr>
        <w:t xml:space="preserve"> </w:t>
      </w:r>
      <w:r>
        <w:t>there</w:t>
      </w:r>
      <w:r>
        <w:rPr>
          <w:spacing w:val="-2"/>
        </w:rPr>
        <w:t xml:space="preserve"> </w:t>
      </w:r>
      <w:r>
        <w:t>is</w:t>
      </w:r>
      <w:r>
        <w:rPr>
          <w:spacing w:val="-5"/>
        </w:rPr>
        <w:t xml:space="preserve"> </w:t>
      </w:r>
      <w:r>
        <w:t>no</w:t>
      </w:r>
      <w:r>
        <w:rPr>
          <w:spacing w:val="-2"/>
        </w:rPr>
        <w:t xml:space="preserve"> </w:t>
      </w:r>
      <w:r>
        <w:t>clear</w:t>
      </w:r>
      <w:r>
        <w:rPr>
          <w:spacing w:val="-2"/>
        </w:rPr>
        <w:t xml:space="preserve"> </w:t>
      </w:r>
      <w:r>
        <w:t>single interval for smoking cessation but would be advisable to include as part of the schedule of other health assessment components.</w:t>
      </w:r>
    </w:p>
    <w:p w14:paraId="7A4C2F81" w14:textId="77777777" w:rsidR="00E13D3F" w:rsidRDefault="00FB2D6A">
      <w:pPr>
        <w:pStyle w:val="Heading2"/>
        <w:spacing w:before="164"/>
      </w:pPr>
      <w:r>
        <w:rPr>
          <w:color w:val="2E5395"/>
          <w:spacing w:val="-2"/>
        </w:rPr>
        <w:t>Subpopulations</w:t>
      </w:r>
    </w:p>
    <w:p w14:paraId="7A4C2F82" w14:textId="77777777" w:rsidR="00E13D3F" w:rsidRDefault="00FB2D6A">
      <w:pPr>
        <w:spacing w:before="24" w:line="276" w:lineRule="auto"/>
        <w:ind w:left="1440" w:right="1450"/>
      </w:pPr>
      <w:r>
        <w:t>In 2018–19, 39% of the combined Aboriginal and Torres Strait Islander population aged 15 and over were daily smokers – about 3 times the rest of the Australian population - although there is considerable</w:t>
      </w:r>
      <w:r>
        <w:rPr>
          <w:spacing w:val="-1"/>
        </w:rPr>
        <w:t xml:space="preserve"> </w:t>
      </w:r>
      <w:r>
        <w:t>variation in</w:t>
      </w:r>
      <w:r>
        <w:rPr>
          <w:spacing w:val="-2"/>
        </w:rPr>
        <w:t xml:space="preserve"> </w:t>
      </w:r>
      <w:r>
        <w:t>tobacco use rates by location, age group, and gender smoking accounts</w:t>
      </w:r>
      <w:r>
        <w:rPr>
          <w:spacing w:val="-1"/>
        </w:rPr>
        <w:t xml:space="preserve"> </w:t>
      </w:r>
      <w:r>
        <w:t>for 37% of</w:t>
      </w:r>
      <w:r>
        <w:rPr>
          <w:spacing w:val="-4"/>
        </w:rPr>
        <w:t xml:space="preserve"> </w:t>
      </w:r>
      <w:r>
        <w:t>deaths</w:t>
      </w:r>
      <w:r>
        <w:rPr>
          <w:spacing w:val="-3"/>
        </w:rPr>
        <w:t xml:space="preserve"> </w:t>
      </w:r>
      <w:r>
        <w:t>(8)</w:t>
      </w:r>
      <w:r>
        <w:rPr>
          <w:spacing w:val="-1"/>
        </w:rPr>
        <w:t xml:space="preserve"> </w:t>
      </w:r>
      <w:r>
        <w:t>and</w:t>
      </w:r>
      <w:r>
        <w:rPr>
          <w:spacing w:val="-2"/>
        </w:rPr>
        <w:t xml:space="preserve"> </w:t>
      </w:r>
      <w:r>
        <w:t>12.1% of</w:t>
      </w:r>
      <w:r>
        <w:rPr>
          <w:spacing w:val="-4"/>
        </w:rPr>
        <w:t xml:space="preserve"> </w:t>
      </w:r>
      <w:r>
        <w:t>the</w:t>
      </w:r>
      <w:r>
        <w:rPr>
          <w:spacing w:val="-1"/>
        </w:rPr>
        <w:t xml:space="preserve"> </w:t>
      </w:r>
      <w:r>
        <w:t>burden</w:t>
      </w:r>
      <w:r>
        <w:rPr>
          <w:spacing w:val="-4"/>
        </w:rPr>
        <w:t xml:space="preserve"> </w:t>
      </w:r>
      <w:r>
        <w:t>of</w:t>
      </w:r>
      <w:r>
        <w:rPr>
          <w:spacing w:val="-1"/>
        </w:rPr>
        <w:t xml:space="preserve"> </w:t>
      </w:r>
      <w:r>
        <w:t>disease</w:t>
      </w:r>
      <w:r>
        <w:rPr>
          <w:spacing w:val="-3"/>
        </w:rPr>
        <w:t xml:space="preserve"> </w:t>
      </w:r>
      <w:r>
        <w:t>(9) among</w:t>
      </w:r>
      <w:r>
        <w:rPr>
          <w:spacing w:val="-2"/>
        </w:rPr>
        <w:t xml:space="preserve"> </w:t>
      </w:r>
      <w:r>
        <w:t>Aboriginal</w:t>
      </w:r>
      <w:r>
        <w:rPr>
          <w:spacing w:val="-1"/>
        </w:rPr>
        <w:t xml:space="preserve"> </w:t>
      </w:r>
      <w:r>
        <w:t>and</w:t>
      </w:r>
      <w:r>
        <w:rPr>
          <w:spacing w:val="-2"/>
        </w:rPr>
        <w:t xml:space="preserve"> </w:t>
      </w:r>
      <w:r>
        <w:t>Torres</w:t>
      </w:r>
      <w:r>
        <w:rPr>
          <w:spacing w:val="-4"/>
        </w:rPr>
        <w:t xml:space="preserve"> </w:t>
      </w:r>
      <w:r>
        <w:t>Strait</w:t>
      </w:r>
      <w:r>
        <w:rPr>
          <w:spacing w:val="-1"/>
        </w:rPr>
        <w:t xml:space="preserve"> </w:t>
      </w:r>
      <w:r>
        <w:t>Islander peoples - more than any other risk factor.</w:t>
      </w:r>
    </w:p>
    <w:p w14:paraId="7A4C2F83" w14:textId="77777777" w:rsidR="00E13D3F" w:rsidRDefault="00E13D3F">
      <w:pPr>
        <w:pStyle w:val="BodyText"/>
        <w:spacing w:before="81"/>
        <w:ind w:left="0"/>
        <w:rPr>
          <w:sz w:val="22"/>
        </w:rPr>
      </w:pPr>
    </w:p>
    <w:p w14:paraId="7A4C2F84" w14:textId="77777777" w:rsidR="00E13D3F" w:rsidRDefault="00FB2D6A">
      <w:pPr>
        <w:pStyle w:val="Heading2"/>
      </w:pPr>
      <w:r>
        <w:rPr>
          <w:color w:val="2E5395"/>
          <w:spacing w:val="-2"/>
        </w:rPr>
        <w:t>Conclusion</w:t>
      </w:r>
    </w:p>
    <w:p w14:paraId="7A4C2F85" w14:textId="77777777" w:rsidR="00E13D3F" w:rsidRDefault="00FB2D6A">
      <w:pPr>
        <w:pStyle w:val="BodyText"/>
        <w:spacing w:before="23" w:line="276" w:lineRule="auto"/>
        <w:ind w:right="1450"/>
      </w:pPr>
      <w:r>
        <w:t>Identifying</w:t>
      </w:r>
      <w:r>
        <w:rPr>
          <w:spacing w:val="-4"/>
        </w:rPr>
        <w:t xml:space="preserve"> </w:t>
      </w:r>
      <w:r>
        <w:t>and</w:t>
      </w:r>
      <w:r>
        <w:rPr>
          <w:spacing w:val="-1"/>
        </w:rPr>
        <w:t xml:space="preserve"> </w:t>
      </w:r>
      <w:r>
        <w:t>offering</w:t>
      </w:r>
      <w:r>
        <w:rPr>
          <w:spacing w:val="-4"/>
        </w:rPr>
        <w:t xml:space="preserve"> </w:t>
      </w:r>
      <w:r>
        <w:t>brief</w:t>
      </w:r>
      <w:r>
        <w:rPr>
          <w:spacing w:val="-3"/>
        </w:rPr>
        <w:t xml:space="preserve"> </w:t>
      </w:r>
      <w:r>
        <w:t>advice</w:t>
      </w:r>
      <w:r>
        <w:rPr>
          <w:spacing w:val="-4"/>
        </w:rPr>
        <w:t xml:space="preserve"> </w:t>
      </w:r>
      <w:r>
        <w:t>and</w:t>
      </w:r>
      <w:r>
        <w:rPr>
          <w:spacing w:val="-1"/>
        </w:rPr>
        <w:t xml:space="preserve"> </w:t>
      </w:r>
      <w:r>
        <w:t>support</w:t>
      </w:r>
      <w:r>
        <w:rPr>
          <w:spacing w:val="-3"/>
        </w:rPr>
        <w:t xml:space="preserve"> </w:t>
      </w:r>
      <w:r>
        <w:t>to</w:t>
      </w:r>
      <w:r>
        <w:rPr>
          <w:spacing w:val="-1"/>
        </w:rPr>
        <w:t xml:space="preserve"> </w:t>
      </w:r>
      <w:r>
        <w:t>smokers</w:t>
      </w:r>
      <w:r>
        <w:rPr>
          <w:spacing w:val="-4"/>
        </w:rPr>
        <w:t xml:space="preserve"> </w:t>
      </w:r>
      <w:r>
        <w:t>is</w:t>
      </w:r>
      <w:r>
        <w:rPr>
          <w:spacing w:val="-2"/>
        </w:rPr>
        <w:t xml:space="preserve"> </w:t>
      </w:r>
      <w:r>
        <w:t>an</w:t>
      </w:r>
      <w:r>
        <w:rPr>
          <w:spacing w:val="-3"/>
        </w:rPr>
        <w:t xml:space="preserve"> </w:t>
      </w:r>
      <w:r>
        <w:t>important</w:t>
      </w:r>
      <w:r>
        <w:rPr>
          <w:spacing w:val="-1"/>
        </w:rPr>
        <w:t xml:space="preserve"> </w:t>
      </w:r>
      <w:r>
        <w:t>clinical</w:t>
      </w:r>
      <w:r>
        <w:rPr>
          <w:spacing w:val="-1"/>
        </w:rPr>
        <w:t xml:space="preserve"> </w:t>
      </w:r>
      <w:r>
        <w:t>activity. There</w:t>
      </w:r>
      <w:r>
        <w:rPr>
          <w:spacing w:val="-1"/>
        </w:rPr>
        <w:t xml:space="preserve"> </w:t>
      </w:r>
      <w:r>
        <w:t>is strong</w:t>
      </w:r>
      <w:r>
        <w:rPr>
          <w:spacing w:val="-1"/>
        </w:rPr>
        <w:t xml:space="preserve"> </w:t>
      </w:r>
      <w:r>
        <w:t>evidence that it increases quit rates long</w:t>
      </w:r>
      <w:r>
        <w:rPr>
          <w:spacing w:val="-1"/>
        </w:rPr>
        <w:t xml:space="preserve"> </w:t>
      </w:r>
      <w:r>
        <w:t>term.</w:t>
      </w:r>
      <w:r>
        <w:rPr>
          <w:spacing w:val="-1"/>
        </w:rPr>
        <w:t xml:space="preserve"> </w:t>
      </w:r>
      <w:r>
        <w:t>There is</w:t>
      </w:r>
      <w:r>
        <w:rPr>
          <w:spacing w:val="-1"/>
        </w:rPr>
        <w:t xml:space="preserve"> </w:t>
      </w:r>
      <w:r>
        <w:t>less</w:t>
      </w:r>
      <w:r>
        <w:rPr>
          <w:spacing w:val="-1"/>
        </w:rPr>
        <w:t xml:space="preserve"> </w:t>
      </w:r>
      <w:r>
        <w:t>direct evidence, but reasonable linked evidence that it reduces the health impacts of smoking such as CVD events and lung cancer.</w:t>
      </w:r>
    </w:p>
    <w:p w14:paraId="7A4C2F86" w14:textId="77777777" w:rsidR="00E13D3F" w:rsidRDefault="00E13D3F">
      <w:pPr>
        <w:pStyle w:val="BodyText"/>
        <w:spacing w:line="276" w:lineRule="auto"/>
        <w:sectPr w:rsidR="00E13D3F">
          <w:pgSz w:w="11910" w:h="16840"/>
          <w:pgMar w:top="1420" w:right="0" w:bottom="1200" w:left="0" w:header="0" w:footer="1000" w:gutter="0"/>
          <w:cols w:space="720"/>
        </w:sectPr>
      </w:pPr>
    </w:p>
    <w:p w14:paraId="7A4C2F87" w14:textId="77777777" w:rsidR="00E13D3F" w:rsidRDefault="00FB2D6A">
      <w:pPr>
        <w:pStyle w:val="Heading2"/>
        <w:spacing w:before="24"/>
      </w:pPr>
      <w:r>
        <w:rPr>
          <w:color w:val="2E5395"/>
          <w:spacing w:val="-2"/>
        </w:rPr>
        <w:lastRenderedPageBreak/>
        <w:t>References</w:t>
      </w:r>
    </w:p>
    <w:p w14:paraId="7A4C2F88" w14:textId="77777777" w:rsidR="00E13D3F" w:rsidRDefault="00FB2D6A" w:rsidP="00990D2B">
      <w:pPr>
        <w:pStyle w:val="ListParagraph"/>
        <w:numPr>
          <w:ilvl w:val="0"/>
          <w:numId w:val="33"/>
        </w:numPr>
        <w:tabs>
          <w:tab w:val="left" w:pos="1798"/>
          <w:tab w:val="left" w:pos="1800"/>
        </w:tabs>
        <w:spacing w:before="23" w:line="264" w:lineRule="auto"/>
        <w:ind w:right="1541"/>
        <w:rPr>
          <w:color w:val="202020"/>
        </w:rPr>
      </w:pPr>
      <w:r>
        <w:rPr>
          <w:color w:val="202020"/>
        </w:rPr>
        <w:t xml:space="preserve">Hartmann-Boyce J, Livingstone-Banks J, Ordóñez-Mena JM, Fanshawe TR, </w:t>
      </w:r>
      <w:proofErr w:type="spellStart"/>
      <w:r>
        <w:rPr>
          <w:color w:val="202020"/>
        </w:rPr>
        <w:t>Lindson</w:t>
      </w:r>
      <w:proofErr w:type="spellEnd"/>
      <w:r>
        <w:rPr>
          <w:color w:val="202020"/>
        </w:rPr>
        <w:t xml:space="preserve"> N, Freeman SC, Sutton AJ, </w:t>
      </w:r>
      <w:proofErr w:type="spellStart"/>
      <w:r>
        <w:rPr>
          <w:color w:val="202020"/>
        </w:rPr>
        <w:t>Theodoulou</w:t>
      </w:r>
      <w:proofErr w:type="spellEnd"/>
      <w:r>
        <w:rPr>
          <w:color w:val="202020"/>
        </w:rPr>
        <w:t xml:space="preserve"> A, Aveyard P. </w:t>
      </w:r>
      <w:proofErr w:type="spellStart"/>
      <w:r>
        <w:rPr>
          <w:color w:val="202020"/>
        </w:rPr>
        <w:t>Behavioural</w:t>
      </w:r>
      <w:proofErr w:type="spellEnd"/>
      <w:r>
        <w:rPr>
          <w:color w:val="202020"/>
        </w:rPr>
        <w:t xml:space="preserve"> interventions for smoking cessation: an overview</w:t>
      </w:r>
      <w:r>
        <w:rPr>
          <w:color w:val="202020"/>
          <w:spacing w:val="-2"/>
        </w:rPr>
        <w:t xml:space="preserve"> </w:t>
      </w:r>
      <w:r>
        <w:rPr>
          <w:color w:val="202020"/>
        </w:rPr>
        <w:t>and</w:t>
      </w:r>
      <w:r>
        <w:rPr>
          <w:color w:val="202020"/>
          <w:spacing w:val="-4"/>
        </w:rPr>
        <w:t xml:space="preserve"> </w:t>
      </w:r>
      <w:r>
        <w:rPr>
          <w:color w:val="202020"/>
        </w:rPr>
        <w:t>network</w:t>
      </w:r>
      <w:r>
        <w:rPr>
          <w:color w:val="202020"/>
          <w:spacing w:val="-5"/>
        </w:rPr>
        <w:t xml:space="preserve"> </w:t>
      </w:r>
      <w:r>
        <w:rPr>
          <w:color w:val="202020"/>
        </w:rPr>
        <w:t>meta-analysis.</w:t>
      </w:r>
      <w:r>
        <w:rPr>
          <w:color w:val="202020"/>
          <w:spacing w:val="-2"/>
        </w:rPr>
        <w:t xml:space="preserve"> </w:t>
      </w:r>
      <w:r>
        <w:rPr>
          <w:color w:val="202020"/>
        </w:rPr>
        <w:t>Cochrane</w:t>
      </w:r>
      <w:r>
        <w:rPr>
          <w:color w:val="202020"/>
          <w:spacing w:val="-4"/>
        </w:rPr>
        <w:t xml:space="preserve"> </w:t>
      </w:r>
      <w:r>
        <w:rPr>
          <w:color w:val="202020"/>
        </w:rPr>
        <w:t>Database</w:t>
      </w:r>
      <w:r>
        <w:rPr>
          <w:color w:val="202020"/>
          <w:spacing w:val="-2"/>
        </w:rPr>
        <w:t xml:space="preserve"> </w:t>
      </w:r>
      <w:r>
        <w:rPr>
          <w:color w:val="202020"/>
        </w:rPr>
        <w:t>Syst</w:t>
      </w:r>
      <w:r>
        <w:rPr>
          <w:color w:val="202020"/>
          <w:spacing w:val="-2"/>
        </w:rPr>
        <w:t xml:space="preserve"> </w:t>
      </w:r>
      <w:r>
        <w:rPr>
          <w:color w:val="202020"/>
        </w:rPr>
        <w:t>Rev.</w:t>
      </w:r>
      <w:r>
        <w:rPr>
          <w:color w:val="202020"/>
          <w:spacing w:val="-5"/>
        </w:rPr>
        <w:t xml:space="preserve"> </w:t>
      </w:r>
      <w:r>
        <w:rPr>
          <w:color w:val="202020"/>
        </w:rPr>
        <w:t>2021</w:t>
      </w:r>
      <w:r>
        <w:rPr>
          <w:color w:val="202020"/>
          <w:spacing w:val="-4"/>
        </w:rPr>
        <w:t xml:space="preserve"> </w:t>
      </w:r>
      <w:r>
        <w:rPr>
          <w:color w:val="202020"/>
        </w:rPr>
        <w:t>Jan</w:t>
      </w:r>
      <w:r>
        <w:rPr>
          <w:color w:val="202020"/>
          <w:spacing w:val="-4"/>
        </w:rPr>
        <w:t xml:space="preserve"> </w:t>
      </w:r>
      <w:r>
        <w:rPr>
          <w:color w:val="202020"/>
        </w:rPr>
        <w:t>4;1:CD013229.</w:t>
      </w:r>
      <w:r>
        <w:rPr>
          <w:color w:val="202020"/>
          <w:spacing w:val="-2"/>
        </w:rPr>
        <w:t xml:space="preserve"> </w:t>
      </w:r>
      <w:proofErr w:type="spellStart"/>
      <w:r>
        <w:rPr>
          <w:color w:val="202020"/>
        </w:rPr>
        <w:t>doi</w:t>
      </w:r>
      <w:proofErr w:type="spellEnd"/>
      <w:r>
        <w:rPr>
          <w:color w:val="202020"/>
        </w:rPr>
        <w:t>: 10.1002/14651858.CD013229.pub2. PMID: 33411338.</w:t>
      </w:r>
    </w:p>
    <w:p w14:paraId="7A4C2F89" w14:textId="77777777" w:rsidR="00E13D3F" w:rsidRDefault="00FB2D6A" w:rsidP="00990D2B">
      <w:pPr>
        <w:pStyle w:val="ListParagraph"/>
        <w:numPr>
          <w:ilvl w:val="0"/>
          <w:numId w:val="33"/>
        </w:numPr>
        <w:tabs>
          <w:tab w:val="left" w:pos="1798"/>
          <w:tab w:val="left" w:pos="1800"/>
        </w:tabs>
        <w:spacing w:line="264" w:lineRule="auto"/>
        <w:ind w:right="1483"/>
      </w:pPr>
      <w:r>
        <w:rPr>
          <w:color w:val="202020"/>
        </w:rPr>
        <w:t>Stead</w:t>
      </w:r>
      <w:r>
        <w:rPr>
          <w:color w:val="202020"/>
          <w:spacing w:val="-1"/>
        </w:rPr>
        <w:t xml:space="preserve"> </w:t>
      </w:r>
      <w:r>
        <w:rPr>
          <w:color w:val="202020"/>
        </w:rPr>
        <w:t>LF,</w:t>
      </w:r>
      <w:r>
        <w:rPr>
          <w:color w:val="202020"/>
          <w:spacing w:val="-4"/>
        </w:rPr>
        <w:t xml:space="preserve"> </w:t>
      </w:r>
      <w:r>
        <w:rPr>
          <w:color w:val="202020"/>
        </w:rPr>
        <w:t>Buitrago</w:t>
      </w:r>
      <w:r>
        <w:rPr>
          <w:color w:val="202020"/>
          <w:spacing w:val="-3"/>
        </w:rPr>
        <w:t xml:space="preserve"> </w:t>
      </w:r>
      <w:r>
        <w:rPr>
          <w:color w:val="202020"/>
        </w:rPr>
        <w:t>D,</w:t>
      </w:r>
      <w:r>
        <w:rPr>
          <w:color w:val="202020"/>
          <w:spacing w:val="-4"/>
        </w:rPr>
        <w:t xml:space="preserve"> </w:t>
      </w:r>
      <w:r>
        <w:rPr>
          <w:color w:val="202020"/>
        </w:rPr>
        <w:t>Preciado N,</w:t>
      </w:r>
      <w:r>
        <w:rPr>
          <w:color w:val="202020"/>
          <w:spacing w:val="-1"/>
        </w:rPr>
        <w:t xml:space="preserve"> </w:t>
      </w:r>
      <w:r>
        <w:rPr>
          <w:color w:val="202020"/>
        </w:rPr>
        <w:t>Sanchez</w:t>
      </w:r>
      <w:r>
        <w:rPr>
          <w:color w:val="202020"/>
          <w:spacing w:val="-2"/>
        </w:rPr>
        <w:t xml:space="preserve"> </w:t>
      </w:r>
      <w:r>
        <w:rPr>
          <w:color w:val="202020"/>
        </w:rPr>
        <w:t>G,</w:t>
      </w:r>
      <w:r>
        <w:rPr>
          <w:color w:val="202020"/>
          <w:spacing w:val="-1"/>
        </w:rPr>
        <w:t xml:space="preserve"> </w:t>
      </w:r>
      <w:r>
        <w:rPr>
          <w:color w:val="202020"/>
        </w:rPr>
        <w:t>Hartmann-Boyce</w:t>
      </w:r>
      <w:r>
        <w:rPr>
          <w:color w:val="202020"/>
          <w:spacing w:val="-1"/>
        </w:rPr>
        <w:t xml:space="preserve"> </w:t>
      </w:r>
      <w:r>
        <w:rPr>
          <w:color w:val="202020"/>
        </w:rPr>
        <w:t>J,</w:t>
      </w:r>
      <w:r>
        <w:rPr>
          <w:color w:val="202020"/>
          <w:spacing w:val="-3"/>
        </w:rPr>
        <w:t xml:space="preserve"> </w:t>
      </w:r>
      <w:r>
        <w:rPr>
          <w:color w:val="202020"/>
        </w:rPr>
        <w:t>Lancaster</w:t>
      </w:r>
      <w:r>
        <w:rPr>
          <w:color w:val="202020"/>
          <w:spacing w:val="-1"/>
        </w:rPr>
        <w:t xml:space="preserve"> </w:t>
      </w:r>
      <w:r>
        <w:rPr>
          <w:color w:val="202020"/>
        </w:rPr>
        <w:t>T.</w:t>
      </w:r>
      <w:r>
        <w:rPr>
          <w:color w:val="202020"/>
          <w:spacing w:val="-4"/>
        </w:rPr>
        <w:t xml:space="preserve"> </w:t>
      </w:r>
      <w:r>
        <w:rPr>
          <w:color w:val="202020"/>
        </w:rPr>
        <w:t>Physician</w:t>
      </w:r>
      <w:r>
        <w:rPr>
          <w:color w:val="202020"/>
          <w:spacing w:val="-3"/>
        </w:rPr>
        <w:t xml:space="preserve"> </w:t>
      </w:r>
      <w:r>
        <w:rPr>
          <w:color w:val="202020"/>
        </w:rPr>
        <w:t>advice</w:t>
      </w:r>
      <w:r>
        <w:rPr>
          <w:color w:val="202020"/>
          <w:spacing w:val="-3"/>
        </w:rPr>
        <w:t xml:space="preserve"> </w:t>
      </w:r>
      <w:r>
        <w:rPr>
          <w:color w:val="202020"/>
        </w:rPr>
        <w:t xml:space="preserve">for smoking cessation. Cochrane Database Syst Rev. 2013 May 31;2013(5):CD000165. </w:t>
      </w:r>
      <w:proofErr w:type="spellStart"/>
      <w:r>
        <w:rPr>
          <w:color w:val="202020"/>
        </w:rPr>
        <w:t>doi</w:t>
      </w:r>
      <w:proofErr w:type="spellEnd"/>
      <w:r>
        <w:rPr>
          <w:color w:val="202020"/>
        </w:rPr>
        <w:t>: 10.1002/14651858.CD000165.pub4. PMID: 23728631; PMCID: PMC7064045.</w:t>
      </w:r>
    </w:p>
    <w:p w14:paraId="7A4C2F8A" w14:textId="77777777" w:rsidR="00E13D3F" w:rsidRDefault="00FB2D6A" w:rsidP="00990D2B">
      <w:pPr>
        <w:pStyle w:val="ListParagraph"/>
        <w:numPr>
          <w:ilvl w:val="0"/>
          <w:numId w:val="33"/>
        </w:numPr>
        <w:tabs>
          <w:tab w:val="left" w:pos="1798"/>
          <w:tab w:val="left" w:pos="1800"/>
        </w:tabs>
        <w:spacing w:line="264" w:lineRule="auto"/>
        <w:ind w:right="1616"/>
      </w:pPr>
      <w:r>
        <w:t xml:space="preserve">Mons, U., </w:t>
      </w:r>
      <w:proofErr w:type="spellStart"/>
      <w:r>
        <w:t>Müezzinler</w:t>
      </w:r>
      <w:proofErr w:type="spellEnd"/>
      <w:r>
        <w:t>, A., Gellert, C., et al .</w:t>
      </w:r>
      <w:r>
        <w:rPr>
          <w:spacing w:val="40"/>
        </w:rPr>
        <w:t xml:space="preserve"> </w:t>
      </w:r>
      <w:r>
        <w:t>Impact of smoking and smoking cessation on cardiovascular</w:t>
      </w:r>
      <w:r>
        <w:rPr>
          <w:spacing w:val="-2"/>
        </w:rPr>
        <w:t xml:space="preserve"> </w:t>
      </w:r>
      <w:r>
        <w:t>events</w:t>
      </w:r>
      <w:r>
        <w:rPr>
          <w:spacing w:val="-1"/>
        </w:rPr>
        <w:t xml:space="preserve"> </w:t>
      </w:r>
      <w:r>
        <w:t>and</w:t>
      </w:r>
      <w:r>
        <w:rPr>
          <w:spacing w:val="-5"/>
        </w:rPr>
        <w:t xml:space="preserve"> </w:t>
      </w:r>
      <w:r>
        <w:t>mortality</w:t>
      </w:r>
      <w:r>
        <w:rPr>
          <w:spacing w:val="-2"/>
        </w:rPr>
        <w:t xml:space="preserve"> </w:t>
      </w:r>
      <w:r>
        <w:t>among</w:t>
      </w:r>
      <w:r>
        <w:rPr>
          <w:spacing w:val="-5"/>
        </w:rPr>
        <w:t xml:space="preserve"> </w:t>
      </w:r>
      <w:r>
        <w:t>older</w:t>
      </w:r>
      <w:r>
        <w:rPr>
          <w:spacing w:val="-4"/>
        </w:rPr>
        <w:t xml:space="preserve"> </w:t>
      </w:r>
      <w:r>
        <w:t>adults:</w:t>
      </w:r>
      <w:r>
        <w:rPr>
          <w:spacing w:val="-4"/>
        </w:rPr>
        <w:t xml:space="preserve"> </w:t>
      </w:r>
      <w:r>
        <w:t>meta-analysis</w:t>
      </w:r>
      <w:r>
        <w:rPr>
          <w:spacing w:val="-5"/>
        </w:rPr>
        <w:t xml:space="preserve"> </w:t>
      </w:r>
      <w:r>
        <w:t>of</w:t>
      </w:r>
      <w:r>
        <w:rPr>
          <w:spacing w:val="-5"/>
        </w:rPr>
        <w:t xml:space="preserve"> </w:t>
      </w:r>
      <w:r>
        <w:t>individual</w:t>
      </w:r>
      <w:r>
        <w:rPr>
          <w:spacing w:val="-2"/>
        </w:rPr>
        <w:t xml:space="preserve"> </w:t>
      </w:r>
      <w:r>
        <w:t xml:space="preserve">participant data from prospective cohort studies of the CHANCES consortium. </w:t>
      </w:r>
      <w:proofErr w:type="spellStart"/>
      <w:r>
        <w:t>Bmj</w:t>
      </w:r>
      <w:proofErr w:type="spellEnd"/>
      <w:r>
        <w:t>, 350, h1551. 2015.</w:t>
      </w:r>
    </w:p>
    <w:p w14:paraId="7A4C2F8B" w14:textId="77777777" w:rsidR="00E13D3F" w:rsidRDefault="00FB2D6A" w:rsidP="00990D2B">
      <w:pPr>
        <w:pStyle w:val="ListParagraph"/>
        <w:numPr>
          <w:ilvl w:val="0"/>
          <w:numId w:val="33"/>
        </w:numPr>
        <w:tabs>
          <w:tab w:val="left" w:pos="1798"/>
          <w:tab w:val="left" w:pos="1800"/>
        </w:tabs>
        <w:spacing w:line="264" w:lineRule="auto"/>
        <w:ind w:right="2202"/>
      </w:pPr>
      <w:r>
        <w:t>Critchley,</w:t>
      </w:r>
      <w:r>
        <w:rPr>
          <w:spacing w:val="-5"/>
        </w:rPr>
        <w:t xml:space="preserve"> </w:t>
      </w:r>
      <w:r>
        <w:t>J.</w:t>
      </w:r>
      <w:r>
        <w:rPr>
          <w:spacing w:val="-3"/>
        </w:rPr>
        <w:t xml:space="preserve"> </w:t>
      </w:r>
      <w:r>
        <w:t>A.</w:t>
      </w:r>
      <w:r>
        <w:rPr>
          <w:spacing w:val="-2"/>
        </w:rPr>
        <w:t xml:space="preserve"> </w:t>
      </w:r>
      <w:r>
        <w:t>and</w:t>
      </w:r>
      <w:r>
        <w:rPr>
          <w:spacing w:val="-3"/>
        </w:rPr>
        <w:t xml:space="preserve"> </w:t>
      </w:r>
      <w:r>
        <w:t>Capewell,</w:t>
      </w:r>
      <w:r>
        <w:rPr>
          <w:spacing w:val="-2"/>
        </w:rPr>
        <w:t xml:space="preserve"> </w:t>
      </w:r>
      <w:r>
        <w:t>S.</w:t>
      </w:r>
      <w:r>
        <w:rPr>
          <w:spacing w:val="-3"/>
        </w:rPr>
        <w:t xml:space="preserve"> </w:t>
      </w:r>
      <w:r>
        <w:t>2012.</w:t>
      </w:r>
      <w:r>
        <w:rPr>
          <w:spacing w:val="-2"/>
        </w:rPr>
        <w:t xml:space="preserve"> </w:t>
      </w:r>
      <w:r>
        <w:t>Smoking</w:t>
      </w:r>
      <w:r>
        <w:rPr>
          <w:spacing w:val="-3"/>
        </w:rPr>
        <w:t xml:space="preserve"> </w:t>
      </w:r>
      <w:r>
        <w:t>cessation</w:t>
      </w:r>
      <w:r>
        <w:rPr>
          <w:spacing w:val="-3"/>
        </w:rPr>
        <w:t xml:space="preserve"> </w:t>
      </w:r>
      <w:r>
        <w:t>for</w:t>
      </w:r>
      <w:r>
        <w:rPr>
          <w:spacing w:val="-2"/>
        </w:rPr>
        <w:t xml:space="preserve"> </w:t>
      </w:r>
      <w:r>
        <w:t>the</w:t>
      </w:r>
      <w:r>
        <w:rPr>
          <w:spacing w:val="-2"/>
        </w:rPr>
        <w:t xml:space="preserve"> </w:t>
      </w:r>
      <w:r>
        <w:t>secondary</w:t>
      </w:r>
      <w:r>
        <w:rPr>
          <w:spacing w:val="-2"/>
        </w:rPr>
        <w:t xml:space="preserve"> </w:t>
      </w:r>
      <w:r>
        <w:t>prevention</w:t>
      </w:r>
      <w:r>
        <w:rPr>
          <w:spacing w:val="-5"/>
        </w:rPr>
        <w:t xml:space="preserve"> </w:t>
      </w:r>
      <w:r>
        <w:t>of coronary heart disease. Cochrane Database Syst Rev, Cd003041</w:t>
      </w:r>
    </w:p>
    <w:p w14:paraId="7A4C2F8C" w14:textId="77777777" w:rsidR="00E13D3F" w:rsidRDefault="00FB2D6A" w:rsidP="00990D2B">
      <w:pPr>
        <w:pStyle w:val="ListParagraph"/>
        <w:numPr>
          <w:ilvl w:val="0"/>
          <w:numId w:val="33"/>
        </w:numPr>
        <w:tabs>
          <w:tab w:val="left" w:pos="1798"/>
          <w:tab w:val="left" w:pos="1800"/>
        </w:tabs>
        <w:spacing w:line="264" w:lineRule="auto"/>
        <w:ind w:right="1855"/>
      </w:pPr>
      <w:r>
        <w:t>Wilson,</w:t>
      </w:r>
      <w:r>
        <w:rPr>
          <w:spacing w:val="-3"/>
        </w:rPr>
        <w:t xml:space="preserve"> </w:t>
      </w:r>
      <w:r>
        <w:t>K.,</w:t>
      </w:r>
      <w:r>
        <w:rPr>
          <w:spacing w:val="-1"/>
        </w:rPr>
        <w:t xml:space="preserve"> </w:t>
      </w:r>
      <w:r>
        <w:t>Gibson, N.,</w:t>
      </w:r>
      <w:r>
        <w:rPr>
          <w:spacing w:val="-4"/>
        </w:rPr>
        <w:t xml:space="preserve"> </w:t>
      </w:r>
      <w:r>
        <w:t>Willan,</w:t>
      </w:r>
      <w:r>
        <w:rPr>
          <w:spacing w:val="-1"/>
        </w:rPr>
        <w:t xml:space="preserve"> </w:t>
      </w:r>
      <w:r>
        <w:t>A.</w:t>
      </w:r>
      <w:r>
        <w:rPr>
          <w:spacing w:val="-1"/>
        </w:rPr>
        <w:t xml:space="preserve"> </w:t>
      </w:r>
      <w:r>
        <w:t>and</w:t>
      </w:r>
      <w:r>
        <w:rPr>
          <w:spacing w:val="-2"/>
        </w:rPr>
        <w:t xml:space="preserve"> </w:t>
      </w:r>
      <w:r>
        <w:t>Cook,</w:t>
      </w:r>
      <w:r>
        <w:rPr>
          <w:spacing w:val="-3"/>
        </w:rPr>
        <w:t xml:space="preserve"> </w:t>
      </w:r>
      <w:r>
        <w:t>D.</w:t>
      </w:r>
      <w:r>
        <w:rPr>
          <w:spacing w:val="-4"/>
        </w:rPr>
        <w:t xml:space="preserve"> </w:t>
      </w:r>
      <w:r>
        <w:t>2000.</w:t>
      </w:r>
      <w:r>
        <w:rPr>
          <w:spacing w:val="-4"/>
        </w:rPr>
        <w:t xml:space="preserve"> </w:t>
      </w:r>
      <w:r>
        <w:t>Effect</w:t>
      </w:r>
      <w:r>
        <w:rPr>
          <w:spacing w:val="-3"/>
        </w:rPr>
        <w:t xml:space="preserve"> </w:t>
      </w:r>
      <w:r>
        <w:t>of</w:t>
      </w:r>
      <w:r>
        <w:rPr>
          <w:spacing w:val="-1"/>
        </w:rPr>
        <w:t xml:space="preserve"> </w:t>
      </w:r>
      <w:r>
        <w:t>smoking</w:t>
      </w:r>
      <w:r>
        <w:rPr>
          <w:spacing w:val="-2"/>
        </w:rPr>
        <w:t xml:space="preserve"> </w:t>
      </w:r>
      <w:r>
        <w:t>cessation</w:t>
      </w:r>
      <w:r>
        <w:rPr>
          <w:spacing w:val="-4"/>
        </w:rPr>
        <w:t xml:space="preserve"> </w:t>
      </w:r>
      <w:r>
        <w:t>on</w:t>
      </w:r>
      <w:r>
        <w:rPr>
          <w:spacing w:val="-4"/>
        </w:rPr>
        <w:t xml:space="preserve"> </w:t>
      </w:r>
      <w:r>
        <w:t>mortality after myocardial infarction: meta-analysis of cohort studies. Arch Intern Med, 160, 939-44.</w:t>
      </w:r>
    </w:p>
    <w:p w14:paraId="7A4C2F8D" w14:textId="77777777" w:rsidR="00E13D3F" w:rsidRDefault="00FB2D6A" w:rsidP="00990D2B">
      <w:pPr>
        <w:pStyle w:val="ListParagraph"/>
        <w:numPr>
          <w:ilvl w:val="0"/>
          <w:numId w:val="33"/>
        </w:numPr>
        <w:tabs>
          <w:tab w:val="left" w:pos="1798"/>
          <w:tab w:val="left" w:pos="1800"/>
        </w:tabs>
        <w:spacing w:line="264" w:lineRule="auto"/>
        <w:ind w:right="1639"/>
      </w:pPr>
      <w:r>
        <w:t>Mohiuddin,</w:t>
      </w:r>
      <w:r>
        <w:rPr>
          <w:spacing w:val="-1"/>
        </w:rPr>
        <w:t xml:space="preserve"> </w:t>
      </w:r>
      <w:r>
        <w:t>S.</w:t>
      </w:r>
      <w:r>
        <w:rPr>
          <w:spacing w:val="-1"/>
        </w:rPr>
        <w:t xml:space="preserve"> </w:t>
      </w:r>
      <w:r>
        <w:t>M.,</w:t>
      </w:r>
      <w:r>
        <w:rPr>
          <w:spacing w:val="-4"/>
        </w:rPr>
        <w:t xml:space="preserve"> </w:t>
      </w:r>
      <w:proofErr w:type="spellStart"/>
      <w:r>
        <w:t>Mooss</w:t>
      </w:r>
      <w:proofErr w:type="spellEnd"/>
      <w:r>
        <w:t>,</w:t>
      </w:r>
      <w:r>
        <w:rPr>
          <w:spacing w:val="-3"/>
        </w:rPr>
        <w:t xml:space="preserve"> </w:t>
      </w:r>
      <w:r>
        <w:t>A.</w:t>
      </w:r>
      <w:r>
        <w:rPr>
          <w:spacing w:val="-3"/>
        </w:rPr>
        <w:t xml:space="preserve"> </w:t>
      </w:r>
      <w:r>
        <w:t>N.,</w:t>
      </w:r>
      <w:r>
        <w:rPr>
          <w:spacing w:val="-1"/>
        </w:rPr>
        <w:t xml:space="preserve"> </w:t>
      </w:r>
      <w:r>
        <w:t>Hunter,</w:t>
      </w:r>
      <w:r>
        <w:rPr>
          <w:spacing w:val="-1"/>
        </w:rPr>
        <w:t xml:space="preserve"> </w:t>
      </w:r>
      <w:r>
        <w:t>C.</w:t>
      </w:r>
      <w:r>
        <w:rPr>
          <w:spacing w:val="-1"/>
        </w:rPr>
        <w:t xml:space="preserve"> </w:t>
      </w:r>
      <w:r>
        <w:t>B.,</w:t>
      </w:r>
      <w:r>
        <w:rPr>
          <w:spacing w:val="-3"/>
        </w:rPr>
        <w:t xml:space="preserve"> </w:t>
      </w:r>
      <w:proofErr w:type="spellStart"/>
      <w:r>
        <w:t>Grollmes</w:t>
      </w:r>
      <w:proofErr w:type="spellEnd"/>
      <w:r>
        <w:t>, T.</w:t>
      </w:r>
      <w:r>
        <w:rPr>
          <w:spacing w:val="-3"/>
        </w:rPr>
        <w:t xml:space="preserve"> </w:t>
      </w:r>
      <w:r>
        <w:t>L.,</w:t>
      </w:r>
      <w:r>
        <w:rPr>
          <w:spacing w:val="-1"/>
        </w:rPr>
        <w:t xml:space="preserve"> </w:t>
      </w:r>
      <w:r>
        <w:t>Cloutier,</w:t>
      </w:r>
      <w:r>
        <w:rPr>
          <w:spacing w:val="-3"/>
        </w:rPr>
        <w:t xml:space="preserve"> </w:t>
      </w:r>
      <w:r>
        <w:t>D.</w:t>
      </w:r>
      <w:r>
        <w:rPr>
          <w:spacing w:val="-1"/>
        </w:rPr>
        <w:t xml:space="preserve"> </w:t>
      </w:r>
      <w:r>
        <w:t>A.</w:t>
      </w:r>
      <w:r>
        <w:rPr>
          <w:spacing w:val="-5"/>
        </w:rPr>
        <w:t xml:space="preserve"> </w:t>
      </w:r>
      <w:r>
        <w:t>and</w:t>
      </w:r>
      <w:r>
        <w:rPr>
          <w:spacing w:val="-5"/>
        </w:rPr>
        <w:t xml:space="preserve"> </w:t>
      </w:r>
      <w:r>
        <w:t>Hilleman,</w:t>
      </w:r>
      <w:r>
        <w:rPr>
          <w:spacing w:val="-3"/>
        </w:rPr>
        <w:t xml:space="preserve"> </w:t>
      </w:r>
      <w:r>
        <w:t>D.</w:t>
      </w:r>
      <w:r>
        <w:rPr>
          <w:spacing w:val="-1"/>
        </w:rPr>
        <w:t xml:space="preserve"> </w:t>
      </w:r>
      <w:r>
        <w:t>E. 2007. Intensive smoking cessation intervention reduces mortality in high-risk smokers with cardiovascular disease. Chest, 131, 446-52.</w:t>
      </w:r>
    </w:p>
    <w:p w14:paraId="7A4C2F8E" w14:textId="77777777" w:rsidR="00E13D3F" w:rsidRDefault="00FB2D6A" w:rsidP="00990D2B">
      <w:pPr>
        <w:pStyle w:val="ListParagraph"/>
        <w:numPr>
          <w:ilvl w:val="0"/>
          <w:numId w:val="33"/>
        </w:numPr>
        <w:tabs>
          <w:tab w:val="left" w:pos="1798"/>
          <w:tab w:val="left" w:pos="1800"/>
        </w:tabs>
        <w:spacing w:line="264" w:lineRule="auto"/>
        <w:ind w:right="1455"/>
      </w:pPr>
      <w:r>
        <w:t>Banks</w:t>
      </w:r>
      <w:r>
        <w:rPr>
          <w:spacing w:val="-1"/>
        </w:rPr>
        <w:t xml:space="preserve"> </w:t>
      </w:r>
      <w:r>
        <w:t>E,</w:t>
      </w:r>
      <w:r>
        <w:rPr>
          <w:spacing w:val="-1"/>
        </w:rPr>
        <w:t xml:space="preserve"> </w:t>
      </w:r>
      <w:r>
        <w:t>Joshy</w:t>
      </w:r>
      <w:r>
        <w:rPr>
          <w:spacing w:val="-3"/>
        </w:rPr>
        <w:t xml:space="preserve"> </w:t>
      </w:r>
      <w:r>
        <w:t>G,</w:t>
      </w:r>
      <w:r>
        <w:rPr>
          <w:spacing w:val="-3"/>
        </w:rPr>
        <w:t xml:space="preserve"> </w:t>
      </w:r>
      <w:r>
        <w:t>Weber</w:t>
      </w:r>
      <w:r>
        <w:rPr>
          <w:spacing w:val="-3"/>
        </w:rPr>
        <w:t xml:space="preserve"> </w:t>
      </w:r>
      <w:r>
        <w:t>MF,</w:t>
      </w:r>
      <w:r>
        <w:rPr>
          <w:spacing w:val="-1"/>
        </w:rPr>
        <w:t xml:space="preserve"> </w:t>
      </w:r>
      <w:r>
        <w:t>Liu</w:t>
      </w:r>
      <w:r>
        <w:rPr>
          <w:spacing w:val="-3"/>
        </w:rPr>
        <w:t xml:space="preserve"> </w:t>
      </w:r>
      <w:r>
        <w:t>B,</w:t>
      </w:r>
      <w:r>
        <w:rPr>
          <w:spacing w:val="-3"/>
        </w:rPr>
        <w:t xml:space="preserve"> </w:t>
      </w:r>
      <w:r>
        <w:t>Grenfell</w:t>
      </w:r>
      <w:r>
        <w:rPr>
          <w:spacing w:val="-4"/>
        </w:rPr>
        <w:t xml:space="preserve"> </w:t>
      </w:r>
      <w:r>
        <w:t>R,</w:t>
      </w:r>
      <w:r>
        <w:rPr>
          <w:spacing w:val="-1"/>
        </w:rPr>
        <w:t xml:space="preserve"> </w:t>
      </w:r>
      <w:r>
        <w:t>et</w:t>
      </w:r>
      <w:r>
        <w:rPr>
          <w:spacing w:val="-1"/>
        </w:rPr>
        <w:t xml:space="preserve"> </w:t>
      </w:r>
      <w:r>
        <w:t>al.</w:t>
      </w:r>
      <w:r>
        <w:rPr>
          <w:spacing w:val="-2"/>
        </w:rPr>
        <w:t xml:space="preserve"> </w:t>
      </w:r>
      <w:r>
        <w:t>Tobacco smoking</w:t>
      </w:r>
      <w:r>
        <w:rPr>
          <w:spacing w:val="-2"/>
        </w:rPr>
        <w:t xml:space="preserve"> </w:t>
      </w:r>
      <w:r>
        <w:t>and</w:t>
      </w:r>
      <w:r>
        <w:rPr>
          <w:spacing w:val="-3"/>
        </w:rPr>
        <w:t xml:space="preserve"> </w:t>
      </w:r>
      <w:r>
        <w:t>all-cause</w:t>
      </w:r>
      <w:r>
        <w:rPr>
          <w:spacing w:val="-1"/>
        </w:rPr>
        <w:t xml:space="preserve"> </w:t>
      </w:r>
      <w:r>
        <w:t>mortality</w:t>
      </w:r>
      <w:r>
        <w:rPr>
          <w:spacing w:val="-2"/>
        </w:rPr>
        <w:t xml:space="preserve"> </w:t>
      </w:r>
      <w:r>
        <w:t>in</w:t>
      </w:r>
      <w:r>
        <w:rPr>
          <w:spacing w:val="-1"/>
        </w:rPr>
        <w:t xml:space="preserve"> </w:t>
      </w:r>
      <w:r>
        <w:t>a large Australian cohort study: Findings from a mature epidemic with current low smoking prevalence. BMC Medicine, 2015; 13(1):38.</w:t>
      </w:r>
    </w:p>
    <w:p w14:paraId="7A4C2F8F" w14:textId="77777777" w:rsidR="00E13D3F" w:rsidRDefault="00E13D3F" w:rsidP="00990D2B">
      <w:pPr>
        <w:pStyle w:val="ListParagraph"/>
        <w:numPr>
          <w:ilvl w:val="0"/>
          <w:numId w:val="33"/>
        </w:numPr>
        <w:tabs>
          <w:tab w:val="left" w:pos="1798"/>
        </w:tabs>
        <w:spacing w:line="268" w:lineRule="exact"/>
        <w:ind w:left="1798" w:hanging="358"/>
      </w:pPr>
      <w:hyperlink r:id="rId31">
        <w:r>
          <w:rPr>
            <w:color w:val="0462C1"/>
            <w:spacing w:val="-2"/>
            <w:u w:val="single" w:color="0462C1"/>
          </w:rPr>
          <w:t>https://www.tobaccoinaustralia.org.au/chapter-3-health-effects/3-0-background</w:t>
        </w:r>
      </w:hyperlink>
    </w:p>
    <w:p w14:paraId="7A4C2F90" w14:textId="77777777" w:rsidR="00E13D3F" w:rsidRDefault="00FB2D6A" w:rsidP="00990D2B">
      <w:pPr>
        <w:pStyle w:val="ListParagraph"/>
        <w:numPr>
          <w:ilvl w:val="0"/>
          <w:numId w:val="33"/>
        </w:numPr>
        <w:tabs>
          <w:tab w:val="left" w:pos="1798"/>
          <w:tab w:val="left" w:pos="1800"/>
        </w:tabs>
        <w:spacing w:before="28" w:line="264" w:lineRule="auto"/>
        <w:ind w:right="1464"/>
      </w:pPr>
      <w:r>
        <w:t>Greenhalgh, EM,</w:t>
      </w:r>
      <w:r>
        <w:rPr>
          <w:spacing w:val="-2"/>
        </w:rPr>
        <w:t xml:space="preserve"> </w:t>
      </w:r>
      <w:r>
        <w:t>Maddox,</w:t>
      </w:r>
      <w:r>
        <w:rPr>
          <w:spacing w:val="-2"/>
        </w:rPr>
        <w:t xml:space="preserve"> </w:t>
      </w:r>
      <w:r>
        <w:t>R, van</w:t>
      </w:r>
      <w:r>
        <w:rPr>
          <w:spacing w:val="-1"/>
        </w:rPr>
        <w:t xml:space="preserve"> </w:t>
      </w:r>
      <w:r>
        <w:t>der Sterren, A,</w:t>
      </w:r>
      <w:r>
        <w:rPr>
          <w:spacing w:val="-3"/>
        </w:rPr>
        <w:t xml:space="preserve"> </w:t>
      </w:r>
      <w:r>
        <w:t>Knoche, D,</w:t>
      </w:r>
      <w:r>
        <w:rPr>
          <w:spacing w:val="-3"/>
        </w:rPr>
        <w:t xml:space="preserve"> </w:t>
      </w:r>
      <w:r>
        <w:t>&amp;</w:t>
      </w:r>
      <w:r>
        <w:rPr>
          <w:spacing w:val="-1"/>
        </w:rPr>
        <w:t xml:space="preserve"> </w:t>
      </w:r>
      <w:r>
        <w:t>Winstanley,</w:t>
      </w:r>
      <w:r>
        <w:rPr>
          <w:spacing w:val="-2"/>
        </w:rPr>
        <w:t xml:space="preserve"> </w:t>
      </w:r>
      <w:r>
        <w:t>MH. 8.3 Prevalence</w:t>
      </w:r>
      <w:r>
        <w:rPr>
          <w:spacing w:val="-2"/>
        </w:rPr>
        <w:t xml:space="preserve"> </w:t>
      </w:r>
      <w:r>
        <w:t>of tobacco</w:t>
      </w:r>
      <w:r>
        <w:rPr>
          <w:spacing w:val="-2"/>
        </w:rPr>
        <w:t xml:space="preserve"> </w:t>
      </w:r>
      <w:r>
        <w:t>use</w:t>
      </w:r>
      <w:r>
        <w:rPr>
          <w:spacing w:val="-3"/>
        </w:rPr>
        <w:t xml:space="preserve"> </w:t>
      </w:r>
      <w:r>
        <w:t>among</w:t>
      </w:r>
      <w:r>
        <w:rPr>
          <w:spacing w:val="-4"/>
        </w:rPr>
        <w:t xml:space="preserve"> </w:t>
      </w:r>
      <w:r>
        <w:t>Aboriginal</w:t>
      </w:r>
      <w:r>
        <w:rPr>
          <w:spacing w:val="-3"/>
        </w:rPr>
        <w:t xml:space="preserve"> </w:t>
      </w:r>
      <w:r>
        <w:t>and</w:t>
      </w:r>
      <w:r>
        <w:rPr>
          <w:spacing w:val="-4"/>
        </w:rPr>
        <w:t xml:space="preserve"> </w:t>
      </w:r>
      <w:r>
        <w:t>Torres</w:t>
      </w:r>
      <w:r>
        <w:rPr>
          <w:spacing w:val="-2"/>
        </w:rPr>
        <w:t xml:space="preserve"> </w:t>
      </w:r>
      <w:r>
        <w:t>Strait</w:t>
      </w:r>
      <w:r>
        <w:rPr>
          <w:spacing w:val="-3"/>
        </w:rPr>
        <w:t xml:space="preserve"> </w:t>
      </w:r>
      <w:r>
        <w:t>Islander</w:t>
      </w:r>
      <w:r>
        <w:rPr>
          <w:spacing w:val="-3"/>
        </w:rPr>
        <w:t xml:space="preserve"> </w:t>
      </w:r>
      <w:r>
        <w:t>peoples.</w:t>
      </w:r>
      <w:r>
        <w:rPr>
          <w:spacing w:val="-3"/>
        </w:rPr>
        <w:t xml:space="preserve"> </w:t>
      </w:r>
      <w:r>
        <w:t>In</w:t>
      </w:r>
      <w:r>
        <w:rPr>
          <w:spacing w:val="-4"/>
        </w:rPr>
        <w:t xml:space="preserve"> </w:t>
      </w:r>
      <w:r>
        <w:t>Greenhalgh,</w:t>
      </w:r>
      <w:r>
        <w:rPr>
          <w:spacing w:val="-5"/>
        </w:rPr>
        <w:t xml:space="preserve"> </w:t>
      </w:r>
      <w:r>
        <w:t>EM,</w:t>
      </w:r>
      <w:r>
        <w:rPr>
          <w:spacing w:val="-3"/>
        </w:rPr>
        <w:t xml:space="preserve"> </w:t>
      </w:r>
      <w:r>
        <w:t>Scollo,</w:t>
      </w:r>
      <w:r>
        <w:rPr>
          <w:spacing w:val="-1"/>
        </w:rPr>
        <w:t xml:space="preserve"> </w:t>
      </w:r>
      <w:r>
        <w:t>MM and</w:t>
      </w:r>
      <w:r>
        <w:rPr>
          <w:spacing w:val="-1"/>
        </w:rPr>
        <w:t xml:space="preserve"> </w:t>
      </w:r>
      <w:r>
        <w:t>Winstanley,</w:t>
      </w:r>
      <w:r>
        <w:rPr>
          <w:spacing w:val="-2"/>
        </w:rPr>
        <w:t xml:space="preserve"> </w:t>
      </w:r>
      <w:r>
        <w:t>MH</w:t>
      </w:r>
      <w:r>
        <w:rPr>
          <w:spacing w:val="-1"/>
        </w:rPr>
        <w:t xml:space="preserve"> </w:t>
      </w:r>
      <w:r>
        <w:t>[editors]. Tobacco</w:t>
      </w:r>
      <w:r>
        <w:rPr>
          <w:spacing w:val="-1"/>
        </w:rPr>
        <w:t xml:space="preserve"> </w:t>
      </w:r>
      <w:r>
        <w:t>in Australia:</w:t>
      </w:r>
      <w:r>
        <w:rPr>
          <w:spacing w:val="-2"/>
        </w:rPr>
        <w:t xml:space="preserve"> </w:t>
      </w:r>
      <w:r>
        <w:t>Facts and</w:t>
      </w:r>
      <w:r>
        <w:rPr>
          <w:spacing w:val="-2"/>
        </w:rPr>
        <w:t xml:space="preserve"> </w:t>
      </w:r>
      <w:r>
        <w:t>issues. Melbourne:</w:t>
      </w:r>
      <w:r>
        <w:rPr>
          <w:spacing w:val="-2"/>
        </w:rPr>
        <w:t xml:space="preserve"> </w:t>
      </w:r>
      <w:r>
        <w:t xml:space="preserve">Cancer Council Victoria; 2021. Available from </w:t>
      </w:r>
      <w:hyperlink r:id="rId32">
        <w:r w:rsidR="00E13D3F">
          <w:t>http://www.tobaccoinaustralia.org.au/chapter-8-aptsi/8-3-</w:t>
        </w:r>
      </w:hyperlink>
      <w:r>
        <w:rPr>
          <w:spacing w:val="-2"/>
        </w:rPr>
        <w:t>prevalence-of-tobacco-use-among-aboriginal-peo</w:t>
      </w:r>
    </w:p>
    <w:p w14:paraId="7A4C2F91" w14:textId="77777777" w:rsidR="00E13D3F" w:rsidRDefault="00E13D3F">
      <w:pPr>
        <w:pStyle w:val="ListParagraph"/>
        <w:spacing w:line="264" w:lineRule="auto"/>
        <w:sectPr w:rsidR="00E13D3F">
          <w:pgSz w:w="11910" w:h="16840"/>
          <w:pgMar w:top="1400" w:right="0" w:bottom="1200" w:left="0" w:header="0" w:footer="1000" w:gutter="0"/>
          <w:cols w:space="720"/>
        </w:sectPr>
      </w:pPr>
    </w:p>
    <w:p w14:paraId="7A4C2F92" w14:textId="77777777" w:rsidR="00E13D3F" w:rsidRDefault="00FB2D6A" w:rsidP="00990D2B">
      <w:pPr>
        <w:pStyle w:val="Heading1"/>
        <w:numPr>
          <w:ilvl w:val="0"/>
          <w:numId w:val="53"/>
        </w:numPr>
        <w:tabs>
          <w:tab w:val="left" w:pos="1799"/>
        </w:tabs>
        <w:ind w:left="1799" w:hanging="359"/>
        <w:jc w:val="both"/>
        <w:rPr>
          <w:color w:val="2E5395"/>
          <w:u w:color="2E5395"/>
        </w:rPr>
      </w:pPr>
      <w:r>
        <w:rPr>
          <w:color w:val="2E5395"/>
          <w:u w:color="2E5395"/>
        </w:rPr>
        <w:lastRenderedPageBreak/>
        <w:t>The</w:t>
      </w:r>
      <w:r>
        <w:rPr>
          <w:color w:val="2E5395"/>
          <w:spacing w:val="-9"/>
          <w:u w:color="2E5395"/>
        </w:rPr>
        <w:t xml:space="preserve"> </w:t>
      </w:r>
      <w:r>
        <w:rPr>
          <w:color w:val="2E5395"/>
          <w:u w:color="2E5395"/>
        </w:rPr>
        <w:t>Health</w:t>
      </w:r>
      <w:r>
        <w:rPr>
          <w:color w:val="2E5395"/>
          <w:spacing w:val="-9"/>
          <w:u w:color="2E5395"/>
        </w:rPr>
        <w:t xml:space="preserve"> </w:t>
      </w:r>
      <w:r>
        <w:rPr>
          <w:color w:val="2E5395"/>
          <w:u w:color="2E5395"/>
        </w:rPr>
        <w:t>Assessment</w:t>
      </w:r>
      <w:r>
        <w:rPr>
          <w:color w:val="2E5395"/>
          <w:spacing w:val="-8"/>
          <w:u w:color="2E5395"/>
        </w:rPr>
        <w:t xml:space="preserve"> </w:t>
      </w:r>
      <w:r>
        <w:rPr>
          <w:color w:val="2E5395"/>
          <w:u w:color="2E5395"/>
        </w:rPr>
        <w:t>component:</w:t>
      </w:r>
      <w:r>
        <w:rPr>
          <w:color w:val="2E5395"/>
          <w:spacing w:val="-8"/>
          <w:u w:color="2E5395"/>
        </w:rPr>
        <w:t xml:space="preserve"> </w:t>
      </w:r>
      <w:r>
        <w:rPr>
          <w:color w:val="2E5395"/>
          <w:u w:color="2E5395"/>
        </w:rPr>
        <w:t>Alcohol</w:t>
      </w:r>
      <w:r>
        <w:rPr>
          <w:color w:val="2E5395"/>
          <w:spacing w:val="-11"/>
          <w:u w:color="2E5395"/>
        </w:rPr>
        <w:t xml:space="preserve"> </w:t>
      </w:r>
      <w:r>
        <w:rPr>
          <w:color w:val="2E5395"/>
          <w:spacing w:val="-5"/>
          <w:u w:color="2E5395"/>
        </w:rPr>
        <w:t>use</w:t>
      </w:r>
    </w:p>
    <w:p w14:paraId="7A4C2F93" w14:textId="77777777" w:rsidR="00E13D3F" w:rsidRDefault="00FB2D6A">
      <w:pPr>
        <w:pStyle w:val="Heading2"/>
        <w:spacing w:before="72"/>
      </w:pPr>
      <w:r>
        <w:rPr>
          <w:color w:val="2E5395"/>
        </w:rPr>
        <w:t>Background</w:t>
      </w:r>
      <w:r>
        <w:rPr>
          <w:color w:val="2E5395"/>
          <w:spacing w:val="-11"/>
        </w:rPr>
        <w:t xml:space="preserve"> </w:t>
      </w:r>
      <w:r>
        <w:rPr>
          <w:color w:val="2E5395"/>
        </w:rPr>
        <w:t>and</w:t>
      </w:r>
      <w:r>
        <w:rPr>
          <w:color w:val="2E5395"/>
          <w:spacing w:val="-10"/>
        </w:rPr>
        <w:t xml:space="preserve"> </w:t>
      </w:r>
      <w:r>
        <w:rPr>
          <w:color w:val="2E5395"/>
          <w:spacing w:val="-2"/>
        </w:rPr>
        <w:t>Description</w:t>
      </w:r>
    </w:p>
    <w:p w14:paraId="7A4C2F94" w14:textId="77777777" w:rsidR="00E13D3F" w:rsidRDefault="00FB2D6A">
      <w:pPr>
        <w:pStyle w:val="BodyText"/>
        <w:spacing w:before="23" w:line="276" w:lineRule="auto"/>
        <w:ind w:right="1475"/>
      </w:pPr>
      <w:r>
        <w:t xml:space="preserve">Current Australian alcohol guidelines outline the levels of alcohol consumption that </w:t>
      </w:r>
      <w:proofErr w:type="spellStart"/>
      <w:r>
        <w:t>minimise</w:t>
      </w:r>
      <w:proofErr w:type="spellEnd"/>
      <w:r>
        <w:rPr>
          <w:spacing w:val="-2"/>
        </w:rPr>
        <w:t xml:space="preserve"> </w:t>
      </w:r>
      <w:r>
        <w:t>risk</w:t>
      </w:r>
      <w:r>
        <w:rPr>
          <w:spacing w:val="-3"/>
        </w:rPr>
        <w:t xml:space="preserve"> </w:t>
      </w:r>
      <w:r>
        <w:t>of</w:t>
      </w:r>
      <w:r>
        <w:rPr>
          <w:spacing w:val="-2"/>
        </w:rPr>
        <w:t xml:space="preserve"> </w:t>
      </w:r>
      <w:r>
        <w:t>harm</w:t>
      </w:r>
      <w:r>
        <w:rPr>
          <w:spacing w:val="-3"/>
        </w:rPr>
        <w:t xml:space="preserve"> </w:t>
      </w:r>
      <w:r>
        <w:t>from</w:t>
      </w:r>
      <w:r>
        <w:rPr>
          <w:spacing w:val="-2"/>
        </w:rPr>
        <w:t xml:space="preserve"> </w:t>
      </w:r>
      <w:r>
        <w:t>alcohol</w:t>
      </w:r>
      <w:r>
        <w:rPr>
          <w:spacing w:val="-3"/>
        </w:rPr>
        <w:t xml:space="preserve"> </w:t>
      </w:r>
      <w:r>
        <w:t>related</w:t>
      </w:r>
      <w:r>
        <w:rPr>
          <w:spacing w:val="-3"/>
        </w:rPr>
        <w:t xml:space="preserve"> </w:t>
      </w:r>
      <w:r>
        <w:t>disease</w:t>
      </w:r>
      <w:r>
        <w:rPr>
          <w:spacing w:val="-2"/>
        </w:rPr>
        <w:t xml:space="preserve"> </w:t>
      </w:r>
      <w:r>
        <w:t>or</w:t>
      </w:r>
      <w:r>
        <w:rPr>
          <w:spacing w:val="-2"/>
        </w:rPr>
        <w:t xml:space="preserve"> </w:t>
      </w:r>
      <w:r>
        <w:t>injury (1).</w:t>
      </w:r>
      <w:r>
        <w:rPr>
          <w:spacing w:val="-3"/>
        </w:rPr>
        <w:t xml:space="preserve"> </w:t>
      </w:r>
      <w:r>
        <w:t>However,</w:t>
      </w:r>
      <w:r>
        <w:rPr>
          <w:spacing w:val="-6"/>
        </w:rPr>
        <w:t xml:space="preserve"> </w:t>
      </w:r>
      <w:r>
        <w:t>in</w:t>
      </w:r>
      <w:r>
        <w:rPr>
          <w:spacing w:val="-2"/>
        </w:rPr>
        <w:t xml:space="preserve"> </w:t>
      </w:r>
      <w:r>
        <w:t>2020-2021,</w:t>
      </w:r>
      <w:r>
        <w:rPr>
          <w:spacing w:val="-3"/>
        </w:rPr>
        <w:t xml:space="preserve"> </w:t>
      </w:r>
      <w:r>
        <w:t>1</w:t>
      </w:r>
      <w:r>
        <w:rPr>
          <w:spacing w:val="-2"/>
        </w:rPr>
        <w:t xml:space="preserve"> </w:t>
      </w:r>
      <w:r>
        <w:t>in 4 Australians (25%) over 18 years exceeded the Australian Adult Alcohol Guideline. Men were more likely than women to exceed the guideline (33.6% vs 18.5%) and people born in Australia were almost twice as likely as those born overseas to exceed the guideline (30% v 17%) (2).</w:t>
      </w:r>
    </w:p>
    <w:p w14:paraId="7A4C2F95" w14:textId="77777777" w:rsidR="00E13D3F" w:rsidRDefault="00FB2D6A">
      <w:pPr>
        <w:pStyle w:val="BodyText"/>
        <w:spacing w:line="276" w:lineRule="auto"/>
        <w:ind w:right="1494"/>
      </w:pPr>
      <w:r>
        <w:t>Drinking more than the recommended amount of alcohol can have short- and long-term effects on health including accidental injury, family, domestic and sexual violence, mental health issues, increased risk of weight gain, diabetes, cancers, cardiovascular issues, cirrhosis of the liver, and liver failure.</w:t>
      </w:r>
      <w:r>
        <w:rPr>
          <w:spacing w:val="40"/>
        </w:rPr>
        <w:t xml:space="preserve"> </w:t>
      </w:r>
      <w:r>
        <w:t>For pregnant women or women planning pregnancy or breastfeeding, any amount of alcohol consumption can harm the fetus or baby.</w:t>
      </w:r>
      <w:r>
        <w:rPr>
          <w:spacing w:val="40"/>
        </w:rPr>
        <w:t xml:space="preserve"> </w:t>
      </w:r>
      <w:r>
        <w:t>Alcohol consumption</w:t>
      </w:r>
      <w:r>
        <w:rPr>
          <w:spacing w:val="-2"/>
        </w:rPr>
        <w:t xml:space="preserve"> </w:t>
      </w:r>
      <w:r>
        <w:t>costs</w:t>
      </w:r>
      <w:r>
        <w:rPr>
          <w:spacing w:val="-5"/>
        </w:rPr>
        <w:t xml:space="preserve"> </w:t>
      </w:r>
      <w:r>
        <w:t>the</w:t>
      </w:r>
      <w:r>
        <w:rPr>
          <w:spacing w:val="-2"/>
        </w:rPr>
        <w:t xml:space="preserve"> </w:t>
      </w:r>
      <w:r>
        <w:t>Australian</w:t>
      </w:r>
      <w:r>
        <w:rPr>
          <w:spacing w:val="-2"/>
        </w:rPr>
        <w:t xml:space="preserve"> </w:t>
      </w:r>
      <w:r>
        <w:t>community</w:t>
      </w:r>
      <w:r>
        <w:rPr>
          <w:spacing w:val="-3"/>
        </w:rPr>
        <w:t xml:space="preserve"> </w:t>
      </w:r>
      <w:r>
        <w:t>approximately</w:t>
      </w:r>
      <w:r>
        <w:rPr>
          <w:spacing w:val="-5"/>
        </w:rPr>
        <w:t xml:space="preserve"> </w:t>
      </w:r>
      <w:r>
        <w:t>$66.8</w:t>
      </w:r>
      <w:r>
        <w:rPr>
          <w:spacing w:val="-4"/>
        </w:rPr>
        <w:t xml:space="preserve"> </w:t>
      </w:r>
      <w:r>
        <w:t>billion</w:t>
      </w:r>
      <w:r>
        <w:rPr>
          <w:spacing w:val="-3"/>
        </w:rPr>
        <w:t xml:space="preserve"> </w:t>
      </w:r>
      <w:r>
        <w:t>per</w:t>
      </w:r>
      <w:r>
        <w:rPr>
          <w:spacing w:val="-2"/>
        </w:rPr>
        <w:t xml:space="preserve"> </w:t>
      </w:r>
      <w:r>
        <w:t>year</w:t>
      </w:r>
      <w:r>
        <w:rPr>
          <w:spacing w:val="-5"/>
        </w:rPr>
        <w:t xml:space="preserve"> </w:t>
      </w:r>
      <w:r>
        <w:t>in</w:t>
      </w:r>
      <w:r>
        <w:rPr>
          <w:spacing w:val="-4"/>
        </w:rPr>
        <w:t xml:space="preserve"> </w:t>
      </w:r>
      <w:r>
        <w:t>health, workplace, and other costs (3).</w:t>
      </w:r>
    </w:p>
    <w:p w14:paraId="7A4C2F96" w14:textId="77777777" w:rsidR="00E13D3F" w:rsidRDefault="00FB2D6A">
      <w:pPr>
        <w:pStyle w:val="BodyText"/>
        <w:spacing w:before="1" w:line="276" w:lineRule="auto"/>
        <w:ind w:right="1635"/>
      </w:pPr>
      <w:r>
        <w:t>Australia’s current Guidelines for preventive activities in general practice recommends patients</w:t>
      </w:r>
      <w:r>
        <w:rPr>
          <w:spacing w:val="-5"/>
        </w:rPr>
        <w:t xml:space="preserve"> </w:t>
      </w:r>
      <w:r>
        <w:t>from</w:t>
      </w:r>
      <w:r>
        <w:rPr>
          <w:spacing w:val="-3"/>
        </w:rPr>
        <w:t xml:space="preserve"> </w:t>
      </w:r>
      <w:r>
        <w:t>15</w:t>
      </w:r>
      <w:r>
        <w:rPr>
          <w:spacing w:val="-2"/>
        </w:rPr>
        <w:t xml:space="preserve"> </w:t>
      </w:r>
      <w:r>
        <w:t>years</w:t>
      </w:r>
      <w:r>
        <w:rPr>
          <w:spacing w:val="-5"/>
        </w:rPr>
        <w:t xml:space="preserve"> </w:t>
      </w:r>
      <w:r>
        <w:t>of</w:t>
      </w:r>
      <w:r>
        <w:rPr>
          <w:spacing w:val="-4"/>
        </w:rPr>
        <w:t xml:space="preserve"> </w:t>
      </w:r>
      <w:r>
        <w:t>age</w:t>
      </w:r>
      <w:r>
        <w:rPr>
          <w:spacing w:val="-2"/>
        </w:rPr>
        <w:t xml:space="preserve"> </w:t>
      </w:r>
      <w:r>
        <w:t>should</w:t>
      </w:r>
      <w:r>
        <w:rPr>
          <w:spacing w:val="-2"/>
        </w:rPr>
        <w:t xml:space="preserve"> </w:t>
      </w:r>
      <w:r>
        <w:t>be</w:t>
      </w:r>
      <w:r>
        <w:rPr>
          <w:spacing w:val="-2"/>
        </w:rPr>
        <w:t xml:space="preserve"> </w:t>
      </w:r>
      <w:r>
        <w:t>asked</w:t>
      </w:r>
      <w:r>
        <w:rPr>
          <w:spacing w:val="-4"/>
        </w:rPr>
        <w:t xml:space="preserve"> </w:t>
      </w:r>
      <w:r>
        <w:t>about</w:t>
      </w:r>
      <w:r>
        <w:rPr>
          <w:spacing w:val="-4"/>
        </w:rPr>
        <w:t xml:space="preserve"> </w:t>
      </w:r>
      <w:r>
        <w:t>the</w:t>
      </w:r>
      <w:r>
        <w:rPr>
          <w:spacing w:val="-2"/>
        </w:rPr>
        <w:t xml:space="preserve"> </w:t>
      </w:r>
      <w:r>
        <w:t>quantity</w:t>
      </w:r>
      <w:r>
        <w:rPr>
          <w:spacing w:val="-6"/>
        </w:rPr>
        <w:t xml:space="preserve"> </w:t>
      </w:r>
      <w:r>
        <w:t>and</w:t>
      </w:r>
      <w:r>
        <w:rPr>
          <w:spacing w:val="-2"/>
        </w:rPr>
        <w:t xml:space="preserve"> </w:t>
      </w:r>
      <w:r>
        <w:t>frequency</w:t>
      </w:r>
      <w:r>
        <w:rPr>
          <w:spacing w:val="-3"/>
        </w:rPr>
        <w:t xml:space="preserve"> </w:t>
      </w:r>
      <w:r>
        <w:t>of</w:t>
      </w:r>
      <w:r>
        <w:rPr>
          <w:spacing w:val="-2"/>
        </w:rPr>
        <w:t xml:space="preserve"> </w:t>
      </w:r>
      <w:r>
        <w:t>alcohol intake with those with at-risk patterns of consumption offered brief advice on the risk of drinking. The guideline suggests the Alcohol Use Disorder Identification Test-Consumption (AUDIT-C) tool can be used to assess this.</w:t>
      </w:r>
    </w:p>
    <w:p w14:paraId="7A4C2F97" w14:textId="77777777" w:rsidR="00E13D3F" w:rsidRDefault="00E13D3F">
      <w:pPr>
        <w:pStyle w:val="BodyText"/>
        <w:spacing w:before="89"/>
        <w:ind w:left="0"/>
      </w:pPr>
    </w:p>
    <w:p w14:paraId="7A4C2F98" w14:textId="77777777" w:rsidR="00E13D3F" w:rsidRDefault="00FB2D6A">
      <w:pPr>
        <w:pStyle w:val="Heading2"/>
      </w:pPr>
      <w:r>
        <w:rPr>
          <w:color w:val="2E5395"/>
        </w:rPr>
        <w:t>Evidence</w:t>
      </w:r>
      <w:r>
        <w:rPr>
          <w:color w:val="2E5395"/>
          <w:spacing w:val="-9"/>
        </w:rPr>
        <w:t xml:space="preserve"> </w:t>
      </w:r>
      <w:r>
        <w:rPr>
          <w:color w:val="2E5395"/>
        </w:rPr>
        <w:t>of</w:t>
      </w:r>
      <w:r>
        <w:rPr>
          <w:color w:val="2E5395"/>
          <w:spacing w:val="-10"/>
        </w:rPr>
        <w:t xml:space="preserve"> </w:t>
      </w:r>
      <w:r>
        <w:rPr>
          <w:color w:val="2E5395"/>
          <w:spacing w:val="-2"/>
        </w:rPr>
        <w:t>Effectiveness</w:t>
      </w:r>
    </w:p>
    <w:p w14:paraId="7A4C2F99" w14:textId="77777777" w:rsidR="00E13D3F" w:rsidRDefault="00FB2D6A">
      <w:pPr>
        <w:pStyle w:val="BodyText"/>
        <w:spacing w:before="26" w:line="276" w:lineRule="auto"/>
        <w:ind w:right="1807"/>
        <w:jc w:val="both"/>
      </w:pPr>
      <w:r>
        <w:rPr>
          <w:b/>
        </w:rPr>
        <w:t xml:space="preserve">Direct Evidence: </w:t>
      </w:r>
      <w:r>
        <w:t>In 2018, the USPSTF reviewed the evidence for screening and nonpharmacologic</w:t>
      </w:r>
      <w:r>
        <w:rPr>
          <w:spacing w:val="-4"/>
        </w:rPr>
        <w:t xml:space="preserve"> </w:t>
      </w:r>
      <w:r>
        <w:t>interventions</w:t>
      </w:r>
      <w:r>
        <w:rPr>
          <w:spacing w:val="-5"/>
        </w:rPr>
        <w:t xml:space="preserve"> </w:t>
      </w:r>
      <w:r>
        <w:t>to</w:t>
      </w:r>
      <w:r>
        <w:rPr>
          <w:spacing w:val="-4"/>
        </w:rPr>
        <w:t xml:space="preserve"> </w:t>
      </w:r>
      <w:r>
        <w:t>reduce</w:t>
      </w:r>
      <w:r>
        <w:rPr>
          <w:spacing w:val="-2"/>
        </w:rPr>
        <w:t xml:space="preserve"> </w:t>
      </w:r>
      <w:r>
        <w:t>unhealthy</w:t>
      </w:r>
      <w:r>
        <w:rPr>
          <w:spacing w:val="-3"/>
        </w:rPr>
        <w:t xml:space="preserve"> </w:t>
      </w:r>
      <w:r>
        <w:t>alcohol</w:t>
      </w:r>
      <w:r>
        <w:rPr>
          <w:spacing w:val="-4"/>
        </w:rPr>
        <w:t xml:space="preserve"> </w:t>
      </w:r>
      <w:r>
        <w:t>use</w:t>
      </w:r>
      <w:r>
        <w:rPr>
          <w:spacing w:val="-2"/>
        </w:rPr>
        <w:t xml:space="preserve"> </w:t>
      </w:r>
      <w:r>
        <w:t>(AMSTAR</w:t>
      </w:r>
      <w:r>
        <w:rPr>
          <w:spacing w:val="-6"/>
        </w:rPr>
        <w:t xml:space="preserve"> </w:t>
      </w:r>
      <w:r>
        <w:t>rating</w:t>
      </w:r>
      <w:r>
        <w:rPr>
          <w:spacing w:val="-3"/>
        </w:rPr>
        <w:t xml:space="preserve"> </w:t>
      </w:r>
      <w:r>
        <w:t>10/11)</w:t>
      </w:r>
    </w:p>
    <w:p w14:paraId="7A4C2F9A" w14:textId="77777777" w:rsidR="00E13D3F" w:rsidRDefault="00FB2D6A">
      <w:pPr>
        <w:pStyle w:val="BodyText"/>
        <w:spacing w:line="276" w:lineRule="auto"/>
        <w:ind w:right="1633"/>
        <w:jc w:val="both"/>
      </w:pPr>
      <w:r>
        <w:t>(4). This review found there were</w:t>
      </w:r>
      <w:r>
        <w:rPr>
          <w:spacing w:val="-1"/>
        </w:rPr>
        <w:t xml:space="preserve"> </w:t>
      </w:r>
      <w:r>
        <w:t>no</w:t>
      </w:r>
      <w:r>
        <w:rPr>
          <w:spacing w:val="-1"/>
        </w:rPr>
        <w:t xml:space="preserve"> </w:t>
      </w:r>
      <w:r>
        <w:t>trials</w:t>
      </w:r>
      <w:r>
        <w:rPr>
          <w:spacing w:val="-1"/>
        </w:rPr>
        <w:t xml:space="preserve"> </w:t>
      </w:r>
      <w:r>
        <w:t>examining</w:t>
      </w:r>
      <w:r>
        <w:rPr>
          <w:spacing w:val="-1"/>
        </w:rPr>
        <w:t xml:space="preserve"> </w:t>
      </w:r>
      <w:r>
        <w:t>the</w:t>
      </w:r>
      <w:r>
        <w:rPr>
          <w:spacing w:val="-1"/>
        </w:rPr>
        <w:t xml:space="preserve"> </w:t>
      </w:r>
      <w:r>
        <w:t>effect of screening for unhealthy alcohol</w:t>
      </w:r>
      <w:r>
        <w:rPr>
          <w:spacing w:val="-3"/>
        </w:rPr>
        <w:t xml:space="preserve"> </w:t>
      </w:r>
      <w:r>
        <w:t>use</w:t>
      </w:r>
      <w:r>
        <w:rPr>
          <w:spacing w:val="-4"/>
        </w:rPr>
        <w:t xml:space="preserve"> </w:t>
      </w:r>
      <w:r>
        <w:t>on</w:t>
      </w:r>
      <w:r>
        <w:rPr>
          <w:spacing w:val="-1"/>
        </w:rPr>
        <w:t xml:space="preserve"> </w:t>
      </w:r>
      <w:r>
        <w:t>alcohol</w:t>
      </w:r>
      <w:r>
        <w:rPr>
          <w:spacing w:val="-3"/>
        </w:rPr>
        <w:t xml:space="preserve"> </w:t>
      </w:r>
      <w:r>
        <w:t>use,</w:t>
      </w:r>
      <w:r>
        <w:rPr>
          <w:spacing w:val="-2"/>
        </w:rPr>
        <w:t xml:space="preserve"> </w:t>
      </w:r>
      <w:r>
        <w:t>health,</w:t>
      </w:r>
      <w:r>
        <w:rPr>
          <w:spacing w:val="-2"/>
        </w:rPr>
        <w:t xml:space="preserve"> </w:t>
      </w:r>
      <w:r>
        <w:t>social</w:t>
      </w:r>
      <w:r>
        <w:rPr>
          <w:spacing w:val="-4"/>
        </w:rPr>
        <w:t xml:space="preserve"> </w:t>
      </w:r>
      <w:r>
        <w:t>or</w:t>
      </w:r>
      <w:r>
        <w:rPr>
          <w:spacing w:val="-2"/>
        </w:rPr>
        <w:t xml:space="preserve"> </w:t>
      </w:r>
      <w:r>
        <w:t>legal</w:t>
      </w:r>
      <w:r>
        <w:rPr>
          <w:spacing w:val="-4"/>
        </w:rPr>
        <w:t xml:space="preserve"> </w:t>
      </w:r>
      <w:r>
        <w:t>outcomes</w:t>
      </w:r>
      <w:r>
        <w:rPr>
          <w:spacing w:val="-2"/>
        </w:rPr>
        <w:t xml:space="preserve"> </w:t>
      </w:r>
      <w:r>
        <w:t>or</w:t>
      </w:r>
      <w:r>
        <w:rPr>
          <w:spacing w:val="-3"/>
        </w:rPr>
        <w:t xml:space="preserve"> </w:t>
      </w:r>
      <w:r>
        <w:t>harms.</w:t>
      </w:r>
      <w:r>
        <w:rPr>
          <w:spacing w:val="-4"/>
        </w:rPr>
        <w:t xml:space="preserve"> </w:t>
      </w:r>
      <w:r>
        <w:t>No</w:t>
      </w:r>
      <w:r>
        <w:rPr>
          <w:spacing w:val="-4"/>
        </w:rPr>
        <w:t xml:space="preserve"> </w:t>
      </w:r>
      <w:proofErr w:type="spellStart"/>
      <w:r>
        <w:t>randomised</w:t>
      </w:r>
      <w:proofErr w:type="spellEnd"/>
      <w:r>
        <w:rPr>
          <w:spacing w:val="-3"/>
        </w:rPr>
        <w:t xml:space="preserve"> </w:t>
      </w:r>
      <w:r>
        <w:t>trials of screening for unhealthy alcohol use published after the USPSTF review were identified.</w:t>
      </w:r>
    </w:p>
    <w:p w14:paraId="7A4C2F9B" w14:textId="77777777" w:rsidR="00E13D3F" w:rsidRDefault="00E13D3F">
      <w:pPr>
        <w:pStyle w:val="BodyText"/>
        <w:spacing w:before="43"/>
        <w:ind w:left="0"/>
      </w:pPr>
    </w:p>
    <w:p w14:paraId="7A4C2F9C" w14:textId="77777777" w:rsidR="00E13D3F" w:rsidRDefault="00FB2D6A">
      <w:pPr>
        <w:pStyle w:val="BodyText"/>
        <w:spacing w:line="276" w:lineRule="auto"/>
        <w:ind w:right="1450"/>
      </w:pPr>
      <w:r>
        <w:rPr>
          <w:b/>
        </w:rPr>
        <w:t xml:space="preserve">Linked evidence </w:t>
      </w:r>
      <w:r>
        <w:t>for the effect of screening for unhealthy alcohol use is provided by: a) evidence on the effect of interventions in those detected with unhealthy alcohol use is available</w:t>
      </w:r>
      <w:r>
        <w:rPr>
          <w:spacing w:val="-3"/>
        </w:rPr>
        <w:t xml:space="preserve"> </w:t>
      </w:r>
      <w:r>
        <w:t>from</w:t>
      </w:r>
      <w:r>
        <w:rPr>
          <w:spacing w:val="-4"/>
        </w:rPr>
        <w:t xml:space="preserve"> </w:t>
      </w:r>
      <w:r>
        <w:t>a</w:t>
      </w:r>
      <w:r>
        <w:rPr>
          <w:spacing w:val="-2"/>
        </w:rPr>
        <w:t xml:space="preserve"> </w:t>
      </w:r>
      <w:r>
        <w:t>systematic</w:t>
      </w:r>
      <w:r>
        <w:rPr>
          <w:spacing w:val="-2"/>
        </w:rPr>
        <w:t xml:space="preserve"> </w:t>
      </w:r>
      <w:r>
        <w:t>review</w:t>
      </w:r>
      <w:r>
        <w:rPr>
          <w:spacing w:val="-1"/>
        </w:rPr>
        <w:t xml:space="preserve"> </w:t>
      </w:r>
      <w:r>
        <w:t>conducted</w:t>
      </w:r>
      <w:r>
        <w:rPr>
          <w:spacing w:val="-3"/>
        </w:rPr>
        <w:t xml:space="preserve"> </w:t>
      </w:r>
      <w:r>
        <w:t>by</w:t>
      </w:r>
      <w:r>
        <w:rPr>
          <w:spacing w:val="-5"/>
        </w:rPr>
        <w:t xml:space="preserve"> </w:t>
      </w:r>
      <w:r>
        <w:t>the</w:t>
      </w:r>
      <w:r>
        <w:rPr>
          <w:spacing w:val="-4"/>
        </w:rPr>
        <w:t xml:space="preserve"> </w:t>
      </w:r>
      <w:r>
        <w:t>USPSTF</w:t>
      </w:r>
      <w:r>
        <w:rPr>
          <w:spacing w:val="-4"/>
        </w:rPr>
        <w:t xml:space="preserve"> </w:t>
      </w:r>
      <w:r>
        <w:t>and</w:t>
      </w:r>
      <w:r>
        <w:rPr>
          <w:spacing w:val="-1"/>
        </w:rPr>
        <w:t xml:space="preserve"> </w:t>
      </w:r>
      <w:r>
        <w:t>b)</w:t>
      </w:r>
      <w:r>
        <w:rPr>
          <w:spacing w:val="-5"/>
        </w:rPr>
        <w:t xml:space="preserve"> </w:t>
      </w:r>
      <w:r>
        <w:t>evidence</w:t>
      </w:r>
      <w:r>
        <w:rPr>
          <w:spacing w:val="-1"/>
        </w:rPr>
        <w:t xml:space="preserve"> </w:t>
      </w:r>
      <w:r>
        <w:t>of</w:t>
      </w:r>
      <w:r>
        <w:rPr>
          <w:spacing w:val="-1"/>
        </w:rPr>
        <w:t xml:space="preserve"> </w:t>
      </w:r>
      <w:r>
        <w:t>the</w:t>
      </w:r>
      <w:r>
        <w:rPr>
          <w:spacing w:val="-4"/>
        </w:rPr>
        <w:t xml:space="preserve"> </w:t>
      </w:r>
      <w:r>
        <w:t>effect</w:t>
      </w:r>
      <w:r>
        <w:rPr>
          <w:spacing w:val="-3"/>
        </w:rPr>
        <w:t xml:space="preserve"> </w:t>
      </w:r>
      <w:r>
        <w:t>of reducing</w:t>
      </w:r>
      <w:r>
        <w:rPr>
          <w:spacing w:val="-1"/>
        </w:rPr>
        <w:t xml:space="preserve"> </w:t>
      </w:r>
      <w:r>
        <w:t>alcohol consumption on cardiovascular events</w:t>
      </w:r>
      <w:r>
        <w:rPr>
          <w:spacing w:val="-1"/>
        </w:rPr>
        <w:t xml:space="preserve"> </w:t>
      </w:r>
      <w:r>
        <w:t>and</w:t>
      </w:r>
      <w:r>
        <w:rPr>
          <w:spacing w:val="-2"/>
        </w:rPr>
        <w:t xml:space="preserve"> </w:t>
      </w:r>
      <w:r>
        <w:t>CVD</w:t>
      </w:r>
      <w:r>
        <w:rPr>
          <w:spacing w:val="-2"/>
        </w:rPr>
        <w:t xml:space="preserve"> </w:t>
      </w:r>
      <w:r>
        <w:t>risk</w:t>
      </w:r>
      <w:r>
        <w:rPr>
          <w:spacing w:val="-2"/>
        </w:rPr>
        <w:t xml:space="preserve"> </w:t>
      </w:r>
      <w:r>
        <w:t>factors</w:t>
      </w:r>
      <w:r>
        <w:rPr>
          <w:spacing w:val="-1"/>
        </w:rPr>
        <w:t xml:space="preserve"> </w:t>
      </w:r>
      <w:r>
        <w:t>from</w:t>
      </w:r>
      <w:r>
        <w:rPr>
          <w:spacing w:val="-3"/>
        </w:rPr>
        <w:t xml:space="preserve"> </w:t>
      </w:r>
      <w:r>
        <w:t>two</w:t>
      </w:r>
      <w:r>
        <w:rPr>
          <w:spacing w:val="-2"/>
        </w:rPr>
        <w:t xml:space="preserve"> </w:t>
      </w:r>
      <w:r>
        <w:t>other systematic reviews.</w:t>
      </w:r>
    </w:p>
    <w:p w14:paraId="7A4C2F9D" w14:textId="77777777" w:rsidR="00E13D3F" w:rsidRDefault="00FB2D6A" w:rsidP="00990D2B">
      <w:pPr>
        <w:pStyle w:val="ListParagraph"/>
        <w:numPr>
          <w:ilvl w:val="0"/>
          <w:numId w:val="32"/>
        </w:numPr>
        <w:tabs>
          <w:tab w:val="left" w:pos="1680"/>
        </w:tabs>
        <w:spacing w:before="1" w:line="276" w:lineRule="auto"/>
        <w:ind w:right="1626" w:firstLine="0"/>
        <w:rPr>
          <w:sz w:val="24"/>
        </w:rPr>
      </w:pPr>
      <w:r>
        <w:rPr>
          <w:sz w:val="24"/>
        </w:rPr>
        <w:t>Evidence</w:t>
      </w:r>
      <w:r>
        <w:rPr>
          <w:spacing w:val="-5"/>
          <w:sz w:val="24"/>
        </w:rPr>
        <w:t xml:space="preserve"> </w:t>
      </w:r>
      <w:r>
        <w:rPr>
          <w:sz w:val="24"/>
        </w:rPr>
        <w:t>on</w:t>
      </w:r>
      <w:r>
        <w:rPr>
          <w:spacing w:val="-4"/>
          <w:sz w:val="24"/>
        </w:rPr>
        <w:t xml:space="preserve"> </w:t>
      </w:r>
      <w:r>
        <w:rPr>
          <w:sz w:val="24"/>
        </w:rPr>
        <w:t>the</w:t>
      </w:r>
      <w:r>
        <w:rPr>
          <w:spacing w:val="-4"/>
          <w:sz w:val="24"/>
        </w:rPr>
        <w:t xml:space="preserve"> </w:t>
      </w:r>
      <w:r>
        <w:rPr>
          <w:sz w:val="24"/>
        </w:rPr>
        <w:t>effect</w:t>
      </w:r>
      <w:r>
        <w:rPr>
          <w:spacing w:val="-4"/>
          <w:sz w:val="24"/>
        </w:rPr>
        <w:t xml:space="preserve"> </w:t>
      </w:r>
      <w:r>
        <w:rPr>
          <w:sz w:val="24"/>
        </w:rPr>
        <w:t>of</w:t>
      </w:r>
      <w:r>
        <w:rPr>
          <w:spacing w:val="-4"/>
          <w:sz w:val="24"/>
        </w:rPr>
        <w:t xml:space="preserve"> </w:t>
      </w:r>
      <w:r>
        <w:rPr>
          <w:sz w:val="24"/>
        </w:rPr>
        <w:t>counselling</w:t>
      </w:r>
      <w:r>
        <w:rPr>
          <w:spacing w:val="-5"/>
          <w:sz w:val="24"/>
        </w:rPr>
        <w:t xml:space="preserve"> </w:t>
      </w:r>
      <w:r>
        <w:rPr>
          <w:sz w:val="24"/>
        </w:rPr>
        <w:t>interventions</w:t>
      </w:r>
      <w:r>
        <w:rPr>
          <w:spacing w:val="-3"/>
          <w:sz w:val="24"/>
        </w:rPr>
        <w:t xml:space="preserve"> </w:t>
      </w:r>
      <w:r>
        <w:rPr>
          <w:sz w:val="24"/>
        </w:rPr>
        <w:t>in</w:t>
      </w:r>
      <w:r>
        <w:rPr>
          <w:spacing w:val="-2"/>
          <w:sz w:val="24"/>
        </w:rPr>
        <w:t xml:space="preserve"> </w:t>
      </w:r>
      <w:r>
        <w:rPr>
          <w:sz w:val="24"/>
        </w:rPr>
        <w:t>screen</w:t>
      </w:r>
      <w:r>
        <w:rPr>
          <w:spacing w:val="-2"/>
          <w:sz w:val="24"/>
        </w:rPr>
        <w:t xml:space="preserve"> </w:t>
      </w:r>
      <w:r>
        <w:rPr>
          <w:sz w:val="24"/>
        </w:rPr>
        <w:t>detected</w:t>
      </w:r>
      <w:r>
        <w:rPr>
          <w:spacing w:val="-4"/>
          <w:sz w:val="24"/>
        </w:rPr>
        <w:t xml:space="preserve"> </w:t>
      </w:r>
      <w:r>
        <w:rPr>
          <w:sz w:val="24"/>
        </w:rPr>
        <w:t>unhealthy</w:t>
      </w:r>
      <w:r>
        <w:rPr>
          <w:spacing w:val="-3"/>
          <w:sz w:val="24"/>
        </w:rPr>
        <w:t xml:space="preserve"> </w:t>
      </w:r>
      <w:r>
        <w:rPr>
          <w:sz w:val="24"/>
        </w:rPr>
        <w:t xml:space="preserve">alcohol </w:t>
      </w:r>
      <w:r>
        <w:rPr>
          <w:spacing w:val="-4"/>
          <w:sz w:val="24"/>
        </w:rPr>
        <w:t>use.</w:t>
      </w:r>
    </w:p>
    <w:p w14:paraId="7A4C2F9E" w14:textId="77777777" w:rsidR="00E13D3F" w:rsidRDefault="00FB2D6A">
      <w:pPr>
        <w:pStyle w:val="BodyText"/>
        <w:spacing w:before="1" w:line="276" w:lineRule="auto"/>
        <w:ind w:right="1463"/>
      </w:pPr>
      <w:r>
        <w:t>The 2018 USPSTF review finds moderate quality evidence for adults and low-quality evidence for adolescents of the effects of counselling interventions (with or without</w:t>
      </w:r>
      <w:r>
        <w:rPr>
          <w:spacing w:val="40"/>
        </w:rPr>
        <w:t xml:space="preserve"> </w:t>
      </w:r>
      <w:r>
        <w:t>referral) to reduce unhealthy alcohol use in people detected on screening to be engaged in unhealthy alcohol use (4). Most counselling interventions comprised 1-2 sessions and provided at least general feedback such as how the participants drinking fit with recommended</w:t>
      </w:r>
      <w:r>
        <w:rPr>
          <w:spacing w:val="-4"/>
        </w:rPr>
        <w:t xml:space="preserve"> </w:t>
      </w:r>
      <w:r>
        <w:t>limits,</w:t>
      </w:r>
      <w:r>
        <w:rPr>
          <w:spacing w:val="-3"/>
        </w:rPr>
        <w:t xml:space="preserve"> </w:t>
      </w:r>
      <w:r>
        <w:t>and</w:t>
      </w:r>
      <w:r>
        <w:rPr>
          <w:spacing w:val="-2"/>
        </w:rPr>
        <w:t xml:space="preserve"> </w:t>
      </w:r>
      <w:r>
        <w:t>how</w:t>
      </w:r>
      <w:r>
        <w:rPr>
          <w:spacing w:val="-3"/>
        </w:rPr>
        <w:t xml:space="preserve"> </w:t>
      </w:r>
      <w:r>
        <w:t>to</w:t>
      </w:r>
      <w:r>
        <w:rPr>
          <w:spacing w:val="-5"/>
        </w:rPr>
        <w:t xml:space="preserve"> </w:t>
      </w:r>
      <w:r>
        <w:t>reduce</w:t>
      </w:r>
      <w:r>
        <w:rPr>
          <w:spacing w:val="-2"/>
        </w:rPr>
        <w:t xml:space="preserve"> </w:t>
      </w:r>
      <w:r>
        <w:t>alcohol</w:t>
      </w:r>
      <w:r>
        <w:rPr>
          <w:spacing w:val="-7"/>
        </w:rPr>
        <w:t xml:space="preserve"> </w:t>
      </w:r>
      <w:r>
        <w:t>use.</w:t>
      </w:r>
      <w:r>
        <w:rPr>
          <w:spacing w:val="40"/>
        </w:rPr>
        <w:t xml:space="preserve"> </w:t>
      </w:r>
      <w:r>
        <w:t>Trial</w:t>
      </w:r>
      <w:r>
        <w:rPr>
          <w:spacing w:val="-4"/>
        </w:rPr>
        <w:t xml:space="preserve"> </w:t>
      </w:r>
      <w:r>
        <w:t>participants</w:t>
      </w:r>
      <w:r>
        <w:rPr>
          <w:spacing w:val="-3"/>
        </w:rPr>
        <w:t xml:space="preserve"> </w:t>
      </w:r>
      <w:r>
        <w:t>receiving</w:t>
      </w:r>
      <w:r>
        <w:rPr>
          <w:spacing w:val="-3"/>
        </w:rPr>
        <w:t xml:space="preserve"> </w:t>
      </w:r>
      <w:r>
        <w:t>counselling</w:t>
      </w:r>
    </w:p>
    <w:p w14:paraId="7A4C2F9F" w14:textId="77777777" w:rsidR="00E13D3F" w:rsidRDefault="00E13D3F">
      <w:pPr>
        <w:pStyle w:val="BodyText"/>
        <w:spacing w:line="276" w:lineRule="auto"/>
        <w:sectPr w:rsidR="00E13D3F">
          <w:pgSz w:w="11910" w:h="16840"/>
          <w:pgMar w:top="1400" w:right="0" w:bottom="1200" w:left="0" w:header="0" w:footer="1000" w:gutter="0"/>
          <w:cols w:space="720"/>
        </w:sectPr>
      </w:pPr>
    </w:p>
    <w:p w14:paraId="7A4C2FA0" w14:textId="77777777" w:rsidR="00E13D3F" w:rsidRDefault="00FB2D6A">
      <w:pPr>
        <w:pStyle w:val="BodyText"/>
        <w:spacing w:before="41" w:line="276" w:lineRule="auto"/>
        <w:ind w:right="1465"/>
      </w:pPr>
      <w:r>
        <w:lastRenderedPageBreak/>
        <w:t>interventions reduced their alcohol consumption by 1.6 drinks per week compared to the control group at 6-12 months follow-up but the difference between groups was not statistically</w:t>
      </w:r>
      <w:r>
        <w:rPr>
          <w:spacing w:val="-4"/>
        </w:rPr>
        <w:t xml:space="preserve"> </w:t>
      </w:r>
      <w:r>
        <w:t>significant</w:t>
      </w:r>
      <w:r>
        <w:rPr>
          <w:spacing w:val="-4"/>
        </w:rPr>
        <w:t xml:space="preserve"> </w:t>
      </w:r>
      <w:r>
        <w:t>(WMD</w:t>
      </w:r>
      <w:r>
        <w:rPr>
          <w:spacing w:val="-4"/>
        </w:rPr>
        <w:t xml:space="preserve"> </w:t>
      </w:r>
      <w:r>
        <w:t>between</w:t>
      </w:r>
      <w:r>
        <w:rPr>
          <w:spacing w:val="-2"/>
        </w:rPr>
        <w:t xml:space="preserve"> </w:t>
      </w:r>
      <w:r>
        <w:t>groups</w:t>
      </w:r>
      <w:r>
        <w:rPr>
          <w:spacing w:val="-3"/>
        </w:rPr>
        <w:t xml:space="preserve"> </w:t>
      </w:r>
      <w:r>
        <w:t>in</w:t>
      </w:r>
      <w:r>
        <w:rPr>
          <w:spacing w:val="-4"/>
        </w:rPr>
        <w:t xml:space="preserve"> </w:t>
      </w:r>
      <w:r>
        <w:t>change</w:t>
      </w:r>
      <w:r>
        <w:rPr>
          <w:spacing w:val="-5"/>
        </w:rPr>
        <w:t xml:space="preserve"> </w:t>
      </w:r>
      <w:r>
        <w:t>from</w:t>
      </w:r>
      <w:r>
        <w:rPr>
          <w:spacing w:val="-4"/>
        </w:rPr>
        <w:t xml:space="preserve"> </w:t>
      </w:r>
      <w:r>
        <w:t>baseline -1.59</w:t>
      </w:r>
      <w:r>
        <w:rPr>
          <w:spacing w:val="-3"/>
        </w:rPr>
        <w:t xml:space="preserve"> </w:t>
      </w:r>
      <w:r>
        <w:t>drinks</w:t>
      </w:r>
      <w:r>
        <w:rPr>
          <w:spacing w:val="-4"/>
        </w:rPr>
        <w:t xml:space="preserve"> </w:t>
      </w:r>
      <w:r>
        <w:t>per</w:t>
      </w:r>
      <w:r>
        <w:rPr>
          <w:spacing w:val="-3"/>
        </w:rPr>
        <w:t xml:space="preserve"> </w:t>
      </w:r>
      <w:r>
        <w:t>week 95% CI -2.2 to 1.0; 32 trials). There was a 40% reduction in the odds of exceeding recommended drinking limits at follow-up (OR 0.60 95% CI 0.53 to 0.67 indicating the reduction may be as small as 33% and as large as 47%; 16 trials) among participants receiving counselling and a 33% reduction in the odds of reporting an episode of heavy use (OR 0.67, 95% CI 0.58 to 0.77 indicating the reduction may be as small as 22% and as large</w:t>
      </w:r>
      <w:r>
        <w:rPr>
          <w:spacing w:val="40"/>
        </w:rPr>
        <w:t xml:space="preserve"> </w:t>
      </w:r>
      <w:r>
        <w:t>as 42%; 8 trials).</w:t>
      </w:r>
    </w:p>
    <w:p w14:paraId="7A4C2FA1" w14:textId="77777777" w:rsidR="00E13D3F" w:rsidRDefault="00E13D3F">
      <w:pPr>
        <w:pStyle w:val="BodyText"/>
        <w:spacing w:before="44"/>
        <w:ind w:left="0"/>
      </w:pPr>
    </w:p>
    <w:p w14:paraId="7A4C2FA2" w14:textId="77777777" w:rsidR="00E13D3F" w:rsidRDefault="00FB2D6A">
      <w:pPr>
        <w:pStyle w:val="BodyText"/>
        <w:spacing w:before="1" w:line="276" w:lineRule="auto"/>
        <w:ind w:right="1560"/>
      </w:pPr>
      <w:r>
        <w:t>Maintenance of the effect of counselling interventions varied in the trials with multiple follow-up assessments. In 4 trials, treatment benefits were maintained through 24-48 months, the effect disappeared in 1 trial between 12-48 months and 2 trials found no difference between intervention and treatment groups at 24 and 36 months of follow-up. Among pregnant women receiving counselling interventions, the odds of abstinence were doubled</w:t>
      </w:r>
      <w:r>
        <w:rPr>
          <w:spacing w:val="-3"/>
        </w:rPr>
        <w:t xml:space="preserve"> </w:t>
      </w:r>
      <w:r>
        <w:t>compared</w:t>
      </w:r>
      <w:r>
        <w:rPr>
          <w:spacing w:val="-3"/>
        </w:rPr>
        <w:t xml:space="preserve"> </w:t>
      </w:r>
      <w:r>
        <w:t>to</w:t>
      </w:r>
      <w:r>
        <w:rPr>
          <w:spacing w:val="-4"/>
        </w:rPr>
        <w:t xml:space="preserve"> </w:t>
      </w:r>
      <w:r>
        <w:t>the</w:t>
      </w:r>
      <w:r>
        <w:rPr>
          <w:spacing w:val="-2"/>
        </w:rPr>
        <w:t xml:space="preserve"> </w:t>
      </w:r>
      <w:r>
        <w:t>control</w:t>
      </w:r>
      <w:r>
        <w:rPr>
          <w:spacing w:val="-2"/>
        </w:rPr>
        <w:t xml:space="preserve"> </w:t>
      </w:r>
      <w:r>
        <w:t>group</w:t>
      </w:r>
      <w:r>
        <w:rPr>
          <w:spacing w:val="-2"/>
        </w:rPr>
        <w:t xml:space="preserve"> </w:t>
      </w:r>
      <w:r>
        <w:t>(OR</w:t>
      </w:r>
      <w:r>
        <w:rPr>
          <w:spacing w:val="-3"/>
        </w:rPr>
        <w:t xml:space="preserve"> </w:t>
      </w:r>
      <w:r>
        <w:t>2.3</w:t>
      </w:r>
      <w:r>
        <w:rPr>
          <w:spacing w:val="-4"/>
        </w:rPr>
        <w:t xml:space="preserve"> </w:t>
      </w:r>
      <w:r>
        <w:t>95% CI</w:t>
      </w:r>
      <w:r>
        <w:rPr>
          <w:spacing w:val="-3"/>
        </w:rPr>
        <w:t xml:space="preserve"> </w:t>
      </w:r>
      <w:r>
        <w:t>1.43</w:t>
      </w:r>
      <w:r>
        <w:rPr>
          <w:spacing w:val="-3"/>
        </w:rPr>
        <w:t xml:space="preserve"> </w:t>
      </w:r>
      <w:r>
        <w:t>to</w:t>
      </w:r>
      <w:r>
        <w:rPr>
          <w:spacing w:val="-3"/>
        </w:rPr>
        <w:t xml:space="preserve"> </w:t>
      </w:r>
      <w:r>
        <w:t>3.56</w:t>
      </w:r>
      <w:r>
        <w:rPr>
          <w:spacing w:val="-2"/>
        </w:rPr>
        <w:t xml:space="preserve"> </w:t>
      </w:r>
      <w:r>
        <w:t>indicating</w:t>
      </w:r>
      <w:r>
        <w:rPr>
          <w:spacing w:val="-3"/>
        </w:rPr>
        <w:t xml:space="preserve"> </w:t>
      </w:r>
      <w:r>
        <w:t>a</w:t>
      </w:r>
      <w:r>
        <w:rPr>
          <w:spacing w:val="-4"/>
        </w:rPr>
        <w:t xml:space="preserve"> </w:t>
      </w:r>
      <w:r>
        <w:t>statistically significant increase in odds; 5 trials). (Table 6.1)</w:t>
      </w:r>
    </w:p>
    <w:p w14:paraId="7A4C2FA3" w14:textId="77777777" w:rsidR="00E13D3F" w:rsidRDefault="00FB2D6A">
      <w:pPr>
        <w:pStyle w:val="BodyText"/>
        <w:spacing w:line="278" w:lineRule="auto"/>
        <w:ind w:right="1137"/>
      </w:pPr>
      <w:r>
        <w:t>Intervention</w:t>
      </w:r>
      <w:r>
        <w:rPr>
          <w:spacing w:val="-3"/>
        </w:rPr>
        <w:t xml:space="preserve"> </w:t>
      </w:r>
      <w:r>
        <w:t>counselling</w:t>
      </w:r>
      <w:r>
        <w:rPr>
          <w:spacing w:val="-6"/>
        </w:rPr>
        <w:t xml:space="preserve"> </w:t>
      </w:r>
      <w:r>
        <w:t>resulted</w:t>
      </w:r>
      <w:r>
        <w:rPr>
          <w:spacing w:val="-2"/>
        </w:rPr>
        <w:t xml:space="preserve"> </w:t>
      </w:r>
      <w:r>
        <w:t>in</w:t>
      </w:r>
      <w:r>
        <w:rPr>
          <w:spacing w:val="-3"/>
        </w:rPr>
        <w:t xml:space="preserve"> </w:t>
      </w:r>
      <w:r>
        <w:t>a</w:t>
      </w:r>
      <w:r>
        <w:rPr>
          <w:spacing w:val="-6"/>
        </w:rPr>
        <w:t xml:space="preserve"> </w:t>
      </w:r>
      <w:r>
        <w:t>statistically</w:t>
      </w:r>
      <w:r>
        <w:rPr>
          <w:spacing w:val="-6"/>
        </w:rPr>
        <w:t xml:space="preserve"> </w:t>
      </w:r>
      <w:r>
        <w:t>significant,</w:t>
      </w:r>
      <w:r>
        <w:rPr>
          <w:spacing w:val="-4"/>
        </w:rPr>
        <w:t xml:space="preserve"> </w:t>
      </w:r>
      <w:r>
        <w:t>very small</w:t>
      </w:r>
      <w:r>
        <w:rPr>
          <w:spacing w:val="-3"/>
        </w:rPr>
        <w:t xml:space="preserve"> </w:t>
      </w:r>
      <w:proofErr w:type="spellStart"/>
      <w:r>
        <w:t>standardised</w:t>
      </w:r>
      <w:proofErr w:type="spellEnd"/>
      <w:r>
        <w:rPr>
          <w:spacing w:val="-5"/>
        </w:rPr>
        <w:t xml:space="preserve"> </w:t>
      </w:r>
      <w:r>
        <w:t>mean difference in change between groups in alcohol-related problems or consequences (SMD -</w:t>
      </w:r>
    </w:p>
    <w:p w14:paraId="7A4C2FA4" w14:textId="77777777" w:rsidR="00E13D3F" w:rsidRDefault="00FB2D6A">
      <w:pPr>
        <w:pStyle w:val="BodyText"/>
        <w:spacing w:line="276" w:lineRule="auto"/>
        <w:ind w:right="1450"/>
      </w:pPr>
      <w:r>
        <w:t xml:space="preserve">0.04 95% CI -0.09 to -0.01; 18 trials; </w:t>
      </w:r>
      <w:proofErr w:type="spellStart"/>
      <w:r>
        <w:t>standardised</w:t>
      </w:r>
      <w:proofErr w:type="spellEnd"/>
      <w:r>
        <w:t xml:space="preserve"> mean differences between 0 and 0.2 are generally</w:t>
      </w:r>
      <w:r>
        <w:rPr>
          <w:spacing w:val="-4"/>
        </w:rPr>
        <w:t xml:space="preserve"> </w:t>
      </w:r>
      <w:r>
        <w:t>interpreted</w:t>
      </w:r>
      <w:r>
        <w:rPr>
          <w:spacing w:val="-3"/>
        </w:rPr>
        <w:t xml:space="preserve"> </w:t>
      </w:r>
      <w:r>
        <w:t>as</w:t>
      </w:r>
      <w:r>
        <w:rPr>
          <w:spacing w:val="-6"/>
        </w:rPr>
        <w:t xml:space="preserve"> </w:t>
      </w:r>
      <w:r>
        <w:t>representing</w:t>
      </w:r>
      <w:r>
        <w:rPr>
          <w:spacing w:val="-4"/>
        </w:rPr>
        <w:t xml:space="preserve"> </w:t>
      </w:r>
      <w:r>
        <w:t>a</w:t>
      </w:r>
      <w:r>
        <w:rPr>
          <w:spacing w:val="-6"/>
        </w:rPr>
        <w:t xml:space="preserve"> </w:t>
      </w:r>
      <w:r>
        <w:t>small</w:t>
      </w:r>
      <w:r>
        <w:rPr>
          <w:spacing w:val="-3"/>
        </w:rPr>
        <w:t xml:space="preserve"> </w:t>
      </w:r>
      <w:r>
        <w:t>effect)</w:t>
      </w:r>
      <w:r>
        <w:rPr>
          <w:spacing w:val="-5"/>
        </w:rPr>
        <w:t xml:space="preserve"> </w:t>
      </w:r>
      <w:r>
        <w:t>but</w:t>
      </w:r>
      <w:r>
        <w:rPr>
          <w:spacing w:val="-5"/>
        </w:rPr>
        <w:t xml:space="preserve"> </w:t>
      </w:r>
      <w:r>
        <w:t>no statistically</w:t>
      </w:r>
      <w:r>
        <w:rPr>
          <w:spacing w:val="-4"/>
        </w:rPr>
        <w:t xml:space="preserve"> </w:t>
      </w:r>
      <w:r>
        <w:t>significant</w:t>
      </w:r>
      <w:r>
        <w:rPr>
          <w:spacing w:val="-2"/>
        </w:rPr>
        <w:t xml:space="preserve"> </w:t>
      </w:r>
      <w:r>
        <w:t>difference between</w:t>
      </w:r>
      <w:r>
        <w:rPr>
          <w:spacing w:val="-1"/>
        </w:rPr>
        <w:t xml:space="preserve"> </w:t>
      </w:r>
      <w:r>
        <w:t>counselling</w:t>
      </w:r>
      <w:r>
        <w:rPr>
          <w:spacing w:val="-2"/>
        </w:rPr>
        <w:t xml:space="preserve"> </w:t>
      </w:r>
      <w:r>
        <w:t>and</w:t>
      </w:r>
      <w:r>
        <w:rPr>
          <w:spacing w:val="-3"/>
        </w:rPr>
        <w:t xml:space="preserve"> </w:t>
      </w:r>
      <w:r>
        <w:t>control</w:t>
      </w:r>
      <w:r>
        <w:rPr>
          <w:spacing w:val="-1"/>
        </w:rPr>
        <w:t xml:space="preserve"> </w:t>
      </w:r>
      <w:r>
        <w:t>groups</w:t>
      </w:r>
      <w:r>
        <w:rPr>
          <w:spacing w:val="-4"/>
        </w:rPr>
        <w:t xml:space="preserve"> </w:t>
      </w:r>
      <w:r>
        <w:t>in</w:t>
      </w:r>
      <w:r>
        <w:rPr>
          <w:spacing w:val="-3"/>
        </w:rPr>
        <w:t xml:space="preserve"> </w:t>
      </w:r>
      <w:r>
        <w:t>mortality</w:t>
      </w:r>
      <w:r>
        <w:rPr>
          <w:spacing w:val="-2"/>
        </w:rPr>
        <w:t xml:space="preserve"> </w:t>
      </w:r>
      <w:r>
        <w:t>(OR</w:t>
      </w:r>
      <w:r>
        <w:rPr>
          <w:spacing w:val="-3"/>
        </w:rPr>
        <w:t xml:space="preserve"> </w:t>
      </w:r>
      <w:r>
        <w:t>0.64,</w:t>
      </w:r>
      <w:r>
        <w:rPr>
          <w:spacing w:val="-4"/>
        </w:rPr>
        <w:t xml:space="preserve"> </w:t>
      </w:r>
      <w:r>
        <w:t>95%</w:t>
      </w:r>
      <w:r>
        <w:rPr>
          <w:spacing w:val="-3"/>
        </w:rPr>
        <w:t xml:space="preserve"> </w:t>
      </w:r>
      <w:r>
        <w:t>CI</w:t>
      </w:r>
      <w:r>
        <w:rPr>
          <w:spacing w:val="-2"/>
        </w:rPr>
        <w:t xml:space="preserve"> </w:t>
      </w:r>
      <w:r>
        <w:t>0.34-1.19;</w:t>
      </w:r>
      <w:r>
        <w:rPr>
          <w:spacing w:val="-4"/>
        </w:rPr>
        <w:t xml:space="preserve"> </w:t>
      </w:r>
      <w:r>
        <w:t>8</w:t>
      </w:r>
      <w:r>
        <w:rPr>
          <w:spacing w:val="-3"/>
        </w:rPr>
        <w:t xml:space="preserve"> </w:t>
      </w:r>
      <w:r>
        <w:t>trials).</w:t>
      </w:r>
      <w:r>
        <w:rPr>
          <w:spacing w:val="-3"/>
        </w:rPr>
        <w:t xml:space="preserve"> </w:t>
      </w:r>
      <w:r>
        <w:t>No studies reported increased risk of harms including unexpected paradoxical increases in alcohol use with counselling interventions, though few studies reported this outcome.</w:t>
      </w:r>
    </w:p>
    <w:p w14:paraId="7A4C2FA5" w14:textId="77777777" w:rsidR="00E13D3F" w:rsidRDefault="00FB2D6A">
      <w:pPr>
        <w:spacing w:before="251"/>
        <w:ind w:left="1440"/>
      </w:pPr>
      <w:r>
        <w:rPr>
          <w:b/>
        </w:rPr>
        <w:t>Table</w:t>
      </w:r>
      <w:r>
        <w:rPr>
          <w:b/>
          <w:spacing w:val="-6"/>
        </w:rPr>
        <w:t xml:space="preserve"> </w:t>
      </w:r>
      <w:r>
        <w:rPr>
          <w:b/>
        </w:rPr>
        <w:t>6.1.</w:t>
      </w:r>
      <w:r>
        <w:rPr>
          <w:b/>
          <w:spacing w:val="-2"/>
        </w:rPr>
        <w:t xml:space="preserve"> </w:t>
      </w:r>
      <w:r>
        <w:t>Summary</w:t>
      </w:r>
      <w:r>
        <w:rPr>
          <w:spacing w:val="-5"/>
        </w:rPr>
        <w:t xml:space="preserve"> </w:t>
      </w:r>
      <w:r>
        <w:t>of</w:t>
      </w:r>
      <w:r>
        <w:rPr>
          <w:spacing w:val="-5"/>
        </w:rPr>
        <w:t xml:space="preserve"> </w:t>
      </w:r>
      <w:r>
        <w:t>the</w:t>
      </w:r>
      <w:r>
        <w:rPr>
          <w:spacing w:val="-5"/>
        </w:rPr>
        <w:t xml:space="preserve"> </w:t>
      </w:r>
      <w:r>
        <w:t>evidence</w:t>
      </w:r>
      <w:r>
        <w:rPr>
          <w:spacing w:val="-5"/>
        </w:rPr>
        <w:t xml:space="preserve"> </w:t>
      </w:r>
      <w:r>
        <w:t>on</w:t>
      </w:r>
      <w:r>
        <w:rPr>
          <w:spacing w:val="-4"/>
        </w:rPr>
        <w:t xml:space="preserve"> </w:t>
      </w:r>
      <w:r>
        <w:t>the</w:t>
      </w:r>
      <w:r>
        <w:rPr>
          <w:spacing w:val="-4"/>
        </w:rPr>
        <w:t xml:space="preserve"> </w:t>
      </w:r>
      <w:r>
        <w:t>effects</w:t>
      </w:r>
      <w:r>
        <w:rPr>
          <w:spacing w:val="-5"/>
        </w:rPr>
        <w:t xml:space="preserve"> </w:t>
      </w:r>
      <w:r>
        <w:t>of</w:t>
      </w:r>
      <w:r>
        <w:rPr>
          <w:spacing w:val="-5"/>
        </w:rPr>
        <w:t xml:space="preserve"> </w:t>
      </w:r>
      <w:r>
        <w:t>counselling</w:t>
      </w:r>
      <w:r>
        <w:rPr>
          <w:spacing w:val="-4"/>
        </w:rPr>
        <w:t xml:space="preserve"> </w:t>
      </w:r>
      <w:r>
        <w:t>interventions</w:t>
      </w:r>
      <w:r>
        <w:rPr>
          <w:spacing w:val="-3"/>
        </w:rPr>
        <w:t xml:space="preserve"> </w:t>
      </w:r>
      <w:r>
        <w:t>in</w:t>
      </w:r>
      <w:r>
        <w:rPr>
          <w:spacing w:val="-4"/>
        </w:rPr>
        <w:t xml:space="preserve"> </w:t>
      </w:r>
      <w:r>
        <w:t>screen-</w:t>
      </w:r>
      <w:r>
        <w:rPr>
          <w:spacing w:val="-2"/>
        </w:rPr>
        <w:t>detected</w:t>
      </w:r>
    </w:p>
    <w:p w14:paraId="7A4C2FA6" w14:textId="77777777" w:rsidR="00E13D3F" w:rsidRDefault="00FB2D6A">
      <w:pPr>
        <w:ind w:left="1440"/>
      </w:pPr>
      <w:r>
        <w:t>adults</w:t>
      </w:r>
      <w:r>
        <w:rPr>
          <w:spacing w:val="-4"/>
        </w:rPr>
        <w:t xml:space="preserve"> </w:t>
      </w:r>
      <w:r>
        <w:t>and</w:t>
      </w:r>
      <w:r>
        <w:rPr>
          <w:spacing w:val="-5"/>
        </w:rPr>
        <w:t xml:space="preserve"> </w:t>
      </w:r>
      <w:r>
        <w:t>adolescents</w:t>
      </w:r>
      <w:r>
        <w:rPr>
          <w:spacing w:val="-6"/>
        </w:rPr>
        <w:t xml:space="preserve"> </w:t>
      </w:r>
      <w:r>
        <w:t>(O’Connor,</w:t>
      </w:r>
      <w:r>
        <w:rPr>
          <w:spacing w:val="-6"/>
        </w:rPr>
        <w:t xml:space="preserve"> </w:t>
      </w:r>
      <w:r>
        <w:t>2018</w:t>
      </w:r>
      <w:r>
        <w:rPr>
          <w:spacing w:val="-3"/>
        </w:rPr>
        <w:t xml:space="preserve"> </w:t>
      </w:r>
      <w:r>
        <w:t>–</w:t>
      </w:r>
      <w:r>
        <w:rPr>
          <w:spacing w:val="-6"/>
        </w:rPr>
        <w:t xml:space="preserve"> </w:t>
      </w:r>
      <w:r>
        <w:t>USPSTF</w:t>
      </w:r>
      <w:r>
        <w:rPr>
          <w:spacing w:val="-7"/>
        </w:rPr>
        <w:t xml:space="preserve"> </w:t>
      </w:r>
      <w:r>
        <w:rPr>
          <w:spacing w:val="-2"/>
        </w:rPr>
        <w:t>report)</w:t>
      </w:r>
    </w:p>
    <w:tbl>
      <w:tblPr>
        <w:tblW w:w="0" w:type="auto"/>
        <w:tblInd w:w="145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3159"/>
        <w:gridCol w:w="1111"/>
        <w:gridCol w:w="1389"/>
        <w:gridCol w:w="1482"/>
        <w:gridCol w:w="1877"/>
      </w:tblGrid>
      <w:tr w:rsidR="00E13D3F" w14:paraId="7A4C2FAF" w14:textId="77777777">
        <w:trPr>
          <w:trHeight w:val="486"/>
        </w:trPr>
        <w:tc>
          <w:tcPr>
            <w:tcW w:w="3159" w:type="dxa"/>
          </w:tcPr>
          <w:p w14:paraId="7A4C2FA7" w14:textId="77777777" w:rsidR="00E13D3F" w:rsidRDefault="00FB2D6A">
            <w:pPr>
              <w:pStyle w:val="TableParagraph"/>
              <w:spacing w:before="1"/>
              <w:ind w:left="107"/>
              <w:rPr>
                <w:b/>
                <w:sz w:val="20"/>
              </w:rPr>
            </w:pPr>
            <w:r>
              <w:rPr>
                <w:b/>
                <w:spacing w:val="-2"/>
                <w:sz w:val="20"/>
              </w:rPr>
              <w:t>Outcome</w:t>
            </w:r>
          </w:p>
        </w:tc>
        <w:tc>
          <w:tcPr>
            <w:tcW w:w="1111" w:type="dxa"/>
          </w:tcPr>
          <w:p w14:paraId="7A4C2FA8" w14:textId="77777777" w:rsidR="00E13D3F" w:rsidRDefault="00FB2D6A">
            <w:pPr>
              <w:pStyle w:val="TableParagraph"/>
              <w:spacing w:before="1" w:line="243" w:lineRule="exact"/>
              <w:ind w:left="213"/>
              <w:rPr>
                <w:b/>
                <w:sz w:val="20"/>
              </w:rPr>
            </w:pPr>
            <w:r>
              <w:rPr>
                <w:b/>
                <w:spacing w:val="-2"/>
                <w:sz w:val="20"/>
              </w:rPr>
              <w:t>Number</w:t>
            </w:r>
          </w:p>
          <w:p w14:paraId="7A4C2FA9" w14:textId="77777777" w:rsidR="00E13D3F" w:rsidRDefault="00FB2D6A">
            <w:pPr>
              <w:pStyle w:val="TableParagraph"/>
              <w:spacing w:line="222" w:lineRule="exact"/>
              <w:ind w:left="237"/>
              <w:rPr>
                <w:b/>
                <w:sz w:val="20"/>
              </w:rPr>
            </w:pPr>
            <w:r>
              <w:rPr>
                <w:b/>
                <w:sz w:val="20"/>
              </w:rPr>
              <w:t>of</w:t>
            </w:r>
            <w:r>
              <w:rPr>
                <w:b/>
                <w:spacing w:val="-3"/>
                <w:sz w:val="20"/>
              </w:rPr>
              <w:t xml:space="preserve"> </w:t>
            </w:r>
            <w:r>
              <w:rPr>
                <w:b/>
                <w:spacing w:val="-2"/>
                <w:sz w:val="20"/>
              </w:rPr>
              <w:t>trials</w:t>
            </w:r>
          </w:p>
        </w:tc>
        <w:tc>
          <w:tcPr>
            <w:tcW w:w="1389" w:type="dxa"/>
          </w:tcPr>
          <w:p w14:paraId="7A4C2FAA" w14:textId="77777777" w:rsidR="00E13D3F" w:rsidRDefault="00FB2D6A">
            <w:pPr>
              <w:pStyle w:val="TableParagraph"/>
              <w:spacing w:before="1"/>
              <w:ind w:left="6" w:right="41"/>
              <w:jc w:val="center"/>
              <w:rPr>
                <w:b/>
                <w:sz w:val="20"/>
              </w:rPr>
            </w:pPr>
            <w:r>
              <w:rPr>
                <w:b/>
                <w:spacing w:val="-2"/>
                <w:sz w:val="20"/>
              </w:rPr>
              <w:t>Participants</w:t>
            </w:r>
          </w:p>
        </w:tc>
        <w:tc>
          <w:tcPr>
            <w:tcW w:w="1482" w:type="dxa"/>
          </w:tcPr>
          <w:p w14:paraId="7A4C2FAB" w14:textId="77777777" w:rsidR="00E13D3F" w:rsidRDefault="00FB2D6A">
            <w:pPr>
              <w:pStyle w:val="TableParagraph"/>
              <w:spacing w:before="1" w:line="243" w:lineRule="exact"/>
              <w:ind w:left="108"/>
              <w:rPr>
                <w:b/>
                <w:sz w:val="20"/>
              </w:rPr>
            </w:pPr>
            <w:r>
              <w:rPr>
                <w:b/>
                <w:sz w:val="20"/>
              </w:rPr>
              <w:t>Strength</w:t>
            </w:r>
            <w:r>
              <w:rPr>
                <w:b/>
                <w:spacing w:val="-9"/>
                <w:sz w:val="20"/>
              </w:rPr>
              <w:t xml:space="preserve"> </w:t>
            </w:r>
            <w:r>
              <w:rPr>
                <w:b/>
                <w:spacing w:val="-5"/>
                <w:sz w:val="20"/>
              </w:rPr>
              <w:t>of</w:t>
            </w:r>
          </w:p>
          <w:p w14:paraId="7A4C2FAC" w14:textId="77777777" w:rsidR="00E13D3F" w:rsidRDefault="00FB2D6A">
            <w:pPr>
              <w:pStyle w:val="TableParagraph"/>
              <w:spacing w:line="222" w:lineRule="exact"/>
              <w:ind w:left="108"/>
              <w:rPr>
                <w:b/>
                <w:sz w:val="20"/>
              </w:rPr>
            </w:pPr>
            <w:r>
              <w:rPr>
                <w:b/>
                <w:spacing w:val="-2"/>
                <w:sz w:val="20"/>
              </w:rPr>
              <w:t>evidence</w:t>
            </w:r>
          </w:p>
        </w:tc>
        <w:tc>
          <w:tcPr>
            <w:tcW w:w="1877" w:type="dxa"/>
          </w:tcPr>
          <w:p w14:paraId="7A4C2FAD" w14:textId="77777777" w:rsidR="00E13D3F" w:rsidRDefault="00FB2D6A">
            <w:pPr>
              <w:pStyle w:val="TableParagraph"/>
              <w:spacing w:before="1" w:line="243" w:lineRule="exact"/>
              <w:ind w:left="593"/>
              <w:rPr>
                <w:b/>
                <w:sz w:val="20"/>
              </w:rPr>
            </w:pPr>
            <w:r>
              <w:rPr>
                <w:b/>
                <w:spacing w:val="-2"/>
                <w:sz w:val="20"/>
              </w:rPr>
              <w:t>Results</w:t>
            </w:r>
          </w:p>
          <w:p w14:paraId="7A4C2FAE" w14:textId="77777777" w:rsidR="00E13D3F" w:rsidRDefault="00FB2D6A">
            <w:pPr>
              <w:pStyle w:val="TableParagraph"/>
              <w:spacing w:line="222" w:lineRule="exact"/>
              <w:ind w:left="576"/>
              <w:rPr>
                <w:b/>
                <w:sz w:val="20"/>
              </w:rPr>
            </w:pPr>
            <w:r>
              <w:rPr>
                <w:b/>
                <w:sz w:val="20"/>
              </w:rPr>
              <w:t>(95%</w:t>
            </w:r>
            <w:r>
              <w:rPr>
                <w:b/>
                <w:spacing w:val="-5"/>
                <w:sz w:val="20"/>
              </w:rPr>
              <w:t xml:space="preserve"> CI)</w:t>
            </w:r>
          </w:p>
        </w:tc>
      </w:tr>
      <w:tr w:rsidR="00E13D3F" w14:paraId="7A4C2FB5" w14:textId="77777777">
        <w:trPr>
          <w:trHeight w:val="264"/>
        </w:trPr>
        <w:tc>
          <w:tcPr>
            <w:tcW w:w="3159" w:type="dxa"/>
            <w:tcBorders>
              <w:bottom w:val="nil"/>
            </w:tcBorders>
            <w:shd w:val="clear" w:color="auto" w:fill="F1F1F1"/>
          </w:tcPr>
          <w:p w14:paraId="7A4C2FB0" w14:textId="77777777" w:rsidR="00E13D3F" w:rsidRDefault="00FB2D6A">
            <w:pPr>
              <w:pStyle w:val="TableParagraph"/>
              <w:spacing w:before="1" w:line="243" w:lineRule="exact"/>
              <w:ind w:left="107"/>
              <w:rPr>
                <w:b/>
                <w:sz w:val="20"/>
              </w:rPr>
            </w:pPr>
            <w:r>
              <w:rPr>
                <w:b/>
                <w:sz w:val="20"/>
              </w:rPr>
              <w:t>Alcohol</w:t>
            </w:r>
            <w:r>
              <w:rPr>
                <w:b/>
                <w:spacing w:val="-8"/>
                <w:sz w:val="20"/>
              </w:rPr>
              <w:t xml:space="preserve"> </w:t>
            </w:r>
            <w:r>
              <w:rPr>
                <w:b/>
                <w:sz w:val="20"/>
              </w:rPr>
              <w:t>use</w:t>
            </w:r>
            <w:r>
              <w:rPr>
                <w:b/>
                <w:spacing w:val="-6"/>
                <w:sz w:val="20"/>
              </w:rPr>
              <w:t xml:space="preserve"> </w:t>
            </w:r>
            <w:r>
              <w:rPr>
                <w:b/>
                <w:spacing w:val="-2"/>
                <w:sz w:val="20"/>
              </w:rPr>
              <w:t>(drinks/week)</w:t>
            </w:r>
          </w:p>
        </w:tc>
        <w:tc>
          <w:tcPr>
            <w:tcW w:w="1111" w:type="dxa"/>
            <w:tcBorders>
              <w:bottom w:val="nil"/>
            </w:tcBorders>
            <w:shd w:val="clear" w:color="auto" w:fill="F1F1F1"/>
          </w:tcPr>
          <w:p w14:paraId="7A4C2FB1" w14:textId="77777777" w:rsidR="00E13D3F" w:rsidRDefault="00FB2D6A">
            <w:pPr>
              <w:pStyle w:val="TableParagraph"/>
              <w:spacing w:before="1" w:line="243" w:lineRule="exact"/>
              <w:ind w:left="7" w:right="88"/>
              <w:jc w:val="center"/>
              <w:rPr>
                <w:sz w:val="20"/>
              </w:rPr>
            </w:pPr>
            <w:r>
              <w:rPr>
                <w:spacing w:val="-5"/>
                <w:sz w:val="20"/>
              </w:rPr>
              <w:t>32</w:t>
            </w:r>
          </w:p>
        </w:tc>
        <w:tc>
          <w:tcPr>
            <w:tcW w:w="1389" w:type="dxa"/>
            <w:tcBorders>
              <w:bottom w:val="nil"/>
            </w:tcBorders>
            <w:shd w:val="clear" w:color="auto" w:fill="F1F1F1"/>
          </w:tcPr>
          <w:p w14:paraId="7A4C2FB2" w14:textId="77777777" w:rsidR="00E13D3F" w:rsidRDefault="00FB2D6A">
            <w:pPr>
              <w:pStyle w:val="TableParagraph"/>
              <w:spacing w:before="1" w:line="243" w:lineRule="exact"/>
              <w:ind w:left="6" w:right="43"/>
              <w:jc w:val="center"/>
              <w:rPr>
                <w:sz w:val="20"/>
              </w:rPr>
            </w:pPr>
            <w:r>
              <w:rPr>
                <w:spacing w:val="-2"/>
                <w:sz w:val="20"/>
              </w:rPr>
              <w:t>n=15,974</w:t>
            </w:r>
          </w:p>
        </w:tc>
        <w:tc>
          <w:tcPr>
            <w:tcW w:w="1482" w:type="dxa"/>
            <w:tcBorders>
              <w:bottom w:val="nil"/>
            </w:tcBorders>
            <w:shd w:val="clear" w:color="auto" w:fill="F1F1F1"/>
          </w:tcPr>
          <w:p w14:paraId="7A4C2FB3" w14:textId="77777777" w:rsidR="00E13D3F" w:rsidRDefault="00FB2D6A">
            <w:pPr>
              <w:pStyle w:val="TableParagraph"/>
              <w:spacing w:before="1" w:line="243" w:lineRule="exact"/>
              <w:ind w:left="108"/>
              <w:rPr>
                <w:sz w:val="20"/>
              </w:rPr>
            </w:pPr>
            <w:r>
              <w:rPr>
                <w:spacing w:val="-5"/>
                <w:sz w:val="20"/>
              </w:rPr>
              <w:t>Low</w:t>
            </w:r>
          </w:p>
        </w:tc>
        <w:tc>
          <w:tcPr>
            <w:tcW w:w="1877" w:type="dxa"/>
            <w:tcBorders>
              <w:bottom w:val="nil"/>
            </w:tcBorders>
            <w:shd w:val="clear" w:color="auto" w:fill="F1F1F1"/>
          </w:tcPr>
          <w:p w14:paraId="7A4C2FB4" w14:textId="77777777" w:rsidR="00E13D3F" w:rsidRDefault="00FB2D6A">
            <w:pPr>
              <w:pStyle w:val="TableParagraph"/>
              <w:spacing w:before="1" w:line="243" w:lineRule="exact"/>
              <w:ind w:right="83"/>
              <w:jc w:val="center"/>
              <w:rPr>
                <w:sz w:val="20"/>
              </w:rPr>
            </w:pPr>
            <w:r>
              <w:rPr>
                <w:sz w:val="20"/>
              </w:rPr>
              <w:t>WMD</w:t>
            </w:r>
            <w:r>
              <w:rPr>
                <w:spacing w:val="-7"/>
                <w:sz w:val="20"/>
              </w:rPr>
              <w:t xml:space="preserve"> </w:t>
            </w:r>
            <w:r>
              <w:rPr>
                <w:spacing w:val="-4"/>
                <w:sz w:val="20"/>
              </w:rPr>
              <w:t>1.59</w:t>
            </w:r>
          </w:p>
        </w:tc>
      </w:tr>
      <w:tr w:rsidR="00E13D3F" w14:paraId="7A4C2FBB" w14:textId="77777777">
        <w:trPr>
          <w:trHeight w:val="224"/>
        </w:trPr>
        <w:tc>
          <w:tcPr>
            <w:tcW w:w="3159" w:type="dxa"/>
            <w:tcBorders>
              <w:top w:val="nil"/>
            </w:tcBorders>
            <w:shd w:val="clear" w:color="auto" w:fill="F1F1F1"/>
          </w:tcPr>
          <w:p w14:paraId="7A4C2FB6" w14:textId="77777777" w:rsidR="00E13D3F" w:rsidRDefault="00E13D3F">
            <w:pPr>
              <w:pStyle w:val="TableParagraph"/>
              <w:rPr>
                <w:rFonts w:ascii="Times New Roman"/>
                <w:sz w:val="16"/>
              </w:rPr>
            </w:pPr>
          </w:p>
        </w:tc>
        <w:tc>
          <w:tcPr>
            <w:tcW w:w="1111" w:type="dxa"/>
            <w:tcBorders>
              <w:top w:val="nil"/>
            </w:tcBorders>
            <w:shd w:val="clear" w:color="auto" w:fill="F1F1F1"/>
          </w:tcPr>
          <w:p w14:paraId="7A4C2FB7" w14:textId="77777777" w:rsidR="00E13D3F" w:rsidRDefault="00E13D3F">
            <w:pPr>
              <w:pStyle w:val="TableParagraph"/>
              <w:rPr>
                <w:rFonts w:ascii="Times New Roman"/>
                <w:sz w:val="16"/>
              </w:rPr>
            </w:pPr>
          </w:p>
        </w:tc>
        <w:tc>
          <w:tcPr>
            <w:tcW w:w="1389" w:type="dxa"/>
            <w:tcBorders>
              <w:top w:val="nil"/>
            </w:tcBorders>
            <w:shd w:val="clear" w:color="auto" w:fill="F1F1F1"/>
          </w:tcPr>
          <w:p w14:paraId="7A4C2FB8" w14:textId="77777777" w:rsidR="00E13D3F" w:rsidRDefault="00E13D3F">
            <w:pPr>
              <w:pStyle w:val="TableParagraph"/>
              <w:rPr>
                <w:rFonts w:ascii="Times New Roman"/>
                <w:sz w:val="16"/>
              </w:rPr>
            </w:pPr>
          </w:p>
        </w:tc>
        <w:tc>
          <w:tcPr>
            <w:tcW w:w="1482" w:type="dxa"/>
            <w:tcBorders>
              <w:top w:val="nil"/>
              <w:bottom w:val="nil"/>
            </w:tcBorders>
            <w:shd w:val="clear" w:color="auto" w:fill="F1F1F1"/>
          </w:tcPr>
          <w:p w14:paraId="7A4C2FB9" w14:textId="77777777" w:rsidR="00E13D3F" w:rsidRDefault="00FB2D6A">
            <w:pPr>
              <w:pStyle w:val="TableParagraph"/>
              <w:spacing w:line="205" w:lineRule="exact"/>
              <w:ind w:left="108"/>
              <w:rPr>
                <w:sz w:val="20"/>
              </w:rPr>
            </w:pPr>
            <w:r>
              <w:rPr>
                <w:spacing w:val="-2"/>
                <w:sz w:val="20"/>
              </w:rPr>
              <w:t>(adolescents)</w:t>
            </w:r>
          </w:p>
        </w:tc>
        <w:tc>
          <w:tcPr>
            <w:tcW w:w="1877" w:type="dxa"/>
            <w:tcBorders>
              <w:top w:val="nil"/>
            </w:tcBorders>
            <w:shd w:val="clear" w:color="auto" w:fill="F1F1F1"/>
          </w:tcPr>
          <w:p w14:paraId="7A4C2FBA" w14:textId="77777777" w:rsidR="00E13D3F" w:rsidRDefault="00FB2D6A">
            <w:pPr>
              <w:pStyle w:val="TableParagraph"/>
              <w:spacing w:line="205" w:lineRule="exact"/>
              <w:ind w:left="48" w:right="83"/>
              <w:jc w:val="center"/>
              <w:rPr>
                <w:sz w:val="20"/>
              </w:rPr>
            </w:pPr>
            <w:r>
              <w:rPr>
                <w:sz w:val="20"/>
              </w:rPr>
              <w:t>(-2.15</w:t>
            </w:r>
            <w:r>
              <w:rPr>
                <w:spacing w:val="-5"/>
                <w:sz w:val="20"/>
              </w:rPr>
              <w:t xml:space="preserve"> </w:t>
            </w:r>
            <w:r>
              <w:rPr>
                <w:sz w:val="20"/>
              </w:rPr>
              <w:t>to</w:t>
            </w:r>
            <w:r>
              <w:rPr>
                <w:spacing w:val="-4"/>
                <w:sz w:val="20"/>
              </w:rPr>
              <w:t xml:space="preserve"> </w:t>
            </w:r>
            <w:r>
              <w:rPr>
                <w:sz w:val="20"/>
              </w:rPr>
              <w:t>-</w:t>
            </w:r>
            <w:r>
              <w:rPr>
                <w:spacing w:val="-2"/>
                <w:sz w:val="20"/>
              </w:rPr>
              <w:t>1.03)</w:t>
            </w:r>
          </w:p>
        </w:tc>
      </w:tr>
      <w:tr w:rsidR="00E13D3F" w14:paraId="7A4C2FC1" w14:textId="77777777">
        <w:trPr>
          <w:trHeight w:val="258"/>
        </w:trPr>
        <w:tc>
          <w:tcPr>
            <w:tcW w:w="3159" w:type="dxa"/>
            <w:tcBorders>
              <w:bottom w:val="nil"/>
            </w:tcBorders>
          </w:tcPr>
          <w:p w14:paraId="7A4C2FBC" w14:textId="77777777" w:rsidR="00E13D3F" w:rsidRDefault="00FB2D6A">
            <w:pPr>
              <w:pStyle w:val="TableParagraph"/>
              <w:spacing w:before="1" w:line="237" w:lineRule="exact"/>
              <w:ind w:left="107"/>
              <w:rPr>
                <w:b/>
                <w:sz w:val="20"/>
              </w:rPr>
            </w:pPr>
            <w:r>
              <w:rPr>
                <w:b/>
                <w:spacing w:val="-2"/>
                <w:sz w:val="20"/>
              </w:rPr>
              <w:t>Exceeding</w:t>
            </w:r>
            <w:r>
              <w:rPr>
                <w:b/>
                <w:spacing w:val="6"/>
                <w:sz w:val="20"/>
              </w:rPr>
              <w:t xml:space="preserve"> </w:t>
            </w:r>
            <w:r>
              <w:rPr>
                <w:b/>
                <w:spacing w:val="-2"/>
                <w:sz w:val="20"/>
              </w:rPr>
              <w:t>recommended</w:t>
            </w:r>
            <w:r>
              <w:rPr>
                <w:b/>
                <w:spacing w:val="6"/>
                <w:sz w:val="20"/>
              </w:rPr>
              <w:t xml:space="preserve"> </w:t>
            </w:r>
            <w:r>
              <w:rPr>
                <w:b/>
                <w:spacing w:val="-2"/>
                <w:sz w:val="20"/>
              </w:rPr>
              <w:t>drinking</w:t>
            </w:r>
          </w:p>
        </w:tc>
        <w:tc>
          <w:tcPr>
            <w:tcW w:w="1111" w:type="dxa"/>
            <w:tcBorders>
              <w:bottom w:val="nil"/>
            </w:tcBorders>
          </w:tcPr>
          <w:p w14:paraId="7A4C2FBD" w14:textId="77777777" w:rsidR="00E13D3F" w:rsidRDefault="00FB2D6A">
            <w:pPr>
              <w:pStyle w:val="TableParagraph"/>
              <w:spacing w:before="1" w:line="237" w:lineRule="exact"/>
              <w:ind w:left="48" w:right="81"/>
              <w:jc w:val="center"/>
              <w:rPr>
                <w:sz w:val="20"/>
              </w:rPr>
            </w:pPr>
            <w:r>
              <w:rPr>
                <w:spacing w:val="-5"/>
                <w:sz w:val="20"/>
              </w:rPr>
              <w:t>16</w:t>
            </w:r>
          </w:p>
        </w:tc>
        <w:tc>
          <w:tcPr>
            <w:tcW w:w="1389" w:type="dxa"/>
            <w:tcBorders>
              <w:bottom w:val="nil"/>
            </w:tcBorders>
          </w:tcPr>
          <w:p w14:paraId="7A4C2FBE" w14:textId="77777777" w:rsidR="00E13D3F" w:rsidRDefault="00FB2D6A">
            <w:pPr>
              <w:pStyle w:val="TableParagraph"/>
              <w:spacing w:before="1" w:line="237" w:lineRule="exact"/>
              <w:ind w:left="6" w:right="41"/>
              <w:jc w:val="center"/>
              <w:rPr>
                <w:sz w:val="20"/>
              </w:rPr>
            </w:pPr>
            <w:r>
              <w:rPr>
                <w:spacing w:val="-2"/>
                <w:sz w:val="20"/>
              </w:rPr>
              <w:t>n=9760</w:t>
            </w:r>
          </w:p>
        </w:tc>
        <w:tc>
          <w:tcPr>
            <w:tcW w:w="1482" w:type="dxa"/>
            <w:tcBorders>
              <w:top w:val="nil"/>
              <w:bottom w:val="nil"/>
            </w:tcBorders>
            <w:shd w:val="clear" w:color="auto" w:fill="F1F1F1"/>
          </w:tcPr>
          <w:p w14:paraId="7A4C2FBF" w14:textId="77777777" w:rsidR="00E13D3F" w:rsidRDefault="00E13D3F">
            <w:pPr>
              <w:pStyle w:val="TableParagraph"/>
              <w:rPr>
                <w:rFonts w:ascii="Times New Roman"/>
                <w:sz w:val="18"/>
              </w:rPr>
            </w:pPr>
          </w:p>
        </w:tc>
        <w:tc>
          <w:tcPr>
            <w:tcW w:w="1877" w:type="dxa"/>
            <w:tcBorders>
              <w:bottom w:val="nil"/>
            </w:tcBorders>
          </w:tcPr>
          <w:p w14:paraId="7A4C2FC0" w14:textId="77777777" w:rsidR="00E13D3F" w:rsidRDefault="00FB2D6A">
            <w:pPr>
              <w:pStyle w:val="TableParagraph"/>
              <w:spacing w:before="1" w:line="237" w:lineRule="exact"/>
              <w:ind w:right="83"/>
              <w:jc w:val="center"/>
              <w:rPr>
                <w:sz w:val="20"/>
              </w:rPr>
            </w:pPr>
            <w:r>
              <w:rPr>
                <w:sz w:val="20"/>
              </w:rPr>
              <w:t>OR</w:t>
            </w:r>
            <w:r>
              <w:rPr>
                <w:spacing w:val="-4"/>
                <w:sz w:val="20"/>
              </w:rPr>
              <w:t xml:space="preserve"> 0.60</w:t>
            </w:r>
          </w:p>
        </w:tc>
      </w:tr>
      <w:tr w:rsidR="00E13D3F" w14:paraId="7A4C2FC7" w14:textId="77777777">
        <w:trPr>
          <w:trHeight w:val="230"/>
        </w:trPr>
        <w:tc>
          <w:tcPr>
            <w:tcW w:w="3159" w:type="dxa"/>
            <w:tcBorders>
              <w:top w:val="nil"/>
            </w:tcBorders>
          </w:tcPr>
          <w:p w14:paraId="7A4C2FC2" w14:textId="77777777" w:rsidR="00E13D3F" w:rsidRDefault="00FB2D6A">
            <w:pPr>
              <w:pStyle w:val="TableParagraph"/>
              <w:spacing w:line="211" w:lineRule="exact"/>
              <w:ind w:left="107"/>
              <w:rPr>
                <w:b/>
                <w:sz w:val="20"/>
              </w:rPr>
            </w:pPr>
            <w:r>
              <w:rPr>
                <w:b/>
                <w:spacing w:val="-2"/>
                <w:sz w:val="20"/>
              </w:rPr>
              <w:t>limits</w:t>
            </w:r>
          </w:p>
        </w:tc>
        <w:tc>
          <w:tcPr>
            <w:tcW w:w="1111" w:type="dxa"/>
            <w:tcBorders>
              <w:top w:val="nil"/>
            </w:tcBorders>
          </w:tcPr>
          <w:p w14:paraId="7A4C2FC3" w14:textId="77777777" w:rsidR="00E13D3F" w:rsidRDefault="00E13D3F">
            <w:pPr>
              <w:pStyle w:val="TableParagraph"/>
              <w:rPr>
                <w:rFonts w:ascii="Times New Roman"/>
                <w:sz w:val="16"/>
              </w:rPr>
            </w:pPr>
          </w:p>
        </w:tc>
        <w:tc>
          <w:tcPr>
            <w:tcW w:w="1389" w:type="dxa"/>
            <w:tcBorders>
              <w:top w:val="nil"/>
            </w:tcBorders>
          </w:tcPr>
          <w:p w14:paraId="7A4C2FC4" w14:textId="77777777" w:rsidR="00E13D3F" w:rsidRDefault="00E13D3F">
            <w:pPr>
              <w:pStyle w:val="TableParagraph"/>
              <w:rPr>
                <w:rFonts w:ascii="Times New Roman"/>
                <w:sz w:val="16"/>
              </w:rPr>
            </w:pPr>
          </w:p>
        </w:tc>
        <w:tc>
          <w:tcPr>
            <w:tcW w:w="1482" w:type="dxa"/>
            <w:tcBorders>
              <w:top w:val="nil"/>
              <w:bottom w:val="nil"/>
            </w:tcBorders>
            <w:shd w:val="clear" w:color="auto" w:fill="F1F1F1"/>
          </w:tcPr>
          <w:p w14:paraId="7A4C2FC5" w14:textId="77777777" w:rsidR="00E13D3F" w:rsidRDefault="00FB2D6A">
            <w:pPr>
              <w:pStyle w:val="TableParagraph"/>
              <w:spacing w:line="211" w:lineRule="exact"/>
              <w:ind w:left="108"/>
              <w:rPr>
                <w:sz w:val="20"/>
              </w:rPr>
            </w:pPr>
            <w:r>
              <w:rPr>
                <w:spacing w:val="-2"/>
                <w:sz w:val="20"/>
              </w:rPr>
              <w:t>Moderate</w:t>
            </w:r>
          </w:p>
        </w:tc>
        <w:tc>
          <w:tcPr>
            <w:tcW w:w="1877" w:type="dxa"/>
            <w:tcBorders>
              <w:top w:val="nil"/>
            </w:tcBorders>
          </w:tcPr>
          <w:p w14:paraId="7A4C2FC6" w14:textId="77777777" w:rsidR="00E13D3F" w:rsidRDefault="00FB2D6A">
            <w:pPr>
              <w:pStyle w:val="TableParagraph"/>
              <w:spacing w:line="211" w:lineRule="exact"/>
              <w:ind w:left="50" w:right="83"/>
              <w:jc w:val="center"/>
              <w:rPr>
                <w:sz w:val="20"/>
              </w:rPr>
            </w:pPr>
            <w:r>
              <w:rPr>
                <w:sz w:val="20"/>
              </w:rPr>
              <w:t>(0.53</w:t>
            </w:r>
            <w:r>
              <w:rPr>
                <w:spacing w:val="-4"/>
                <w:sz w:val="20"/>
              </w:rPr>
              <w:t xml:space="preserve"> </w:t>
            </w:r>
            <w:r>
              <w:rPr>
                <w:sz w:val="20"/>
              </w:rPr>
              <w:t>to</w:t>
            </w:r>
            <w:r>
              <w:rPr>
                <w:spacing w:val="-3"/>
                <w:sz w:val="20"/>
              </w:rPr>
              <w:t xml:space="preserve"> </w:t>
            </w:r>
            <w:r>
              <w:rPr>
                <w:spacing w:val="-2"/>
                <w:sz w:val="20"/>
              </w:rPr>
              <w:t>0.67)</w:t>
            </w:r>
          </w:p>
        </w:tc>
      </w:tr>
      <w:tr w:rsidR="00E13D3F" w14:paraId="7A4C2FCD" w14:textId="77777777">
        <w:trPr>
          <w:trHeight w:val="261"/>
        </w:trPr>
        <w:tc>
          <w:tcPr>
            <w:tcW w:w="3159" w:type="dxa"/>
            <w:tcBorders>
              <w:bottom w:val="nil"/>
            </w:tcBorders>
            <w:shd w:val="clear" w:color="auto" w:fill="F1F1F1"/>
          </w:tcPr>
          <w:p w14:paraId="7A4C2FC8" w14:textId="77777777" w:rsidR="00E13D3F" w:rsidRDefault="00FB2D6A">
            <w:pPr>
              <w:pStyle w:val="TableParagraph"/>
              <w:spacing w:line="242" w:lineRule="exact"/>
              <w:ind w:left="107"/>
              <w:rPr>
                <w:b/>
                <w:sz w:val="20"/>
              </w:rPr>
            </w:pPr>
            <w:r>
              <w:rPr>
                <w:b/>
                <w:sz w:val="20"/>
              </w:rPr>
              <w:t>Heavy</w:t>
            </w:r>
            <w:r>
              <w:rPr>
                <w:b/>
                <w:spacing w:val="-6"/>
                <w:sz w:val="20"/>
              </w:rPr>
              <w:t xml:space="preserve"> </w:t>
            </w:r>
            <w:r>
              <w:rPr>
                <w:b/>
                <w:sz w:val="20"/>
              </w:rPr>
              <w:t>use</w:t>
            </w:r>
            <w:r>
              <w:rPr>
                <w:b/>
                <w:spacing w:val="-5"/>
                <w:sz w:val="20"/>
              </w:rPr>
              <w:t xml:space="preserve"> </w:t>
            </w:r>
            <w:r>
              <w:rPr>
                <w:b/>
                <w:spacing w:val="-2"/>
                <w:sz w:val="20"/>
              </w:rPr>
              <w:t>episode</w:t>
            </w:r>
          </w:p>
        </w:tc>
        <w:tc>
          <w:tcPr>
            <w:tcW w:w="1111" w:type="dxa"/>
            <w:tcBorders>
              <w:bottom w:val="nil"/>
            </w:tcBorders>
            <w:shd w:val="clear" w:color="auto" w:fill="F1F1F1"/>
          </w:tcPr>
          <w:p w14:paraId="7A4C2FC9" w14:textId="77777777" w:rsidR="00E13D3F" w:rsidRDefault="00FB2D6A">
            <w:pPr>
              <w:pStyle w:val="TableParagraph"/>
              <w:spacing w:line="242" w:lineRule="exact"/>
              <w:ind w:left="7" w:right="88"/>
              <w:jc w:val="center"/>
              <w:rPr>
                <w:sz w:val="20"/>
              </w:rPr>
            </w:pPr>
            <w:r>
              <w:rPr>
                <w:spacing w:val="-5"/>
                <w:sz w:val="20"/>
              </w:rPr>
              <w:t>14</w:t>
            </w:r>
          </w:p>
        </w:tc>
        <w:tc>
          <w:tcPr>
            <w:tcW w:w="1389" w:type="dxa"/>
            <w:tcBorders>
              <w:bottom w:val="nil"/>
            </w:tcBorders>
            <w:shd w:val="clear" w:color="auto" w:fill="F1F1F1"/>
          </w:tcPr>
          <w:p w14:paraId="7A4C2FCA" w14:textId="77777777" w:rsidR="00E13D3F" w:rsidRDefault="00FB2D6A">
            <w:pPr>
              <w:pStyle w:val="TableParagraph"/>
              <w:spacing w:line="242" w:lineRule="exact"/>
              <w:ind w:left="6" w:right="41"/>
              <w:jc w:val="center"/>
              <w:rPr>
                <w:sz w:val="20"/>
              </w:rPr>
            </w:pPr>
            <w:r>
              <w:rPr>
                <w:spacing w:val="-2"/>
                <w:sz w:val="20"/>
              </w:rPr>
              <w:t>n=8108</w:t>
            </w:r>
          </w:p>
        </w:tc>
        <w:tc>
          <w:tcPr>
            <w:tcW w:w="1482" w:type="dxa"/>
            <w:tcBorders>
              <w:top w:val="nil"/>
              <w:bottom w:val="nil"/>
            </w:tcBorders>
            <w:shd w:val="clear" w:color="auto" w:fill="F1F1F1"/>
          </w:tcPr>
          <w:p w14:paraId="7A4C2FCB" w14:textId="77777777" w:rsidR="00E13D3F" w:rsidRDefault="00FB2D6A">
            <w:pPr>
              <w:pStyle w:val="TableParagraph"/>
              <w:spacing w:line="224" w:lineRule="exact"/>
              <w:ind w:left="108"/>
              <w:rPr>
                <w:sz w:val="20"/>
              </w:rPr>
            </w:pPr>
            <w:r>
              <w:rPr>
                <w:spacing w:val="-2"/>
                <w:sz w:val="20"/>
              </w:rPr>
              <w:t>(adults)</w:t>
            </w:r>
          </w:p>
        </w:tc>
        <w:tc>
          <w:tcPr>
            <w:tcW w:w="1877" w:type="dxa"/>
            <w:tcBorders>
              <w:bottom w:val="nil"/>
            </w:tcBorders>
            <w:shd w:val="clear" w:color="auto" w:fill="F1F1F1"/>
          </w:tcPr>
          <w:p w14:paraId="7A4C2FCC" w14:textId="77777777" w:rsidR="00E13D3F" w:rsidRDefault="00FB2D6A">
            <w:pPr>
              <w:pStyle w:val="TableParagraph"/>
              <w:spacing w:line="242" w:lineRule="exact"/>
              <w:ind w:right="83"/>
              <w:jc w:val="center"/>
              <w:rPr>
                <w:sz w:val="20"/>
              </w:rPr>
            </w:pPr>
            <w:r>
              <w:rPr>
                <w:sz w:val="20"/>
              </w:rPr>
              <w:t>OR</w:t>
            </w:r>
            <w:r>
              <w:rPr>
                <w:spacing w:val="-4"/>
                <w:sz w:val="20"/>
              </w:rPr>
              <w:t xml:space="preserve"> 0.67</w:t>
            </w:r>
          </w:p>
        </w:tc>
      </w:tr>
      <w:tr w:rsidR="00E13D3F" w14:paraId="7A4C2FD3" w14:textId="77777777">
        <w:trPr>
          <w:trHeight w:val="224"/>
        </w:trPr>
        <w:tc>
          <w:tcPr>
            <w:tcW w:w="3159" w:type="dxa"/>
            <w:tcBorders>
              <w:top w:val="nil"/>
            </w:tcBorders>
            <w:shd w:val="clear" w:color="auto" w:fill="F1F1F1"/>
          </w:tcPr>
          <w:p w14:paraId="7A4C2FCE" w14:textId="77777777" w:rsidR="00E13D3F" w:rsidRDefault="00E13D3F">
            <w:pPr>
              <w:pStyle w:val="TableParagraph"/>
              <w:rPr>
                <w:rFonts w:ascii="Times New Roman"/>
                <w:sz w:val="16"/>
              </w:rPr>
            </w:pPr>
          </w:p>
        </w:tc>
        <w:tc>
          <w:tcPr>
            <w:tcW w:w="1111" w:type="dxa"/>
            <w:tcBorders>
              <w:top w:val="nil"/>
            </w:tcBorders>
            <w:shd w:val="clear" w:color="auto" w:fill="F1F1F1"/>
          </w:tcPr>
          <w:p w14:paraId="7A4C2FCF" w14:textId="77777777" w:rsidR="00E13D3F" w:rsidRDefault="00E13D3F">
            <w:pPr>
              <w:pStyle w:val="TableParagraph"/>
              <w:rPr>
                <w:rFonts w:ascii="Times New Roman"/>
                <w:sz w:val="16"/>
              </w:rPr>
            </w:pPr>
          </w:p>
        </w:tc>
        <w:tc>
          <w:tcPr>
            <w:tcW w:w="1389" w:type="dxa"/>
            <w:tcBorders>
              <w:top w:val="nil"/>
            </w:tcBorders>
            <w:shd w:val="clear" w:color="auto" w:fill="F1F1F1"/>
          </w:tcPr>
          <w:p w14:paraId="7A4C2FD0" w14:textId="77777777" w:rsidR="00E13D3F" w:rsidRDefault="00E13D3F">
            <w:pPr>
              <w:pStyle w:val="TableParagraph"/>
              <w:rPr>
                <w:rFonts w:ascii="Times New Roman"/>
                <w:sz w:val="16"/>
              </w:rPr>
            </w:pPr>
          </w:p>
        </w:tc>
        <w:tc>
          <w:tcPr>
            <w:tcW w:w="1482" w:type="dxa"/>
            <w:tcBorders>
              <w:top w:val="nil"/>
              <w:bottom w:val="nil"/>
            </w:tcBorders>
            <w:shd w:val="clear" w:color="auto" w:fill="F1F1F1"/>
          </w:tcPr>
          <w:p w14:paraId="7A4C2FD1" w14:textId="77777777" w:rsidR="00E13D3F" w:rsidRDefault="00E13D3F">
            <w:pPr>
              <w:pStyle w:val="TableParagraph"/>
              <w:rPr>
                <w:rFonts w:ascii="Times New Roman"/>
                <w:sz w:val="16"/>
              </w:rPr>
            </w:pPr>
          </w:p>
        </w:tc>
        <w:tc>
          <w:tcPr>
            <w:tcW w:w="1877" w:type="dxa"/>
            <w:tcBorders>
              <w:top w:val="nil"/>
            </w:tcBorders>
            <w:shd w:val="clear" w:color="auto" w:fill="F1F1F1"/>
          </w:tcPr>
          <w:p w14:paraId="7A4C2FD2" w14:textId="77777777" w:rsidR="00E13D3F" w:rsidRDefault="00FB2D6A">
            <w:pPr>
              <w:pStyle w:val="TableParagraph"/>
              <w:spacing w:line="205" w:lineRule="exact"/>
              <w:ind w:left="50" w:right="83"/>
              <w:jc w:val="center"/>
              <w:rPr>
                <w:sz w:val="20"/>
              </w:rPr>
            </w:pPr>
            <w:r>
              <w:rPr>
                <w:sz w:val="20"/>
              </w:rPr>
              <w:t>(0.58</w:t>
            </w:r>
            <w:r>
              <w:rPr>
                <w:spacing w:val="-4"/>
                <w:sz w:val="20"/>
              </w:rPr>
              <w:t xml:space="preserve"> </w:t>
            </w:r>
            <w:r>
              <w:rPr>
                <w:sz w:val="20"/>
              </w:rPr>
              <w:t>to</w:t>
            </w:r>
            <w:r>
              <w:rPr>
                <w:spacing w:val="-3"/>
                <w:sz w:val="20"/>
              </w:rPr>
              <w:t xml:space="preserve"> </w:t>
            </w:r>
            <w:r>
              <w:rPr>
                <w:spacing w:val="-2"/>
                <w:sz w:val="20"/>
              </w:rPr>
              <w:t>0.77)</w:t>
            </w:r>
          </w:p>
        </w:tc>
      </w:tr>
      <w:tr w:rsidR="00E13D3F" w14:paraId="7A4C2FD9" w14:textId="77777777">
        <w:trPr>
          <w:trHeight w:val="264"/>
        </w:trPr>
        <w:tc>
          <w:tcPr>
            <w:tcW w:w="3159" w:type="dxa"/>
            <w:tcBorders>
              <w:bottom w:val="nil"/>
            </w:tcBorders>
          </w:tcPr>
          <w:p w14:paraId="7A4C2FD4" w14:textId="77777777" w:rsidR="00E13D3F" w:rsidRDefault="00FB2D6A">
            <w:pPr>
              <w:pStyle w:val="TableParagraph"/>
              <w:spacing w:before="2" w:line="243" w:lineRule="exact"/>
              <w:ind w:left="107"/>
              <w:rPr>
                <w:b/>
                <w:sz w:val="20"/>
              </w:rPr>
            </w:pPr>
            <w:r>
              <w:rPr>
                <w:b/>
                <w:sz w:val="20"/>
              </w:rPr>
              <w:t>Pregnant</w:t>
            </w:r>
            <w:r>
              <w:rPr>
                <w:b/>
                <w:spacing w:val="-8"/>
                <w:sz w:val="20"/>
              </w:rPr>
              <w:t xml:space="preserve"> </w:t>
            </w:r>
            <w:r>
              <w:rPr>
                <w:b/>
                <w:sz w:val="20"/>
              </w:rPr>
              <w:t>women</w:t>
            </w:r>
            <w:r>
              <w:rPr>
                <w:b/>
                <w:spacing w:val="-7"/>
                <w:sz w:val="20"/>
              </w:rPr>
              <w:t xml:space="preserve"> </w:t>
            </w:r>
            <w:r>
              <w:rPr>
                <w:b/>
                <w:spacing w:val="-2"/>
                <w:sz w:val="20"/>
              </w:rPr>
              <w:t>reporting</w:t>
            </w:r>
          </w:p>
        </w:tc>
        <w:tc>
          <w:tcPr>
            <w:tcW w:w="1111" w:type="dxa"/>
            <w:tcBorders>
              <w:bottom w:val="nil"/>
            </w:tcBorders>
          </w:tcPr>
          <w:p w14:paraId="7A4C2FD5" w14:textId="77777777" w:rsidR="00E13D3F" w:rsidRDefault="00FB2D6A">
            <w:pPr>
              <w:pStyle w:val="TableParagraph"/>
              <w:spacing w:before="2" w:line="243" w:lineRule="exact"/>
              <w:ind w:left="7" w:right="88"/>
              <w:jc w:val="center"/>
              <w:rPr>
                <w:sz w:val="20"/>
              </w:rPr>
            </w:pPr>
            <w:r>
              <w:rPr>
                <w:spacing w:val="-10"/>
                <w:sz w:val="20"/>
              </w:rPr>
              <w:t>5</w:t>
            </w:r>
          </w:p>
        </w:tc>
        <w:tc>
          <w:tcPr>
            <w:tcW w:w="1389" w:type="dxa"/>
            <w:tcBorders>
              <w:bottom w:val="nil"/>
            </w:tcBorders>
          </w:tcPr>
          <w:p w14:paraId="7A4C2FD6" w14:textId="77777777" w:rsidR="00E13D3F" w:rsidRDefault="00FB2D6A">
            <w:pPr>
              <w:pStyle w:val="TableParagraph"/>
              <w:spacing w:before="2" w:line="243" w:lineRule="exact"/>
              <w:ind w:left="6" w:right="41"/>
              <w:jc w:val="center"/>
              <w:rPr>
                <w:sz w:val="20"/>
              </w:rPr>
            </w:pPr>
            <w:r>
              <w:rPr>
                <w:spacing w:val="-2"/>
                <w:sz w:val="20"/>
              </w:rPr>
              <w:t>n=796</w:t>
            </w:r>
          </w:p>
        </w:tc>
        <w:tc>
          <w:tcPr>
            <w:tcW w:w="1482" w:type="dxa"/>
            <w:tcBorders>
              <w:top w:val="nil"/>
              <w:bottom w:val="nil"/>
            </w:tcBorders>
            <w:shd w:val="clear" w:color="auto" w:fill="F1F1F1"/>
          </w:tcPr>
          <w:p w14:paraId="7A4C2FD7" w14:textId="77777777" w:rsidR="00E13D3F" w:rsidRDefault="00E13D3F">
            <w:pPr>
              <w:pStyle w:val="TableParagraph"/>
              <w:rPr>
                <w:rFonts w:ascii="Times New Roman"/>
                <w:sz w:val="18"/>
              </w:rPr>
            </w:pPr>
          </w:p>
        </w:tc>
        <w:tc>
          <w:tcPr>
            <w:tcW w:w="1877" w:type="dxa"/>
            <w:tcBorders>
              <w:bottom w:val="nil"/>
            </w:tcBorders>
          </w:tcPr>
          <w:p w14:paraId="7A4C2FD8" w14:textId="77777777" w:rsidR="00E13D3F" w:rsidRDefault="00FB2D6A">
            <w:pPr>
              <w:pStyle w:val="TableParagraph"/>
              <w:spacing w:before="2" w:line="243" w:lineRule="exact"/>
              <w:ind w:right="83"/>
              <w:jc w:val="center"/>
              <w:rPr>
                <w:sz w:val="20"/>
              </w:rPr>
            </w:pPr>
            <w:r>
              <w:rPr>
                <w:sz w:val="20"/>
              </w:rPr>
              <w:t>OR</w:t>
            </w:r>
            <w:r>
              <w:rPr>
                <w:spacing w:val="-4"/>
                <w:sz w:val="20"/>
              </w:rPr>
              <w:t xml:space="preserve"> 2.26</w:t>
            </w:r>
          </w:p>
        </w:tc>
      </w:tr>
      <w:tr w:rsidR="00E13D3F" w14:paraId="7A4C2FDF" w14:textId="77777777">
        <w:trPr>
          <w:trHeight w:val="224"/>
        </w:trPr>
        <w:tc>
          <w:tcPr>
            <w:tcW w:w="3159" w:type="dxa"/>
            <w:tcBorders>
              <w:top w:val="nil"/>
            </w:tcBorders>
          </w:tcPr>
          <w:p w14:paraId="7A4C2FDA" w14:textId="77777777" w:rsidR="00E13D3F" w:rsidRDefault="00FB2D6A">
            <w:pPr>
              <w:pStyle w:val="TableParagraph"/>
              <w:spacing w:line="205" w:lineRule="exact"/>
              <w:ind w:left="107"/>
              <w:rPr>
                <w:b/>
                <w:sz w:val="20"/>
              </w:rPr>
            </w:pPr>
            <w:r>
              <w:rPr>
                <w:b/>
                <w:spacing w:val="-2"/>
                <w:sz w:val="20"/>
              </w:rPr>
              <w:t>abstinence</w:t>
            </w:r>
          </w:p>
        </w:tc>
        <w:tc>
          <w:tcPr>
            <w:tcW w:w="1111" w:type="dxa"/>
            <w:tcBorders>
              <w:top w:val="nil"/>
            </w:tcBorders>
          </w:tcPr>
          <w:p w14:paraId="7A4C2FDB" w14:textId="77777777" w:rsidR="00E13D3F" w:rsidRDefault="00E13D3F">
            <w:pPr>
              <w:pStyle w:val="TableParagraph"/>
              <w:rPr>
                <w:rFonts w:ascii="Times New Roman"/>
                <w:sz w:val="16"/>
              </w:rPr>
            </w:pPr>
          </w:p>
        </w:tc>
        <w:tc>
          <w:tcPr>
            <w:tcW w:w="1389" w:type="dxa"/>
            <w:tcBorders>
              <w:top w:val="nil"/>
            </w:tcBorders>
          </w:tcPr>
          <w:p w14:paraId="7A4C2FDC" w14:textId="77777777" w:rsidR="00E13D3F" w:rsidRDefault="00E13D3F">
            <w:pPr>
              <w:pStyle w:val="TableParagraph"/>
              <w:rPr>
                <w:rFonts w:ascii="Times New Roman"/>
                <w:sz w:val="16"/>
              </w:rPr>
            </w:pPr>
          </w:p>
        </w:tc>
        <w:tc>
          <w:tcPr>
            <w:tcW w:w="1482" w:type="dxa"/>
            <w:tcBorders>
              <w:top w:val="nil"/>
            </w:tcBorders>
            <w:shd w:val="clear" w:color="auto" w:fill="F1F1F1"/>
          </w:tcPr>
          <w:p w14:paraId="7A4C2FDD" w14:textId="77777777" w:rsidR="00E13D3F" w:rsidRDefault="00E13D3F">
            <w:pPr>
              <w:pStyle w:val="TableParagraph"/>
              <w:rPr>
                <w:rFonts w:ascii="Times New Roman"/>
                <w:sz w:val="16"/>
              </w:rPr>
            </w:pPr>
          </w:p>
        </w:tc>
        <w:tc>
          <w:tcPr>
            <w:tcW w:w="1877" w:type="dxa"/>
            <w:tcBorders>
              <w:top w:val="nil"/>
            </w:tcBorders>
          </w:tcPr>
          <w:p w14:paraId="7A4C2FDE" w14:textId="77777777" w:rsidR="00E13D3F" w:rsidRDefault="00FB2D6A">
            <w:pPr>
              <w:pStyle w:val="TableParagraph"/>
              <w:spacing w:line="205" w:lineRule="exact"/>
              <w:ind w:left="50" w:right="83"/>
              <w:jc w:val="center"/>
              <w:rPr>
                <w:sz w:val="20"/>
              </w:rPr>
            </w:pPr>
            <w:r>
              <w:rPr>
                <w:sz w:val="20"/>
              </w:rPr>
              <w:t>(1.43</w:t>
            </w:r>
            <w:r>
              <w:rPr>
                <w:spacing w:val="-4"/>
                <w:sz w:val="20"/>
              </w:rPr>
              <w:t xml:space="preserve"> </w:t>
            </w:r>
            <w:r>
              <w:rPr>
                <w:sz w:val="20"/>
              </w:rPr>
              <w:t>to</w:t>
            </w:r>
            <w:r>
              <w:rPr>
                <w:spacing w:val="-3"/>
                <w:sz w:val="20"/>
              </w:rPr>
              <w:t xml:space="preserve"> </w:t>
            </w:r>
            <w:r>
              <w:rPr>
                <w:spacing w:val="-2"/>
                <w:sz w:val="20"/>
              </w:rPr>
              <w:t>3.56)</w:t>
            </w:r>
          </w:p>
        </w:tc>
      </w:tr>
      <w:tr w:rsidR="00E13D3F" w14:paraId="7A4C2FE5" w14:textId="77777777">
        <w:trPr>
          <w:trHeight w:val="258"/>
        </w:trPr>
        <w:tc>
          <w:tcPr>
            <w:tcW w:w="3159" w:type="dxa"/>
            <w:tcBorders>
              <w:bottom w:val="nil"/>
            </w:tcBorders>
            <w:shd w:val="clear" w:color="auto" w:fill="F1F1F1"/>
          </w:tcPr>
          <w:p w14:paraId="7A4C2FE0" w14:textId="77777777" w:rsidR="00E13D3F" w:rsidRDefault="00FB2D6A">
            <w:pPr>
              <w:pStyle w:val="TableParagraph"/>
              <w:spacing w:before="1" w:line="237" w:lineRule="exact"/>
              <w:ind w:left="107"/>
              <w:rPr>
                <w:b/>
                <w:sz w:val="20"/>
              </w:rPr>
            </w:pPr>
            <w:r>
              <w:rPr>
                <w:b/>
                <w:sz w:val="20"/>
              </w:rPr>
              <w:t>Alcohol</w:t>
            </w:r>
            <w:r>
              <w:rPr>
                <w:b/>
                <w:spacing w:val="-10"/>
                <w:sz w:val="20"/>
              </w:rPr>
              <w:t xml:space="preserve"> </w:t>
            </w:r>
            <w:r>
              <w:rPr>
                <w:b/>
                <w:sz w:val="20"/>
              </w:rPr>
              <w:t>related</w:t>
            </w:r>
            <w:r>
              <w:rPr>
                <w:b/>
                <w:spacing w:val="-9"/>
                <w:sz w:val="20"/>
              </w:rPr>
              <w:t xml:space="preserve"> </w:t>
            </w:r>
            <w:r>
              <w:rPr>
                <w:b/>
                <w:sz w:val="20"/>
              </w:rPr>
              <w:t>problems</w:t>
            </w:r>
            <w:r>
              <w:rPr>
                <w:b/>
                <w:spacing w:val="-9"/>
                <w:sz w:val="20"/>
              </w:rPr>
              <w:t xml:space="preserve"> </w:t>
            </w:r>
            <w:r>
              <w:rPr>
                <w:b/>
                <w:spacing w:val="-5"/>
                <w:sz w:val="20"/>
              </w:rPr>
              <w:t>or</w:t>
            </w:r>
          </w:p>
        </w:tc>
        <w:tc>
          <w:tcPr>
            <w:tcW w:w="1111" w:type="dxa"/>
            <w:tcBorders>
              <w:bottom w:val="nil"/>
            </w:tcBorders>
            <w:shd w:val="clear" w:color="auto" w:fill="F1F1F1"/>
          </w:tcPr>
          <w:p w14:paraId="7A4C2FE1" w14:textId="77777777" w:rsidR="00E13D3F" w:rsidRDefault="00FB2D6A">
            <w:pPr>
              <w:pStyle w:val="TableParagraph"/>
              <w:spacing w:before="1" w:line="237" w:lineRule="exact"/>
              <w:ind w:left="48" w:right="81"/>
              <w:jc w:val="center"/>
              <w:rPr>
                <w:sz w:val="20"/>
              </w:rPr>
            </w:pPr>
            <w:r>
              <w:rPr>
                <w:spacing w:val="-5"/>
                <w:sz w:val="20"/>
              </w:rPr>
              <w:t>18</w:t>
            </w:r>
          </w:p>
        </w:tc>
        <w:tc>
          <w:tcPr>
            <w:tcW w:w="1389" w:type="dxa"/>
            <w:vMerge w:val="restart"/>
            <w:shd w:val="clear" w:color="auto" w:fill="F1F1F1"/>
          </w:tcPr>
          <w:p w14:paraId="7A4C2FE2" w14:textId="77777777" w:rsidR="00E13D3F" w:rsidRDefault="00E13D3F">
            <w:pPr>
              <w:pStyle w:val="TableParagraph"/>
              <w:rPr>
                <w:rFonts w:ascii="Times New Roman"/>
              </w:rPr>
            </w:pPr>
          </w:p>
        </w:tc>
        <w:tc>
          <w:tcPr>
            <w:tcW w:w="1482" w:type="dxa"/>
            <w:tcBorders>
              <w:bottom w:val="nil"/>
            </w:tcBorders>
            <w:shd w:val="clear" w:color="auto" w:fill="F1F1F1"/>
          </w:tcPr>
          <w:p w14:paraId="7A4C2FE3" w14:textId="77777777" w:rsidR="00E13D3F" w:rsidRDefault="00FB2D6A">
            <w:pPr>
              <w:pStyle w:val="TableParagraph"/>
              <w:spacing w:before="1" w:line="237" w:lineRule="exact"/>
              <w:ind w:left="108"/>
              <w:rPr>
                <w:sz w:val="20"/>
              </w:rPr>
            </w:pPr>
            <w:r>
              <w:rPr>
                <w:spacing w:val="-2"/>
                <w:sz w:val="20"/>
              </w:rPr>
              <w:t>Insufficient</w:t>
            </w:r>
            <w:r>
              <w:rPr>
                <w:spacing w:val="-2"/>
                <w:sz w:val="20"/>
                <w:vertAlign w:val="superscript"/>
              </w:rPr>
              <w:t>#</w:t>
            </w:r>
          </w:p>
        </w:tc>
        <w:tc>
          <w:tcPr>
            <w:tcW w:w="1877" w:type="dxa"/>
            <w:tcBorders>
              <w:bottom w:val="nil"/>
            </w:tcBorders>
            <w:shd w:val="clear" w:color="auto" w:fill="F1F1F1"/>
          </w:tcPr>
          <w:p w14:paraId="7A4C2FE4" w14:textId="77777777" w:rsidR="00E13D3F" w:rsidRDefault="00FB2D6A">
            <w:pPr>
              <w:pStyle w:val="TableParagraph"/>
              <w:spacing w:before="1" w:line="237" w:lineRule="exact"/>
              <w:ind w:right="83"/>
              <w:jc w:val="center"/>
              <w:rPr>
                <w:sz w:val="20"/>
              </w:rPr>
            </w:pPr>
            <w:r>
              <w:rPr>
                <w:sz w:val="20"/>
              </w:rPr>
              <w:t>SMD</w:t>
            </w:r>
            <w:r>
              <w:rPr>
                <w:spacing w:val="-8"/>
                <w:sz w:val="20"/>
              </w:rPr>
              <w:t xml:space="preserve"> </w:t>
            </w:r>
            <w:r>
              <w:rPr>
                <w:sz w:val="20"/>
              </w:rPr>
              <w:t>-</w:t>
            </w:r>
            <w:r>
              <w:rPr>
                <w:spacing w:val="-4"/>
                <w:sz w:val="20"/>
              </w:rPr>
              <w:t>0.04</w:t>
            </w:r>
          </w:p>
        </w:tc>
      </w:tr>
      <w:tr w:rsidR="00E13D3F" w14:paraId="7A4C2FEB" w14:textId="77777777">
        <w:trPr>
          <w:trHeight w:val="463"/>
        </w:trPr>
        <w:tc>
          <w:tcPr>
            <w:tcW w:w="3159" w:type="dxa"/>
            <w:tcBorders>
              <w:top w:val="nil"/>
            </w:tcBorders>
            <w:shd w:val="clear" w:color="auto" w:fill="F1F1F1"/>
          </w:tcPr>
          <w:p w14:paraId="7A4C2FE6" w14:textId="77777777" w:rsidR="00E13D3F" w:rsidRDefault="00FB2D6A">
            <w:pPr>
              <w:pStyle w:val="TableParagraph"/>
              <w:spacing w:line="220" w:lineRule="exact"/>
              <w:ind w:left="107"/>
              <w:rPr>
                <w:b/>
                <w:sz w:val="20"/>
              </w:rPr>
            </w:pPr>
            <w:r>
              <w:rPr>
                <w:b/>
                <w:spacing w:val="-2"/>
                <w:sz w:val="20"/>
              </w:rPr>
              <w:t>consequences</w:t>
            </w:r>
          </w:p>
        </w:tc>
        <w:tc>
          <w:tcPr>
            <w:tcW w:w="1111" w:type="dxa"/>
            <w:tcBorders>
              <w:top w:val="nil"/>
            </w:tcBorders>
            <w:shd w:val="clear" w:color="auto" w:fill="F1F1F1"/>
          </w:tcPr>
          <w:p w14:paraId="7A4C2FE7" w14:textId="77777777" w:rsidR="00E13D3F" w:rsidRDefault="00E13D3F">
            <w:pPr>
              <w:pStyle w:val="TableParagraph"/>
              <w:rPr>
                <w:rFonts w:ascii="Times New Roman"/>
              </w:rPr>
            </w:pPr>
          </w:p>
        </w:tc>
        <w:tc>
          <w:tcPr>
            <w:tcW w:w="1389" w:type="dxa"/>
            <w:vMerge/>
            <w:tcBorders>
              <w:top w:val="nil"/>
            </w:tcBorders>
            <w:shd w:val="clear" w:color="auto" w:fill="F1F1F1"/>
          </w:tcPr>
          <w:p w14:paraId="7A4C2FE8" w14:textId="77777777" w:rsidR="00E13D3F" w:rsidRDefault="00E13D3F">
            <w:pPr>
              <w:rPr>
                <w:sz w:val="2"/>
                <w:szCs w:val="2"/>
              </w:rPr>
            </w:pPr>
          </w:p>
        </w:tc>
        <w:tc>
          <w:tcPr>
            <w:tcW w:w="1482" w:type="dxa"/>
            <w:tcBorders>
              <w:top w:val="nil"/>
              <w:bottom w:val="nil"/>
            </w:tcBorders>
            <w:shd w:val="clear" w:color="auto" w:fill="F1F1F1"/>
          </w:tcPr>
          <w:p w14:paraId="7A4C2FE9" w14:textId="77777777" w:rsidR="00E13D3F" w:rsidRDefault="00FB2D6A">
            <w:pPr>
              <w:pStyle w:val="TableParagraph"/>
              <w:spacing w:line="220" w:lineRule="exact"/>
              <w:ind w:left="108"/>
              <w:rPr>
                <w:sz w:val="20"/>
              </w:rPr>
            </w:pPr>
            <w:r>
              <w:rPr>
                <w:spacing w:val="-2"/>
                <w:sz w:val="20"/>
              </w:rPr>
              <w:t>(adolescents)</w:t>
            </w:r>
          </w:p>
        </w:tc>
        <w:tc>
          <w:tcPr>
            <w:tcW w:w="1877" w:type="dxa"/>
            <w:tcBorders>
              <w:top w:val="nil"/>
            </w:tcBorders>
            <w:shd w:val="clear" w:color="auto" w:fill="F1F1F1"/>
          </w:tcPr>
          <w:p w14:paraId="7A4C2FEA" w14:textId="77777777" w:rsidR="00E13D3F" w:rsidRDefault="00FB2D6A">
            <w:pPr>
              <w:pStyle w:val="TableParagraph"/>
              <w:spacing w:line="220" w:lineRule="exact"/>
              <w:ind w:left="47" w:right="83"/>
              <w:jc w:val="center"/>
              <w:rPr>
                <w:sz w:val="20"/>
              </w:rPr>
            </w:pPr>
            <w:r>
              <w:rPr>
                <w:sz w:val="20"/>
              </w:rPr>
              <w:t>(-0.09</w:t>
            </w:r>
            <w:r>
              <w:rPr>
                <w:spacing w:val="-5"/>
                <w:sz w:val="20"/>
              </w:rPr>
              <w:t xml:space="preserve"> </w:t>
            </w:r>
            <w:r>
              <w:rPr>
                <w:sz w:val="20"/>
              </w:rPr>
              <w:t>to</w:t>
            </w:r>
            <w:r>
              <w:rPr>
                <w:spacing w:val="-4"/>
                <w:sz w:val="20"/>
              </w:rPr>
              <w:t xml:space="preserve"> </w:t>
            </w:r>
            <w:r>
              <w:rPr>
                <w:sz w:val="20"/>
              </w:rPr>
              <w:t>-</w:t>
            </w:r>
            <w:r>
              <w:rPr>
                <w:spacing w:val="-2"/>
                <w:sz w:val="20"/>
              </w:rPr>
              <w:t>0.01)*</w:t>
            </w:r>
          </w:p>
        </w:tc>
      </w:tr>
      <w:tr w:rsidR="00E13D3F" w14:paraId="7A4C2FF1" w14:textId="77777777">
        <w:trPr>
          <w:trHeight w:val="264"/>
        </w:trPr>
        <w:tc>
          <w:tcPr>
            <w:tcW w:w="3159" w:type="dxa"/>
            <w:tcBorders>
              <w:bottom w:val="nil"/>
            </w:tcBorders>
          </w:tcPr>
          <w:p w14:paraId="7A4C2FEC" w14:textId="77777777" w:rsidR="00E13D3F" w:rsidRDefault="00FB2D6A">
            <w:pPr>
              <w:pStyle w:val="TableParagraph"/>
              <w:spacing w:before="1" w:line="243" w:lineRule="exact"/>
              <w:ind w:left="107"/>
              <w:rPr>
                <w:b/>
                <w:sz w:val="20"/>
              </w:rPr>
            </w:pPr>
            <w:r>
              <w:rPr>
                <w:b/>
                <w:spacing w:val="-2"/>
                <w:sz w:val="20"/>
              </w:rPr>
              <w:t>Mortality</w:t>
            </w:r>
          </w:p>
        </w:tc>
        <w:tc>
          <w:tcPr>
            <w:tcW w:w="1111" w:type="dxa"/>
            <w:tcBorders>
              <w:bottom w:val="nil"/>
            </w:tcBorders>
          </w:tcPr>
          <w:p w14:paraId="7A4C2FED" w14:textId="77777777" w:rsidR="00E13D3F" w:rsidRDefault="00FB2D6A">
            <w:pPr>
              <w:pStyle w:val="TableParagraph"/>
              <w:spacing w:before="1" w:line="243" w:lineRule="exact"/>
              <w:ind w:left="88" w:right="81"/>
              <w:jc w:val="center"/>
              <w:rPr>
                <w:sz w:val="20"/>
              </w:rPr>
            </w:pPr>
            <w:r>
              <w:rPr>
                <w:spacing w:val="-10"/>
                <w:sz w:val="20"/>
              </w:rPr>
              <w:t>9</w:t>
            </w:r>
          </w:p>
        </w:tc>
        <w:tc>
          <w:tcPr>
            <w:tcW w:w="1389" w:type="dxa"/>
            <w:tcBorders>
              <w:bottom w:val="nil"/>
            </w:tcBorders>
          </w:tcPr>
          <w:p w14:paraId="7A4C2FEE" w14:textId="77777777" w:rsidR="00E13D3F" w:rsidRDefault="00FB2D6A">
            <w:pPr>
              <w:pStyle w:val="TableParagraph"/>
              <w:spacing w:before="1" w:line="243" w:lineRule="exact"/>
              <w:ind w:left="43" w:right="37"/>
              <w:jc w:val="center"/>
              <w:rPr>
                <w:sz w:val="20"/>
              </w:rPr>
            </w:pPr>
            <w:r>
              <w:rPr>
                <w:spacing w:val="-2"/>
                <w:sz w:val="20"/>
              </w:rPr>
              <w:t>n=4533</w:t>
            </w:r>
          </w:p>
        </w:tc>
        <w:tc>
          <w:tcPr>
            <w:tcW w:w="1482" w:type="dxa"/>
            <w:tcBorders>
              <w:top w:val="nil"/>
              <w:bottom w:val="nil"/>
            </w:tcBorders>
            <w:shd w:val="clear" w:color="auto" w:fill="F1F1F1"/>
          </w:tcPr>
          <w:p w14:paraId="7A4C2FEF" w14:textId="77777777" w:rsidR="00E13D3F" w:rsidRDefault="00FB2D6A">
            <w:pPr>
              <w:pStyle w:val="TableParagraph"/>
              <w:spacing w:line="236" w:lineRule="exact"/>
              <w:ind w:left="108"/>
              <w:rPr>
                <w:sz w:val="20"/>
              </w:rPr>
            </w:pPr>
            <w:r>
              <w:rPr>
                <w:sz w:val="20"/>
              </w:rPr>
              <w:t>Low</w:t>
            </w:r>
            <w:r>
              <w:rPr>
                <w:spacing w:val="-6"/>
                <w:sz w:val="20"/>
              </w:rPr>
              <w:t xml:space="preserve"> </w:t>
            </w:r>
            <w:r>
              <w:rPr>
                <w:spacing w:val="-2"/>
                <w:sz w:val="20"/>
              </w:rPr>
              <w:t>(adults)</w:t>
            </w:r>
          </w:p>
        </w:tc>
        <w:tc>
          <w:tcPr>
            <w:tcW w:w="1877" w:type="dxa"/>
            <w:tcBorders>
              <w:bottom w:val="nil"/>
            </w:tcBorders>
          </w:tcPr>
          <w:p w14:paraId="7A4C2FF0" w14:textId="77777777" w:rsidR="00E13D3F" w:rsidRDefault="00FB2D6A">
            <w:pPr>
              <w:pStyle w:val="TableParagraph"/>
              <w:spacing w:before="1" w:line="243" w:lineRule="exact"/>
              <w:ind w:right="83"/>
              <w:jc w:val="center"/>
              <w:rPr>
                <w:sz w:val="20"/>
              </w:rPr>
            </w:pPr>
            <w:r>
              <w:rPr>
                <w:sz w:val="20"/>
              </w:rPr>
              <w:t>OR</w:t>
            </w:r>
            <w:r>
              <w:rPr>
                <w:spacing w:val="-4"/>
                <w:sz w:val="20"/>
              </w:rPr>
              <w:t xml:space="preserve"> 0.64</w:t>
            </w:r>
          </w:p>
        </w:tc>
      </w:tr>
      <w:tr w:rsidR="00E13D3F" w14:paraId="7A4C2FF7" w14:textId="77777777">
        <w:trPr>
          <w:trHeight w:val="258"/>
        </w:trPr>
        <w:tc>
          <w:tcPr>
            <w:tcW w:w="3159" w:type="dxa"/>
            <w:tcBorders>
              <w:top w:val="nil"/>
            </w:tcBorders>
          </w:tcPr>
          <w:p w14:paraId="7A4C2FF2" w14:textId="77777777" w:rsidR="00E13D3F" w:rsidRDefault="00E13D3F">
            <w:pPr>
              <w:pStyle w:val="TableParagraph"/>
              <w:rPr>
                <w:rFonts w:ascii="Times New Roman"/>
                <w:sz w:val="18"/>
              </w:rPr>
            </w:pPr>
          </w:p>
        </w:tc>
        <w:tc>
          <w:tcPr>
            <w:tcW w:w="1111" w:type="dxa"/>
            <w:tcBorders>
              <w:top w:val="nil"/>
            </w:tcBorders>
          </w:tcPr>
          <w:p w14:paraId="7A4C2FF3" w14:textId="77777777" w:rsidR="00E13D3F" w:rsidRDefault="00E13D3F">
            <w:pPr>
              <w:pStyle w:val="TableParagraph"/>
              <w:rPr>
                <w:rFonts w:ascii="Times New Roman"/>
                <w:sz w:val="18"/>
              </w:rPr>
            </w:pPr>
          </w:p>
        </w:tc>
        <w:tc>
          <w:tcPr>
            <w:tcW w:w="1389" w:type="dxa"/>
            <w:tcBorders>
              <w:top w:val="nil"/>
            </w:tcBorders>
          </w:tcPr>
          <w:p w14:paraId="7A4C2FF4" w14:textId="77777777" w:rsidR="00E13D3F" w:rsidRDefault="00E13D3F">
            <w:pPr>
              <w:pStyle w:val="TableParagraph"/>
              <w:rPr>
                <w:rFonts w:ascii="Times New Roman"/>
                <w:sz w:val="18"/>
              </w:rPr>
            </w:pPr>
          </w:p>
        </w:tc>
        <w:tc>
          <w:tcPr>
            <w:tcW w:w="1482" w:type="dxa"/>
            <w:tcBorders>
              <w:top w:val="nil"/>
            </w:tcBorders>
            <w:shd w:val="clear" w:color="auto" w:fill="F1F1F1"/>
          </w:tcPr>
          <w:p w14:paraId="7A4C2FF5" w14:textId="77777777" w:rsidR="00E13D3F" w:rsidRDefault="00E13D3F">
            <w:pPr>
              <w:pStyle w:val="TableParagraph"/>
              <w:rPr>
                <w:rFonts w:ascii="Times New Roman"/>
                <w:sz w:val="18"/>
              </w:rPr>
            </w:pPr>
          </w:p>
        </w:tc>
        <w:tc>
          <w:tcPr>
            <w:tcW w:w="1877" w:type="dxa"/>
            <w:tcBorders>
              <w:top w:val="nil"/>
            </w:tcBorders>
          </w:tcPr>
          <w:p w14:paraId="7A4C2FF6" w14:textId="77777777" w:rsidR="00E13D3F" w:rsidRDefault="00FB2D6A">
            <w:pPr>
              <w:pStyle w:val="TableParagraph"/>
              <w:spacing w:line="226" w:lineRule="exact"/>
              <w:ind w:left="50" w:right="83"/>
              <w:jc w:val="center"/>
              <w:rPr>
                <w:sz w:val="20"/>
              </w:rPr>
            </w:pPr>
            <w:r>
              <w:rPr>
                <w:sz w:val="20"/>
              </w:rPr>
              <w:t>(0.34</w:t>
            </w:r>
            <w:r>
              <w:rPr>
                <w:spacing w:val="-4"/>
                <w:sz w:val="20"/>
              </w:rPr>
              <w:t xml:space="preserve"> </w:t>
            </w:r>
            <w:r>
              <w:rPr>
                <w:sz w:val="20"/>
              </w:rPr>
              <w:t>to</w:t>
            </w:r>
            <w:r>
              <w:rPr>
                <w:spacing w:val="-3"/>
                <w:sz w:val="20"/>
              </w:rPr>
              <w:t xml:space="preserve"> </w:t>
            </w:r>
            <w:r>
              <w:rPr>
                <w:spacing w:val="-2"/>
                <w:sz w:val="20"/>
              </w:rPr>
              <w:t>1.19)</w:t>
            </w:r>
          </w:p>
        </w:tc>
      </w:tr>
    </w:tbl>
    <w:p w14:paraId="7A4C2FF8" w14:textId="77777777" w:rsidR="00E13D3F" w:rsidRDefault="00FB2D6A">
      <w:pPr>
        <w:spacing w:before="9"/>
        <w:ind w:left="1440" w:right="1450"/>
        <w:rPr>
          <w:sz w:val="18"/>
        </w:rPr>
      </w:pPr>
      <w:r>
        <w:rPr>
          <w:sz w:val="18"/>
        </w:rPr>
        <w:t xml:space="preserve">WMD -weighted mean difference between groups in change from baseline; OR – odds ratio; SMD – </w:t>
      </w:r>
      <w:proofErr w:type="spellStart"/>
      <w:r>
        <w:rPr>
          <w:sz w:val="18"/>
        </w:rPr>
        <w:t>standardised</w:t>
      </w:r>
      <w:proofErr w:type="spellEnd"/>
      <w:r>
        <w:rPr>
          <w:sz w:val="18"/>
        </w:rPr>
        <w:t xml:space="preserve"> mean difference *small effect typically considered to be 0.0 to 0.2</w:t>
      </w:r>
      <w:r>
        <w:rPr>
          <w:spacing w:val="80"/>
          <w:sz w:val="18"/>
        </w:rPr>
        <w:t xml:space="preserve"> </w:t>
      </w:r>
      <w:r>
        <w:rPr>
          <w:sz w:val="18"/>
        </w:rPr>
        <w:t>#current evidence insufficient to assess the balance of benefits</w:t>
      </w:r>
      <w:r>
        <w:rPr>
          <w:spacing w:val="-4"/>
          <w:sz w:val="18"/>
        </w:rPr>
        <w:t xml:space="preserve"> </w:t>
      </w:r>
      <w:r>
        <w:rPr>
          <w:sz w:val="18"/>
        </w:rPr>
        <w:t>and</w:t>
      </w:r>
      <w:r>
        <w:rPr>
          <w:spacing w:val="-3"/>
          <w:sz w:val="18"/>
        </w:rPr>
        <w:t xml:space="preserve"> </w:t>
      </w:r>
      <w:r>
        <w:rPr>
          <w:sz w:val="18"/>
        </w:rPr>
        <w:t>harms</w:t>
      </w:r>
      <w:r>
        <w:rPr>
          <w:spacing w:val="-3"/>
          <w:sz w:val="18"/>
        </w:rPr>
        <w:t xml:space="preserve"> </w:t>
      </w:r>
      <w:r>
        <w:rPr>
          <w:sz w:val="18"/>
        </w:rPr>
        <w:t>of</w:t>
      </w:r>
      <w:r>
        <w:rPr>
          <w:spacing w:val="-3"/>
          <w:sz w:val="18"/>
        </w:rPr>
        <w:t xml:space="preserve"> </w:t>
      </w:r>
      <w:r>
        <w:rPr>
          <w:sz w:val="18"/>
        </w:rPr>
        <w:t>screening</w:t>
      </w:r>
      <w:r>
        <w:rPr>
          <w:spacing w:val="-1"/>
          <w:sz w:val="18"/>
        </w:rPr>
        <w:t xml:space="preserve"> </w:t>
      </w:r>
      <w:r>
        <w:rPr>
          <w:sz w:val="18"/>
        </w:rPr>
        <w:t>and</w:t>
      </w:r>
      <w:r>
        <w:rPr>
          <w:spacing w:val="-3"/>
          <w:sz w:val="18"/>
        </w:rPr>
        <w:t xml:space="preserve"> </w:t>
      </w:r>
      <w:r>
        <w:rPr>
          <w:sz w:val="18"/>
        </w:rPr>
        <w:t>brief</w:t>
      </w:r>
      <w:r>
        <w:rPr>
          <w:spacing w:val="-3"/>
          <w:sz w:val="18"/>
        </w:rPr>
        <w:t xml:space="preserve"> </w:t>
      </w:r>
      <w:proofErr w:type="spellStart"/>
      <w:r>
        <w:rPr>
          <w:sz w:val="18"/>
        </w:rPr>
        <w:t>behavioural</w:t>
      </w:r>
      <w:proofErr w:type="spellEnd"/>
      <w:r>
        <w:rPr>
          <w:spacing w:val="-3"/>
          <w:sz w:val="18"/>
        </w:rPr>
        <w:t xml:space="preserve"> </w:t>
      </w:r>
      <w:r>
        <w:rPr>
          <w:sz w:val="18"/>
        </w:rPr>
        <w:t>counselling</w:t>
      </w:r>
      <w:r>
        <w:rPr>
          <w:spacing w:val="-1"/>
          <w:sz w:val="18"/>
        </w:rPr>
        <w:t xml:space="preserve"> </w:t>
      </w:r>
      <w:r>
        <w:rPr>
          <w:sz w:val="18"/>
        </w:rPr>
        <w:t>interventions</w:t>
      </w:r>
      <w:r>
        <w:rPr>
          <w:spacing w:val="-3"/>
          <w:sz w:val="18"/>
        </w:rPr>
        <w:t xml:space="preserve"> </w:t>
      </w:r>
      <w:r>
        <w:rPr>
          <w:sz w:val="18"/>
        </w:rPr>
        <w:t>for alcohol</w:t>
      </w:r>
      <w:r>
        <w:rPr>
          <w:spacing w:val="-3"/>
          <w:sz w:val="18"/>
        </w:rPr>
        <w:t xml:space="preserve"> </w:t>
      </w:r>
      <w:r>
        <w:rPr>
          <w:sz w:val="18"/>
        </w:rPr>
        <w:t>use</w:t>
      </w:r>
      <w:r>
        <w:rPr>
          <w:spacing w:val="-3"/>
          <w:sz w:val="18"/>
        </w:rPr>
        <w:t xml:space="preserve"> </w:t>
      </w:r>
      <w:r>
        <w:rPr>
          <w:sz w:val="18"/>
        </w:rPr>
        <w:t>in</w:t>
      </w:r>
      <w:r>
        <w:rPr>
          <w:spacing w:val="-4"/>
          <w:sz w:val="18"/>
        </w:rPr>
        <w:t xml:space="preserve"> </w:t>
      </w:r>
      <w:r>
        <w:rPr>
          <w:sz w:val="18"/>
        </w:rPr>
        <w:t>primary</w:t>
      </w:r>
      <w:r>
        <w:rPr>
          <w:spacing w:val="-2"/>
          <w:sz w:val="18"/>
        </w:rPr>
        <w:t xml:space="preserve"> </w:t>
      </w:r>
      <w:r>
        <w:rPr>
          <w:sz w:val="18"/>
        </w:rPr>
        <w:t>care</w:t>
      </w:r>
      <w:r>
        <w:rPr>
          <w:spacing w:val="-4"/>
          <w:sz w:val="18"/>
        </w:rPr>
        <w:t xml:space="preserve"> </w:t>
      </w:r>
      <w:r>
        <w:rPr>
          <w:sz w:val="18"/>
        </w:rPr>
        <w:t>settings</w:t>
      </w:r>
      <w:r>
        <w:rPr>
          <w:spacing w:val="-3"/>
          <w:sz w:val="18"/>
        </w:rPr>
        <w:t xml:space="preserve"> </w:t>
      </w:r>
      <w:r>
        <w:rPr>
          <w:sz w:val="18"/>
        </w:rPr>
        <w:t>in adolescents aged 12-17 years of age</w:t>
      </w:r>
    </w:p>
    <w:p w14:paraId="7A4C2FF9" w14:textId="77777777" w:rsidR="00E13D3F" w:rsidRDefault="00E13D3F">
      <w:pPr>
        <w:rPr>
          <w:sz w:val="18"/>
        </w:rPr>
        <w:sectPr w:rsidR="00E13D3F">
          <w:pgSz w:w="11910" w:h="16840"/>
          <w:pgMar w:top="1380" w:right="0" w:bottom="1200" w:left="0" w:header="0" w:footer="1000" w:gutter="0"/>
          <w:cols w:space="720"/>
        </w:sectPr>
      </w:pPr>
    </w:p>
    <w:p w14:paraId="7A4C2FFA" w14:textId="77777777" w:rsidR="00E13D3F" w:rsidRDefault="00FB2D6A" w:rsidP="00990D2B">
      <w:pPr>
        <w:pStyle w:val="ListParagraph"/>
        <w:numPr>
          <w:ilvl w:val="0"/>
          <w:numId w:val="32"/>
        </w:numPr>
        <w:tabs>
          <w:tab w:val="left" w:pos="1688"/>
        </w:tabs>
        <w:spacing w:before="41" w:line="276" w:lineRule="auto"/>
        <w:ind w:right="1669" w:firstLine="0"/>
        <w:rPr>
          <w:i/>
          <w:sz w:val="24"/>
        </w:rPr>
      </w:pPr>
      <w:r>
        <w:rPr>
          <w:i/>
          <w:sz w:val="24"/>
        </w:rPr>
        <w:lastRenderedPageBreak/>
        <w:t>Evidence</w:t>
      </w:r>
      <w:r>
        <w:rPr>
          <w:i/>
          <w:spacing w:val="-2"/>
          <w:sz w:val="24"/>
        </w:rPr>
        <w:t xml:space="preserve"> </w:t>
      </w:r>
      <w:r>
        <w:rPr>
          <w:i/>
          <w:sz w:val="24"/>
        </w:rPr>
        <w:t>of</w:t>
      </w:r>
      <w:r>
        <w:rPr>
          <w:i/>
          <w:spacing w:val="-4"/>
          <w:sz w:val="24"/>
        </w:rPr>
        <w:t xml:space="preserve"> </w:t>
      </w:r>
      <w:r>
        <w:rPr>
          <w:i/>
          <w:sz w:val="24"/>
        </w:rPr>
        <w:t>the</w:t>
      </w:r>
      <w:r>
        <w:rPr>
          <w:i/>
          <w:spacing w:val="-2"/>
          <w:sz w:val="24"/>
        </w:rPr>
        <w:t xml:space="preserve"> </w:t>
      </w:r>
      <w:r>
        <w:rPr>
          <w:i/>
          <w:sz w:val="24"/>
        </w:rPr>
        <w:t>effect</w:t>
      </w:r>
      <w:r>
        <w:rPr>
          <w:i/>
          <w:spacing w:val="-6"/>
          <w:sz w:val="24"/>
        </w:rPr>
        <w:t xml:space="preserve"> </w:t>
      </w:r>
      <w:r>
        <w:rPr>
          <w:i/>
          <w:sz w:val="24"/>
        </w:rPr>
        <w:t>of</w:t>
      </w:r>
      <w:r>
        <w:rPr>
          <w:i/>
          <w:spacing w:val="-2"/>
          <w:sz w:val="24"/>
        </w:rPr>
        <w:t xml:space="preserve"> </w:t>
      </w:r>
      <w:r>
        <w:rPr>
          <w:i/>
          <w:sz w:val="24"/>
        </w:rPr>
        <w:t>alcohol</w:t>
      </w:r>
      <w:r>
        <w:rPr>
          <w:i/>
          <w:spacing w:val="-3"/>
          <w:sz w:val="24"/>
        </w:rPr>
        <w:t xml:space="preserve"> </w:t>
      </w:r>
      <w:r>
        <w:rPr>
          <w:i/>
          <w:sz w:val="24"/>
        </w:rPr>
        <w:t>restriction</w:t>
      </w:r>
      <w:r>
        <w:rPr>
          <w:i/>
          <w:spacing w:val="-4"/>
          <w:sz w:val="24"/>
        </w:rPr>
        <w:t xml:space="preserve"> </w:t>
      </w:r>
      <w:r>
        <w:rPr>
          <w:i/>
          <w:sz w:val="24"/>
        </w:rPr>
        <w:t>on</w:t>
      </w:r>
      <w:r>
        <w:rPr>
          <w:i/>
          <w:spacing w:val="-6"/>
          <w:sz w:val="24"/>
        </w:rPr>
        <w:t xml:space="preserve"> </w:t>
      </w:r>
      <w:r>
        <w:rPr>
          <w:i/>
          <w:sz w:val="24"/>
        </w:rPr>
        <w:t>CVD</w:t>
      </w:r>
      <w:r>
        <w:rPr>
          <w:i/>
          <w:spacing w:val="-2"/>
          <w:sz w:val="24"/>
        </w:rPr>
        <w:t xml:space="preserve"> </w:t>
      </w:r>
      <w:r>
        <w:rPr>
          <w:i/>
          <w:sz w:val="24"/>
        </w:rPr>
        <w:t>events,</w:t>
      </w:r>
      <w:r>
        <w:rPr>
          <w:i/>
          <w:spacing w:val="-2"/>
          <w:sz w:val="24"/>
        </w:rPr>
        <w:t xml:space="preserve"> </w:t>
      </w:r>
      <w:r>
        <w:rPr>
          <w:i/>
          <w:sz w:val="24"/>
        </w:rPr>
        <w:t>all-cause</w:t>
      </w:r>
      <w:r>
        <w:rPr>
          <w:i/>
          <w:spacing w:val="-2"/>
          <w:sz w:val="24"/>
        </w:rPr>
        <w:t xml:space="preserve"> </w:t>
      </w:r>
      <w:r>
        <w:rPr>
          <w:i/>
          <w:sz w:val="24"/>
        </w:rPr>
        <w:t>mortality</w:t>
      </w:r>
      <w:r>
        <w:rPr>
          <w:i/>
          <w:spacing w:val="-2"/>
          <w:sz w:val="24"/>
        </w:rPr>
        <w:t xml:space="preserve"> </w:t>
      </w:r>
      <w:r>
        <w:rPr>
          <w:i/>
          <w:sz w:val="24"/>
        </w:rPr>
        <w:t>and</w:t>
      </w:r>
      <w:r>
        <w:rPr>
          <w:i/>
          <w:spacing w:val="-4"/>
          <w:sz w:val="24"/>
        </w:rPr>
        <w:t xml:space="preserve"> </w:t>
      </w:r>
      <w:r>
        <w:rPr>
          <w:i/>
          <w:sz w:val="24"/>
        </w:rPr>
        <w:t xml:space="preserve">blood </w:t>
      </w:r>
      <w:r>
        <w:rPr>
          <w:i/>
          <w:spacing w:val="-2"/>
          <w:sz w:val="24"/>
        </w:rPr>
        <w:t>pressure</w:t>
      </w:r>
    </w:p>
    <w:p w14:paraId="7A4C2FFB" w14:textId="77777777" w:rsidR="00E13D3F" w:rsidRDefault="00FB2D6A">
      <w:pPr>
        <w:pStyle w:val="BodyText"/>
        <w:spacing w:before="1" w:line="276" w:lineRule="auto"/>
        <w:ind w:right="1519"/>
      </w:pPr>
      <w:r>
        <w:t xml:space="preserve">One systematic review of </w:t>
      </w:r>
      <w:proofErr w:type="spellStart"/>
      <w:r>
        <w:t>randomised</w:t>
      </w:r>
      <w:proofErr w:type="spellEnd"/>
      <w:r>
        <w:t xml:space="preserve"> controlled trials (AMSTAR rating 10/11) has assessed the effect of interventions to reduce alcohol intake compared to control or no intervention on blood pressure, mortality and CVD events in people who consume alcohol and have hypertension (5).</w:t>
      </w:r>
      <w:r>
        <w:rPr>
          <w:spacing w:val="40"/>
        </w:rPr>
        <w:t xml:space="preserve"> </w:t>
      </w:r>
      <w:r>
        <w:t>Low or very low-quality evidence (subgroup data from 1 trial) found interventions produced a statistically significant reduction in alcohol intake at 24 months follow-up</w:t>
      </w:r>
      <w:r>
        <w:rPr>
          <w:spacing w:val="-3"/>
        </w:rPr>
        <w:t xml:space="preserve"> </w:t>
      </w:r>
      <w:r>
        <w:t>(MD</w:t>
      </w:r>
      <w:r>
        <w:rPr>
          <w:spacing w:val="-4"/>
        </w:rPr>
        <w:t xml:space="preserve"> </w:t>
      </w:r>
      <w:r>
        <w:t>–191</w:t>
      </w:r>
      <w:r>
        <w:rPr>
          <w:spacing w:val="-5"/>
        </w:rPr>
        <w:t xml:space="preserve"> </w:t>
      </w:r>
      <w:r>
        <w:t>g</w:t>
      </w:r>
      <w:r>
        <w:rPr>
          <w:spacing w:val="-6"/>
        </w:rPr>
        <w:t xml:space="preserve"> </w:t>
      </w:r>
      <w:r>
        <w:t>difference</w:t>
      </w:r>
      <w:r>
        <w:rPr>
          <w:spacing w:val="-3"/>
        </w:rPr>
        <w:t xml:space="preserve"> </w:t>
      </w:r>
      <w:r>
        <w:t>between</w:t>
      </w:r>
      <w:r>
        <w:rPr>
          <w:spacing w:val="-3"/>
        </w:rPr>
        <w:t xml:space="preserve"> </w:t>
      </w:r>
      <w:r>
        <w:t>baseline</w:t>
      </w:r>
      <w:r>
        <w:rPr>
          <w:spacing w:val="-3"/>
        </w:rPr>
        <w:t xml:space="preserve"> </w:t>
      </w:r>
      <w:r>
        <w:t>and</w:t>
      </w:r>
      <w:r>
        <w:rPr>
          <w:spacing w:val="-3"/>
        </w:rPr>
        <w:t xml:space="preserve"> </w:t>
      </w:r>
      <w:r>
        <w:t>current</w:t>
      </w:r>
      <w:r>
        <w:rPr>
          <w:spacing w:val="-3"/>
        </w:rPr>
        <w:t xml:space="preserve"> </w:t>
      </w:r>
      <w:r>
        <w:t>consumption</w:t>
      </w:r>
      <w:r>
        <w:rPr>
          <w:spacing w:val="-2"/>
        </w:rPr>
        <w:t xml:space="preserve"> </w:t>
      </w:r>
      <w:r>
        <w:t>95% CI</w:t>
      </w:r>
      <w:r>
        <w:rPr>
          <w:spacing w:val="-4"/>
        </w:rPr>
        <w:t xml:space="preserve"> </w:t>
      </w:r>
      <w:r>
        <w:t>-85g</w:t>
      </w:r>
      <w:r>
        <w:rPr>
          <w:spacing w:val="-3"/>
        </w:rPr>
        <w:t xml:space="preserve"> </w:t>
      </w:r>
      <w:r>
        <w:t>to</w:t>
      </w:r>
    </w:p>
    <w:p w14:paraId="7A4C2FFC" w14:textId="77777777" w:rsidR="00E13D3F" w:rsidRDefault="00FB2D6A">
      <w:pPr>
        <w:pStyle w:val="BodyText"/>
        <w:spacing w:line="276" w:lineRule="auto"/>
        <w:ind w:right="1450"/>
      </w:pPr>
      <w:r>
        <w:t>-297g). There was no statistically significant difference between intervention and control groups</w:t>
      </w:r>
      <w:r>
        <w:rPr>
          <w:spacing w:val="-4"/>
        </w:rPr>
        <w:t xml:space="preserve"> </w:t>
      </w:r>
      <w:r>
        <w:t>in</w:t>
      </w:r>
      <w:r>
        <w:rPr>
          <w:spacing w:val="-3"/>
        </w:rPr>
        <w:t xml:space="preserve"> </w:t>
      </w:r>
      <w:r>
        <w:t>overall</w:t>
      </w:r>
      <w:r>
        <w:rPr>
          <w:spacing w:val="-3"/>
        </w:rPr>
        <w:t xml:space="preserve"> </w:t>
      </w:r>
      <w:r>
        <w:t>mortality</w:t>
      </w:r>
      <w:r>
        <w:rPr>
          <w:spacing w:val="-2"/>
        </w:rPr>
        <w:t xml:space="preserve"> </w:t>
      </w:r>
      <w:r>
        <w:t>(RR</w:t>
      </w:r>
      <w:r>
        <w:rPr>
          <w:spacing w:val="-3"/>
        </w:rPr>
        <w:t xml:space="preserve"> </w:t>
      </w:r>
      <w:r>
        <w:t>0.72</w:t>
      </w:r>
      <w:r>
        <w:rPr>
          <w:spacing w:val="-1"/>
        </w:rPr>
        <w:t xml:space="preserve"> </w:t>
      </w:r>
      <w:r>
        <w:t>95%CI</w:t>
      </w:r>
      <w:r>
        <w:rPr>
          <w:spacing w:val="-2"/>
        </w:rPr>
        <w:t xml:space="preserve"> </w:t>
      </w:r>
      <w:r>
        <w:t>0.16</w:t>
      </w:r>
      <w:r>
        <w:rPr>
          <w:spacing w:val="-3"/>
        </w:rPr>
        <w:t xml:space="preserve"> </w:t>
      </w:r>
      <w:r>
        <w:t>to</w:t>
      </w:r>
      <w:r>
        <w:rPr>
          <w:spacing w:val="-4"/>
        </w:rPr>
        <w:t xml:space="preserve"> </w:t>
      </w:r>
      <w:r>
        <w:t>3.17),</w:t>
      </w:r>
      <w:r>
        <w:rPr>
          <w:spacing w:val="-1"/>
        </w:rPr>
        <w:t xml:space="preserve"> </w:t>
      </w:r>
      <w:r>
        <w:t>cardiovascular</w:t>
      </w:r>
      <w:r>
        <w:rPr>
          <w:spacing w:val="-4"/>
        </w:rPr>
        <w:t xml:space="preserve"> </w:t>
      </w:r>
      <w:r>
        <w:t>events</w:t>
      </w:r>
      <w:r>
        <w:rPr>
          <w:spacing w:val="-2"/>
        </w:rPr>
        <w:t xml:space="preserve"> </w:t>
      </w:r>
      <w:r>
        <w:t>(RR</w:t>
      </w:r>
      <w:r>
        <w:rPr>
          <w:spacing w:val="-3"/>
        </w:rPr>
        <w:t xml:space="preserve"> </w:t>
      </w:r>
      <w:r>
        <w:t>0.80</w:t>
      </w:r>
      <w:r>
        <w:rPr>
          <w:spacing w:val="-1"/>
        </w:rPr>
        <w:t xml:space="preserve"> </w:t>
      </w:r>
      <w:r>
        <w:t>95%</w:t>
      </w:r>
    </w:p>
    <w:p w14:paraId="7A4C2FFD" w14:textId="77777777" w:rsidR="00E13D3F" w:rsidRDefault="00FB2D6A">
      <w:pPr>
        <w:pStyle w:val="BodyText"/>
        <w:spacing w:line="276" w:lineRule="auto"/>
        <w:ind w:right="1450"/>
      </w:pPr>
      <w:r>
        <w:t>CI</w:t>
      </w:r>
      <w:r>
        <w:rPr>
          <w:spacing w:val="-3"/>
        </w:rPr>
        <w:t xml:space="preserve"> </w:t>
      </w:r>
      <w:r>
        <w:t>0.36</w:t>
      </w:r>
      <w:r>
        <w:rPr>
          <w:spacing w:val="-2"/>
        </w:rPr>
        <w:t xml:space="preserve"> </w:t>
      </w:r>
      <w:r>
        <w:t>to</w:t>
      </w:r>
      <w:r>
        <w:rPr>
          <w:spacing w:val="-2"/>
        </w:rPr>
        <w:t xml:space="preserve"> </w:t>
      </w:r>
      <w:r>
        <w:t>1.79),</w:t>
      </w:r>
      <w:r>
        <w:rPr>
          <w:spacing w:val="-3"/>
        </w:rPr>
        <w:t xml:space="preserve"> </w:t>
      </w:r>
      <w:r>
        <w:t>and</w:t>
      </w:r>
      <w:r>
        <w:rPr>
          <w:spacing w:val="-1"/>
        </w:rPr>
        <w:t xml:space="preserve"> </w:t>
      </w:r>
      <w:r>
        <w:t>in</w:t>
      </w:r>
      <w:r>
        <w:rPr>
          <w:spacing w:val="-4"/>
        </w:rPr>
        <w:t xml:space="preserve"> </w:t>
      </w:r>
      <w:r>
        <w:t>blood</w:t>
      </w:r>
      <w:r>
        <w:rPr>
          <w:spacing w:val="-4"/>
        </w:rPr>
        <w:t xml:space="preserve"> </w:t>
      </w:r>
      <w:r>
        <w:t>pressure</w:t>
      </w:r>
      <w:r>
        <w:rPr>
          <w:spacing w:val="-2"/>
        </w:rPr>
        <w:t xml:space="preserve"> </w:t>
      </w:r>
      <w:r>
        <w:t>reduction</w:t>
      </w:r>
      <w:r>
        <w:rPr>
          <w:spacing w:val="-4"/>
        </w:rPr>
        <w:t xml:space="preserve"> </w:t>
      </w:r>
      <w:r>
        <w:t>(SBP</w:t>
      </w:r>
      <w:r>
        <w:rPr>
          <w:spacing w:val="-2"/>
        </w:rPr>
        <w:t xml:space="preserve"> </w:t>
      </w:r>
      <w:r>
        <w:t>MD -0.9,</w:t>
      </w:r>
      <w:r>
        <w:rPr>
          <w:spacing w:val="-3"/>
        </w:rPr>
        <w:t xml:space="preserve"> </w:t>
      </w:r>
      <w:r>
        <w:t>95% CI</w:t>
      </w:r>
      <w:r>
        <w:rPr>
          <w:spacing w:val="-5"/>
        </w:rPr>
        <w:t xml:space="preserve"> </w:t>
      </w:r>
      <w:r>
        <w:t>-5.7</w:t>
      </w:r>
      <w:r>
        <w:rPr>
          <w:spacing w:val="-4"/>
        </w:rPr>
        <w:t xml:space="preserve"> </w:t>
      </w:r>
      <w:r>
        <w:t>to</w:t>
      </w:r>
      <w:r>
        <w:rPr>
          <w:spacing w:val="-5"/>
        </w:rPr>
        <w:t xml:space="preserve"> </w:t>
      </w:r>
      <w:r>
        <w:t>3.8,</w:t>
      </w:r>
      <w:r>
        <w:rPr>
          <w:spacing w:val="-5"/>
        </w:rPr>
        <w:t xml:space="preserve"> </w:t>
      </w:r>
      <w:r>
        <w:t>P=0.70, very low-quality evidence; DBP MD 1.0, 95%CI -1.7 to 3.7, P=0.47, low quality evidence) (Table 6.2).</w:t>
      </w:r>
    </w:p>
    <w:p w14:paraId="7A4C2FFE" w14:textId="77777777" w:rsidR="00E13D3F" w:rsidRDefault="00FB2D6A">
      <w:pPr>
        <w:pStyle w:val="BodyText"/>
        <w:spacing w:line="276" w:lineRule="auto"/>
        <w:ind w:right="1480"/>
      </w:pPr>
      <w:r>
        <w:t>A</w:t>
      </w:r>
      <w:r>
        <w:rPr>
          <w:spacing w:val="-2"/>
        </w:rPr>
        <w:t xml:space="preserve"> </w:t>
      </w:r>
      <w:r>
        <w:t>second</w:t>
      </w:r>
      <w:r>
        <w:rPr>
          <w:spacing w:val="-2"/>
        </w:rPr>
        <w:t xml:space="preserve"> </w:t>
      </w:r>
      <w:r>
        <w:t>systematic</w:t>
      </w:r>
      <w:r>
        <w:rPr>
          <w:spacing w:val="-3"/>
        </w:rPr>
        <w:t xml:space="preserve"> </w:t>
      </w:r>
      <w:r>
        <w:t>review</w:t>
      </w:r>
      <w:r>
        <w:rPr>
          <w:spacing w:val="-1"/>
        </w:rPr>
        <w:t xml:space="preserve"> </w:t>
      </w:r>
      <w:r>
        <w:t>of</w:t>
      </w:r>
      <w:r>
        <w:rPr>
          <w:spacing w:val="-2"/>
        </w:rPr>
        <w:t xml:space="preserve"> </w:t>
      </w:r>
      <w:proofErr w:type="spellStart"/>
      <w:r>
        <w:t>randomised</w:t>
      </w:r>
      <w:proofErr w:type="spellEnd"/>
      <w:r>
        <w:rPr>
          <w:spacing w:val="-4"/>
        </w:rPr>
        <w:t xml:space="preserve"> </w:t>
      </w:r>
      <w:r>
        <w:t>controlled</w:t>
      </w:r>
      <w:r>
        <w:rPr>
          <w:spacing w:val="-4"/>
        </w:rPr>
        <w:t xml:space="preserve"> </w:t>
      </w:r>
      <w:r>
        <w:t>trials</w:t>
      </w:r>
      <w:r>
        <w:rPr>
          <w:spacing w:val="-5"/>
        </w:rPr>
        <w:t xml:space="preserve"> </w:t>
      </w:r>
      <w:r>
        <w:t>(AMSTAR</w:t>
      </w:r>
      <w:r>
        <w:rPr>
          <w:spacing w:val="-5"/>
        </w:rPr>
        <w:t xml:space="preserve"> </w:t>
      </w:r>
      <w:r>
        <w:t>8/11)</w:t>
      </w:r>
      <w:r>
        <w:rPr>
          <w:spacing w:val="-3"/>
        </w:rPr>
        <w:t xml:space="preserve"> </w:t>
      </w:r>
      <w:r>
        <w:t>has</w:t>
      </w:r>
      <w:r>
        <w:rPr>
          <w:spacing w:val="-3"/>
        </w:rPr>
        <w:t xml:space="preserve"> </w:t>
      </w:r>
      <w:r>
        <w:t>assessed</w:t>
      </w:r>
      <w:r>
        <w:rPr>
          <w:spacing w:val="-4"/>
        </w:rPr>
        <w:t xml:space="preserve"> </w:t>
      </w:r>
      <w:r>
        <w:t>the effect of interventions to reduce alcohol consumption on changes in blood pressure in adults</w:t>
      </w:r>
      <w:r>
        <w:rPr>
          <w:spacing w:val="-2"/>
        </w:rPr>
        <w:t xml:space="preserve"> </w:t>
      </w:r>
      <w:r>
        <w:t>of mixed</w:t>
      </w:r>
      <w:r>
        <w:rPr>
          <w:spacing w:val="-1"/>
        </w:rPr>
        <w:t xml:space="preserve"> </w:t>
      </w:r>
      <w:r>
        <w:t>hypertension statuses</w:t>
      </w:r>
      <w:r>
        <w:rPr>
          <w:spacing w:val="-2"/>
        </w:rPr>
        <w:t xml:space="preserve"> </w:t>
      </w:r>
      <w:r>
        <w:t>(hypertensive,</w:t>
      </w:r>
      <w:r>
        <w:rPr>
          <w:spacing w:val="-2"/>
        </w:rPr>
        <w:t xml:space="preserve"> </w:t>
      </w:r>
      <w:r>
        <w:t>normotensive,</w:t>
      </w:r>
      <w:r>
        <w:rPr>
          <w:spacing w:val="-2"/>
        </w:rPr>
        <w:t xml:space="preserve"> </w:t>
      </w:r>
      <w:r>
        <w:t>mixed)</w:t>
      </w:r>
      <w:r>
        <w:rPr>
          <w:spacing w:val="-3"/>
        </w:rPr>
        <w:t xml:space="preserve"> </w:t>
      </w:r>
      <w:r>
        <w:t>(6).</w:t>
      </w:r>
      <w:r>
        <w:rPr>
          <w:spacing w:val="40"/>
        </w:rPr>
        <w:t xml:space="preserve"> </w:t>
      </w:r>
      <w:r>
        <w:t>Low</w:t>
      </w:r>
      <w:r>
        <w:rPr>
          <w:spacing w:val="-2"/>
        </w:rPr>
        <w:t xml:space="preserve"> </w:t>
      </w:r>
      <w:r>
        <w:t>quality evidence has found that on average, reduced alcohol consumption resulted in a statistically significant reduction in systolic blood pressure and diastolic blood pressure (SBP MD -3.1 mmHg 95%C -3.9 to -2.3; DBP MD -2.0 mmHg 95%CI -2.7 to -1.4) though heterogeneity between studies was high. Analysis according to baseline consumption found the more alcohol participants consumed at baseline, the more substantial the blood pressure lowering effect.</w:t>
      </w:r>
    </w:p>
    <w:p w14:paraId="7A4C2FFF" w14:textId="77777777" w:rsidR="00E13D3F" w:rsidRDefault="00E13D3F">
      <w:pPr>
        <w:pStyle w:val="BodyText"/>
        <w:spacing w:before="73"/>
        <w:ind w:left="0"/>
      </w:pPr>
    </w:p>
    <w:p w14:paraId="7A4C3000" w14:textId="77777777" w:rsidR="00E13D3F" w:rsidRDefault="00FB2D6A">
      <w:pPr>
        <w:ind w:left="1440" w:right="1137"/>
      </w:pPr>
      <w:r>
        <w:rPr>
          <w:b/>
        </w:rPr>
        <w:t>Table</w:t>
      </w:r>
      <w:r>
        <w:rPr>
          <w:b/>
          <w:spacing w:val="-3"/>
        </w:rPr>
        <w:t xml:space="preserve"> </w:t>
      </w:r>
      <w:r>
        <w:rPr>
          <w:b/>
        </w:rPr>
        <w:t>6.2:</w:t>
      </w:r>
      <w:r>
        <w:rPr>
          <w:b/>
          <w:spacing w:val="-2"/>
        </w:rPr>
        <w:t xml:space="preserve"> </w:t>
      </w:r>
      <w:r>
        <w:t>Summary</w:t>
      </w:r>
      <w:r>
        <w:rPr>
          <w:spacing w:val="-4"/>
        </w:rPr>
        <w:t xml:space="preserve"> </w:t>
      </w:r>
      <w:r>
        <w:t>of</w:t>
      </w:r>
      <w:r>
        <w:rPr>
          <w:spacing w:val="-4"/>
        </w:rPr>
        <w:t xml:space="preserve"> </w:t>
      </w:r>
      <w:r>
        <w:t>outcomes</w:t>
      </w:r>
      <w:r>
        <w:rPr>
          <w:spacing w:val="-1"/>
        </w:rPr>
        <w:t xml:space="preserve"> </w:t>
      </w:r>
      <w:r>
        <w:t>for</w:t>
      </w:r>
      <w:r>
        <w:rPr>
          <w:spacing w:val="-4"/>
        </w:rPr>
        <w:t xml:space="preserve"> </w:t>
      </w:r>
      <w:r>
        <w:t>alcohol</w:t>
      </w:r>
      <w:r>
        <w:rPr>
          <w:spacing w:val="-2"/>
        </w:rPr>
        <w:t xml:space="preserve"> </w:t>
      </w:r>
      <w:r>
        <w:t>restriction</w:t>
      </w:r>
      <w:r>
        <w:rPr>
          <w:spacing w:val="-3"/>
        </w:rPr>
        <w:t xml:space="preserve"> </w:t>
      </w:r>
      <w:r>
        <w:t>versus</w:t>
      </w:r>
      <w:r>
        <w:rPr>
          <w:spacing w:val="-5"/>
        </w:rPr>
        <w:t xml:space="preserve"> </w:t>
      </w:r>
      <w:r>
        <w:t>control</w:t>
      </w:r>
      <w:r>
        <w:rPr>
          <w:spacing w:val="-4"/>
        </w:rPr>
        <w:t xml:space="preserve"> </w:t>
      </w:r>
      <w:r>
        <w:t>for</w:t>
      </w:r>
      <w:r>
        <w:rPr>
          <w:spacing w:val="-2"/>
        </w:rPr>
        <w:t xml:space="preserve"> </w:t>
      </w:r>
      <w:r>
        <w:t>patients</w:t>
      </w:r>
      <w:r>
        <w:rPr>
          <w:spacing w:val="-2"/>
        </w:rPr>
        <w:t xml:space="preserve"> </w:t>
      </w:r>
      <w:r>
        <w:t>with</w:t>
      </w:r>
      <w:r>
        <w:rPr>
          <w:spacing w:val="-3"/>
        </w:rPr>
        <w:t xml:space="preserve"> </w:t>
      </w:r>
      <w:r>
        <w:t xml:space="preserve">hypertension from the reviews of </w:t>
      </w:r>
      <w:proofErr w:type="spellStart"/>
      <w:r>
        <w:t>Acin</w:t>
      </w:r>
      <w:proofErr w:type="spellEnd"/>
      <w:r>
        <w:t xml:space="preserve"> et al, 2020 and </w:t>
      </w:r>
      <w:proofErr w:type="spellStart"/>
      <w:r>
        <w:t>Roereck</w:t>
      </w:r>
      <w:proofErr w:type="spellEnd"/>
      <w:r>
        <w:t xml:space="preserve"> et al, 2017</w:t>
      </w:r>
    </w:p>
    <w:tbl>
      <w:tblPr>
        <w:tblW w:w="0" w:type="auto"/>
        <w:tblInd w:w="145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1613"/>
        <w:gridCol w:w="958"/>
        <w:gridCol w:w="1049"/>
        <w:gridCol w:w="1152"/>
        <w:gridCol w:w="1361"/>
        <w:gridCol w:w="1034"/>
        <w:gridCol w:w="1851"/>
      </w:tblGrid>
      <w:tr w:rsidR="00E13D3F" w14:paraId="7A4C3009" w14:textId="77777777">
        <w:trPr>
          <w:trHeight w:val="489"/>
        </w:trPr>
        <w:tc>
          <w:tcPr>
            <w:tcW w:w="1613" w:type="dxa"/>
            <w:vMerge w:val="restart"/>
          </w:tcPr>
          <w:p w14:paraId="7A4C3001" w14:textId="77777777" w:rsidR="00E13D3F" w:rsidRDefault="00FB2D6A">
            <w:pPr>
              <w:pStyle w:val="TableParagraph"/>
              <w:spacing w:before="1"/>
              <w:ind w:left="359"/>
              <w:rPr>
                <w:b/>
                <w:sz w:val="20"/>
              </w:rPr>
            </w:pPr>
            <w:r>
              <w:rPr>
                <w:b/>
                <w:spacing w:val="-2"/>
                <w:sz w:val="20"/>
              </w:rPr>
              <w:t>Outcomes</w:t>
            </w:r>
          </w:p>
        </w:tc>
        <w:tc>
          <w:tcPr>
            <w:tcW w:w="958" w:type="dxa"/>
            <w:vMerge w:val="restart"/>
          </w:tcPr>
          <w:p w14:paraId="7A4C3002" w14:textId="77777777" w:rsidR="00E13D3F" w:rsidRDefault="00FB2D6A">
            <w:pPr>
              <w:pStyle w:val="TableParagraph"/>
              <w:spacing w:before="1"/>
              <w:ind w:left="11" w:right="43"/>
              <w:jc w:val="center"/>
              <w:rPr>
                <w:b/>
                <w:sz w:val="20"/>
              </w:rPr>
            </w:pPr>
            <w:r>
              <w:rPr>
                <w:b/>
                <w:spacing w:val="-4"/>
                <w:sz w:val="20"/>
              </w:rPr>
              <w:t>RCTs</w:t>
            </w:r>
          </w:p>
          <w:p w14:paraId="7A4C3003" w14:textId="77777777" w:rsidR="00E13D3F" w:rsidRDefault="00FB2D6A">
            <w:pPr>
              <w:pStyle w:val="TableParagraph"/>
              <w:spacing w:before="1"/>
              <w:ind w:left="11" w:right="45"/>
              <w:jc w:val="center"/>
              <w:rPr>
                <w:b/>
                <w:sz w:val="20"/>
              </w:rPr>
            </w:pPr>
            <w:r>
              <w:rPr>
                <w:b/>
                <w:spacing w:val="-2"/>
                <w:sz w:val="20"/>
              </w:rPr>
              <w:t>(people)</w:t>
            </w:r>
          </w:p>
        </w:tc>
        <w:tc>
          <w:tcPr>
            <w:tcW w:w="2201" w:type="dxa"/>
            <w:gridSpan w:val="2"/>
          </w:tcPr>
          <w:p w14:paraId="7A4C3004" w14:textId="77777777" w:rsidR="00E13D3F" w:rsidRDefault="00FB2D6A">
            <w:pPr>
              <w:pStyle w:val="TableParagraph"/>
              <w:spacing w:line="240" w:lineRule="atLeast"/>
              <w:ind w:left="842" w:right="224" w:hanging="610"/>
              <w:rPr>
                <w:b/>
                <w:sz w:val="20"/>
              </w:rPr>
            </w:pPr>
            <w:r>
              <w:rPr>
                <w:b/>
                <w:sz w:val="20"/>
              </w:rPr>
              <w:t>Absolute</w:t>
            </w:r>
            <w:r>
              <w:rPr>
                <w:b/>
                <w:spacing w:val="-12"/>
                <w:sz w:val="20"/>
              </w:rPr>
              <w:t xml:space="preserve"> </w:t>
            </w:r>
            <w:r>
              <w:rPr>
                <w:b/>
                <w:sz w:val="20"/>
              </w:rPr>
              <w:t>effects</w:t>
            </w:r>
            <w:r>
              <w:rPr>
                <w:b/>
                <w:spacing w:val="-11"/>
                <w:sz w:val="20"/>
              </w:rPr>
              <w:t xml:space="preserve"> </w:t>
            </w:r>
            <w:r>
              <w:rPr>
                <w:b/>
                <w:sz w:val="20"/>
              </w:rPr>
              <w:t xml:space="preserve">(per </w:t>
            </w:r>
            <w:r>
              <w:rPr>
                <w:b/>
                <w:spacing w:val="-2"/>
                <w:sz w:val="20"/>
              </w:rPr>
              <w:t>1000)</w:t>
            </w:r>
          </w:p>
        </w:tc>
        <w:tc>
          <w:tcPr>
            <w:tcW w:w="1361" w:type="dxa"/>
            <w:vMerge w:val="restart"/>
          </w:tcPr>
          <w:p w14:paraId="7A4C3005" w14:textId="77777777" w:rsidR="00E13D3F" w:rsidRDefault="00FB2D6A">
            <w:pPr>
              <w:pStyle w:val="TableParagraph"/>
              <w:spacing w:before="1"/>
              <w:ind w:left="268" w:right="352" w:firstLine="94"/>
              <w:jc w:val="center"/>
              <w:rPr>
                <w:b/>
                <w:sz w:val="20"/>
              </w:rPr>
            </w:pPr>
            <w:r>
              <w:rPr>
                <w:b/>
                <w:spacing w:val="-2"/>
                <w:sz w:val="20"/>
              </w:rPr>
              <w:t xml:space="preserve">Effect estimate </w:t>
            </w:r>
            <w:r>
              <w:rPr>
                <w:b/>
                <w:sz w:val="20"/>
              </w:rPr>
              <w:t>(95% CI)</w:t>
            </w:r>
          </w:p>
        </w:tc>
        <w:tc>
          <w:tcPr>
            <w:tcW w:w="1034" w:type="dxa"/>
            <w:vMerge w:val="restart"/>
          </w:tcPr>
          <w:p w14:paraId="7A4C3006" w14:textId="77777777" w:rsidR="00E13D3F" w:rsidRDefault="00FB2D6A">
            <w:pPr>
              <w:pStyle w:val="TableParagraph"/>
              <w:spacing w:before="1"/>
              <w:ind w:left="146" w:right="135" w:firstLine="1"/>
              <w:jc w:val="center"/>
              <w:rPr>
                <w:b/>
                <w:sz w:val="20"/>
              </w:rPr>
            </w:pPr>
            <w:r>
              <w:rPr>
                <w:b/>
                <w:spacing w:val="-2"/>
                <w:sz w:val="20"/>
              </w:rPr>
              <w:t xml:space="preserve">Quality </w:t>
            </w:r>
            <w:r>
              <w:rPr>
                <w:b/>
                <w:spacing w:val="-6"/>
                <w:sz w:val="20"/>
              </w:rPr>
              <w:t>of</w:t>
            </w:r>
            <w:r>
              <w:rPr>
                <w:b/>
                <w:spacing w:val="-2"/>
                <w:sz w:val="20"/>
              </w:rPr>
              <w:t xml:space="preserve"> Evidence</w:t>
            </w:r>
          </w:p>
          <w:p w14:paraId="7A4C3007" w14:textId="77777777" w:rsidR="00E13D3F" w:rsidRDefault="00FB2D6A">
            <w:pPr>
              <w:pStyle w:val="TableParagraph"/>
              <w:spacing w:line="223" w:lineRule="exact"/>
              <w:ind w:right="38"/>
              <w:jc w:val="center"/>
              <w:rPr>
                <w:b/>
                <w:sz w:val="20"/>
              </w:rPr>
            </w:pPr>
            <w:r>
              <w:rPr>
                <w:b/>
                <w:spacing w:val="-2"/>
                <w:sz w:val="20"/>
              </w:rPr>
              <w:t>GRADE*</w:t>
            </w:r>
          </w:p>
        </w:tc>
        <w:tc>
          <w:tcPr>
            <w:tcW w:w="1851" w:type="dxa"/>
            <w:vMerge w:val="restart"/>
          </w:tcPr>
          <w:p w14:paraId="7A4C3008" w14:textId="77777777" w:rsidR="00E13D3F" w:rsidRDefault="00FB2D6A">
            <w:pPr>
              <w:pStyle w:val="TableParagraph"/>
              <w:spacing w:before="1"/>
              <w:ind w:left="454"/>
              <w:rPr>
                <w:b/>
                <w:sz w:val="20"/>
              </w:rPr>
            </w:pPr>
            <w:r>
              <w:rPr>
                <w:b/>
                <w:spacing w:val="-2"/>
                <w:sz w:val="20"/>
              </w:rPr>
              <w:t>Comments</w:t>
            </w:r>
          </w:p>
        </w:tc>
      </w:tr>
      <w:tr w:rsidR="00E13D3F" w14:paraId="7A4C3011" w14:textId="77777777">
        <w:trPr>
          <w:trHeight w:val="477"/>
        </w:trPr>
        <w:tc>
          <w:tcPr>
            <w:tcW w:w="1613" w:type="dxa"/>
            <w:vMerge/>
            <w:tcBorders>
              <w:top w:val="nil"/>
            </w:tcBorders>
          </w:tcPr>
          <w:p w14:paraId="7A4C300A" w14:textId="77777777" w:rsidR="00E13D3F" w:rsidRDefault="00E13D3F">
            <w:pPr>
              <w:rPr>
                <w:sz w:val="2"/>
                <w:szCs w:val="2"/>
              </w:rPr>
            </w:pPr>
          </w:p>
        </w:tc>
        <w:tc>
          <w:tcPr>
            <w:tcW w:w="958" w:type="dxa"/>
            <w:vMerge/>
            <w:tcBorders>
              <w:top w:val="nil"/>
            </w:tcBorders>
          </w:tcPr>
          <w:p w14:paraId="7A4C300B" w14:textId="77777777" w:rsidR="00E13D3F" w:rsidRDefault="00E13D3F">
            <w:pPr>
              <w:rPr>
                <w:sz w:val="2"/>
                <w:szCs w:val="2"/>
              </w:rPr>
            </w:pPr>
          </w:p>
        </w:tc>
        <w:tc>
          <w:tcPr>
            <w:tcW w:w="1049" w:type="dxa"/>
            <w:shd w:val="clear" w:color="auto" w:fill="F1F1F1"/>
          </w:tcPr>
          <w:p w14:paraId="7A4C300C" w14:textId="77777777" w:rsidR="00E13D3F" w:rsidRDefault="00FB2D6A">
            <w:pPr>
              <w:pStyle w:val="TableParagraph"/>
              <w:spacing w:before="1"/>
              <w:ind w:left="2" w:right="36"/>
              <w:jc w:val="center"/>
              <w:rPr>
                <w:b/>
                <w:sz w:val="20"/>
              </w:rPr>
            </w:pPr>
            <w:r>
              <w:rPr>
                <w:b/>
                <w:spacing w:val="-5"/>
                <w:sz w:val="20"/>
              </w:rPr>
              <w:t>CBT</w:t>
            </w:r>
          </w:p>
        </w:tc>
        <w:tc>
          <w:tcPr>
            <w:tcW w:w="1152" w:type="dxa"/>
            <w:shd w:val="clear" w:color="auto" w:fill="F1F1F1"/>
          </w:tcPr>
          <w:p w14:paraId="7A4C300D" w14:textId="77777777" w:rsidR="00E13D3F" w:rsidRDefault="00FB2D6A">
            <w:pPr>
              <w:pStyle w:val="TableParagraph"/>
              <w:spacing w:before="1"/>
              <w:ind w:left="2" w:right="34"/>
              <w:jc w:val="center"/>
              <w:rPr>
                <w:b/>
                <w:sz w:val="20"/>
              </w:rPr>
            </w:pPr>
            <w:r>
              <w:rPr>
                <w:b/>
                <w:spacing w:val="-2"/>
                <w:sz w:val="20"/>
              </w:rPr>
              <w:t>Control</w:t>
            </w:r>
          </w:p>
        </w:tc>
        <w:tc>
          <w:tcPr>
            <w:tcW w:w="1361" w:type="dxa"/>
            <w:vMerge/>
            <w:tcBorders>
              <w:top w:val="nil"/>
            </w:tcBorders>
          </w:tcPr>
          <w:p w14:paraId="7A4C300E" w14:textId="77777777" w:rsidR="00E13D3F" w:rsidRDefault="00E13D3F">
            <w:pPr>
              <w:rPr>
                <w:sz w:val="2"/>
                <w:szCs w:val="2"/>
              </w:rPr>
            </w:pPr>
          </w:p>
        </w:tc>
        <w:tc>
          <w:tcPr>
            <w:tcW w:w="1034" w:type="dxa"/>
            <w:vMerge/>
            <w:tcBorders>
              <w:top w:val="nil"/>
            </w:tcBorders>
          </w:tcPr>
          <w:p w14:paraId="7A4C300F" w14:textId="77777777" w:rsidR="00E13D3F" w:rsidRDefault="00E13D3F">
            <w:pPr>
              <w:rPr>
                <w:sz w:val="2"/>
                <w:szCs w:val="2"/>
              </w:rPr>
            </w:pPr>
          </w:p>
        </w:tc>
        <w:tc>
          <w:tcPr>
            <w:tcW w:w="1851" w:type="dxa"/>
            <w:vMerge/>
            <w:tcBorders>
              <w:top w:val="nil"/>
            </w:tcBorders>
          </w:tcPr>
          <w:p w14:paraId="7A4C3010" w14:textId="77777777" w:rsidR="00E13D3F" w:rsidRDefault="00E13D3F">
            <w:pPr>
              <w:rPr>
                <w:sz w:val="2"/>
                <w:szCs w:val="2"/>
              </w:rPr>
            </w:pPr>
          </w:p>
        </w:tc>
      </w:tr>
      <w:tr w:rsidR="00E13D3F" w14:paraId="7A4C3013" w14:textId="77777777">
        <w:trPr>
          <w:trHeight w:val="244"/>
        </w:trPr>
        <w:tc>
          <w:tcPr>
            <w:tcW w:w="9018" w:type="dxa"/>
            <w:gridSpan w:val="7"/>
          </w:tcPr>
          <w:p w14:paraId="7A4C3012" w14:textId="77777777" w:rsidR="00E13D3F" w:rsidRDefault="00FB2D6A">
            <w:pPr>
              <w:pStyle w:val="TableParagraph"/>
              <w:spacing w:before="1" w:line="223" w:lineRule="exact"/>
              <w:ind w:left="107"/>
              <w:rPr>
                <w:b/>
                <w:sz w:val="20"/>
              </w:rPr>
            </w:pPr>
            <w:r>
              <w:rPr>
                <w:b/>
                <w:sz w:val="20"/>
              </w:rPr>
              <w:t>Study</w:t>
            </w:r>
            <w:r>
              <w:rPr>
                <w:b/>
                <w:spacing w:val="-4"/>
                <w:sz w:val="20"/>
              </w:rPr>
              <w:t xml:space="preserve"> </w:t>
            </w:r>
            <w:r>
              <w:rPr>
                <w:b/>
                <w:sz w:val="20"/>
              </w:rPr>
              <w:t>1</w:t>
            </w:r>
            <w:r>
              <w:rPr>
                <w:b/>
                <w:spacing w:val="-2"/>
                <w:sz w:val="20"/>
              </w:rPr>
              <w:t xml:space="preserve"> </w:t>
            </w:r>
            <w:r>
              <w:rPr>
                <w:b/>
                <w:sz w:val="20"/>
              </w:rPr>
              <w:t>–</w:t>
            </w:r>
            <w:r>
              <w:rPr>
                <w:b/>
                <w:spacing w:val="-4"/>
                <w:sz w:val="20"/>
              </w:rPr>
              <w:t xml:space="preserve"> </w:t>
            </w:r>
            <w:proofErr w:type="spellStart"/>
            <w:r>
              <w:rPr>
                <w:b/>
                <w:sz w:val="20"/>
              </w:rPr>
              <w:t>Acin</w:t>
            </w:r>
            <w:proofErr w:type="spellEnd"/>
            <w:r>
              <w:rPr>
                <w:b/>
                <w:spacing w:val="-3"/>
                <w:sz w:val="20"/>
              </w:rPr>
              <w:t xml:space="preserve"> </w:t>
            </w:r>
            <w:r>
              <w:rPr>
                <w:b/>
                <w:sz w:val="20"/>
              </w:rPr>
              <w:t>2020,</w:t>
            </w:r>
            <w:r>
              <w:rPr>
                <w:b/>
                <w:spacing w:val="-5"/>
                <w:sz w:val="20"/>
              </w:rPr>
              <w:t xml:space="preserve"> </w:t>
            </w:r>
            <w:r>
              <w:rPr>
                <w:b/>
                <w:sz w:val="20"/>
              </w:rPr>
              <w:t>CVD</w:t>
            </w:r>
            <w:r>
              <w:rPr>
                <w:b/>
                <w:spacing w:val="-5"/>
                <w:sz w:val="20"/>
              </w:rPr>
              <w:t xml:space="preserve"> </w:t>
            </w:r>
            <w:r>
              <w:rPr>
                <w:b/>
                <w:spacing w:val="-2"/>
                <w:sz w:val="20"/>
              </w:rPr>
              <w:t>Events</w:t>
            </w:r>
          </w:p>
        </w:tc>
      </w:tr>
      <w:tr w:rsidR="00E13D3F" w14:paraId="7A4C301B" w14:textId="77777777">
        <w:trPr>
          <w:trHeight w:val="264"/>
        </w:trPr>
        <w:tc>
          <w:tcPr>
            <w:tcW w:w="1613" w:type="dxa"/>
            <w:tcBorders>
              <w:bottom w:val="nil"/>
            </w:tcBorders>
            <w:shd w:val="clear" w:color="auto" w:fill="F1F1F1"/>
          </w:tcPr>
          <w:p w14:paraId="7A4C3014" w14:textId="77777777" w:rsidR="00E13D3F" w:rsidRDefault="00FB2D6A">
            <w:pPr>
              <w:pStyle w:val="TableParagraph"/>
              <w:spacing w:before="1" w:line="243" w:lineRule="exact"/>
              <w:ind w:left="107"/>
              <w:rPr>
                <w:b/>
                <w:sz w:val="20"/>
              </w:rPr>
            </w:pPr>
            <w:r>
              <w:rPr>
                <w:b/>
                <w:spacing w:val="-2"/>
                <w:sz w:val="20"/>
              </w:rPr>
              <w:t>All-</w:t>
            </w:r>
            <w:r>
              <w:rPr>
                <w:b/>
                <w:spacing w:val="-4"/>
                <w:sz w:val="20"/>
              </w:rPr>
              <w:t>cause</w:t>
            </w:r>
          </w:p>
        </w:tc>
        <w:tc>
          <w:tcPr>
            <w:tcW w:w="958" w:type="dxa"/>
            <w:tcBorders>
              <w:bottom w:val="nil"/>
            </w:tcBorders>
            <w:shd w:val="clear" w:color="auto" w:fill="F1F1F1"/>
          </w:tcPr>
          <w:p w14:paraId="7A4C3015" w14:textId="77777777" w:rsidR="00E13D3F" w:rsidRDefault="00FB2D6A">
            <w:pPr>
              <w:pStyle w:val="TableParagraph"/>
              <w:spacing w:before="1" w:line="243" w:lineRule="exact"/>
              <w:ind w:left="11" w:right="45"/>
              <w:jc w:val="center"/>
              <w:rPr>
                <w:sz w:val="20"/>
              </w:rPr>
            </w:pPr>
            <w:r>
              <w:rPr>
                <w:spacing w:val="-10"/>
                <w:sz w:val="20"/>
              </w:rPr>
              <w:t>1</w:t>
            </w:r>
          </w:p>
        </w:tc>
        <w:tc>
          <w:tcPr>
            <w:tcW w:w="1049" w:type="dxa"/>
            <w:tcBorders>
              <w:bottom w:val="nil"/>
            </w:tcBorders>
            <w:shd w:val="clear" w:color="auto" w:fill="F1F1F1"/>
          </w:tcPr>
          <w:p w14:paraId="7A4C3016" w14:textId="77777777" w:rsidR="00E13D3F" w:rsidRDefault="00FB2D6A">
            <w:pPr>
              <w:pStyle w:val="TableParagraph"/>
              <w:spacing w:before="1" w:line="243" w:lineRule="exact"/>
              <w:ind w:right="36"/>
              <w:jc w:val="center"/>
              <w:rPr>
                <w:sz w:val="20"/>
              </w:rPr>
            </w:pPr>
            <w:r>
              <w:rPr>
                <w:spacing w:val="-2"/>
                <w:sz w:val="20"/>
              </w:rPr>
              <w:t>22/1000</w:t>
            </w:r>
          </w:p>
        </w:tc>
        <w:tc>
          <w:tcPr>
            <w:tcW w:w="1152" w:type="dxa"/>
            <w:tcBorders>
              <w:bottom w:val="nil"/>
            </w:tcBorders>
            <w:shd w:val="clear" w:color="auto" w:fill="F1F1F1"/>
          </w:tcPr>
          <w:p w14:paraId="7A4C3017" w14:textId="77777777" w:rsidR="00E13D3F" w:rsidRDefault="00FB2D6A">
            <w:pPr>
              <w:pStyle w:val="TableParagraph"/>
              <w:spacing w:before="1" w:line="243" w:lineRule="exact"/>
              <w:ind w:right="34"/>
              <w:jc w:val="center"/>
              <w:rPr>
                <w:sz w:val="20"/>
              </w:rPr>
            </w:pPr>
            <w:r>
              <w:rPr>
                <w:spacing w:val="-2"/>
                <w:sz w:val="20"/>
              </w:rPr>
              <w:t>30/1000</w:t>
            </w:r>
          </w:p>
        </w:tc>
        <w:tc>
          <w:tcPr>
            <w:tcW w:w="1361" w:type="dxa"/>
            <w:tcBorders>
              <w:bottom w:val="nil"/>
            </w:tcBorders>
            <w:shd w:val="clear" w:color="auto" w:fill="F1F1F1"/>
          </w:tcPr>
          <w:p w14:paraId="7A4C3018" w14:textId="77777777" w:rsidR="00E13D3F" w:rsidRDefault="00FB2D6A">
            <w:pPr>
              <w:pStyle w:val="TableParagraph"/>
              <w:spacing w:before="1" w:line="243" w:lineRule="exact"/>
              <w:ind w:right="38"/>
              <w:jc w:val="center"/>
              <w:rPr>
                <w:sz w:val="20"/>
              </w:rPr>
            </w:pPr>
            <w:r>
              <w:rPr>
                <w:sz w:val="20"/>
              </w:rPr>
              <w:t>RR</w:t>
            </w:r>
            <w:r>
              <w:rPr>
                <w:spacing w:val="-4"/>
                <w:sz w:val="20"/>
              </w:rPr>
              <w:t xml:space="preserve"> </w:t>
            </w:r>
            <w:r>
              <w:rPr>
                <w:spacing w:val="-5"/>
                <w:sz w:val="20"/>
              </w:rPr>
              <w:t>0.7</w:t>
            </w:r>
          </w:p>
        </w:tc>
        <w:tc>
          <w:tcPr>
            <w:tcW w:w="1034" w:type="dxa"/>
            <w:tcBorders>
              <w:bottom w:val="nil"/>
            </w:tcBorders>
            <w:shd w:val="clear" w:color="auto" w:fill="F1F1F1"/>
          </w:tcPr>
          <w:p w14:paraId="7A4C3019" w14:textId="77777777" w:rsidR="00E13D3F" w:rsidRDefault="00FB2D6A">
            <w:pPr>
              <w:pStyle w:val="TableParagraph"/>
              <w:spacing w:before="1" w:line="243" w:lineRule="exact"/>
              <w:ind w:left="10" w:right="44"/>
              <w:jc w:val="center"/>
              <w:rPr>
                <w:sz w:val="20"/>
              </w:rPr>
            </w:pPr>
            <w:r>
              <w:rPr>
                <w:spacing w:val="-5"/>
                <w:sz w:val="20"/>
              </w:rPr>
              <w:t>LOW</w:t>
            </w:r>
          </w:p>
        </w:tc>
        <w:tc>
          <w:tcPr>
            <w:tcW w:w="1851" w:type="dxa"/>
            <w:tcBorders>
              <w:bottom w:val="nil"/>
            </w:tcBorders>
            <w:shd w:val="clear" w:color="auto" w:fill="F1F1F1"/>
          </w:tcPr>
          <w:p w14:paraId="7A4C301A" w14:textId="77777777" w:rsidR="00E13D3F" w:rsidRDefault="00FB2D6A">
            <w:pPr>
              <w:pStyle w:val="TableParagraph"/>
              <w:spacing w:before="1" w:line="243" w:lineRule="exact"/>
              <w:ind w:left="41" w:right="34"/>
              <w:jc w:val="center"/>
              <w:rPr>
                <w:sz w:val="20"/>
              </w:rPr>
            </w:pPr>
            <w:r>
              <w:rPr>
                <w:sz w:val="20"/>
              </w:rPr>
              <w:t>No</w:t>
            </w:r>
            <w:r>
              <w:rPr>
                <w:spacing w:val="-3"/>
                <w:sz w:val="20"/>
              </w:rPr>
              <w:t xml:space="preserve"> </w:t>
            </w:r>
            <w:r>
              <w:rPr>
                <w:spacing w:val="-2"/>
                <w:sz w:val="20"/>
              </w:rPr>
              <w:t>significant</w:t>
            </w:r>
          </w:p>
        </w:tc>
      </w:tr>
      <w:tr w:rsidR="00E13D3F" w14:paraId="7A4C3023" w14:textId="77777777">
        <w:trPr>
          <w:trHeight w:val="243"/>
        </w:trPr>
        <w:tc>
          <w:tcPr>
            <w:tcW w:w="1613" w:type="dxa"/>
            <w:tcBorders>
              <w:top w:val="nil"/>
              <w:bottom w:val="nil"/>
            </w:tcBorders>
            <w:shd w:val="clear" w:color="auto" w:fill="F1F1F1"/>
          </w:tcPr>
          <w:p w14:paraId="7A4C301C" w14:textId="77777777" w:rsidR="00E13D3F" w:rsidRDefault="00FB2D6A">
            <w:pPr>
              <w:pStyle w:val="TableParagraph"/>
              <w:spacing w:line="224" w:lineRule="exact"/>
              <w:ind w:left="107"/>
              <w:rPr>
                <w:b/>
                <w:sz w:val="20"/>
              </w:rPr>
            </w:pPr>
            <w:r>
              <w:rPr>
                <w:b/>
                <w:spacing w:val="-2"/>
                <w:sz w:val="20"/>
              </w:rPr>
              <w:t>mortality</w:t>
            </w:r>
          </w:p>
        </w:tc>
        <w:tc>
          <w:tcPr>
            <w:tcW w:w="958" w:type="dxa"/>
            <w:tcBorders>
              <w:top w:val="nil"/>
              <w:bottom w:val="nil"/>
            </w:tcBorders>
            <w:shd w:val="clear" w:color="auto" w:fill="F1F1F1"/>
          </w:tcPr>
          <w:p w14:paraId="7A4C301D" w14:textId="77777777" w:rsidR="00E13D3F" w:rsidRDefault="00FB2D6A">
            <w:pPr>
              <w:pStyle w:val="TableParagraph"/>
              <w:spacing w:line="224" w:lineRule="exact"/>
              <w:ind w:left="11" w:right="46"/>
              <w:jc w:val="center"/>
              <w:rPr>
                <w:sz w:val="20"/>
              </w:rPr>
            </w:pPr>
            <w:r>
              <w:rPr>
                <w:spacing w:val="-2"/>
                <w:sz w:val="20"/>
              </w:rPr>
              <w:t>(269)</w:t>
            </w:r>
          </w:p>
        </w:tc>
        <w:tc>
          <w:tcPr>
            <w:tcW w:w="1049" w:type="dxa"/>
            <w:tcBorders>
              <w:top w:val="nil"/>
              <w:bottom w:val="nil"/>
            </w:tcBorders>
            <w:shd w:val="clear" w:color="auto" w:fill="F1F1F1"/>
          </w:tcPr>
          <w:p w14:paraId="7A4C301E" w14:textId="77777777" w:rsidR="00E13D3F" w:rsidRDefault="00E13D3F">
            <w:pPr>
              <w:pStyle w:val="TableParagraph"/>
              <w:rPr>
                <w:rFonts w:ascii="Times New Roman"/>
                <w:sz w:val="16"/>
              </w:rPr>
            </w:pPr>
          </w:p>
        </w:tc>
        <w:tc>
          <w:tcPr>
            <w:tcW w:w="1152" w:type="dxa"/>
            <w:tcBorders>
              <w:top w:val="nil"/>
              <w:bottom w:val="nil"/>
            </w:tcBorders>
            <w:shd w:val="clear" w:color="auto" w:fill="F1F1F1"/>
          </w:tcPr>
          <w:p w14:paraId="7A4C301F" w14:textId="77777777" w:rsidR="00E13D3F" w:rsidRDefault="00E13D3F">
            <w:pPr>
              <w:pStyle w:val="TableParagraph"/>
              <w:rPr>
                <w:rFonts w:ascii="Times New Roman"/>
                <w:sz w:val="16"/>
              </w:rPr>
            </w:pPr>
          </w:p>
        </w:tc>
        <w:tc>
          <w:tcPr>
            <w:tcW w:w="1361" w:type="dxa"/>
            <w:tcBorders>
              <w:top w:val="nil"/>
              <w:bottom w:val="nil"/>
            </w:tcBorders>
            <w:shd w:val="clear" w:color="auto" w:fill="F1F1F1"/>
          </w:tcPr>
          <w:p w14:paraId="7A4C3020" w14:textId="77777777" w:rsidR="00E13D3F" w:rsidRDefault="00FB2D6A">
            <w:pPr>
              <w:pStyle w:val="TableParagraph"/>
              <w:spacing w:line="224" w:lineRule="exact"/>
              <w:ind w:right="38"/>
              <w:jc w:val="center"/>
              <w:rPr>
                <w:sz w:val="20"/>
              </w:rPr>
            </w:pPr>
            <w:r>
              <w:rPr>
                <w:sz w:val="20"/>
              </w:rPr>
              <w:t>(0.2</w:t>
            </w:r>
            <w:r>
              <w:rPr>
                <w:spacing w:val="-4"/>
                <w:sz w:val="20"/>
              </w:rPr>
              <w:t xml:space="preserve"> </w:t>
            </w:r>
            <w:r>
              <w:rPr>
                <w:sz w:val="20"/>
              </w:rPr>
              <w:t>to</w:t>
            </w:r>
            <w:r>
              <w:rPr>
                <w:spacing w:val="-3"/>
                <w:sz w:val="20"/>
              </w:rPr>
              <w:t xml:space="preserve"> </w:t>
            </w:r>
            <w:r>
              <w:rPr>
                <w:spacing w:val="-4"/>
                <w:sz w:val="20"/>
              </w:rPr>
              <w:t>3.2)</w:t>
            </w:r>
          </w:p>
        </w:tc>
        <w:tc>
          <w:tcPr>
            <w:tcW w:w="1034" w:type="dxa"/>
            <w:tcBorders>
              <w:top w:val="nil"/>
              <w:bottom w:val="nil"/>
            </w:tcBorders>
            <w:shd w:val="clear" w:color="auto" w:fill="F1F1F1"/>
          </w:tcPr>
          <w:p w14:paraId="7A4C3021" w14:textId="77777777" w:rsidR="00E13D3F" w:rsidRDefault="00E13D3F">
            <w:pPr>
              <w:pStyle w:val="TableParagraph"/>
              <w:rPr>
                <w:rFonts w:ascii="Times New Roman"/>
                <w:sz w:val="16"/>
              </w:rPr>
            </w:pPr>
          </w:p>
        </w:tc>
        <w:tc>
          <w:tcPr>
            <w:tcW w:w="1851" w:type="dxa"/>
            <w:tcBorders>
              <w:top w:val="nil"/>
              <w:bottom w:val="nil"/>
            </w:tcBorders>
            <w:shd w:val="clear" w:color="auto" w:fill="F1F1F1"/>
          </w:tcPr>
          <w:p w14:paraId="7A4C3022" w14:textId="77777777" w:rsidR="00E13D3F" w:rsidRDefault="00FB2D6A">
            <w:pPr>
              <w:pStyle w:val="TableParagraph"/>
              <w:spacing w:line="224" w:lineRule="exact"/>
              <w:ind w:left="40" w:right="34"/>
              <w:jc w:val="center"/>
              <w:rPr>
                <w:sz w:val="20"/>
              </w:rPr>
            </w:pPr>
            <w:r>
              <w:rPr>
                <w:spacing w:val="-2"/>
                <w:sz w:val="20"/>
              </w:rPr>
              <w:t>difference</w:t>
            </w:r>
            <w:r>
              <w:rPr>
                <w:spacing w:val="5"/>
                <w:sz w:val="20"/>
              </w:rPr>
              <w:t xml:space="preserve"> </w:t>
            </w:r>
            <w:r>
              <w:rPr>
                <w:spacing w:val="-2"/>
                <w:sz w:val="20"/>
              </w:rPr>
              <w:t>(P=0.67),</w:t>
            </w:r>
          </w:p>
        </w:tc>
      </w:tr>
      <w:tr w:rsidR="00E13D3F" w14:paraId="7A4C302B" w14:textId="77777777">
        <w:trPr>
          <w:trHeight w:val="223"/>
        </w:trPr>
        <w:tc>
          <w:tcPr>
            <w:tcW w:w="1613" w:type="dxa"/>
            <w:tcBorders>
              <w:top w:val="nil"/>
            </w:tcBorders>
            <w:shd w:val="clear" w:color="auto" w:fill="F1F1F1"/>
          </w:tcPr>
          <w:p w14:paraId="7A4C3024" w14:textId="77777777" w:rsidR="00E13D3F" w:rsidRDefault="00E13D3F">
            <w:pPr>
              <w:pStyle w:val="TableParagraph"/>
              <w:rPr>
                <w:rFonts w:ascii="Times New Roman"/>
                <w:sz w:val="14"/>
              </w:rPr>
            </w:pPr>
          </w:p>
        </w:tc>
        <w:tc>
          <w:tcPr>
            <w:tcW w:w="958" w:type="dxa"/>
            <w:tcBorders>
              <w:top w:val="nil"/>
            </w:tcBorders>
            <w:shd w:val="clear" w:color="auto" w:fill="F1F1F1"/>
          </w:tcPr>
          <w:p w14:paraId="7A4C3025" w14:textId="77777777" w:rsidR="00E13D3F" w:rsidRDefault="00E13D3F">
            <w:pPr>
              <w:pStyle w:val="TableParagraph"/>
              <w:rPr>
                <w:rFonts w:ascii="Times New Roman"/>
                <w:sz w:val="14"/>
              </w:rPr>
            </w:pPr>
          </w:p>
        </w:tc>
        <w:tc>
          <w:tcPr>
            <w:tcW w:w="1049" w:type="dxa"/>
            <w:tcBorders>
              <w:top w:val="nil"/>
            </w:tcBorders>
            <w:shd w:val="clear" w:color="auto" w:fill="F1F1F1"/>
          </w:tcPr>
          <w:p w14:paraId="7A4C3026" w14:textId="77777777" w:rsidR="00E13D3F" w:rsidRDefault="00E13D3F">
            <w:pPr>
              <w:pStyle w:val="TableParagraph"/>
              <w:rPr>
                <w:rFonts w:ascii="Times New Roman"/>
                <w:sz w:val="14"/>
              </w:rPr>
            </w:pPr>
          </w:p>
        </w:tc>
        <w:tc>
          <w:tcPr>
            <w:tcW w:w="1152" w:type="dxa"/>
            <w:tcBorders>
              <w:top w:val="nil"/>
            </w:tcBorders>
            <w:shd w:val="clear" w:color="auto" w:fill="F1F1F1"/>
          </w:tcPr>
          <w:p w14:paraId="7A4C3027" w14:textId="77777777" w:rsidR="00E13D3F" w:rsidRDefault="00E13D3F">
            <w:pPr>
              <w:pStyle w:val="TableParagraph"/>
              <w:rPr>
                <w:rFonts w:ascii="Times New Roman"/>
                <w:sz w:val="14"/>
              </w:rPr>
            </w:pPr>
          </w:p>
        </w:tc>
        <w:tc>
          <w:tcPr>
            <w:tcW w:w="1361" w:type="dxa"/>
            <w:tcBorders>
              <w:top w:val="nil"/>
            </w:tcBorders>
            <w:shd w:val="clear" w:color="auto" w:fill="F1F1F1"/>
          </w:tcPr>
          <w:p w14:paraId="7A4C3028" w14:textId="77777777" w:rsidR="00E13D3F" w:rsidRDefault="00E13D3F">
            <w:pPr>
              <w:pStyle w:val="TableParagraph"/>
              <w:rPr>
                <w:rFonts w:ascii="Times New Roman"/>
                <w:sz w:val="14"/>
              </w:rPr>
            </w:pPr>
          </w:p>
        </w:tc>
        <w:tc>
          <w:tcPr>
            <w:tcW w:w="1034" w:type="dxa"/>
            <w:tcBorders>
              <w:top w:val="nil"/>
            </w:tcBorders>
            <w:shd w:val="clear" w:color="auto" w:fill="F1F1F1"/>
          </w:tcPr>
          <w:p w14:paraId="7A4C3029" w14:textId="77777777" w:rsidR="00E13D3F" w:rsidRDefault="00E13D3F">
            <w:pPr>
              <w:pStyle w:val="TableParagraph"/>
              <w:rPr>
                <w:rFonts w:ascii="Times New Roman"/>
                <w:sz w:val="14"/>
              </w:rPr>
            </w:pPr>
          </w:p>
        </w:tc>
        <w:tc>
          <w:tcPr>
            <w:tcW w:w="1851" w:type="dxa"/>
            <w:tcBorders>
              <w:top w:val="nil"/>
            </w:tcBorders>
            <w:shd w:val="clear" w:color="auto" w:fill="F1F1F1"/>
          </w:tcPr>
          <w:p w14:paraId="7A4C302A" w14:textId="77777777" w:rsidR="00E13D3F" w:rsidRDefault="00FB2D6A">
            <w:pPr>
              <w:pStyle w:val="TableParagraph"/>
              <w:spacing w:line="204" w:lineRule="exact"/>
              <w:ind w:left="7" w:right="41"/>
              <w:jc w:val="center"/>
              <w:rPr>
                <w:sz w:val="20"/>
              </w:rPr>
            </w:pPr>
            <w:r>
              <w:rPr>
                <w:sz w:val="20"/>
              </w:rPr>
              <w:t>CI</w:t>
            </w:r>
            <w:r>
              <w:rPr>
                <w:spacing w:val="-3"/>
                <w:sz w:val="20"/>
              </w:rPr>
              <w:t xml:space="preserve"> </w:t>
            </w:r>
            <w:r>
              <w:rPr>
                <w:spacing w:val="-4"/>
                <w:sz w:val="20"/>
              </w:rPr>
              <w:t>wide</w:t>
            </w:r>
          </w:p>
        </w:tc>
      </w:tr>
      <w:tr w:rsidR="00E13D3F" w14:paraId="7A4C3033" w14:textId="77777777">
        <w:trPr>
          <w:trHeight w:val="264"/>
        </w:trPr>
        <w:tc>
          <w:tcPr>
            <w:tcW w:w="1613" w:type="dxa"/>
            <w:tcBorders>
              <w:bottom w:val="nil"/>
            </w:tcBorders>
          </w:tcPr>
          <w:p w14:paraId="7A4C302C" w14:textId="77777777" w:rsidR="00E13D3F" w:rsidRDefault="00FB2D6A">
            <w:pPr>
              <w:pStyle w:val="TableParagraph"/>
              <w:spacing w:before="1" w:line="243" w:lineRule="exact"/>
              <w:ind w:left="107"/>
              <w:rPr>
                <w:b/>
                <w:sz w:val="20"/>
              </w:rPr>
            </w:pPr>
            <w:r>
              <w:rPr>
                <w:b/>
                <w:sz w:val="20"/>
              </w:rPr>
              <w:t>CVD</w:t>
            </w:r>
            <w:r>
              <w:rPr>
                <w:b/>
                <w:spacing w:val="-7"/>
                <w:sz w:val="20"/>
              </w:rPr>
              <w:t xml:space="preserve"> </w:t>
            </w:r>
            <w:r>
              <w:rPr>
                <w:b/>
                <w:spacing w:val="-2"/>
                <w:sz w:val="20"/>
              </w:rPr>
              <w:t>events</w:t>
            </w:r>
          </w:p>
        </w:tc>
        <w:tc>
          <w:tcPr>
            <w:tcW w:w="958" w:type="dxa"/>
            <w:tcBorders>
              <w:bottom w:val="nil"/>
            </w:tcBorders>
          </w:tcPr>
          <w:p w14:paraId="7A4C302D" w14:textId="77777777" w:rsidR="00E13D3F" w:rsidRDefault="00FB2D6A">
            <w:pPr>
              <w:pStyle w:val="TableParagraph"/>
              <w:spacing w:before="1" w:line="243" w:lineRule="exact"/>
              <w:ind w:left="11" w:right="45"/>
              <w:jc w:val="center"/>
              <w:rPr>
                <w:sz w:val="20"/>
              </w:rPr>
            </w:pPr>
            <w:r>
              <w:rPr>
                <w:spacing w:val="-10"/>
                <w:sz w:val="20"/>
              </w:rPr>
              <w:t>1</w:t>
            </w:r>
          </w:p>
        </w:tc>
        <w:tc>
          <w:tcPr>
            <w:tcW w:w="1049" w:type="dxa"/>
            <w:tcBorders>
              <w:bottom w:val="nil"/>
            </w:tcBorders>
          </w:tcPr>
          <w:p w14:paraId="7A4C302E" w14:textId="77777777" w:rsidR="00E13D3F" w:rsidRDefault="00FB2D6A">
            <w:pPr>
              <w:pStyle w:val="TableParagraph"/>
              <w:spacing w:before="1" w:line="243" w:lineRule="exact"/>
              <w:ind w:right="36"/>
              <w:jc w:val="center"/>
              <w:rPr>
                <w:sz w:val="20"/>
              </w:rPr>
            </w:pPr>
            <w:r>
              <w:rPr>
                <w:spacing w:val="-2"/>
                <w:sz w:val="20"/>
              </w:rPr>
              <w:t>73/1000</w:t>
            </w:r>
          </w:p>
        </w:tc>
        <w:tc>
          <w:tcPr>
            <w:tcW w:w="1152" w:type="dxa"/>
            <w:tcBorders>
              <w:bottom w:val="nil"/>
            </w:tcBorders>
          </w:tcPr>
          <w:p w14:paraId="7A4C302F" w14:textId="77777777" w:rsidR="00E13D3F" w:rsidRDefault="00FB2D6A">
            <w:pPr>
              <w:pStyle w:val="TableParagraph"/>
              <w:spacing w:before="1" w:line="243" w:lineRule="exact"/>
              <w:ind w:right="34"/>
              <w:jc w:val="center"/>
              <w:rPr>
                <w:sz w:val="20"/>
              </w:rPr>
            </w:pPr>
            <w:r>
              <w:rPr>
                <w:spacing w:val="-2"/>
                <w:sz w:val="20"/>
              </w:rPr>
              <w:t>91/1000</w:t>
            </w:r>
          </w:p>
        </w:tc>
        <w:tc>
          <w:tcPr>
            <w:tcW w:w="1361" w:type="dxa"/>
            <w:tcBorders>
              <w:bottom w:val="nil"/>
            </w:tcBorders>
          </w:tcPr>
          <w:p w14:paraId="7A4C3030" w14:textId="77777777" w:rsidR="00E13D3F" w:rsidRDefault="00FB2D6A">
            <w:pPr>
              <w:pStyle w:val="TableParagraph"/>
              <w:spacing w:before="1" w:line="243" w:lineRule="exact"/>
              <w:ind w:right="38"/>
              <w:jc w:val="center"/>
              <w:rPr>
                <w:sz w:val="20"/>
              </w:rPr>
            </w:pPr>
            <w:r>
              <w:rPr>
                <w:sz w:val="20"/>
              </w:rPr>
              <w:t>RR</w:t>
            </w:r>
            <w:r>
              <w:rPr>
                <w:spacing w:val="-4"/>
                <w:sz w:val="20"/>
              </w:rPr>
              <w:t xml:space="preserve"> </w:t>
            </w:r>
            <w:r>
              <w:rPr>
                <w:spacing w:val="-5"/>
                <w:sz w:val="20"/>
              </w:rPr>
              <w:t>0.8</w:t>
            </w:r>
          </w:p>
        </w:tc>
        <w:tc>
          <w:tcPr>
            <w:tcW w:w="1034" w:type="dxa"/>
            <w:tcBorders>
              <w:bottom w:val="nil"/>
            </w:tcBorders>
          </w:tcPr>
          <w:p w14:paraId="7A4C3031" w14:textId="77777777" w:rsidR="00E13D3F" w:rsidRDefault="00FB2D6A">
            <w:pPr>
              <w:pStyle w:val="TableParagraph"/>
              <w:spacing w:before="1" w:line="243" w:lineRule="exact"/>
              <w:ind w:left="48" w:right="38"/>
              <w:jc w:val="center"/>
              <w:rPr>
                <w:sz w:val="20"/>
              </w:rPr>
            </w:pPr>
            <w:r>
              <w:rPr>
                <w:spacing w:val="-4"/>
                <w:sz w:val="20"/>
              </w:rPr>
              <w:t>VERY</w:t>
            </w:r>
          </w:p>
        </w:tc>
        <w:tc>
          <w:tcPr>
            <w:tcW w:w="1851" w:type="dxa"/>
            <w:tcBorders>
              <w:bottom w:val="nil"/>
            </w:tcBorders>
          </w:tcPr>
          <w:p w14:paraId="7A4C3032" w14:textId="77777777" w:rsidR="00E13D3F" w:rsidRDefault="00FB2D6A">
            <w:pPr>
              <w:pStyle w:val="TableParagraph"/>
              <w:spacing w:before="1" w:line="243" w:lineRule="exact"/>
              <w:ind w:left="41" w:right="34"/>
              <w:jc w:val="center"/>
              <w:rPr>
                <w:sz w:val="20"/>
              </w:rPr>
            </w:pPr>
            <w:r>
              <w:rPr>
                <w:sz w:val="20"/>
              </w:rPr>
              <w:t>No</w:t>
            </w:r>
            <w:r>
              <w:rPr>
                <w:spacing w:val="-3"/>
                <w:sz w:val="20"/>
              </w:rPr>
              <w:t xml:space="preserve"> </w:t>
            </w:r>
            <w:r>
              <w:rPr>
                <w:spacing w:val="-2"/>
                <w:sz w:val="20"/>
              </w:rPr>
              <w:t>significant</w:t>
            </w:r>
          </w:p>
        </w:tc>
      </w:tr>
      <w:tr w:rsidR="00E13D3F" w14:paraId="7A4C303B" w14:textId="77777777">
        <w:trPr>
          <w:trHeight w:val="245"/>
        </w:trPr>
        <w:tc>
          <w:tcPr>
            <w:tcW w:w="1613" w:type="dxa"/>
            <w:tcBorders>
              <w:top w:val="nil"/>
              <w:bottom w:val="nil"/>
            </w:tcBorders>
          </w:tcPr>
          <w:p w14:paraId="7A4C3034" w14:textId="77777777" w:rsidR="00E13D3F" w:rsidRDefault="00E13D3F">
            <w:pPr>
              <w:pStyle w:val="TableParagraph"/>
              <w:rPr>
                <w:rFonts w:ascii="Times New Roman"/>
                <w:sz w:val="16"/>
              </w:rPr>
            </w:pPr>
          </w:p>
        </w:tc>
        <w:tc>
          <w:tcPr>
            <w:tcW w:w="958" w:type="dxa"/>
            <w:tcBorders>
              <w:top w:val="nil"/>
              <w:bottom w:val="nil"/>
            </w:tcBorders>
          </w:tcPr>
          <w:p w14:paraId="7A4C3035" w14:textId="77777777" w:rsidR="00E13D3F" w:rsidRDefault="00FB2D6A">
            <w:pPr>
              <w:pStyle w:val="TableParagraph"/>
              <w:spacing w:line="225" w:lineRule="exact"/>
              <w:ind w:left="11" w:right="46"/>
              <w:jc w:val="center"/>
              <w:rPr>
                <w:sz w:val="20"/>
              </w:rPr>
            </w:pPr>
            <w:r>
              <w:rPr>
                <w:spacing w:val="-2"/>
                <w:sz w:val="20"/>
              </w:rPr>
              <w:t>(269)</w:t>
            </w:r>
          </w:p>
        </w:tc>
        <w:tc>
          <w:tcPr>
            <w:tcW w:w="1049" w:type="dxa"/>
            <w:tcBorders>
              <w:top w:val="nil"/>
              <w:bottom w:val="nil"/>
            </w:tcBorders>
          </w:tcPr>
          <w:p w14:paraId="7A4C3036" w14:textId="77777777" w:rsidR="00E13D3F" w:rsidRDefault="00E13D3F">
            <w:pPr>
              <w:pStyle w:val="TableParagraph"/>
              <w:rPr>
                <w:rFonts w:ascii="Times New Roman"/>
                <w:sz w:val="16"/>
              </w:rPr>
            </w:pPr>
          </w:p>
        </w:tc>
        <w:tc>
          <w:tcPr>
            <w:tcW w:w="1152" w:type="dxa"/>
            <w:tcBorders>
              <w:top w:val="nil"/>
              <w:bottom w:val="nil"/>
            </w:tcBorders>
          </w:tcPr>
          <w:p w14:paraId="7A4C3037" w14:textId="77777777" w:rsidR="00E13D3F" w:rsidRDefault="00E13D3F">
            <w:pPr>
              <w:pStyle w:val="TableParagraph"/>
              <w:rPr>
                <w:rFonts w:ascii="Times New Roman"/>
                <w:sz w:val="16"/>
              </w:rPr>
            </w:pPr>
          </w:p>
        </w:tc>
        <w:tc>
          <w:tcPr>
            <w:tcW w:w="1361" w:type="dxa"/>
            <w:tcBorders>
              <w:top w:val="nil"/>
              <w:bottom w:val="nil"/>
            </w:tcBorders>
          </w:tcPr>
          <w:p w14:paraId="7A4C3038" w14:textId="77777777" w:rsidR="00E13D3F" w:rsidRDefault="00FB2D6A">
            <w:pPr>
              <w:pStyle w:val="TableParagraph"/>
              <w:spacing w:line="225" w:lineRule="exact"/>
              <w:ind w:left="2" w:right="38"/>
              <w:jc w:val="center"/>
              <w:rPr>
                <w:sz w:val="20"/>
              </w:rPr>
            </w:pPr>
            <w:r>
              <w:rPr>
                <w:sz w:val="20"/>
              </w:rPr>
              <w:t>(0.36</w:t>
            </w:r>
            <w:r>
              <w:rPr>
                <w:spacing w:val="-4"/>
                <w:sz w:val="20"/>
              </w:rPr>
              <w:t xml:space="preserve"> </w:t>
            </w:r>
            <w:r>
              <w:rPr>
                <w:sz w:val="20"/>
              </w:rPr>
              <w:t>to</w:t>
            </w:r>
            <w:r>
              <w:rPr>
                <w:spacing w:val="-3"/>
                <w:sz w:val="20"/>
              </w:rPr>
              <w:t xml:space="preserve"> </w:t>
            </w:r>
            <w:r>
              <w:rPr>
                <w:spacing w:val="-2"/>
                <w:sz w:val="20"/>
              </w:rPr>
              <w:t>1.79)</w:t>
            </w:r>
          </w:p>
        </w:tc>
        <w:tc>
          <w:tcPr>
            <w:tcW w:w="1034" w:type="dxa"/>
            <w:tcBorders>
              <w:top w:val="nil"/>
              <w:bottom w:val="nil"/>
            </w:tcBorders>
          </w:tcPr>
          <w:p w14:paraId="7A4C3039" w14:textId="77777777" w:rsidR="00E13D3F" w:rsidRDefault="00FB2D6A">
            <w:pPr>
              <w:pStyle w:val="TableParagraph"/>
              <w:spacing w:line="225" w:lineRule="exact"/>
              <w:ind w:left="10" w:right="44"/>
              <w:jc w:val="center"/>
              <w:rPr>
                <w:sz w:val="20"/>
              </w:rPr>
            </w:pPr>
            <w:r>
              <w:rPr>
                <w:spacing w:val="-5"/>
                <w:sz w:val="20"/>
              </w:rPr>
              <w:t>LOW</w:t>
            </w:r>
          </w:p>
        </w:tc>
        <w:tc>
          <w:tcPr>
            <w:tcW w:w="1851" w:type="dxa"/>
            <w:tcBorders>
              <w:top w:val="nil"/>
              <w:bottom w:val="nil"/>
            </w:tcBorders>
          </w:tcPr>
          <w:p w14:paraId="7A4C303A" w14:textId="77777777" w:rsidR="00E13D3F" w:rsidRDefault="00FB2D6A">
            <w:pPr>
              <w:pStyle w:val="TableParagraph"/>
              <w:spacing w:line="225" w:lineRule="exact"/>
              <w:ind w:left="40" w:right="34"/>
              <w:jc w:val="center"/>
              <w:rPr>
                <w:sz w:val="20"/>
              </w:rPr>
            </w:pPr>
            <w:r>
              <w:rPr>
                <w:spacing w:val="-2"/>
                <w:sz w:val="20"/>
              </w:rPr>
              <w:t>difference</w:t>
            </w:r>
            <w:r>
              <w:rPr>
                <w:spacing w:val="5"/>
                <w:sz w:val="20"/>
              </w:rPr>
              <w:t xml:space="preserve"> </w:t>
            </w:r>
            <w:r>
              <w:rPr>
                <w:spacing w:val="-2"/>
                <w:sz w:val="20"/>
              </w:rPr>
              <w:t>(P=0.59),</w:t>
            </w:r>
          </w:p>
        </w:tc>
      </w:tr>
      <w:tr w:rsidR="00E13D3F" w14:paraId="7A4C3043" w14:textId="77777777">
        <w:trPr>
          <w:trHeight w:val="225"/>
        </w:trPr>
        <w:tc>
          <w:tcPr>
            <w:tcW w:w="1613" w:type="dxa"/>
            <w:tcBorders>
              <w:top w:val="nil"/>
            </w:tcBorders>
          </w:tcPr>
          <w:p w14:paraId="7A4C303C" w14:textId="77777777" w:rsidR="00E13D3F" w:rsidRDefault="00E13D3F">
            <w:pPr>
              <w:pStyle w:val="TableParagraph"/>
              <w:rPr>
                <w:rFonts w:ascii="Times New Roman"/>
                <w:sz w:val="16"/>
              </w:rPr>
            </w:pPr>
          </w:p>
        </w:tc>
        <w:tc>
          <w:tcPr>
            <w:tcW w:w="958" w:type="dxa"/>
            <w:tcBorders>
              <w:top w:val="nil"/>
            </w:tcBorders>
          </w:tcPr>
          <w:p w14:paraId="7A4C303D" w14:textId="77777777" w:rsidR="00E13D3F" w:rsidRDefault="00E13D3F">
            <w:pPr>
              <w:pStyle w:val="TableParagraph"/>
              <w:rPr>
                <w:rFonts w:ascii="Times New Roman"/>
                <w:sz w:val="16"/>
              </w:rPr>
            </w:pPr>
          </w:p>
        </w:tc>
        <w:tc>
          <w:tcPr>
            <w:tcW w:w="1049" w:type="dxa"/>
            <w:tcBorders>
              <w:top w:val="nil"/>
            </w:tcBorders>
          </w:tcPr>
          <w:p w14:paraId="7A4C303E" w14:textId="77777777" w:rsidR="00E13D3F" w:rsidRDefault="00E13D3F">
            <w:pPr>
              <w:pStyle w:val="TableParagraph"/>
              <w:rPr>
                <w:rFonts w:ascii="Times New Roman"/>
                <w:sz w:val="16"/>
              </w:rPr>
            </w:pPr>
          </w:p>
        </w:tc>
        <w:tc>
          <w:tcPr>
            <w:tcW w:w="1152" w:type="dxa"/>
            <w:tcBorders>
              <w:top w:val="nil"/>
            </w:tcBorders>
          </w:tcPr>
          <w:p w14:paraId="7A4C303F" w14:textId="77777777" w:rsidR="00E13D3F" w:rsidRDefault="00E13D3F">
            <w:pPr>
              <w:pStyle w:val="TableParagraph"/>
              <w:rPr>
                <w:rFonts w:ascii="Times New Roman"/>
                <w:sz w:val="16"/>
              </w:rPr>
            </w:pPr>
          </w:p>
        </w:tc>
        <w:tc>
          <w:tcPr>
            <w:tcW w:w="1361" w:type="dxa"/>
            <w:tcBorders>
              <w:top w:val="nil"/>
            </w:tcBorders>
          </w:tcPr>
          <w:p w14:paraId="7A4C3040" w14:textId="77777777" w:rsidR="00E13D3F" w:rsidRDefault="00E13D3F">
            <w:pPr>
              <w:pStyle w:val="TableParagraph"/>
              <w:rPr>
                <w:rFonts w:ascii="Times New Roman"/>
                <w:sz w:val="16"/>
              </w:rPr>
            </w:pPr>
          </w:p>
        </w:tc>
        <w:tc>
          <w:tcPr>
            <w:tcW w:w="1034" w:type="dxa"/>
            <w:tcBorders>
              <w:top w:val="nil"/>
            </w:tcBorders>
          </w:tcPr>
          <w:p w14:paraId="7A4C3041" w14:textId="77777777" w:rsidR="00E13D3F" w:rsidRDefault="00E13D3F">
            <w:pPr>
              <w:pStyle w:val="TableParagraph"/>
              <w:rPr>
                <w:rFonts w:ascii="Times New Roman"/>
                <w:sz w:val="16"/>
              </w:rPr>
            </w:pPr>
          </w:p>
        </w:tc>
        <w:tc>
          <w:tcPr>
            <w:tcW w:w="1851" w:type="dxa"/>
            <w:tcBorders>
              <w:top w:val="nil"/>
            </w:tcBorders>
          </w:tcPr>
          <w:p w14:paraId="7A4C3042" w14:textId="77777777" w:rsidR="00E13D3F" w:rsidRDefault="00FB2D6A">
            <w:pPr>
              <w:pStyle w:val="TableParagraph"/>
              <w:spacing w:line="205" w:lineRule="exact"/>
              <w:ind w:left="7" w:right="41"/>
              <w:jc w:val="center"/>
              <w:rPr>
                <w:sz w:val="20"/>
              </w:rPr>
            </w:pPr>
            <w:r>
              <w:rPr>
                <w:sz w:val="20"/>
              </w:rPr>
              <w:t>CI</w:t>
            </w:r>
            <w:r>
              <w:rPr>
                <w:spacing w:val="-3"/>
                <w:sz w:val="20"/>
              </w:rPr>
              <w:t xml:space="preserve"> </w:t>
            </w:r>
            <w:r>
              <w:rPr>
                <w:spacing w:val="-4"/>
                <w:sz w:val="20"/>
              </w:rPr>
              <w:t>wide</w:t>
            </w:r>
          </w:p>
        </w:tc>
      </w:tr>
      <w:tr w:rsidR="00E13D3F" w14:paraId="7A4C3045" w14:textId="77777777">
        <w:trPr>
          <w:trHeight w:val="244"/>
        </w:trPr>
        <w:tc>
          <w:tcPr>
            <w:tcW w:w="9018" w:type="dxa"/>
            <w:gridSpan w:val="7"/>
            <w:shd w:val="clear" w:color="auto" w:fill="F1F1F1"/>
          </w:tcPr>
          <w:p w14:paraId="7A4C3044" w14:textId="77777777" w:rsidR="00E13D3F" w:rsidRDefault="00FB2D6A">
            <w:pPr>
              <w:pStyle w:val="TableParagraph"/>
              <w:spacing w:before="1" w:line="223" w:lineRule="exact"/>
              <w:ind w:left="107"/>
              <w:rPr>
                <w:b/>
                <w:sz w:val="20"/>
              </w:rPr>
            </w:pPr>
            <w:r>
              <w:rPr>
                <w:b/>
                <w:sz w:val="20"/>
              </w:rPr>
              <w:t>Study</w:t>
            </w:r>
            <w:r>
              <w:rPr>
                <w:b/>
                <w:spacing w:val="-6"/>
                <w:sz w:val="20"/>
              </w:rPr>
              <w:t xml:space="preserve"> </w:t>
            </w:r>
            <w:r>
              <w:rPr>
                <w:b/>
                <w:sz w:val="20"/>
              </w:rPr>
              <w:t>2</w:t>
            </w:r>
            <w:r>
              <w:rPr>
                <w:b/>
                <w:spacing w:val="-4"/>
                <w:sz w:val="20"/>
              </w:rPr>
              <w:t xml:space="preserve"> </w:t>
            </w:r>
            <w:r>
              <w:rPr>
                <w:b/>
                <w:sz w:val="20"/>
              </w:rPr>
              <w:t>–</w:t>
            </w:r>
            <w:r>
              <w:rPr>
                <w:b/>
                <w:spacing w:val="-5"/>
                <w:sz w:val="20"/>
              </w:rPr>
              <w:t xml:space="preserve"> </w:t>
            </w:r>
            <w:proofErr w:type="spellStart"/>
            <w:r>
              <w:rPr>
                <w:b/>
                <w:sz w:val="20"/>
              </w:rPr>
              <w:t>Roerecke</w:t>
            </w:r>
            <w:proofErr w:type="spellEnd"/>
            <w:r>
              <w:rPr>
                <w:b/>
                <w:spacing w:val="-5"/>
                <w:sz w:val="20"/>
              </w:rPr>
              <w:t xml:space="preserve"> </w:t>
            </w:r>
            <w:r>
              <w:rPr>
                <w:b/>
                <w:sz w:val="20"/>
              </w:rPr>
              <w:t>2017,</w:t>
            </w:r>
            <w:r>
              <w:rPr>
                <w:b/>
                <w:spacing w:val="-6"/>
                <w:sz w:val="20"/>
              </w:rPr>
              <w:t xml:space="preserve"> </w:t>
            </w:r>
            <w:r>
              <w:rPr>
                <w:b/>
                <w:sz w:val="20"/>
              </w:rPr>
              <w:t>Blood</w:t>
            </w:r>
            <w:r>
              <w:rPr>
                <w:b/>
                <w:spacing w:val="-5"/>
                <w:sz w:val="20"/>
              </w:rPr>
              <w:t xml:space="preserve"> </w:t>
            </w:r>
            <w:r>
              <w:rPr>
                <w:b/>
                <w:sz w:val="20"/>
              </w:rPr>
              <w:t>pressure</w:t>
            </w:r>
            <w:r>
              <w:rPr>
                <w:b/>
                <w:spacing w:val="-5"/>
                <w:sz w:val="20"/>
              </w:rPr>
              <w:t xml:space="preserve"> </w:t>
            </w:r>
            <w:r>
              <w:rPr>
                <w:b/>
                <w:spacing w:val="-2"/>
                <w:sz w:val="20"/>
              </w:rPr>
              <w:t>reductions</w:t>
            </w:r>
          </w:p>
        </w:tc>
      </w:tr>
      <w:tr w:rsidR="00E13D3F" w14:paraId="7A4C304D" w14:textId="77777777">
        <w:trPr>
          <w:trHeight w:val="263"/>
        </w:trPr>
        <w:tc>
          <w:tcPr>
            <w:tcW w:w="1613" w:type="dxa"/>
            <w:tcBorders>
              <w:bottom w:val="nil"/>
            </w:tcBorders>
          </w:tcPr>
          <w:p w14:paraId="7A4C3046" w14:textId="77777777" w:rsidR="00E13D3F" w:rsidRDefault="00FB2D6A">
            <w:pPr>
              <w:pStyle w:val="TableParagraph"/>
              <w:spacing w:before="1" w:line="242" w:lineRule="exact"/>
              <w:ind w:left="107"/>
              <w:rPr>
                <w:b/>
                <w:sz w:val="20"/>
              </w:rPr>
            </w:pPr>
            <w:r>
              <w:rPr>
                <w:b/>
                <w:sz w:val="20"/>
              </w:rPr>
              <w:t>Decrease</w:t>
            </w:r>
            <w:r>
              <w:rPr>
                <w:b/>
                <w:spacing w:val="-7"/>
                <w:sz w:val="20"/>
              </w:rPr>
              <w:t xml:space="preserve"> </w:t>
            </w:r>
            <w:r>
              <w:rPr>
                <w:b/>
                <w:sz w:val="20"/>
              </w:rPr>
              <w:t>in</w:t>
            </w:r>
            <w:r>
              <w:rPr>
                <w:b/>
                <w:spacing w:val="-7"/>
                <w:sz w:val="20"/>
              </w:rPr>
              <w:t xml:space="preserve"> </w:t>
            </w:r>
            <w:r>
              <w:rPr>
                <w:b/>
                <w:spacing w:val="-5"/>
                <w:sz w:val="20"/>
              </w:rPr>
              <w:t>SBP</w:t>
            </w:r>
          </w:p>
        </w:tc>
        <w:tc>
          <w:tcPr>
            <w:tcW w:w="958" w:type="dxa"/>
            <w:tcBorders>
              <w:bottom w:val="nil"/>
            </w:tcBorders>
          </w:tcPr>
          <w:p w14:paraId="7A4C3047" w14:textId="77777777" w:rsidR="00E13D3F" w:rsidRDefault="00FB2D6A">
            <w:pPr>
              <w:pStyle w:val="TableParagraph"/>
              <w:spacing w:before="1" w:line="242" w:lineRule="exact"/>
              <w:ind w:left="46" w:right="35"/>
              <w:jc w:val="center"/>
              <w:rPr>
                <w:sz w:val="20"/>
              </w:rPr>
            </w:pPr>
            <w:r>
              <w:rPr>
                <w:spacing w:val="-5"/>
                <w:sz w:val="20"/>
              </w:rPr>
              <w:t>34</w:t>
            </w:r>
          </w:p>
        </w:tc>
        <w:tc>
          <w:tcPr>
            <w:tcW w:w="1049" w:type="dxa"/>
            <w:tcBorders>
              <w:bottom w:val="nil"/>
            </w:tcBorders>
          </w:tcPr>
          <w:p w14:paraId="7A4C3048" w14:textId="77777777" w:rsidR="00E13D3F" w:rsidRDefault="00FB2D6A">
            <w:pPr>
              <w:pStyle w:val="TableParagraph"/>
              <w:spacing w:before="1" w:line="242" w:lineRule="exact"/>
              <w:ind w:left="1" w:right="36"/>
              <w:jc w:val="center"/>
              <w:rPr>
                <w:sz w:val="20"/>
              </w:rPr>
            </w:pPr>
            <w:r>
              <w:rPr>
                <w:spacing w:val="-5"/>
                <w:sz w:val="20"/>
              </w:rPr>
              <w:t>NR</w:t>
            </w:r>
          </w:p>
        </w:tc>
        <w:tc>
          <w:tcPr>
            <w:tcW w:w="1152" w:type="dxa"/>
            <w:tcBorders>
              <w:bottom w:val="nil"/>
            </w:tcBorders>
          </w:tcPr>
          <w:p w14:paraId="7A4C3049" w14:textId="77777777" w:rsidR="00E13D3F" w:rsidRDefault="00FB2D6A">
            <w:pPr>
              <w:pStyle w:val="TableParagraph"/>
              <w:spacing w:before="1" w:line="242" w:lineRule="exact"/>
              <w:ind w:left="1" w:right="34"/>
              <w:jc w:val="center"/>
              <w:rPr>
                <w:sz w:val="20"/>
              </w:rPr>
            </w:pPr>
            <w:r>
              <w:rPr>
                <w:spacing w:val="-5"/>
                <w:sz w:val="20"/>
              </w:rPr>
              <w:t>NR</w:t>
            </w:r>
          </w:p>
        </w:tc>
        <w:tc>
          <w:tcPr>
            <w:tcW w:w="1361" w:type="dxa"/>
            <w:tcBorders>
              <w:bottom w:val="nil"/>
            </w:tcBorders>
          </w:tcPr>
          <w:p w14:paraId="7A4C304A" w14:textId="77777777" w:rsidR="00E13D3F" w:rsidRDefault="00FB2D6A">
            <w:pPr>
              <w:pStyle w:val="TableParagraph"/>
              <w:spacing w:before="1" w:line="242" w:lineRule="exact"/>
              <w:ind w:left="2" w:right="38"/>
              <w:jc w:val="center"/>
              <w:rPr>
                <w:sz w:val="20"/>
              </w:rPr>
            </w:pPr>
            <w:r>
              <w:rPr>
                <w:sz w:val="20"/>
              </w:rPr>
              <w:t>MD</w:t>
            </w:r>
            <w:r>
              <w:rPr>
                <w:spacing w:val="-5"/>
                <w:sz w:val="20"/>
              </w:rPr>
              <w:t xml:space="preserve"> </w:t>
            </w:r>
            <w:r>
              <w:rPr>
                <w:sz w:val="20"/>
              </w:rPr>
              <w:t>-</w:t>
            </w:r>
            <w:r>
              <w:rPr>
                <w:spacing w:val="-5"/>
                <w:sz w:val="20"/>
              </w:rPr>
              <w:t>3.1</w:t>
            </w:r>
          </w:p>
        </w:tc>
        <w:tc>
          <w:tcPr>
            <w:tcW w:w="1034" w:type="dxa"/>
            <w:tcBorders>
              <w:bottom w:val="nil"/>
            </w:tcBorders>
          </w:tcPr>
          <w:p w14:paraId="7A4C304B" w14:textId="77777777" w:rsidR="00E13D3F" w:rsidRDefault="00FB2D6A">
            <w:pPr>
              <w:pStyle w:val="TableParagraph"/>
              <w:spacing w:before="1" w:line="242" w:lineRule="exact"/>
              <w:ind w:left="10" w:right="48"/>
              <w:jc w:val="center"/>
              <w:rPr>
                <w:sz w:val="20"/>
              </w:rPr>
            </w:pPr>
            <w:r>
              <w:rPr>
                <w:spacing w:val="-5"/>
                <w:sz w:val="20"/>
              </w:rPr>
              <w:t>**</w:t>
            </w:r>
          </w:p>
        </w:tc>
        <w:tc>
          <w:tcPr>
            <w:tcW w:w="1851" w:type="dxa"/>
            <w:tcBorders>
              <w:bottom w:val="nil"/>
            </w:tcBorders>
          </w:tcPr>
          <w:p w14:paraId="7A4C304C" w14:textId="77777777" w:rsidR="00E13D3F" w:rsidRDefault="00FB2D6A">
            <w:pPr>
              <w:pStyle w:val="TableParagraph"/>
              <w:spacing w:before="1" w:line="242" w:lineRule="exact"/>
              <w:ind w:left="41" w:right="34"/>
              <w:jc w:val="center"/>
              <w:rPr>
                <w:sz w:val="20"/>
              </w:rPr>
            </w:pPr>
            <w:r>
              <w:rPr>
                <w:spacing w:val="-2"/>
                <w:sz w:val="20"/>
              </w:rPr>
              <w:t>Significant</w:t>
            </w:r>
          </w:p>
        </w:tc>
      </w:tr>
      <w:tr w:rsidR="00E13D3F" w14:paraId="7A4C3055" w14:textId="77777777">
        <w:trPr>
          <w:trHeight w:val="223"/>
        </w:trPr>
        <w:tc>
          <w:tcPr>
            <w:tcW w:w="1613" w:type="dxa"/>
            <w:tcBorders>
              <w:top w:val="nil"/>
            </w:tcBorders>
          </w:tcPr>
          <w:p w14:paraId="7A4C304E" w14:textId="77777777" w:rsidR="00E13D3F" w:rsidRDefault="00FB2D6A">
            <w:pPr>
              <w:pStyle w:val="TableParagraph"/>
              <w:spacing w:line="204" w:lineRule="exact"/>
              <w:ind w:left="107"/>
              <w:rPr>
                <w:b/>
                <w:i/>
                <w:sz w:val="20"/>
              </w:rPr>
            </w:pPr>
            <w:r>
              <w:rPr>
                <w:b/>
                <w:sz w:val="20"/>
              </w:rPr>
              <w:t>(mmHg)</w:t>
            </w:r>
            <w:r>
              <w:rPr>
                <w:b/>
                <w:spacing w:val="-4"/>
                <w:sz w:val="20"/>
              </w:rPr>
              <w:t xml:space="preserve"> </w:t>
            </w:r>
            <w:r>
              <w:rPr>
                <w:b/>
                <w:sz w:val="20"/>
              </w:rPr>
              <w:t>–</w:t>
            </w:r>
            <w:r>
              <w:rPr>
                <w:b/>
                <w:spacing w:val="-6"/>
                <w:sz w:val="20"/>
              </w:rPr>
              <w:t xml:space="preserve"> </w:t>
            </w:r>
            <w:r>
              <w:rPr>
                <w:b/>
                <w:i/>
                <w:spacing w:val="-5"/>
                <w:sz w:val="20"/>
              </w:rPr>
              <w:t>all</w:t>
            </w:r>
          </w:p>
        </w:tc>
        <w:tc>
          <w:tcPr>
            <w:tcW w:w="958" w:type="dxa"/>
            <w:tcBorders>
              <w:top w:val="nil"/>
            </w:tcBorders>
          </w:tcPr>
          <w:p w14:paraId="7A4C304F" w14:textId="77777777" w:rsidR="00E13D3F" w:rsidRDefault="00FB2D6A">
            <w:pPr>
              <w:pStyle w:val="TableParagraph"/>
              <w:spacing w:line="204" w:lineRule="exact"/>
              <w:ind w:left="11" w:right="45"/>
              <w:jc w:val="center"/>
              <w:rPr>
                <w:sz w:val="20"/>
              </w:rPr>
            </w:pPr>
            <w:r>
              <w:rPr>
                <w:spacing w:val="-2"/>
                <w:sz w:val="20"/>
              </w:rPr>
              <w:t>(2850)</w:t>
            </w:r>
          </w:p>
        </w:tc>
        <w:tc>
          <w:tcPr>
            <w:tcW w:w="1049" w:type="dxa"/>
            <w:tcBorders>
              <w:top w:val="nil"/>
            </w:tcBorders>
          </w:tcPr>
          <w:p w14:paraId="7A4C3050" w14:textId="77777777" w:rsidR="00E13D3F" w:rsidRDefault="00E13D3F">
            <w:pPr>
              <w:pStyle w:val="TableParagraph"/>
              <w:rPr>
                <w:rFonts w:ascii="Times New Roman"/>
                <w:sz w:val="14"/>
              </w:rPr>
            </w:pPr>
          </w:p>
        </w:tc>
        <w:tc>
          <w:tcPr>
            <w:tcW w:w="1152" w:type="dxa"/>
            <w:tcBorders>
              <w:top w:val="nil"/>
            </w:tcBorders>
          </w:tcPr>
          <w:p w14:paraId="7A4C3051" w14:textId="77777777" w:rsidR="00E13D3F" w:rsidRDefault="00E13D3F">
            <w:pPr>
              <w:pStyle w:val="TableParagraph"/>
              <w:rPr>
                <w:rFonts w:ascii="Times New Roman"/>
                <w:sz w:val="14"/>
              </w:rPr>
            </w:pPr>
          </w:p>
        </w:tc>
        <w:tc>
          <w:tcPr>
            <w:tcW w:w="1361" w:type="dxa"/>
            <w:tcBorders>
              <w:top w:val="nil"/>
            </w:tcBorders>
          </w:tcPr>
          <w:p w14:paraId="7A4C3052" w14:textId="77777777" w:rsidR="00E13D3F" w:rsidRDefault="00FB2D6A">
            <w:pPr>
              <w:pStyle w:val="TableParagraph"/>
              <w:spacing w:line="204" w:lineRule="exact"/>
              <w:ind w:left="3" w:right="38"/>
              <w:jc w:val="center"/>
              <w:rPr>
                <w:sz w:val="20"/>
              </w:rPr>
            </w:pPr>
            <w:r>
              <w:rPr>
                <w:sz w:val="20"/>
              </w:rPr>
              <w:t>(-3.9</w:t>
            </w:r>
            <w:r>
              <w:rPr>
                <w:spacing w:val="-5"/>
                <w:sz w:val="20"/>
              </w:rPr>
              <w:t xml:space="preserve"> </w:t>
            </w:r>
            <w:r>
              <w:rPr>
                <w:sz w:val="20"/>
              </w:rPr>
              <w:t>to</w:t>
            </w:r>
            <w:r>
              <w:rPr>
                <w:spacing w:val="-3"/>
                <w:sz w:val="20"/>
              </w:rPr>
              <w:t xml:space="preserve"> </w:t>
            </w:r>
            <w:r>
              <w:rPr>
                <w:sz w:val="20"/>
              </w:rPr>
              <w:t>–</w:t>
            </w:r>
            <w:r>
              <w:rPr>
                <w:spacing w:val="-4"/>
                <w:sz w:val="20"/>
              </w:rPr>
              <w:t>2.3)</w:t>
            </w:r>
          </w:p>
        </w:tc>
        <w:tc>
          <w:tcPr>
            <w:tcW w:w="1034" w:type="dxa"/>
            <w:tcBorders>
              <w:top w:val="nil"/>
            </w:tcBorders>
          </w:tcPr>
          <w:p w14:paraId="7A4C3053" w14:textId="77777777" w:rsidR="00E13D3F" w:rsidRDefault="00E13D3F">
            <w:pPr>
              <w:pStyle w:val="TableParagraph"/>
              <w:rPr>
                <w:rFonts w:ascii="Times New Roman"/>
                <w:sz w:val="14"/>
              </w:rPr>
            </w:pPr>
          </w:p>
        </w:tc>
        <w:tc>
          <w:tcPr>
            <w:tcW w:w="1851" w:type="dxa"/>
            <w:tcBorders>
              <w:top w:val="nil"/>
            </w:tcBorders>
          </w:tcPr>
          <w:p w14:paraId="7A4C3054" w14:textId="77777777" w:rsidR="00E13D3F" w:rsidRDefault="00FB2D6A">
            <w:pPr>
              <w:pStyle w:val="TableParagraph"/>
              <w:spacing w:line="204" w:lineRule="exact"/>
              <w:ind w:left="7" w:right="41"/>
              <w:jc w:val="center"/>
              <w:rPr>
                <w:sz w:val="20"/>
              </w:rPr>
            </w:pPr>
            <w:r>
              <w:rPr>
                <w:spacing w:val="-2"/>
                <w:sz w:val="20"/>
              </w:rPr>
              <w:t>reduction</w:t>
            </w:r>
          </w:p>
        </w:tc>
      </w:tr>
      <w:tr w:rsidR="00E13D3F" w14:paraId="7A4C305D" w14:textId="77777777">
        <w:trPr>
          <w:trHeight w:val="264"/>
        </w:trPr>
        <w:tc>
          <w:tcPr>
            <w:tcW w:w="1613" w:type="dxa"/>
            <w:tcBorders>
              <w:bottom w:val="nil"/>
            </w:tcBorders>
            <w:shd w:val="clear" w:color="auto" w:fill="F1F1F1"/>
          </w:tcPr>
          <w:p w14:paraId="7A4C3056" w14:textId="77777777" w:rsidR="00E13D3F" w:rsidRDefault="00FB2D6A">
            <w:pPr>
              <w:pStyle w:val="TableParagraph"/>
              <w:spacing w:before="1" w:line="243" w:lineRule="exact"/>
              <w:ind w:left="107"/>
              <w:rPr>
                <w:b/>
                <w:sz w:val="20"/>
              </w:rPr>
            </w:pPr>
            <w:r>
              <w:rPr>
                <w:b/>
                <w:sz w:val="20"/>
              </w:rPr>
              <w:t>Decrease</w:t>
            </w:r>
            <w:r>
              <w:rPr>
                <w:b/>
                <w:spacing w:val="-11"/>
                <w:sz w:val="20"/>
              </w:rPr>
              <w:t xml:space="preserve"> </w:t>
            </w:r>
            <w:r>
              <w:rPr>
                <w:b/>
                <w:spacing w:val="-5"/>
                <w:sz w:val="20"/>
              </w:rPr>
              <w:t>in</w:t>
            </w:r>
          </w:p>
        </w:tc>
        <w:tc>
          <w:tcPr>
            <w:tcW w:w="958" w:type="dxa"/>
            <w:tcBorders>
              <w:bottom w:val="nil"/>
            </w:tcBorders>
            <w:shd w:val="clear" w:color="auto" w:fill="F1F1F1"/>
          </w:tcPr>
          <w:p w14:paraId="7A4C3057" w14:textId="77777777" w:rsidR="00E13D3F" w:rsidRDefault="00FB2D6A">
            <w:pPr>
              <w:pStyle w:val="TableParagraph"/>
              <w:spacing w:before="1" w:line="243" w:lineRule="exact"/>
              <w:ind w:left="46" w:right="35"/>
              <w:jc w:val="center"/>
              <w:rPr>
                <w:sz w:val="20"/>
              </w:rPr>
            </w:pPr>
            <w:r>
              <w:rPr>
                <w:spacing w:val="-5"/>
                <w:sz w:val="20"/>
              </w:rPr>
              <w:t>32</w:t>
            </w:r>
          </w:p>
        </w:tc>
        <w:tc>
          <w:tcPr>
            <w:tcW w:w="1049" w:type="dxa"/>
            <w:tcBorders>
              <w:bottom w:val="nil"/>
            </w:tcBorders>
            <w:shd w:val="clear" w:color="auto" w:fill="F1F1F1"/>
          </w:tcPr>
          <w:p w14:paraId="7A4C3058" w14:textId="77777777" w:rsidR="00E13D3F" w:rsidRDefault="00FB2D6A">
            <w:pPr>
              <w:pStyle w:val="TableParagraph"/>
              <w:spacing w:before="1" w:line="243" w:lineRule="exact"/>
              <w:ind w:left="1" w:right="36"/>
              <w:jc w:val="center"/>
              <w:rPr>
                <w:sz w:val="20"/>
              </w:rPr>
            </w:pPr>
            <w:r>
              <w:rPr>
                <w:spacing w:val="-5"/>
                <w:sz w:val="20"/>
              </w:rPr>
              <w:t>NR</w:t>
            </w:r>
          </w:p>
        </w:tc>
        <w:tc>
          <w:tcPr>
            <w:tcW w:w="1152" w:type="dxa"/>
            <w:tcBorders>
              <w:bottom w:val="nil"/>
            </w:tcBorders>
            <w:shd w:val="clear" w:color="auto" w:fill="F1F1F1"/>
          </w:tcPr>
          <w:p w14:paraId="7A4C3059" w14:textId="77777777" w:rsidR="00E13D3F" w:rsidRDefault="00FB2D6A">
            <w:pPr>
              <w:pStyle w:val="TableParagraph"/>
              <w:spacing w:before="1" w:line="243" w:lineRule="exact"/>
              <w:ind w:left="1" w:right="34"/>
              <w:jc w:val="center"/>
              <w:rPr>
                <w:sz w:val="20"/>
              </w:rPr>
            </w:pPr>
            <w:r>
              <w:rPr>
                <w:spacing w:val="-5"/>
                <w:sz w:val="20"/>
              </w:rPr>
              <w:t>NR</w:t>
            </w:r>
          </w:p>
        </w:tc>
        <w:tc>
          <w:tcPr>
            <w:tcW w:w="1361" w:type="dxa"/>
            <w:tcBorders>
              <w:bottom w:val="nil"/>
            </w:tcBorders>
            <w:shd w:val="clear" w:color="auto" w:fill="F1F1F1"/>
          </w:tcPr>
          <w:p w14:paraId="7A4C305A" w14:textId="77777777" w:rsidR="00E13D3F" w:rsidRDefault="00FB2D6A">
            <w:pPr>
              <w:pStyle w:val="TableParagraph"/>
              <w:spacing w:before="1" w:line="243" w:lineRule="exact"/>
              <w:ind w:left="2" w:right="38"/>
              <w:jc w:val="center"/>
              <w:rPr>
                <w:sz w:val="20"/>
              </w:rPr>
            </w:pPr>
            <w:r>
              <w:rPr>
                <w:sz w:val="20"/>
              </w:rPr>
              <w:t>MD</w:t>
            </w:r>
            <w:r>
              <w:rPr>
                <w:spacing w:val="-5"/>
                <w:sz w:val="20"/>
              </w:rPr>
              <w:t xml:space="preserve"> </w:t>
            </w:r>
            <w:r>
              <w:rPr>
                <w:sz w:val="20"/>
              </w:rPr>
              <w:t>-</w:t>
            </w:r>
            <w:r>
              <w:rPr>
                <w:spacing w:val="-5"/>
                <w:sz w:val="20"/>
              </w:rPr>
              <w:t>2.0</w:t>
            </w:r>
          </w:p>
        </w:tc>
        <w:tc>
          <w:tcPr>
            <w:tcW w:w="1034" w:type="dxa"/>
            <w:tcBorders>
              <w:bottom w:val="nil"/>
            </w:tcBorders>
            <w:shd w:val="clear" w:color="auto" w:fill="F1F1F1"/>
          </w:tcPr>
          <w:p w14:paraId="7A4C305B" w14:textId="77777777" w:rsidR="00E13D3F" w:rsidRDefault="00FB2D6A">
            <w:pPr>
              <w:pStyle w:val="TableParagraph"/>
              <w:spacing w:before="1" w:line="243" w:lineRule="exact"/>
              <w:ind w:left="10" w:right="48"/>
              <w:jc w:val="center"/>
              <w:rPr>
                <w:sz w:val="20"/>
              </w:rPr>
            </w:pPr>
            <w:r>
              <w:rPr>
                <w:spacing w:val="-5"/>
                <w:sz w:val="20"/>
              </w:rPr>
              <w:t>**</w:t>
            </w:r>
          </w:p>
        </w:tc>
        <w:tc>
          <w:tcPr>
            <w:tcW w:w="1851" w:type="dxa"/>
            <w:tcBorders>
              <w:bottom w:val="nil"/>
            </w:tcBorders>
            <w:shd w:val="clear" w:color="auto" w:fill="F1F1F1"/>
          </w:tcPr>
          <w:p w14:paraId="7A4C305C" w14:textId="77777777" w:rsidR="00E13D3F" w:rsidRDefault="00FB2D6A">
            <w:pPr>
              <w:pStyle w:val="TableParagraph"/>
              <w:spacing w:before="1" w:line="243" w:lineRule="exact"/>
              <w:ind w:left="41" w:right="34"/>
              <w:jc w:val="center"/>
              <w:rPr>
                <w:sz w:val="20"/>
              </w:rPr>
            </w:pPr>
            <w:r>
              <w:rPr>
                <w:spacing w:val="-2"/>
                <w:sz w:val="20"/>
              </w:rPr>
              <w:t>Significant</w:t>
            </w:r>
          </w:p>
        </w:tc>
      </w:tr>
      <w:tr w:rsidR="00E13D3F" w14:paraId="7A4C3065" w14:textId="77777777">
        <w:trPr>
          <w:trHeight w:val="244"/>
        </w:trPr>
        <w:tc>
          <w:tcPr>
            <w:tcW w:w="1613" w:type="dxa"/>
            <w:tcBorders>
              <w:top w:val="nil"/>
              <w:bottom w:val="nil"/>
            </w:tcBorders>
            <w:shd w:val="clear" w:color="auto" w:fill="F1F1F1"/>
          </w:tcPr>
          <w:p w14:paraId="7A4C305E" w14:textId="77777777" w:rsidR="00E13D3F" w:rsidRDefault="00FB2D6A">
            <w:pPr>
              <w:pStyle w:val="TableParagraph"/>
              <w:spacing w:line="225" w:lineRule="exact"/>
              <w:ind w:left="107"/>
              <w:rPr>
                <w:b/>
                <w:sz w:val="20"/>
              </w:rPr>
            </w:pPr>
            <w:r>
              <w:rPr>
                <w:b/>
                <w:spacing w:val="-5"/>
                <w:sz w:val="20"/>
              </w:rPr>
              <w:t>DBP</w:t>
            </w:r>
          </w:p>
        </w:tc>
        <w:tc>
          <w:tcPr>
            <w:tcW w:w="958" w:type="dxa"/>
            <w:tcBorders>
              <w:top w:val="nil"/>
              <w:bottom w:val="nil"/>
            </w:tcBorders>
            <w:shd w:val="clear" w:color="auto" w:fill="F1F1F1"/>
          </w:tcPr>
          <w:p w14:paraId="7A4C305F" w14:textId="77777777" w:rsidR="00E13D3F" w:rsidRDefault="00FB2D6A">
            <w:pPr>
              <w:pStyle w:val="TableParagraph"/>
              <w:spacing w:line="225" w:lineRule="exact"/>
              <w:ind w:left="11" w:right="45"/>
              <w:jc w:val="center"/>
              <w:rPr>
                <w:sz w:val="20"/>
              </w:rPr>
            </w:pPr>
            <w:r>
              <w:rPr>
                <w:spacing w:val="-2"/>
                <w:sz w:val="20"/>
              </w:rPr>
              <w:t>(2210)</w:t>
            </w:r>
          </w:p>
        </w:tc>
        <w:tc>
          <w:tcPr>
            <w:tcW w:w="1049" w:type="dxa"/>
            <w:tcBorders>
              <w:top w:val="nil"/>
              <w:bottom w:val="nil"/>
            </w:tcBorders>
            <w:shd w:val="clear" w:color="auto" w:fill="F1F1F1"/>
          </w:tcPr>
          <w:p w14:paraId="7A4C3060" w14:textId="77777777" w:rsidR="00E13D3F" w:rsidRDefault="00E13D3F">
            <w:pPr>
              <w:pStyle w:val="TableParagraph"/>
              <w:rPr>
                <w:rFonts w:ascii="Times New Roman"/>
                <w:sz w:val="16"/>
              </w:rPr>
            </w:pPr>
          </w:p>
        </w:tc>
        <w:tc>
          <w:tcPr>
            <w:tcW w:w="1152" w:type="dxa"/>
            <w:tcBorders>
              <w:top w:val="nil"/>
              <w:bottom w:val="nil"/>
            </w:tcBorders>
            <w:shd w:val="clear" w:color="auto" w:fill="F1F1F1"/>
          </w:tcPr>
          <w:p w14:paraId="7A4C3061" w14:textId="77777777" w:rsidR="00E13D3F" w:rsidRDefault="00E13D3F">
            <w:pPr>
              <w:pStyle w:val="TableParagraph"/>
              <w:rPr>
                <w:rFonts w:ascii="Times New Roman"/>
                <w:sz w:val="16"/>
              </w:rPr>
            </w:pPr>
          </w:p>
        </w:tc>
        <w:tc>
          <w:tcPr>
            <w:tcW w:w="1361" w:type="dxa"/>
            <w:tcBorders>
              <w:top w:val="nil"/>
              <w:bottom w:val="nil"/>
            </w:tcBorders>
            <w:shd w:val="clear" w:color="auto" w:fill="F1F1F1"/>
          </w:tcPr>
          <w:p w14:paraId="7A4C3062" w14:textId="77777777" w:rsidR="00E13D3F" w:rsidRDefault="00FB2D6A">
            <w:pPr>
              <w:pStyle w:val="TableParagraph"/>
              <w:spacing w:line="225" w:lineRule="exact"/>
              <w:ind w:left="3" w:right="38"/>
              <w:jc w:val="center"/>
              <w:rPr>
                <w:sz w:val="20"/>
              </w:rPr>
            </w:pPr>
            <w:r>
              <w:rPr>
                <w:sz w:val="20"/>
              </w:rPr>
              <w:t>(-2.7</w:t>
            </w:r>
            <w:r>
              <w:rPr>
                <w:spacing w:val="-5"/>
                <w:sz w:val="20"/>
              </w:rPr>
              <w:t xml:space="preserve"> </w:t>
            </w:r>
            <w:r>
              <w:rPr>
                <w:sz w:val="20"/>
              </w:rPr>
              <w:t>to</w:t>
            </w:r>
            <w:r>
              <w:rPr>
                <w:spacing w:val="-3"/>
                <w:sz w:val="20"/>
              </w:rPr>
              <w:t xml:space="preserve"> </w:t>
            </w:r>
            <w:r>
              <w:rPr>
                <w:sz w:val="20"/>
              </w:rPr>
              <w:t>-</w:t>
            </w:r>
            <w:r>
              <w:rPr>
                <w:spacing w:val="-4"/>
                <w:sz w:val="20"/>
              </w:rPr>
              <w:t>1.4)</w:t>
            </w:r>
          </w:p>
        </w:tc>
        <w:tc>
          <w:tcPr>
            <w:tcW w:w="1034" w:type="dxa"/>
            <w:tcBorders>
              <w:top w:val="nil"/>
              <w:bottom w:val="nil"/>
            </w:tcBorders>
            <w:shd w:val="clear" w:color="auto" w:fill="F1F1F1"/>
          </w:tcPr>
          <w:p w14:paraId="7A4C3063" w14:textId="77777777" w:rsidR="00E13D3F" w:rsidRDefault="00E13D3F">
            <w:pPr>
              <w:pStyle w:val="TableParagraph"/>
              <w:rPr>
                <w:rFonts w:ascii="Times New Roman"/>
                <w:sz w:val="16"/>
              </w:rPr>
            </w:pPr>
          </w:p>
        </w:tc>
        <w:tc>
          <w:tcPr>
            <w:tcW w:w="1851" w:type="dxa"/>
            <w:tcBorders>
              <w:top w:val="nil"/>
              <w:bottom w:val="nil"/>
            </w:tcBorders>
            <w:shd w:val="clear" w:color="auto" w:fill="F1F1F1"/>
          </w:tcPr>
          <w:p w14:paraId="7A4C3064" w14:textId="77777777" w:rsidR="00E13D3F" w:rsidRDefault="00FB2D6A">
            <w:pPr>
              <w:pStyle w:val="TableParagraph"/>
              <w:spacing w:line="225" w:lineRule="exact"/>
              <w:ind w:left="7" w:right="41"/>
              <w:jc w:val="center"/>
              <w:rPr>
                <w:sz w:val="20"/>
              </w:rPr>
            </w:pPr>
            <w:r>
              <w:rPr>
                <w:spacing w:val="-2"/>
                <w:sz w:val="20"/>
              </w:rPr>
              <w:t>reduction</w:t>
            </w:r>
          </w:p>
        </w:tc>
      </w:tr>
      <w:tr w:rsidR="00E13D3F" w14:paraId="7A4C306D" w14:textId="77777777">
        <w:trPr>
          <w:trHeight w:val="224"/>
        </w:trPr>
        <w:tc>
          <w:tcPr>
            <w:tcW w:w="1613" w:type="dxa"/>
            <w:tcBorders>
              <w:top w:val="nil"/>
            </w:tcBorders>
            <w:shd w:val="clear" w:color="auto" w:fill="F1F1F1"/>
          </w:tcPr>
          <w:p w14:paraId="7A4C3066" w14:textId="77777777" w:rsidR="00E13D3F" w:rsidRDefault="00FB2D6A">
            <w:pPr>
              <w:pStyle w:val="TableParagraph"/>
              <w:spacing w:line="205" w:lineRule="exact"/>
              <w:ind w:left="107"/>
              <w:rPr>
                <w:b/>
                <w:i/>
                <w:sz w:val="20"/>
              </w:rPr>
            </w:pPr>
            <w:r>
              <w:rPr>
                <w:b/>
                <w:sz w:val="20"/>
              </w:rPr>
              <w:t>(mmHg)</w:t>
            </w:r>
            <w:r>
              <w:rPr>
                <w:b/>
                <w:spacing w:val="-4"/>
                <w:sz w:val="20"/>
              </w:rPr>
              <w:t xml:space="preserve"> </w:t>
            </w:r>
            <w:r>
              <w:rPr>
                <w:b/>
                <w:sz w:val="20"/>
              </w:rPr>
              <w:t>-</w:t>
            </w:r>
            <w:r>
              <w:rPr>
                <w:b/>
                <w:spacing w:val="-6"/>
                <w:sz w:val="20"/>
              </w:rPr>
              <w:t xml:space="preserve"> </w:t>
            </w:r>
            <w:r>
              <w:rPr>
                <w:b/>
                <w:i/>
                <w:spacing w:val="-5"/>
                <w:sz w:val="20"/>
              </w:rPr>
              <w:t>all</w:t>
            </w:r>
          </w:p>
        </w:tc>
        <w:tc>
          <w:tcPr>
            <w:tcW w:w="958" w:type="dxa"/>
            <w:tcBorders>
              <w:top w:val="nil"/>
            </w:tcBorders>
            <w:shd w:val="clear" w:color="auto" w:fill="F1F1F1"/>
          </w:tcPr>
          <w:p w14:paraId="7A4C3067" w14:textId="77777777" w:rsidR="00E13D3F" w:rsidRDefault="00E13D3F">
            <w:pPr>
              <w:pStyle w:val="TableParagraph"/>
              <w:rPr>
                <w:rFonts w:ascii="Times New Roman"/>
                <w:sz w:val="16"/>
              </w:rPr>
            </w:pPr>
          </w:p>
        </w:tc>
        <w:tc>
          <w:tcPr>
            <w:tcW w:w="1049" w:type="dxa"/>
            <w:tcBorders>
              <w:top w:val="nil"/>
            </w:tcBorders>
            <w:shd w:val="clear" w:color="auto" w:fill="F1F1F1"/>
          </w:tcPr>
          <w:p w14:paraId="7A4C3068" w14:textId="77777777" w:rsidR="00E13D3F" w:rsidRDefault="00E13D3F">
            <w:pPr>
              <w:pStyle w:val="TableParagraph"/>
              <w:rPr>
                <w:rFonts w:ascii="Times New Roman"/>
                <w:sz w:val="16"/>
              </w:rPr>
            </w:pPr>
          </w:p>
        </w:tc>
        <w:tc>
          <w:tcPr>
            <w:tcW w:w="1152" w:type="dxa"/>
            <w:tcBorders>
              <w:top w:val="nil"/>
            </w:tcBorders>
            <w:shd w:val="clear" w:color="auto" w:fill="F1F1F1"/>
          </w:tcPr>
          <w:p w14:paraId="7A4C3069" w14:textId="77777777" w:rsidR="00E13D3F" w:rsidRDefault="00E13D3F">
            <w:pPr>
              <w:pStyle w:val="TableParagraph"/>
              <w:rPr>
                <w:rFonts w:ascii="Times New Roman"/>
                <w:sz w:val="16"/>
              </w:rPr>
            </w:pPr>
          </w:p>
        </w:tc>
        <w:tc>
          <w:tcPr>
            <w:tcW w:w="1361" w:type="dxa"/>
            <w:tcBorders>
              <w:top w:val="nil"/>
            </w:tcBorders>
            <w:shd w:val="clear" w:color="auto" w:fill="F1F1F1"/>
          </w:tcPr>
          <w:p w14:paraId="7A4C306A" w14:textId="77777777" w:rsidR="00E13D3F" w:rsidRDefault="00E13D3F">
            <w:pPr>
              <w:pStyle w:val="TableParagraph"/>
              <w:rPr>
                <w:rFonts w:ascii="Times New Roman"/>
                <w:sz w:val="16"/>
              </w:rPr>
            </w:pPr>
          </w:p>
        </w:tc>
        <w:tc>
          <w:tcPr>
            <w:tcW w:w="1034" w:type="dxa"/>
            <w:tcBorders>
              <w:top w:val="nil"/>
            </w:tcBorders>
            <w:shd w:val="clear" w:color="auto" w:fill="F1F1F1"/>
          </w:tcPr>
          <w:p w14:paraId="7A4C306B" w14:textId="77777777" w:rsidR="00E13D3F" w:rsidRDefault="00E13D3F">
            <w:pPr>
              <w:pStyle w:val="TableParagraph"/>
              <w:rPr>
                <w:rFonts w:ascii="Times New Roman"/>
                <w:sz w:val="16"/>
              </w:rPr>
            </w:pPr>
          </w:p>
        </w:tc>
        <w:tc>
          <w:tcPr>
            <w:tcW w:w="1851" w:type="dxa"/>
            <w:tcBorders>
              <w:top w:val="nil"/>
            </w:tcBorders>
            <w:shd w:val="clear" w:color="auto" w:fill="F1F1F1"/>
          </w:tcPr>
          <w:p w14:paraId="7A4C306C" w14:textId="77777777" w:rsidR="00E13D3F" w:rsidRDefault="00E13D3F">
            <w:pPr>
              <w:pStyle w:val="TableParagraph"/>
              <w:rPr>
                <w:rFonts w:ascii="Times New Roman"/>
                <w:sz w:val="16"/>
              </w:rPr>
            </w:pPr>
          </w:p>
        </w:tc>
      </w:tr>
    </w:tbl>
    <w:p w14:paraId="7A4C306E" w14:textId="77777777" w:rsidR="00E13D3F" w:rsidRDefault="00FB2D6A">
      <w:pPr>
        <w:spacing w:before="4"/>
        <w:ind w:left="1440" w:right="1543"/>
        <w:jc w:val="both"/>
        <w:rPr>
          <w:sz w:val="16"/>
        </w:rPr>
      </w:pPr>
      <w:r>
        <w:rPr>
          <w:sz w:val="16"/>
        </w:rPr>
        <w:t>RR</w:t>
      </w:r>
      <w:r>
        <w:rPr>
          <w:spacing w:val="-2"/>
          <w:sz w:val="16"/>
        </w:rPr>
        <w:t xml:space="preserve"> </w:t>
      </w:r>
      <w:r>
        <w:rPr>
          <w:sz w:val="16"/>
        </w:rPr>
        <w:t>=</w:t>
      </w:r>
      <w:r>
        <w:rPr>
          <w:spacing w:val="-3"/>
          <w:sz w:val="16"/>
        </w:rPr>
        <w:t xml:space="preserve"> </w:t>
      </w:r>
      <w:r>
        <w:rPr>
          <w:sz w:val="16"/>
        </w:rPr>
        <w:t>Risk</w:t>
      </w:r>
      <w:r>
        <w:rPr>
          <w:spacing w:val="-2"/>
          <w:sz w:val="16"/>
        </w:rPr>
        <w:t xml:space="preserve"> </w:t>
      </w:r>
      <w:r>
        <w:rPr>
          <w:sz w:val="16"/>
        </w:rPr>
        <w:t>ratio;</w:t>
      </w:r>
      <w:r>
        <w:rPr>
          <w:spacing w:val="-1"/>
          <w:sz w:val="16"/>
        </w:rPr>
        <w:t xml:space="preserve"> </w:t>
      </w:r>
      <w:r>
        <w:rPr>
          <w:sz w:val="16"/>
        </w:rPr>
        <w:t>MD</w:t>
      </w:r>
      <w:r>
        <w:rPr>
          <w:spacing w:val="-2"/>
          <w:sz w:val="16"/>
        </w:rPr>
        <w:t xml:space="preserve"> </w:t>
      </w:r>
      <w:r>
        <w:rPr>
          <w:sz w:val="16"/>
        </w:rPr>
        <w:t>=</w:t>
      </w:r>
      <w:r>
        <w:rPr>
          <w:spacing w:val="-3"/>
          <w:sz w:val="16"/>
        </w:rPr>
        <w:t xml:space="preserve"> </w:t>
      </w:r>
      <w:r>
        <w:rPr>
          <w:sz w:val="16"/>
        </w:rPr>
        <w:t>mean</w:t>
      </w:r>
      <w:r>
        <w:rPr>
          <w:spacing w:val="-2"/>
          <w:sz w:val="16"/>
        </w:rPr>
        <w:t xml:space="preserve"> </w:t>
      </w:r>
      <w:r>
        <w:rPr>
          <w:sz w:val="16"/>
        </w:rPr>
        <w:t>difference;</w:t>
      </w:r>
      <w:r>
        <w:rPr>
          <w:spacing w:val="-1"/>
          <w:sz w:val="16"/>
        </w:rPr>
        <w:t xml:space="preserve"> </w:t>
      </w:r>
      <w:r>
        <w:rPr>
          <w:sz w:val="16"/>
        </w:rPr>
        <w:t>CI</w:t>
      </w:r>
      <w:r>
        <w:rPr>
          <w:spacing w:val="-1"/>
          <w:sz w:val="16"/>
        </w:rPr>
        <w:t xml:space="preserve"> </w:t>
      </w:r>
      <w:r>
        <w:rPr>
          <w:sz w:val="16"/>
        </w:rPr>
        <w:t>=</w:t>
      </w:r>
      <w:r>
        <w:rPr>
          <w:spacing w:val="-3"/>
          <w:sz w:val="16"/>
        </w:rPr>
        <w:t xml:space="preserve"> </w:t>
      </w:r>
      <w:r>
        <w:rPr>
          <w:sz w:val="16"/>
        </w:rPr>
        <w:t>confidence interval;</w:t>
      </w:r>
      <w:r>
        <w:rPr>
          <w:spacing w:val="-1"/>
          <w:sz w:val="16"/>
        </w:rPr>
        <w:t xml:space="preserve"> </w:t>
      </w:r>
      <w:r>
        <w:rPr>
          <w:sz w:val="16"/>
        </w:rPr>
        <w:t>CVD</w:t>
      </w:r>
      <w:r>
        <w:rPr>
          <w:spacing w:val="-2"/>
          <w:sz w:val="16"/>
        </w:rPr>
        <w:t xml:space="preserve"> </w:t>
      </w:r>
      <w:r>
        <w:rPr>
          <w:sz w:val="16"/>
        </w:rPr>
        <w:t>=</w:t>
      </w:r>
      <w:r>
        <w:rPr>
          <w:spacing w:val="-3"/>
          <w:sz w:val="16"/>
        </w:rPr>
        <w:t xml:space="preserve"> </w:t>
      </w:r>
      <w:r>
        <w:rPr>
          <w:sz w:val="16"/>
        </w:rPr>
        <w:t>cardiovascular;</w:t>
      </w:r>
      <w:r>
        <w:rPr>
          <w:spacing w:val="-1"/>
          <w:sz w:val="16"/>
        </w:rPr>
        <w:t xml:space="preserve"> </w:t>
      </w:r>
      <w:r>
        <w:rPr>
          <w:sz w:val="16"/>
        </w:rPr>
        <w:t>SBP</w:t>
      </w:r>
      <w:r>
        <w:rPr>
          <w:spacing w:val="-1"/>
          <w:sz w:val="16"/>
        </w:rPr>
        <w:t xml:space="preserve"> </w:t>
      </w:r>
      <w:r>
        <w:rPr>
          <w:sz w:val="16"/>
        </w:rPr>
        <w:t>=</w:t>
      </w:r>
      <w:r>
        <w:rPr>
          <w:spacing w:val="-3"/>
          <w:sz w:val="16"/>
        </w:rPr>
        <w:t xml:space="preserve"> </w:t>
      </w:r>
      <w:r>
        <w:rPr>
          <w:sz w:val="16"/>
        </w:rPr>
        <w:t>systolic</w:t>
      </w:r>
      <w:r>
        <w:rPr>
          <w:spacing w:val="-2"/>
          <w:sz w:val="16"/>
        </w:rPr>
        <w:t xml:space="preserve"> </w:t>
      </w:r>
      <w:r>
        <w:rPr>
          <w:sz w:val="16"/>
        </w:rPr>
        <w:t>blood</w:t>
      </w:r>
      <w:r>
        <w:rPr>
          <w:spacing w:val="-2"/>
          <w:sz w:val="16"/>
        </w:rPr>
        <w:t xml:space="preserve"> </w:t>
      </w:r>
      <w:r>
        <w:rPr>
          <w:sz w:val="16"/>
        </w:rPr>
        <w:t>pressure;</w:t>
      </w:r>
      <w:r>
        <w:rPr>
          <w:spacing w:val="-1"/>
          <w:sz w:val="16"/>
        </w:rPr>
        <w:t xml:space="preserve"> </w:t>
      </w:r>
      <w:r>
        <w:rPr>
          <w:sz w:val="16"/>
        </w:rPr>
        <w:t>DBP</w:t>
      </w:r>
      <w:r>
        <w:rPr>
          <w:spacing w:val="-1"/>
          <w:sz w:val="16"/>
        </w:rPr>
        <w:t xml:space="preserve"> </w:t>
      </w:r>
      <w:r>
        <w:rPr>
          <w:sz w:val="16"/>
        </w:rPr>
        <w:t>= diastolic</w:t>
      </w:r>
      <w:r>
        <w:rPr>
          <w:spacing w:val="-2"/>
          <w:sz w:val="16"/>
        </w:rPr>
        <w:t xml:space="preserve"> </w:t>
      </w:r>
      <w:r>
        <w:rPr>
          <w:sz w:val="16"/>
        </w:rPr>
        <w:t>blood</w:t>
      </w:r>
      <w:r>
        <w:rPr>
          <w:spacing w:val="40"/>
          <w:sz w:val="16"/>
        </w:rPr>
        <w:t xml:space="preserve"> </w:t>
      </w:r>
      <w:r>
        <w:rPr>
          <w:sz w:val="16"/>
        </w:rPr>
        <w:t>pressure;</w:t>
      </w:r>
      <w:r>
        <w:rPr>
          <w:spacing w:val="-1"/>
          <w:sz w:val="16"/>
        </w:rPr>
        <w:t xml:space="preserve"> </w:t>
      </w:r>
      <w:r>
        <w:rPr>
          <w:sz w:val="16"/>
        </w:rPr>
        <w:t>*Downgraded</w:t>
      </w:r>
      <w:r>
        <w:rPr>
          <w:spacing w:val="-2"/>
          <w:sz w:val="16"/>
        </w:rPr>
        <w:t xml:space="preserve"> </w:t>
      </w:r>
      <w:r>
        <w:rPr>
          <w:sz w:val="16"/>
        </w:rPr>
        <w:t>for</w:t>
      </w:r>
      <w:r>
        <w:rPr>
          <w:spacing w:val="-2"/>
          <w:sz w:val="16"/>
        </w:rPr>
        <w:t xml:space="preserve"> </w:t>
      </w:r>
      <w:r>
        <w:rPr>
          <w:sz w:val="16"/>
        </w:rPr>
        <w:t>risk</w:t>
      </w:r>
      <w:r>
        <w:rPr>
          <w:spacing w:val="-2"/>
          <w:sz w:val="16"/>
        </w:rPr>
        <w:t xml:space="preserve"> </w:t>
      </w:r>
      <w:r>
        <w:rPr>
          <w:sz w:val="16"/>
        </w:rPr>
        <w:t>of</w:t>
      </w:r>
      <w:r>
        <w:rPr>
          <w:spacing w:val="-2"/>
          <w:sz w:val="16"/>
        </w:rPr>
        <w:t xml:space="preserve"> </w:t>
      </w:r>
      <w:r>
        <w:rPr>
          <w:sz w:val="16"/>
        </w:rPr>
        <w:t>bias,</w:t>
      </w:r>
      <w:r>
        <w:rPr>
          <w:spacing w:val="-1"/>
          <w:sz w:val="16"/>
        </w:rPr>
        <w:t xml:space="preserve"> </w:t>
      </w:r>
      <w:r>
        <w:rPr>
          <w:sz w:val="16"/>
        </w:rPr>
        <w:t>imprecision,</w:t>
      </w:r>
      <w:r>
        <w:rPr>
          <w:spacing w:val="-1"/>
          <w:sz w:val="16"/>
        </w:rPr>
        <w:t xml:space="preserve"> </w:t>
      </w:r>
      <w:r>
        <w:rPr>
          <w:sz w:val="16"/>
        </w:rPr>
        <w:t>inconsistency;</w:t>
      </w:r>
      <w:r>
        <w:rPr>
          <w:spacing w:val="-1"/>
          <w:sz w:val="16"/>
        </w:rPr>
        <w:t xml:space="preserve"> </w:t>
      </w:r>
      <w:r>
        <w:rPr>
          <w:sz w:val="16"/>
        </w:rPr>
        <w:t>**</w:t>
      </w:r>
      <w:r>
        <w:rPr>
          <w:spacing w:val="-2"/>
          <w:sz w:val="16"/>
        </w:rPr>
        <w:t xml:space="preserve"> </w:t>
      </w:r>
      <w:r>
        <w:rPr>
          <w:sz w:val="16"/>
        </w:rPr>
        <w:t>Not</w:t>
      </w:r>
      <w:r>
        <w:rPr>
          <w:spacing w:val="-1"/>
          <w:sz w:val="16"/>
        </w:rPr>
        <w:t xml:space="preserve"> </w:t>
      </w:r>
      <w:r>
        <w:rPr>
          <w:sz w:val="16"/>
        </w:rPr>
        <w:t>GRADED</w:t>
      </w:r>
      <w:r>
        <w:rPr>
          <w:spacing w:val="-2"/>
          <w:sz w:val="16"/>
        </w:rPr>
        <w:t xml:space="preserve"> </w:t>
      </w:r>
      <w:r>
        <w:rPr>
          <w:sz w:val="16"/>
        </w:rPr>
        <w:t>because</w:t>
      </w:r>
      <w:r>
        <w:rPr>
          <w:spacing w:val="-3"/>
          <w:sz w:val="16"/>
        </w:rPr>
        <w:t xml:space="preserve"> </w:t>
      </w:r>
      <w:r>
        <w:rPr>
          <w:sz w:val="16"/>
        </w:rPr>
        <w:t>of</w:t>
      </w:r>
      <w:r>
        <w:rPr>
          <w:spacing w:val="-2"/>
          <w:sz w:val="16"/>
        </w:rPr>
        <w:t xml:space="preserve"> </w:t>
      </w:r>
      <w:r>
        <w:rPr>
          <w:sz w:val="16"/>
        </w:rPr>
        <w:t>the</w:t>
      </w:r>
      <w:r>
        <w:rPr>
          <w:spacing w:val="-3"/>
          <w:sz w:val="16"/>
        </w:rPr>
        <w:t xml:space="preserve"> </w:t>
      </w:r>
      <w:r>
        <w:rPr>
          <w:sz w:val="16"/>
        </w:rPr>
        <w:t>significant</w:t>
      </w:r>
      <w:r>
        <w:rPr>
          <w:spacing w:val="-2"/>
          <w:sz w:val="16"/>
        </w:rPr>
        <w:t xml:space="preserve"> </w:t>
      </w:r>
      <w:r>
        <w:rPr>
          <w:sz w:val="16"/>
        </w:rPr>
        <w:t>heterogeneity explained</w:t>
      </w:r>
      <w:r>
        <w:rPr>
          <w:spacing w:val="-2"/>
          <w:sz w:val="16"/>
        </w:rPr>
        <w:t xml:space="preserve"> </w:t>
      </w:r>
      <w:r>
        <w:rPr>
          <w:sz w:val="16"/>
        </w:rPr>
        <w:t>by</w:t>
      </w:r>
      <w:r>
        <w:rPr>
          <w:spacing w:val="40"/>
          <w:sz w:val="16"/>
        </w:rPr>
        <w:t xml:space="preserve"> </w:t>
      </w:r>
      <w:r>
        <w:rPr>
          <w:sz w:val="16"/>
        </w:rPr>
        <w:t>baseline</w:t>
      </w:r>
      <w:r>
        <w:rPr>
          <w:spacing w:val="-9"/>
          <w:sz w:val="16"/>
        </w:rPr>
        <w:t xml:space="preserve"> </w:t>
      </w:r>
      <w:r>
        <w:rPr>
          <w:sz w:val="16"/>
        </w:rPr>
        <w:t>intake</w:t>
      </w:r>
    </w:p>
    <w:p w14:paraId="7A4C306F" w14:textId="77777777" w:rsidR="00E13D3F" w:rsidRDefault="00E13D3F">
      <w:pPr>
        <w:jc w:val="both"/>
        <w:rPr>
          <w:sz w:val="16"/>
        </w:rPr>
        <w:sectPr w:rsidR="00E13D3F">
          <w:pgSz w:w="11910" w:h="16840"/>
          <w:pgMar w:top="1380" w:right="0" w:bottom="1200" w:left="0" w:header="0" w:footer="1000" w:gutter="0"/>
          <w:cols w:space="720"/>
        </w:sectPr>
      </w:pPr>
    </w:p>
    <w:p w14:paraId="7A4C3070" w14:textId="77777777" w:rsidR="00E13D3F" w:rsidRDefault="00FB2D6A">
      <w:pPr>
        <w:pStyle w:val="Heading2"/>
        <w:spacing w:before="21"/>
      </w:pPr>
      <w:r>
        <w:rPr>
          <w:color w:val="2E5395"/>
        </w:rPr>
        <w:lastRenderedPageBreak/>
        <w:t>Starting</w:t>
      </w:r>
      <w:r>
        <w:rPr>
          <w:color w:val="2E5395"/>
          <w:spacing w:val="-8"/>
        </w:rPr>
        <w:t xml:space="preserve"> </w:t>
      </w:r>
      <w:r>
        <w:rPr>
          <w:color w:val="2E5395"/>
        </w:rPr>
        <w:t>and</w:t>
      </w:r>
      <w:r>
        <w:rPr>
          <w:color w:val="2E5395"/>
          <w:spacing w:val="-8"/>
        </w:rPr>
        <w:t xml:space="preserve"> </w:t>
      </w:r>
      <w:r>
        <w:rPr>
          <w:color w:val="2E5395"/>
        </w:rPr>
        <w:t>Stopping</w:t>
      </w:r>
      <w:r>
        <w:rPr>
          <w:color w:val="2E5395"/>
          <w:spacing w:val="-8"/>
        </w:rPr>
        <w:t xml:space="preserve"> </w:t>
      </w:r>
      <w:r>
        <w:rPr>
          <w:color w:val="2E5395"/>
          <w:spacing w:val="-4"/>
        </w:rPr>
        <w:t>Ages</w:t>
      </w:r>
    </w:p>
    <w:p w14:paraId="7A4C3071" w14:textId="77777777" w:rsidR="00E13D3F" w:rsidRDefault="00FB2D6A">
      <w:pPr>
        <w:pStyle w:val="BodyText"/>
        <w:spacing w:before="26"/>
        <w:ind w:right="1530"/>
        <w:jc w:val="both"/>
      </w:pPr>
      <w:r>
        <w:t>In</w:t>
      </w:r>
      <w:r>
        <w:rPr>
          <w:spacing w:val="-2"/>
        </w:rPr>
        <w:t xml:space="preserve"> </w:t>
      </w:r>
      <w:r>
        <w:t>Australia,</w:t>
      </w:r>
      <w:r>
        <w:rPr>
          <w:spacing w:val="-5"/>
        </w:rPr>
        <w:t xml:space="preserve"> </w:t>
      </w:r>
      <w:r>
        <w:t>the</w:t>
      </w:r>
      <w:r>
        <w:rPr>
          <w:spacing w:val="-2"/>
        </w:rPr>
        <w:t xml:space="preserve"> </w:t>
      </w:r>
      <w:r>
        <w:t>risk</w:t>
      </w:r>
      <w:r>
        <w:rPr>
          <w:spacing w:val="-4"/>
        </w:rPr>
        <w:t xml:space="preserve"> </w:t>
      </w:r>
      <w:r>
        <w:t>of</w:t>
      </w:r>
      <w:r>
        <w:rPr>
          <w:spacing w:val="-2"/>
        </w:rPr>
        <w:t xml:space="preserve"> </w:t>
      </w:r>
      <w:r>
        <w:t>exceeding</w:t>
      </w:r>
      <w:r>
        <w:rPr>
          <w:spacing w:val="-5"/>
        </w:rPr>
        <w:t xml:space="preserve"> </w:t>
      </w:r>
      <w:r>
        <w:t>the</w:t>
      </w:r>
      <w:r>
        <w:rPr>
          <w:spacing w:val="-5"/>
        </w:rPr>
        <w:t xml:space="preserve"> </w:t>
      </w:r>
      <w:r>
        <w:t>single</w:t>
      </w:r>
      <w:r>
        <w:rPr>
          <w:spacing w:val="-5"/>
        </w:rPr>
        <w:t xml:space="preserve"> </w:t>
      </w:r>
      <w:r>
        <w:t>occasion</w:t>
      </w:r>
      <w:r>
        <w:rPr>
          <w:spacing w:val="-1"/>
        </w:rPr>
        <w:t xml:space="preserve"> </w:t>
      </w:r>
      <w:r>
        <w:t>risk</w:t>
      </w:r>
      <w:r>
        <w:rPr>
          <w:spacing w:val="-4"/>
        </w:rPr>
        <w:t xml:space="preserve"> </w:t>
      </w:r>
      <w:r>
        <w:t>guideline</w:t>
      </w:r>
      <w:r>
        <w:rPr>
          <w:spacing w:val="-4"/>
        </w:rPr>
        <w:t xml:space="preserve"> </w:t>
      </w:r>
      <w:r>
        <w:t>decreases</w:t>
      </w:r>
      <w:r>
        <w:rPr>
          <w:spacing w:val="-3"/>
        </w:rPr>
        <w:t xml:space="preserve"> </w:t>
      </w:r>
      <w:r>
        <w:t>with</w:t>
      </w:r>
      <w:r>
        <w:rPr>
          <w:spacing w:val="-2"/>
        </w:rPr>
        <w:t xml:space="preserve"> </w:t>
      </w:r>
      <w:r>
        <w:t>age,</w:t>
      </w:r>
      <w:r>
        <w:rPr>
          <w:spacing w:val="-4"/>
        </w:rPr>
        <w:t xml:space="preserve"> </w:t>
      </w:r>
      <w:r>
        <w:t>with 18 to 24 year-olds most likely to exceed the</w:t>
      </w:r>
      <w:r>
        <w:rPr>
          <w:spacing w:val="-1"/>
        </w:rPr>
        <w:t xml:space="preserve"> </w:t>
      </w:r>
      <w:r>
        <w:t>guideline at least once a</w:t>
      </w:r>
      <w:r>
        <w:rPr>
          <w:spacing w:val="-1"/>
        </w:rPr>
        <w:t xml:space="preserve"> </w:t>
      </w:r>
      <w:r>
        <w:t>month (7). Those who exceeded the lifetime risk guideline were most likely to be aged 40-59 years (Figure</w:t>
      </w:r>
    </w:p>
    <w:p w14:paraId="7A4C3072" w14:textId="77777777" w:rsidR="00E13D3F" w:rsidRDefault="00FB2D6A">
      <w:pPr>
        <w:pStyle w:val="BodyText"/>
        <w:spacing w:line="292" w:lineRule="exact"/>
        <w:jc w:val="both"/>
      </w:pPr>
      <w:r>
        <w:t>6.1).</w:t>
      </w:r>
      <w:r>
        <w:rPr>
          <w:spacing w:val="-4"/>
        </w:rPr>
        <w:t xml:space="preserve"> </w:t>
      </w:r>
      <w:r>
        <w:t>Australia’s</w:t>
      </w:r>
      <w:r>
        <w:rPr>
          <w:spacing w:val="-4"/>
        </w:rPr>
        <w:t xml:space="preserve"> </w:t>
      </w:r>
      <w:r>
        <w:t>Guidelines</w:t>
      </w:r>
      <w:r>
        <w:rPr>
          <w:spacing w:val="-4"/>
        </w:rPr>
        <w:t xml:space="preserve"> </w:t>
      </w:r>
      <w:r>
        <w:t>for</w:t>
      </w:r>
      <w:r>
        <w:rPr>
          <w:spacing w:val="-5"/>
        </w:rPr>
        <w:t xml:space="preserve"> </w:t>
      </w:r>
      <w:r>
        <w:t>preventive</w:t>
      </w:r>
      <w:r>
        <w:rPr>
          <w:spacing w:val="-3"/>
        </w:rPr>
        <w:t xml:space="preserve"> </w:t>
      </w:r>
      <w:r>
        <w:t>activities</w:t>
      </w:r>
      <w:r>
        <w:rPr>
          <w:spacing w:val="-4"/>
        </w:rPr>
        <w:t xml:space="preserve"> </w:t>
      </w:r>
      <w:r>
        <w:t>in</w:t>
      </w:r>
      <w:r>
        <w:rPr>
          <w:spacing w:val="-3"/>
        </w:rPr>
        <w:t xml:space="preserve"> </w:t>
      </w:r>
      <w:r>
        <w:t>general</w:t>
      </w:r>
      <w:r>
        <w:rPr>
          <w:spacing w:val="-3"/>
        </w:rPr>
        <w:t xml:space="preserve"> </w:t>
      </w:r>
      <w:r>
        <w:t>practice</w:t>
      </w:r>
      <w:r>
        <w:rPr>
          <w:spacing w:val="-3"/>
        </w:rPr>
        <w:t xml:space="preserve"> </w:t>
      </w:r>
      <w:r>
        <w:t>recommend</w:t>
      </w:r>
      <w:r>
        <w:rPr>
          <w:spacing w:val="-2"/>
        </w:rPr>
        <w:t xml:space="preserve"> </w:t>
      </w:r>
      <w:r>
        <w:rPr>
          <w:spacing w:val="-5"/>
        </w:rPr>
        <w:t>all</w:t>
      </w:r>
    </w:p>
    <w:p w14:paraId="7A4C3073" w14:textId="77777777" w:rsidR="00E13D3F" w:rsidRDefault="00FB2D6A">
      <w:pPr>
        <w:pStyle w:val="BodyText"/>
        <w:jc w:val="both"/>
      </w:pPr>
      <w:r>
        <w:t>patients</w:t>
      </w:r>
      <w:r>
        <w:rPr>
          <w:spacing w:val="-7"/>
        </w:rPr>
        <w:t xml:space="preserve"> </w:t>
      </w:r>
      <w:r>
        <w:t>aged</w:t>
      </w:r>
      <w:r>
        <w:rPr>
          <w:spacing w:val="-3"/>
        </w:rPr>
        <w:t xml:space="preserve"> </w:t>
      </w:r>
      <w:r>
        <w:t>&gt;15</w:t>
      </w:r>
      <w:r>
        <w:rPr>
          <w:spacing w:val="-2"/>
        </w:rPr>
        <w:t xml:space="preserve"> </w:t>
      </w:r>
      <w:r>
        <w:t>years</w:t>
      </w:r>
      <w:r>
        <w:rPr>
          <w:spacing w:val="-5"/>
        </w:rPr>
        <w:t xml:space="preserve"> </w:t>
      </w:r>
      <w:r>
        <w:t>are</w:t>
      </w:r>
      <w:r>
        <w:rPr>
          <w:spacing w:val="-1"/>
        </w:rPr>
        <w:t xml:space="preserve"> </w:t>
      </w:r>
      <w:r>
        <w:t>asked</w:t>
      </w:r>
      <w:r>
        <w:rPr>
          <w:spacing w:val="-4"/>
        </w:rPr>
        <w:t xml:space="preserve"> </w:t>
      </w:r>
      <w:r>
        <w:t>about</w:t>
      </w:r>
      <w:r>
        <w:rPr>
          <w:spacing w:val="-3"/>
        </w:rPr>
        <w:t xml:space="preserve"> </w:t>
      </w:r>
      <w:r>
        <w:t>the</w:t>
      </w:r>
      <w:r>
        <w:rPr>
          <w:spacing w:val="-4"/>
        </w:rPr>
        <w:t xml:space="preserve"> </w:t>
      </w:r>
      <w:r>
        <w:t>quantity</w:t>
      </w:r>
      <w:r>
        <w:rPr>
          <w:spacing w:val="-2"/>
        </w:rPr>
        <w:t xml:space="preserve"> </w:t>
      </w:r>
      <w:r>
        <w:t>and</w:t>
      </w:r>
      <w:r>
        <w:rPr>
          <w:spacing w:val="-4"/>
        </w:rPr>
        <w:t xml:space="preserve"> </w:t>
      </w:r>
      <w:r>
        <w:t>frequency</w:t>
      </w:r>
      <w:r>
        <w:rPr>
          <w:spacing w:val="-5"/>
        </w:rPr>
        <w:t xml:space="preserve"> </w:t>
      </w:r>
      <w:r>
        <w:t>of</w:t>
      </w:r>
      <w:r>
        <w:rPr>
          <w:spacing w:val="-3"/>
        </w:rPr>
        <w:t xml:space="preserve"> </w:t>
      </w:r>
      <w:r>
        <w:t>alcohol</w:t>
      </w:r>
      <w:r>
        <w:rPr>
          <w:spacing w:val="-1"/>
        </w:rPr>
        <w:t xml:space="preserve"> </w:t>
      </w:r>
      <w:r>
        <w:rPr>
          <w:spacing w:val="-2"/>
        </w:rPr>
        <w:t>intake.</w:t>
      </w:r>
    </w:p>
    <w:p w14:paraId="7A4C3074" w14:textId="77777777" w:rsidR="00E13D3F" w:rsidRDefault="00FB2D6A">
      <w:pPr>
        <w:pStyle w:val="BodyText"/>
        <w:spacing w:before="57"/>
        <w:ind w:left="0"/>
        <w:rPr>
          <w:sz w:val="20"/>
        </w:rPr>
      </w:pPr>
      <w:r>
        <w:rPr>
          <w:noProof/>
          <w:sz w:val="20"/>
        </w:rPr>
        <w:drawing>
          <wp:anchor distT="0" distB="0" distL="0" distR="0" simplePos="0" relativeHeight="251658243" behindDoc="1" locked="0" layoutInCell="1" allowOverlap="1" wp14:anchorId="7A4C3C44" wp14:editId="7A4C3C45">
            <wp:simplePos x="0" y="0"/>
            <wp:positionH relativeFrom="page">
              <wp:posOffset>1317313</wp:posOffset>
            </wp:positionH>
            <wp:positionV relativeFrom="paragraph">
              <wp:posOffset>206594</wp:posOffset>
            </wp:positionV>
            <wp:extent cx="4880338" cy="2966085"/>
            <wp:effectExtent l="0" t="0" r="0" b="0"/>
            <wp:wrapTopAndBottom/>
            <wp:docPr id="52" name="Image 52" descr="Chart, bar char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descr="Chart, bar chart  Description automatically generated"/>
                    <pic:cNvPicPr/>
                  </pic:nvPicPr>
                  <pic:blipFill>
                    <a:blip r:embed="rId33" cstate="print"/>
                    <a:stretch>
                      <a:fillRect/>
                    </a:stretch>
                  </pic:blipFill>
                  <pic:spPr>
                    <a:xfrm>
                      <a:off x="0" y="0"/>
                      <a:ext cx="4880338" cy="2966085"/>
                    </a:xfrm>
                    <a:prstGeom prst="rect">
                      <a:avLst/>
                    </a:prstGeom>
                  </pic:spPr>
                </pic:pic>
              </a:graphicData>
            </a:graphic>
          </wp:anchor>
        </w:drawing>
      </w:r>
    </w:p>
    <w:p w14:paraId="7A4C3075" w14:textId="77777777" w:rsidR="00E13D3F" w:rsidRDefault="00FB2D6A">
      <w:pPr>
        <w:spacing w:before="233"/>
        <w:ind w:left="4688" w:right="1137" w:hanging="2879"/>
        <w:rPr>
          <w:sz w:val="21"/>
        </w:rPr>
      </w:pPr>
      <w:r>
        <w:rPr>
          <w:b/>
          <w:sz w:val="21"/>
        </w:rPr>
        <w:t>Figure</w:t>
      </w:r>
      <w:r>
        <w:rPr>
          <w:b/>
          <w:spacing w:val="-5"/>
          <w:sz w:val="21"/>
        </w:rPr>
        <w:t xml:space="preserve"> </w:t>
      </w:r>
      <w:r>
        <w:rPr>
          <w:b/>
          <w:sz w:val="21"/>
        </w:rPr>
        <w:t>6.1.</w:t>
      </w:r>
      <w:r>
        <w:rPr>
          <w:b/>
          <w:spacing w:val="-3"/>
          <w:sz w:val="21"/>
        </w:rPr>
        <w:t xml:space="preserve"> </w:t>
      </w:r>
      <w:r>
        <w:rPr>
          <w:sz w:val="21"/>
        </w:rPr>
        <w:t>Proportion</w:t>
      </w:r>
      <w:r>
        <w:rPr>
          <w:spacing w:val="-2"/>
          <w:sz w:val="21"/>
        </w:rPr>
        <w:t xml:space="preserve"> </w:t>
      </w:r>
      <w:r>
        <w:rPr>
          <w:sz w:val="21"/>
        </w:rPr>
        <w:t>of</w:t>
      </w:r>
      <w:r>
        <w:rPr>
          <w:spacing w:val="-4"/>
          <w:sz w:val="21"/>
        </w:rPr>
        <w:t xml:space="preserve"> </w:t>
      </w:r>
      <w:r>
        <w:rPr>
          <w:sz w:val="21"/>
        </w:rPr>
        <w:t>Australians</w:t>
      </w:r>
      <w:r>
        <w:rPr>
          <w:spacing w:val="-4"/>
          <w:sz w:val="21"/>
        </w:rPr>
        <w:t xml:space="preserve"> </w:t>
      </w:r>
      <w:r>
        <w:rPr>
          <w:sz w:val="21"/>
        </w:rPr>
        <w:t>exceeding</w:t>
      </w:r>
      <w:r>
        <w:rPr>
          <w:spacing w:val="-6"/>
          <w:sz w:val="21"/>
        </w:rPr>
        <w:t xml:space="preserve"> </w:t>
      </w:r>
      <w:r>
        <w:rPr>
          <w:sz w:val="21"/>
        </w:rPr>
        <w:t>the</w:t>
      </w:r>
      <w:r>
        <w:rPr>
          <w:spacing w:val="-2"/>
          <w:sz w:val="21"/>
        </w:rPr>
        <w:t xml:space="preserve"> </w:t>
      </w:r>
      <w:r>
        <w:rPr>
          <w:sz w:val="21"/>
        </w:rPr>
        <w:t>NHMRC</w:t>
      </w:r>
      <w:r>
        <w:rPr>
          <w:spacing w:val="-4"/>
          <w:sz w:val="21"/>
        </w:rPr>
        <w:t xml:space="preserve"> </w:t>
      </w:r>
      <w:r>
        <w:rPr>
          <w:sz w:val="21"/>
        </w:rPr>
        <w:t>2009</w:t>
      </w:r>
      <w:r>
        <w:rPr>
          <w:spacing w:val="-2"/>
          <w:sz w:val="21"/>
        </w:rPr>
        <w:t xml:space="preserve"> </w:t>
      </w:r>
      <w:r>
        <w:rPr>
          <w:sz w:val="21"/>
        </w:rPr>
        <w:t>lifetime</w:t>
      </w:r>
      <w:r>
        <w:rPr>
          <w:spacing w:val="-2"/>
          <w:sz w:val="21"/>
        </w:rPr>
        <w:t xml:space="preserve"> </w:t>
      </w:r>
      <w:r>
        <w:rPr>
          <w:sz w:val="21"/>
        </w:rPr>
        <w:t>and</w:t>
      </w:r>
      <w:r>
        <w:rPr>
          <w:spacing w:val="-2"/>
          <w:sz w:val="21"/>
        </w:rPr>
        <w:t xml:space="preserve"> </w:t>
      </w:r>
      <w:r>
        <w:rPr>
          <w:sz w:val="21"/>
        </w:rPr>
        <w:t>single</w:t>
      </w:r>
      <w:r>
        <w:rPr>
          <w:spacing w:val="-4"/>
          <w:sz w:val="21"/>
        </w:rPr>
        <w:t xml:space="preserve"> </w:t>
      </w:r>
      <w:r>
        <w:rPr>
          <w:sz w:val="21"/>
        </w:rPr>
        <w:t>occasion</w:t>
      </w:r>
      <w:r>
        <w:rPr>
          <w:spacing w:val="-2"/>
          <w:sz w:val="21"/>
        </w:rPr>
        <w:t xml:space="preserve"> </w:t>
      </w:r>
      <w:r>
        <w:rPr>
          <w:sz w:val="21"/>
        </w:rPr>
        <w:t>risk guidelines 2016 (AIHW, 2017)</w:t>
      </w:r>
    </w:p>
    <w:p w14:paraId="7A4C3076" w14:textId="77777777" w:rsidR="00E13D3F" w:rsidRDefault="00E13D3F">
      <w:pPr>
        <w:pStyle w:val="BodyText"/>
        <w:ind w:left="0"/>
        <w:rPr>
          <w:sz w:val="21"/>
        </w:rPr>
      </w:pPr>
    </w:p>
    <w:p w14:paraId="7A4C3077" w14:textId="77777777" w:rsidR="00E13D3F" w:rsidRDefault="00E13D3F">
      <w:pPr>
        <w:pStyle w:val="BodyText"/>
        <w:spacing w:before="108"/>
        <w:ind w:left="0"/>
        <w:rPr>
          <w:sz w:val="21"/>
        </w:rPr>
      </w:pPr>
    </w:p>
    <w:p w14:paraId="7A4C3078" w14:textId="77777777" w:rsidR="00E13D3F" w:rsidRDefault="00FB2D6A">
      <w:pPr>
        <w:pStyle w:val="Heading2"/>
        <w:spacing w:before="1"/>
      </w:pPr>
      <w:r>
        <w:rPr>
          <w:color w:val="2E5395"/>
        </w:rPr>
        <w:t>Interval</w:t>
      </w:r>
      <w:r>
        <w:rPr>
          <w:color w:val="2E5395"/>
          <w:spacing w:val="-6"/>
        </w:rPr>
        <w:t xml:space="preserve"> </w:t>
      </w:r>
      <w:r>
        <w:rPr>
          <w:color w:val="2E5395"/>
        </w:rPr>
        <w:t>for</w:t>
      </w:r>
      <w:r>
        <w:rPr>
          <w:color w:val="2E5395"/>
          <w:spacing w:val="-8"/>
        </w:rPr>
        <w:t xml:space="preserve"> </w:t>
      </w:r>
      <w:r>
        <w:rPr>
          <w:color w:val="2E5395"/>
          <w:spacing w:val="-2"/>
        </w:rPr>
        <w:t>Assessment</w:t>
      </w:r>
    </w:p>
    <w:p w14:paraId="7A4C3079" w14:textId="77777777" w:rsidR="00E13D3F" w:rsidRDefault="00FB2D6A">
      <w:pPr>
        <w:pStyle w:val="BodyText"/>
        <w:spacing w:before="23"/>
        <w:ind w:right="1519"/>
      </w:pPr>
      <w:r>
        <w:t>Australia’s Guideline for preventive activities in general practice recommends all patients aged</w:t>
      </w:r>
      <w:r>
        <w:rPr>
          <w:spacing w:val="-1"/>
        </w:rPr>
        <w:t xml:space="preserve"> </w:t>
      </w:r>
      <w:r>
        <w:t>&gt;15</w:t>
      </w:r>
      <w:r>
        <w:rPr>
          <w:spacing w:val="-2"/>
        </w:rPr>
        <w:t xml:space="preserve"> </w:t>
      </w:r>
      <w:r>
        <w:t>years</w:t>
      </w:r>
      <w:r>
        <w:rPr>
          <w:spacing w:val="-3"/>
        </w:rPr>
        <w:t xml:space="preserve"> </w:t>
      </w:r>
      <w:r>
        <w:t>have</w:t>
      </w:r>
      <w:r>
        <w:rPr>
          <w:spacing w:val="-5"/>
        </w:rPr>
        <w:t xml:space="preserve"> </w:t>
      </w:r>
      <w:r>
        <w:t>their</w:t>
      </w:r>
      <w:r>
        <w:rPr>
          <w:spacing w:val="-2"/>
        </w:rPr>
        <w:t xml:space="preserve"> </w:t>
      </w:r>
      <w:r>
        <w:t>alcohol</w:t>
      </w:r>
      <w:r>
        <w:rPr>
          <w:spacing w:val="-4"/>
        </w:rPr>
        <w:t xml:space="preserve"> </w:t>
      </w:r>
      <w:r>
        <w:t>intake assessed</w:t>
      </w:r>
      <w:r>
        <w:rPr>
          <w:spacing w:val="-4"/>
        </w:rPr>
        <w:t xml:space="preserve"> </w:t>
      </w:r>
      <w:r>
        <w:t>every</w:t>
      </w:r>
      <w:r>
        <w:rPr>
          <w:spacing w:val="-3"/>
        </w:rPr>
        <w:t xml:space="preserve"> </w:t>
      </w:r>
      <w:r>
        <w:t>2</w:t>
      </w:r>
      <w:r>
        <w:rPr>
          <w:spacing w:val="-4"/>
        </w:rPr>
        <w:t xml:space="preserve"> </w:t>
      </w:r>
      <w:r>
        <w:t>to</w:t>
      </w:r>
      <w:r>
        <w:rPr>
          <w:spacing w:val="-5"/>
        </w:rPr>
        <w:t xml:space="preserve"> </w:t>
      </w:r>
      <w:r>
        <w:t>4</w:t>
      </w:r>
      <w:r>
        <w:rPr>
          <w:spacing w:val="-4"/>
        </w:rPr>
        <w:t xml:space="preserve"> </w:t>
      </w:r>
      <w:r>
        <w:t>years</w:t>
      </w:r>
      <w:r>
        <w:rPr>
          <w:spacing w:val="-5"/>
        </w:rPr>
        <w:t xml:space="preserve"> </w:t>
      </w:r>
      <w:r>
        <w:t>with</w:t>
      </w:r>
      <w:r>
        <w:rPr>
          <w:spacing w:val="-2"/>
        </w:rPr>
        <w:t xml:space="preserve"> </w:t>
      </w:r>
      <w:r>
        <w:t>those</w:t>
      </w:r>
      <w:r>
        <w:rPr>
          <w:spacing w:val="-2"/>
        </w:rPr>
        <w:t xml:space="preserve"> </w:t>
      </w:r>
      <w:r>
        <w:t>at</w:t>
      </w:r>
      <w:r>
        <w:rPr>
          <w:spacing w:val="-2"/>
        </w:rPr>
        <w:t xml:space="preserve"> </w:t>
      </w:r>
      <w:r>
        <w:t>increased risk (children and adolescents, older people, young adults who have a higher risk of accidents and injuries, people with family history of alcohol dependence, individuals participating in or supervising risky activities, people with physical condition or mental health problem made worse by alcohol, people taking multiple medications) be assessed opportunistically for at risk drinking. Women who are pregnant or planning pregnancy should be assessed at each antenatal visit.</w:t>
      </w:r>
    </w:p>
    <w:p w14:paraId="7A4C307A" w14:textId="77777777" w:rsidR="00E13D3F" w:rsidRDefault="00E13D3F">
      <w:pPr>
        <w:pStyle w:val="BodyText"/>
        <w:spacing w:before="42"/>
        <w:ind w:left="0"/>
      </w:pPr>
    </w:p>
    <w:p w14:paraId="7A4C307B" w14:textId="77777777" w:rsidR="00E13D3F" w:rsidRDefault="00FB2D6A">
      <w:pPr>
        <w:pStyle w:val="Heading2"/>
      </w:pPr>
      <w:r>
        <w:rPr>
          <w:color w:val="2E5395"/>
          <w:spacing w:val="-2"/>
        </w:rPr>
        <w:t>Subpopulations</w:t>
      </w:r>
    </w:p>
    <w:p w14:paraId="7A4C307C" w14:textId="77777777" w:rsidR="00E13D3F" w:rsidRDefault="00FB2D6A">
      <w:pPr>
        <w:pStyle w:val="BodyText"/>
        <w:spacing w:before="24"/>
        <w:ind w:right="1519"/>
      </w:pPr>
      <w:r>
        <w:t>Aboriginal</w:t>
      </w:r>
      <w:r>
        <w:rPr>
          <w:spacing w:val="-2"/>
        </w:rPr>
        <w:t xml:space="preserve"> </w:t>
      </w:r>
      <w:r>
        <w:t>and</w:t>
      </w:r>
      <w:r>
        <w:rPr>
          <w:spacing w:val="-4"/>
        </w:rPr>
        <w:t xml:space="preserve"> </w:t>
      </w:r>
      <w:r>
        <w:t>Torres</w:t>
      </w:r>
      <w:r>
        <w:rPr>
          <w:spacing w:val="-5"/>
        </w:rPr>
        <w:t xml:space="preserve"> </w:t>
      </w:r>
      <w:r>
        <w:t>Strait</w:t>
      </w:r>
      <w:r>
        <w:rPr>
          <w:spacing w:val="-2"/>
        </w:rPr>
        <w:t xml:space="preserve"> </w:t>
      </w:r>
      <w:r>
        <w:t>Islander</w:t>
      </w:r>
      <w:r>
        <w:rPr>
          <w:spacing w:val="-4"/>
        </w:rPr>
        <w:t xml:space="preserve"> </w:t>
      </w:r>
      <w:r>
        <w:t>peoples</w:t>
      </w:r>
      <w:r>
        <w:rPr>
          <w:spacing w:val="-5"/>
        </w:rPr>
        <w:t xml:space="preserve"> </w:t>
      </w:r>
      <w:r>
        <w:t>are</w:t>
      </w:r>
      <w:r>
        <w:rPr>
          <w:spacing w:val="-2"/>
        </w:rPr>
        <w:t xml:space="preserve"> </w:t>
      </w:r>
      <w:r>
        <w:t>less</w:t>
      </w:r>
      <w:r>
        <w:rPr>
          <w:spacing w:val="-3"/>
        </w:rPr>
        <w:t xml:space="preserve"> </w:t>
      </w:r>
      <w:r>
        <w:t>likely</w:t>
      </w:r>
      <w:r>
        <w:rPr>
          <w:spacing w:val="-3"/>
        </w:rPr>
        <w:t xml:space="preserve"> </w:t>
      </w:r>
      <w:r>
        <w:t>to</w:t>
      </w:r>
      <w:r>
        <w:rPr>
          <w:spacing w:val="-5"/>
        </w:rPr>
        <w:t xml:space="preserve"> </w:t>
      </w:r>
      <w:r>
        <w:t>drink</w:t>
      </w:r>
      <w:r>
        <w:rPr>
          <w:spacing w:val="-4"/>
        </w:rPr>
        <w:t xml:space="preserve"> </w:t>
      </w:r>
      <w:r>
        <w:t>alcohol</w:t>
      </w:r>
      <w:r>
        <w:rPr>
          <w:spacing w:val="-5"/>
        </w:rPr>
        <w:t xml:space="preserve"> </w:t>
      </w:r>
      <w:r>
        <w:t>than</w:t>
      </w:r>
      <w:r>
        <w:rPr>
          <w:spacing w:val="-4"/>
        </w:rPr>
        <w:t xml:space="preserve"> </w:t>
      </w:r>
      <w:r>
        <w:t>other Australians, but those that do drink are more likely to drink at dangerous levels (over lifetime and single occasion) and go to hospital for alcohol related complications (7). Prevalence of risky drinking varies greatly within and between Indigenous Australian communities (8).</w:t>
      </w:r>
    </w:p>
    <w:p w14:paraId="7A4C307D" w14:textId="77777777" w:rsidR="00E13D3F" w:rsidRDefault="00E13D3F">
      <w:pPr>
        <w:pStyle w:val="BodyText"/>
        <w:sectPr w:rsidR="00E13D3F">
          <w:pgSz w:w="11910" w:h="16840"/>
          <w:pgMar w:top="1400" w:right="0" w:bottom="1200" w:left="0" w:header="0" w:footer="1000" w:gutter="0"/>
          <w:cols w:space="720"/>
        </w:sectPr>
      </w:pPr>
    </w:p>
    <w:p w14:paraId="7A4C307E" w14:textId="77777777" w:rsidR="00E13D3F" w:rsidRDefault="00FB2D6A">
      <w:pPr>
        <w:pStyle w:val="Heading2"/>
        <w:spacing w:before="21"/>
      </w:pPr>
      <w:r>
        <w:rPr>
          <w:color w:val="2E5395"/>
          <w:spacing w:val="-2"/>
        </w:rPr>
        <w:lastRenderedPageBreak/>
        <w:t>Conclusion</w:t>
      </w:r>
    </w:p>
    <w:p w14:paraId="7A4C307F" w14:textId="77777777" w:rsidR="00E13D3F" w:rsidRDefault="00FB2D6A">
      <w:pPr>
        <w:pStyle w:val="BodyText"/>
        <w:spacing w:before="26"/>
        <w:ind w:right="1519"/>
      </w:pPr>
      <w:r>
        <w:t>There is no direct evidence of the effect of screening for unhealthy alcohol use, but linked evidence has found that counselling interventions in people who screen positive for unhealthy alcohol use are associated with reductions in use (moderate certainty evidence for</w:t>
      </w:r>
      <w:r>
        <w:rPr>
          <w:spacing w:val="-2"/>
        </w:rPr>
        <w:t xml:space="preserve"> </w:t>
      </w:r>
      <w:r>
        <w:t>adults</w:t>
      </w:r>
      <w:r>
        <w:rPr>
          <w:spacing w:val="-3"/>
        </w:rPr>
        <w:t xml:space="preserve"> </w:t>
      </w:r>
      <w:r>
        <w:t>and</w:t>
      </w:r>
      <w:r>
        <w:rPr>
          <w:spacing w:val="-4"/>
        </w:rPr>
        <w:t xml:space="preserve"> </w:t>
      </w:r>
      <w:r>
        <w:t>low</w:t>
      </w:r>
      <w:r>
        <w:rPr>
          <w:spacing w:val="-3"/>
        </w:rPr>
        <w:t xml:space="preserve"> </w:t>
      </w:r>
      <w:r>
        <w:t>certainty</w:t>
      </w:r>
      <w:r>
        <w:rPr>
          <w:spacing w:val="-3"/>
        </w:rPr>
        <w:t xml:space="preserve"> </w:t>
      </w:r>
      <w:r>
        <w:t>evidence</w:t>
      </w:r>
      <w:r>
        <w:rPr>
          <w:spacing w:val="-4"/>
        </w:rPr>
        <w:t xml:space="preserve"> </w:t>
      </w:r>
      <w:r>
        <w:t>for</w:t>
      </w:r>
      <w:r>
        <w:rPr>
          <w:spacing w:val="-2"/>
        </w:rPr>
        <w:t xml:space="preserve"> </w:t>
      </w:r>
      <w:r>
        <w:t>adolescents),</w:t>
      </w:r>
      <w:r>
        <w:rPr>
          <w:spacing w:val="-3"/>
        </w:rPr>
        <w:t xml:space="preserve"> </w:t>
      </w:r>
      <w:r>
        <w:t>and</w:t>
      </w:r>
      <w:r>
        <w:rPr>
          <w:spacing w:val="-4"/>
        </w:rPr>
        <w:t xml:space="preserve"> </w:t>
      </w:r>
      <w:r>
        <w:t>that</w:t>
      </w:r>
      <w:r>
        <w:rPr>
          <w:spacing w:val="-4"/>
        </w:rPr>
        <w:t xml:space="preserve"> </w:t>
      </w:r>
      <w:r>
        <w:t>reduction</w:t>
      </w:r>
      <w:r>
        <w:rPr>
          <w:spacing w:val="-4"/>
        </w:rPr>
        <w:t xml:space="preserve"> </w:t>
      </w:r>
      <w:r>
        <w:t>in</w:t>
      </w:r>
      <w:r>
        <w:rPr>
          <w:spacing w:val="-2"/>
        </w:rPr>
        <w:t xml:space="preserve"> </w:t>
      </w:r>
      <w:r>
        <w:t>alcohol</w:t>
      </w:r>
      <w:r>
        <w:rPr>
          <w:spacing w:val="-4"/>
        </w:rPr>
        <w:t xml:space="preserve"> </w:t>
      </w:r>
      <w:r>
        <w:t>intake reduces cardiovascular risk, though the evidence for this is of low or very low certainty.</w:t>
      </w:r>
    </w:p>
    <w:p w14:paraId="7A4C3080" w14:textId="77777777" w:rsidR="00E13D3F" w:rsidRDefault="00E13D3F">
      <w:pPr>
        <w:pStyle w:val="BodyText"/>
        <w:spacing w:before="40"/>
        <w:ind w:left="0"/>
      </w:pPr>
    </w:p>
    <w:p w14:paraId="7A4C3081" w14:textId="77777777" w:rsidR="00E13D3F" w:rsidRDefault="00FB2D6A">
      <w:pPr>
        <w:pStyle w:val="Heading2"/>
      </w:pPr>
      <w:r>
        <w:rPr>
          <w:color w:val="2E5395"/>
          <w:spacing w:val="-2"/>
        </w:rPr>
        <w:t>References</w:t>
      </w:r>
    </w:p>
    <w:p w14:paraId="7A4C3082" w14:textId="77777777" w:rsidR="00E13D3F" w:rsidRDefault="00FB2D6A" w:rsidP="00990D2B">
      <w:pPr>
        <w:pStyle w:val="ListParagraph"/>
        <w:numPr>
          <w:ilvl w:val="0"/>
          <w:numId w:val="31"/>
        </w:numPr>
        <w:tabs>
          <w:tab w:val="left" w:pos="1798"/>
          <w:tab w:val="left" w:pos="1800"/>
        </w:tabs>
        <w:spacing w:before="25" w:line="273" w:lineRule="auto"/>
        <w:ind w:right="1960"/>
      </w:pPr>
      <w:r>
        <w:t>The</w:t>
      </w:r>
      <w:r>
        <w:rPr>
          <w:spacing w:val="-2"/>
        </w:rPr>
        <w:t xml:space="preserve"> </w:t>
      </w:r>
      <w:r>
        <w:t>Royal</w:t>
      </w:r>
      <w:r>
        <w:rPr>
          <w:spacing w:val="-5"/>
        </w:rPr>
        <w:t xml:space="preserve"> </w:t>
      </w:r>
      <w:r>
        <w:t>Australian</w:t>
      </w:r>
      <w:r>
        <w:rPr>
          <w:spacing w:val="-3"/>
        </w:rPr>
        <w:t xml:space="preserve"> </w:t>
      </w:r>
      <w:r>
        <w:t>College</w:t>
      </w:r>
      <w:r>
        <w:rPr>
          <w:spacing w:val="-2"/>
        </w:rPr>
        <w:t xml:space="preserve"> </w:t>
      </w:r>
      <w:r>
        <w:t>of</w:t>
      </w:r>
      <w:r>
        <w:rPr>
          <w:spacing w:val="-5"/>
        </w:rPr>
        <w:t xml:space="preserve"> </w:t>
      </w:r>
      <w:r>
        <w:t>General</w:t>
      </w:r>
      <w:r>
        <w:rPr>
          <w:spacing w:val="-2"/>
        </w:rPr>
        <w:t xml:space="preserve"> </w:t>
      </w:r>
      <w:r>
        <w:t>Practitioners.</w:t>
      </w:r>
      <w:r>
        <w:rPr>
          <w:spacing w:val="-4"/>
        </w:rPr>
        <w:t xml:space="preserve"> </w:t>
      </w:r>
      <w:r>
        <w:t>Guidelines</w:t>
      </w:r>
      <w:r>
        <w:rPr>
          <w:spacing w:val="-1"/>
        </w:rPr>
        <w:t xml:space="preserve"> </w:t>
      </w:r>
      <w:r>
        <w:t>for</w:t>
      </w:r>
      <w:r>
        <w:rPr>
          <w:spacing w:val="-5"/>
        </w:rPr>
        <w:t xml:space="preserve"> </w:t>
      </w:r>
      <w:r>
        <w:t>preventive</w:t>
      </w:r>
      <w:r>
        <w:rPr>
          <w:spacing w:val="-2"/>
        </w:rPr>
        <w:t xml:space="preserve"> </w:t>
      </w:r>
      <w:r>
        <w:t>activities</w:t>
      </w:r>
      <w:r>
        <w:rPr>
          <w:spacing w:val="-1"/>
        </w:rPr>
        <w:t xml:space="preserve"> </w:t>
      </w:r>
      <w:r>
        <w:t xml:space="preserve">in general practice. 9th </w:t>
      </w:r>
      <w:proofErr w:type="spellStart"/>
      <w:r>
        <w:t>edn</w:t>
      </w:r>
      <w:proofErr w:type="spellEnd"/>
      <w:r>
        <w:t>, updated. East Melbourne, VIC: RACGP, 2021.</w:t>
      </w:r>
    </w:p>
    <w:p w14:paraId="7A4C3083" w14:textId="77777777" w:rsidR="00E13D3F" w:rsidRDefault="00FB2D6A" w:rsidP="00990D2B">
      <w:pPr>
        <w:pStyle w:val="ListParagraph"/>
        <w:numPr>
          <w:ilvl w:val="0"/>
          <w:numId w:val="31"/>
        </w:numPr>
        <w:tabs>
          <w:tab w:val="left" w:pos="1798"/>
          <w:tab w:val="left" w:pos="1800"/>
        </w:tabs>
        <w:spacing w:before="5" w:line="276" w:lineRule="auto"/>
        <w:ind w:right="3009"/>
      </w:pPr>
      <w:r>
        <w:t xml:space="preserve">Australian Bureau of Statistics. 2021. Alcohol consumption </w:t>
      </w:r>
      <w:r>
        <w:rPr>
          <w:spacing w:val="-2"/>
        </w:rPr>
        <w:t>[</w:t>
      </w:r>
      <w:hyperlink r:id="rId34">
        <w:r w:rsidR="00E13D3F">
          <w:rPr>
            <w:spacing w:val="-2"/>
          </w:rPr>
          <w:t>https://www.abs.gov.au/statistics/health/health-conditions-and-risks/alcohol-</w:t>
        </w:r>
      </w:hyperlink>
      <w:r>
        <w:t>consumption/latest-release], ABS Website, accessed 10 August 2022.</w:t>
      </w:r>
    </w:p>
    <w:p w14:paraId="7A4C3084" w14:textId="77777777" w:rsidR="00E13D3F" w:rsidRDefault="00FB2D6A" w:rsidP="00990D2B">
      <w:pPr>
        <w:pStyle w:val="ListParagraph"/>
        <w:numPr>
          <w:ilvl w:val="0"/>
          <w:numId w:val="31"/>
        </w:numPr>
        <w:tabs>
          <w:tab w:val="left" w:pos="1798"/>
          <w:tab w:val="left" w:pos="1800"/>
        </w:tabs>
        <w:spacing w:line="276" w:lineRule="auto"/>
        <w:ind w:right="1454"/>
      </w:pPr>
      <w:r>
        <w:t>Whetton,</w:t>
      </w:r>
      <w:r>
        <w:rPr>
          <w:spacing w:val="-1"/>
        </w:rPr>
        <w:t xml:space="preserve"> </w:t>
      </w:r>
      <w:r>
        <w:t>S.,</w:t>
      </w:r>
      <w:r>
        <w:rPr>
          <w:spacing w:val="-4"/>
        </w:rPr>
        <w:t xml:space="preserve"> </w:t>
      </w:r>
      <w:r>
        <w:t>Tait,</w:t>
      </w:r>
      <w:r>
        <w:rPr>
          <w:spacing w:val="-3"/>
        </w:rPr>
        <w:t xml:space="preserve"> </w:t>
      </w:r>
      <w:r>
        <w:t>R.J.,</w:t>
      </w:r>
      <w:r>
        <w:rPr>
          <w:spacing w:val="-1"/>
        </w:rPr>
        <w:t xml:space="preserve"> </w:t>
      </w:r>
      <w:r>
        <w:t>Gilmore,</w:t>
      </w:r>
      <w:r>
        <w:rPr>
          <w:spacing w:val="-3"/>
        </w:rPr>
        <w:t xml:space="preserve"> </w:t>
      </w:r>
      <w:r>
        <w:t>W.,</w:t>
      </w:r>
      <w:r>
        <w:rPr>
          <w:spacing w:val="-3"/>
        </w:rPr>
        <w:t xml:space="preserve"> </w:t>
      </w:r>
      <w:r>
        <w:t>Dey,</w:t>
      </w:r>
      <w:r>
        <w:rPr>
          <w:spacing w:val="-1"/>
        </w:rPr>
        <w:t xml:space="preserve"> </w:t>
      </w:r>
      <w:r>
        <w:t>T.,</w:t>
      </w:r>
      <w:r>
        <w:rPr>
          <w:spacing w:val="-4"/>
        </w:rPr>
        <w:t xml:space="preserve"> </w:t>
      </w:r>
      <w:r>
        <w:t>Agramunt,</w:t>
      </w:r>
      <w:r>
        <w:rPr>
          <w:spacing w:val="-3"/>
        </w:rPr>
        <w:t xml:space="preserve"> </w:t>
      </w:r>
      <w:r>
        <w:t>S.,</w:t>
      </w:r>
      <w:r>
        <w:rPr>
          <w:spacing w:val="-1"/>
        </w:rPr>
        <w:t xml:space="preserve"> </w:t>
      </w:r>
      <w:r>
        <w:t>Abdul</w:t>
      </w:r>
      <w:r>
        <w:rPr>
          <w:spacing w:val="-1"/>
        </w:rPr>
        <w:t xml:space="preserve"> </w:t>
      </w:r>
      <w:r>
        <w:t>Halim,</w:t>
      </w:r>
      <w:r>
        <w:rPr>
          <w:spacing w:val="-1"/>
        </w:rPr>
        <w:t xml:space="preserve"> </w:t>
      </w:r>
      <w:r>
        <w:t>S.,</w:t>
      </w:r>
      <w:r>
        <w:rPr>
          <w:spacing w:val="-4"/>
        </w:rPr>
        <w:t xml:space="preserve"> </w:t>
      </w:r>
      <w:r>
        <w:t>McEntee,</w:t>
      </w:r>
      <w:r>
        <w:rPr>
          <w:spacing w:val="-1"/>
        </w:rPr>
        <w:t xml:space="preserve"> </w:t>
      </w:r>
      <w:r>
        <w:t>A.,</w:t>
      </w:r>
      <w:r>
        <w:rPr>
          <w:spacing w:val="-4"/>
        </w:rPr>
        <w:t xml:space="preserve"> </w:t>
      </w:r>
      <w:r>
        <w:t xml:space="preserve">Mukhtar, A., Roche, A., Allsop, S. &amp; </w:t>
      </w:r>
      <w:proofErr w:type="spellStart"/>
      <w:r>
        <w:t>Chikritzhs</w:t>
      </w:r>
      <w:proofErr w:type="spellEnd"/>
      <w:r>
        <w:t>, T. (2021) Examining the Social and Economic Costs of Alcohol</w:t>
      </w:r>
      <w:r>
        <w:rPr>
          <w:spacing w:val="-2"/>
        </w:rPr>
        <w:t xml:space="preserve"> </w:t>
      </w:r>
      <w:r>
        <w:t>Use</w:t>
      </w:r>
      <w:r>
        <w:rPr>
          <w:spacing w:val="-1"/>
        </w:rPr>
        <w:t xml:space="preserve"> </w:t>
      </w:r>
      <w:r>
        <w:t>in Australia:</w:t>
      </w:r>
      <w:r>
        <w:rPr>
          <w:spacing w:val="-1"/>
        </w:rPr>
        <w:t xml:space="preserve"> </w:t>
      </w:r>
      <w:r>
        <w:t>2017/18,</w:t>
      </w:r>
      <w:r>
        <w:rPr>
          <w:spacing w:val="-1"/>
        </w:rPr>
        <w:t xml:space="preserve"> </w:t>
      </w:r>
      <w:r>
        <w:t>Perth, WA,</w:t>
      </w:r>
      <w:r>
        <w:rPr>
          <w:spacing w:val="-2"/>
        </w:rPr>
        <w:t xml:space="preserve"> </w:t>
      </w:r>
      <w:r>
        <w:t>National</w:t>
      </w:r>
      <w:r>
        <w:rPr>
          <w:spacing w:val="-2"/>
        </w:rPr>
        <w:t xml:space="preserve"> </w:t>
      </w:r>
      <w:r>
        <w:t>Drug Research Institute, Curtin University</w:t>
      </w:r>
    </w:p>
    <w:p w14:paraId="7A4C3085" w14:textId="77777777" w:rsidR="00E13D3F" w:rsidRDefault="00FB2D6A" w:rsidP="00990D2B">
      <w:pPr>
        <w:pStyle w:val="ListParagraph"/>
        <w:numPr>
          <w:ilvl w:val="0"/>
          <w:numId w:val="31"/>
        </w:numPr>
        <w:tabs>
          <w:tab w:val="left" w:pos="1798"/>
          <w:tab w:val="left" w:pos="1800"/>
        </w:tabs>
        <w:spacing w:line="276" w:lineRule="auto"/>
        <w:ind w:right="1694"/>
      </w:pPr>
      <w:r>
        <w:t>O’Connor EA,</w:t>
      </w:r>
      <w:r>
        <w:rPr>
          <w:spacing w:val="-2"/>
        </w:rPr>
        <w:t xml:space="preserve"> </w:t>
      </w:r>
      <w:r>
        <w:t>Perdue LA,</w:t>
      </w:r>
      <w:r>
        <w:rPr>
          <w:spacing w:val="-3"/>
        </w:rPr>
        <w:t xml:space="preserve"> </w:t>
      </w:r>
      <w:r>
        <w:t xml:space="preserve">Senger CA, </w:t>
      </w:r>
      <w:proofErr w:type="spellStart"/>
      <w:r>
        <w:t>Rushkin</w:t>
      </w:r>
      <w:proofErr w:type="spellEnd"/>
      <w:r>
        <w:rPr>
          <w:spacing w:val="-1"/>
        </w:rPr>
        <w:t xml:space="preserve"> </w:t>
      </w:r>
      <w:r>
        <w:t>M,</w:t>
      </w:r>
      <w:r>
        <w:rPr>
          <w:spacing w:val="-3"/>
        </w:rPr>
        <w:t xml:space="preserve"> </w:t>
      </w:r>
      <w:r>
        <w:t>Patnode CD, Bean SI, Jonas</w:t>
      </w:r>
      <w:r>
        <w:rPr>
          <w:spacing w:val="-2"/>
        </w:rPr>
        <w:t xml:space="preserve"> </w:t>
      </w:r>
      <w:r>
        <w:t>DE.</w:t>
      </w:r>
      <w:r>
        <w:rPr>
          <w:spacing w:val="-2"/>
        </w:rPr>
        <w:t xml:space="preserve"> </w:t>
      </w:r>
      <w:r>
        <w:t>Screening</w:t>
      </w:r>
      <w:r>
        <w:rPr>
          <w:spacing w:val="-1"/>
        </w:rPr>
        <w:t xml:space="preserve"> </w:t>
      </w:r>
      <w:r>
        <w:t>and Behavioral Counseling Interventions to Reduce Unhealthy Alcohol Use in Adolescents and Adults: An Updated Systematic Review for the U.S. Preventive Services Task Force. Evidence Synthesis</w:t>
      </w:r>
      <w:r>
        <w:rPr>
          <w:spacing w:val="-2"/>
        </w:rPr>
        <w:t xml:space="preserve"> </w:t>
      </w:r>
      <w:r>
        <w:t>No.</w:t>
      </w:r>
      <w:r>
        <w:rPr>
          <w:spacing w:val="-2"/>
        </w:rPr>
        <w:t xml:space="preserve"> </w:t>
      </w:r>
      <w:r>
        <w:t>171.</w:t>
      </w:r>
      <w:r>
        <w:rPr>
          <w:spacing w:val="-5"/>
        </w:rPr>
        <w:t xml:space="preserve"> </w:t>
      </w:r>
      <w:r>
        <w:t>AHRQ</w:t>
      </w:r>
      <w:r>
        <w:rPr>
          <w:spacing w:val="-4"/>
        </w:rPr>
        <w:t xml:space="preserve"> </w:t>
      </w:r>
      <w:r>
        <w:t>Publication</w:t>
      </w:r>
      <w:r>
        <w:rPr>
          <w:spacing w:val="-3"/>
        </w:rPr>
        <w:t xml:space="preserve"> </w:t>
      </w:r>
      <w:r>
        <w:t>No.</w:t>
      </w:r>
      <w:r>
        <w:rPr>
          <w:spacing w:val="-5"/>
        </w:rPr>
        <w:t xml:space="preserve"> </w:t>
      </w:r>
      <w:r>
        <w:t>18-05242-EF-1.</w:t>
      </w:r>
      <w:r>
        <w:rPr>
          <w:spacing w:val="-2"/>
        </w:rPr>
        <w:t xml:space="preserve"> </w:t>
      </w:r>
      <w:r>
        <w:t>Rockville,</w:t>
      </w:r>
      <w:r>
        <w:rPr>
          <w:spacing w:val="-4"/>
        </w:rPr>
        <w:t xml:space="preserve"> </w:t>
      </w:r>
      <w:r>
        <w:t>MD:</w:t>
      </w:r>
      <w:r>
        <w:rPr>
          <w:spacing w:val="-2"/>
        </w:rPr>
        <w:t xml:space="preserve"> </w:t>
      </w:r>
      <w:r>
        <w:t>Agency</w:t>
      </w:r>
      <w:r>
        <w:rPr>
          <w:spacing w:val="-2"/>
        </w:rPr>
        <w:t xml:space="preserve"> </w:t>
      </w:r>
      <w:r>
        <w:t>for</w:t>
      </w:r>
      <w:r>
        <w:rPr>
          <w:spacing w:val="-2"/>
        </w:rPr>
        <w:t xml:space="preserve"> </w:t>
      </w:r>
      <w:r>
        <w:t>Healthcare Research and Quality; 2018.</w:t>
      </w:r>
    </w:p>
    <w:p w14:paraId="7A4C3086" w14:textId="77777777" w:rsidR="00E13D3F" w:rsidRDefault="00FB2D6A" w:rsidP="00990D2B">
      <w:pPr>
        <w:pStyle w:val="ListParagraph"/>
        <w:numPr>
          <w:ilvl w:val="0"/>
          <w:numId w:val="31"/>
        </w:numPr>
        <w:tabs>
          <w:tab w:val="left" w:pos="1798"/>
          <w:tab w:val="left" w:pos="1800"/>
        </w:tabs>
        <w:spacing w:line="276" w:lineRule="auto"/>
        <w:ind w:right="1513"/>
      </w:pPr>
      <w:proofErr w:type="spellStart"/>
      <w:r>
        <w:t>Acin</w:t>
      </w:r>
      <w:proofErr w:type="spellEnd"/>
      <w:r>
        <w:t>,</w:t>
      </w:r>
      <w:r>
        <w:rPr>
          <w:spacing w:val="-1"/>
        </w:rPr>
        <w:t xml:space="preserve"> </w:t>
      </w:r>
      <w:r>
        <w:t>M.</w:t>
      </w:r>
      <w:r>
        <w:rPr>
          <w:spacing w:val="-1"/>
        </w:rPr>
        <w:t xml:space="preserve"> </w:t>
      </w:r>
      <w:r>
        <w:t>T.,</w:t>
      </w:r>
      <w:r>
        <w:rPr>
          <w:spacing w:val="-3"/>
        </w:rPr>
        <w:t xml:space="preserve"> </w:t>
      </w:r>
      <w:r>
        <w:t>Rueda,</w:t>
      </w:r>
      <w:r>
        <w:rPr>
          <w:spacing w:val="-4"/>
        </w:rPr>
        <w:t xml:space="preserve"> </w:t>
      </w:r>
      <w:r>
        <w:t>J.</w:t>
      </w:r>
      <w:r>
        <w:rPr>
          <w:spacing w:val="-2"/>
        </w:rPr>
        <w:t xml:space="preserve"> </w:t>
      </w:r>
      <w:r>
        <w:t>R.,</w:t>
      </w:r>
      <w:r>
        <w:rPr>
          <w:spacing w:val="-1"/>
        </w:rPr>
        <w:t xml:space="preserve"> </w:t>
      </w:r>
      <w:r>
        <w:t>Saiz,</w:t>
      </w:r>
      <w:r>
        <w:rPr>
          <w:spacing w:val="-1"/>
        </w:rPr>
        <w:t xml:space="preserve"> </w:t>
      </w:r>
      <w:r>
        <w:t>L.</w:t>
      </w:r>
      <w:r>
        <w:rPr>
          <w:spacing w:val="-1"/>
        </w:rPr>
        <w:t xml:space="preserve"> </w:t>
      </w:r>
      <w:r>
        <w:t>C.,</w:t>
      </w:r>
      <w:r>
        <w:rPr>
          <w:spacing w:val="-4"/>
        </w:rPr>
        <w:t xml:space="preserve"> </w:t>
      </w:r>
      <w:r>
        <w:t>Parent</w:t>
      </w:r>
      <w:r>
        <w:rPr>
          <w:spacing w:val="-3"/>
        </w:rPr>
        <w:t xml:space="preserve"> </w:t>
      </w:r>
      <w:r>
        <w:t>Mathias,</w:t>
      </w:r>
      <w:r>
        <w:rPr>
          <w:spacing w:val="-1"/>
        </w:rPr>
        <w:t xml:space="preserve"> </w:t>
      </w:r>
      <w:r>
        <w:t>V.,</w:t>
      </w:r>
      <w:r>
        <w:rPr>
          <w:spacing w:val="-4"/>
        </w:rPr>
        <w:t xml:space="preserve"> </w:t>
      </w:r>
      <w:r>
        <w:t>Alzueta,</w:t>
      </w:r>
      <w:r>
        <w:rPr>
          <w:spacing w:val="-1"/>
        </w:rPr>
        <w:t xml:space="preserve"> </w:t>
      </w:r>
      <w:r>
        <w:t>N.,</w:t>
      </w:r>
      <w:r>
        <w:rPr>
          <w:spacing w:val="-1"/>
        </w:rPr>
        <w:t xml:space="preserve"> </w:t>
      </w:r>
      <w:proofErr w:type="spellStart"/>
      <w:r>
        <w:t>Solà</w:t>
      </w:r>
      <w:proofErr w:type="spellEnd"/>
      <w:r>
        <w:t>,</w:t>
      </w:r>
      <w:r>
        <w:rPr>
          <w:spacing w:val="-1"/>
        </w:rPr>
        <w:t xml:space="preserve"> </w:t>
      </w:r>
      <w:r>
        <w:t>I.,</w:t>
      </w:r>
      <w:r>
        <w:rPr>
          <w:spacing w:val="-1"/>
        </w:rPr>
        <w:t xml:space="preserve"> </w:t>
      </w:r>
      <w:proofErr w:type="spellStart"/>
      <w:r>
        <w:t>Garjón</w:t>
      </w:r>
      <w:proofErr w:type="spellEnd"/>
      <w:r>
        <w:t>,</w:t>
      </w:r>
      <w:r>
        <w:rPr>
          <w:spacing w:val="-4"/>
        </w:rPr>
        <w:t xml:space="preserve"> </w:t>
      </w:r>
      <w:r>
        <w:t>J.</w:t>
      </w:r>
      <w:r>
        <w:rPr>
          <w:spacing w:val="-2"/>
        </w:rPr>
        <w:t xml:space="preserve"> </w:t>
      </w:r>
      <w:r>
        <w:t>and</w:t>
      </w:r>
      <w:r>
        <w:rPr>
          <w:spacing w:val="-3"/>
        </w:rPr>
        <w:t xml:space="preserve"> </w:t>
      </w:r>
      <w:r>
        <w:t>Erviti,</w:t>
      </w:r>
      <w:r>
        <w:rPr>
          <w:spacing w:val="-4"/>
        </w:rPr>
        <w:t xml:space="preserve"> </w:t>
      </w:r>
      <w:r>
        <w:t xml:space="preserve">J. 2020. Alcohol intake reduction for controlling hypertension. </w:t>
      </w:r>
      <w:r>
        <w:rPr>
          <w:i/>
        </w:rPr>
        <w:t xml:space="preserve">Cochrane Database of Systematic </w:t>
      </w:r>
      <w:r>
        <w:rPr>
          <w:i/>
          <w:spacing w:val="-2"/>
        </w:rPr>
        <w:t>Reviews</w:t>
      </w:r>
      <w:r>
        <w:rPr>
          <w:spacing w:val="-2"/>
        </w:rPr>
        <w:t>.</w:t>
      </w:r>
    </w:p>
    <w:p w14:paraId="7A4C3087" w14:textId="77777777" w:rsidR="00E13D3F" w:rsidRDefault="00FB2D6A" w:rsidP="00990D2B">
      <w:pPr>
        <w:pStyle w:val="ListParagraph"/>
        <w:numPr>
          <w:ilvl w:val="0"/>
          <w:numId w:val="31"/>
        </w:numPr>
        <w:tabs>
          <w:tab w:val="left" w:pos="1798"/>
          <w:tab w:val="left" w:pos="1800"/>
        </w:tabs>
        <w:spacing w:line="276" w:lineRule="auto"/>
        <w:ind w:right="1631"/>
      </w:pPr>
      <w:r>
        <w:t xml:space="preserve">Roerecke, M., Kaczorowski, J., </w:t>
      </w:r>
      <w:proofErr w:type="spellStart"/>
      <w:r>
        <w:t>Tobe</w:t>
      </w:r>
      <w:proofErr w:type="spellEnd"/>
      <w:r>
        <w:t xml:space="preserve">, S. W., </w:t>
      </w:r>
      <w:proofErr w:type="spellStart"/>
      <w:r>
        <w:t>Gmel</w:t>
      </w:r>
      <w:proofErr w:type="spellEnd"/>
      <w:r>
        <w:t>, G., Hasan, O. S. M. and Rehm, J. 2017. The effect</w:t>
      </w:r>
      <w:r>
        <w:rPr>
          <w:spacing w:val="-3"/>
        </w:rPr>
        <w:t xml:space="preserve"> </w:t>
      </w:r>
      <w:r>
        <w:t>of</w:t>
      </w:r>
      <w:r>
        <w:rPr>
          <w:spacing w:val="-4"/>
        </w:rPr>
        <w:t xml:space="preserve"> </w:t>
      </w:r>
      <w:r>
        <w:t>a</w:t>
      </w:r>
      <w:r>
        <w:rPr>
          <w:spacing w:val="-1"/>
        </w:rPr>
        <w:t xml:space="preserve"> </w:t>
      </w:r>
      <w:r>
        <w:t>reduction</w:t>
      </w:r>
      <w:r>
        <w:rPr>
          <w:spacing w:val="-2"/>
        </w:rPr>
        <w:t xml:space="preserve"> </w:t>
      </w:r>
      <w:r>
        <w:t>in</w:t>
      </w:r>
      <w:r>
        <w:rPr>
          <w:spacing w:val="-1"/>
        </w:rPr>
        <w:t xml:space="preserve"> </w:t>
      </w:r>
      <w:r>
        <w:t>alcohol</w:t>
      </w:r>
      <w:r>
        <w:rPr>
          <w:spacing w:val="-1"/>
        </w:rPr>
        <w:t xml:space="preserve"> </w:t>
      </w:r>
      <w:r>
        <w:t>consumption</w:t>
      </w:r>
      <w:r>
        <w:rPr>
          <w:spacing w:val="-4"/>
        </w:rPr>
        <w:t xml:space="preserve"> </w:t>
      </w:r>
      <w:r>
        <w:t>on</w:t>
      </w:r>
      <w:r>
        <w:rPr>
          <w:spacing w:val="-2"/>
        </w:rPr>
        <w:t xml:space="preserve"> </w:t>
      </w:r>
      <w:r>
        <w:t>blood</w:t>
      </w:r>
      <w:r>
        <w:rPr>
          <w:spacing w:val="-4"/>
        </w:rPr>
        <w:t xml:space="preserve"> </w:t>
      </w:r>
      <w:r>
        <w:t>pressure:</w:t>
      </w:r>
      <w:r>
        <w:rPr>
          <w:spacing w:val="-2"/>
        </w:rPr>
        <w:t xml:space="preserve"> </w:t>
      </w:r>
      <w:r>
        <w:t>a</w:t>
      </w:r>
      <w:r>
        <w:rPr>
          <w:spacing w:val="-1"/>
        </w:rPr>
        <w:t xml:space="preserve"> </w:t>
      </w:r>
      <w:r>
        <w:t>systematic</w:t>
      </w:r>
      <w:r>
        <w:rPr>
          <w:spacing w:val="-1"/>
        </w:rPr>
        <w:t xml:space="preserve"> </w:t>
      </w:r>
      <w:r>
        <w:t>review</w:t>
      </w:r>
      <w:r>
        <w:rPr>
          <w:spacing w:val="-1"/>
        </w:rPr>
        <w:t xml:space="preserve"> </w:t>
      </w:r>
      <w:r>
        <w:t>and</w:t>
      </w:r>
      <w:r>
        <w:rPr>
          <w:spacing w:val="-5"/>
        </w:rPr>
        <w:t xml:space="preserve"> </w:t>
      </w:r>
      <w:r>
        <w:t xml:space="preserve">meta-analysis. </w:t>
      </w:r>
      <w:r>
        <w:rPr>
          <w:i/>
        </w:rPr>
        <w:t xml:space="preserve">Lancet Public Health, </w:t>
      </w:r>
      <w:r>
        <w:t>2</w:t>
      </w:r>
      <w:r>
        <w:rPr>
          <w:b/>
        </w:rPr>
        <w:t xml:space="preserve">, </w:t>
      </w:r>
      <w:r>
        <w:t>e108-e120.</w:t>
      </w:r>
    </w:p>
    <w:p w14:paraId="7A4C3088" w14:textId="77777777" w:rsidR="00E13D3F" w:rsidRDefault="00FB2D6A" w:rsidP="00990D2B">
      <w:pPr>
        <w:pStyle w:val="ListParagraph"/>
        <w:numPr>
          <w:ilvl w:val="0"/>
          <w:numId w:val="31"/>
        </w:numPr>
        <w:tabs>
          <w:tab w:val="left" w:pos="1798"/>
          <w:tab w:val="left" w:pos="1800"/>
        </w:tabs>
        <w:spacing w:line="276" w:lineRule="auto"/>
        <w:ind w:right="2009"/>
      </w:pPr>
      <w:r>
        <w:t>Australian</w:t>
      </w:r>
      <w:r>
        <w:rPr>
          <w:spacing w:val="-3"/>
        </w:rPr>
        <w:t xml:space="preserve"> </w:t>
      </w:r>
      <w:r>
        <w:t>Institute</w:t>
      </w:r>
      <w:r>
        <w:rPr>
          <w:spacing w:val="-4"/>
        </w:rPr>
        <w:t xml:space="preserve"> </w:t>
      </w:r>
      <w:r>
        <w:t>of</w:t>
      </w:r>
      <w:r>
        <w:rPr>
          <w:spacing w:val="-5"/>
        </w:rPr>
        <w:t xml:space="preserve"> </w:t>
      </w:r>
      <w:r>
        <w:t>Health</w:t>
      </w:r>
      <w:r>
        <w:rPr>
          <w:spacing w:val="-2"/>
        </w:rPr>
        <w:t xml:space="preserve"> </w:t>
      </w:r>
      <w:r>
        <w:t>and</w:t>
      </w:r>
      <w:r>
        <w:rPr>
          <w:spacing w:val="-3"/>
        </w:rPr>
        <w:t xml:space="preserve"> </w:t>
      </w:r>
      <w:r>
        <w:t>Welfare.</w:t>
      </w:r>
      <w:r>
        <w:rPr>
          <w:spacing w:val="-2"/>
        </w:rPr>
        <w:t xml:space="preserve"> </w:t>
      </w:r>
      <w:r>
        <w:t>National</w:t>
      </w:r>
      <w:r>
        <w:rPr>
          <w:spacing w:val="-2"/>
        </w:rPr>
        <w:t xml:space="preserve"> </w:t>
      </w:r>
      <w:r>
        <w:t>Drug</w:t>
      </w:r>
      <w:r>
        <w:rPr>
          <w:spacing w:val="-3"/>
        </w:rPr>
        <w:t xml:space="preserve"> </w:t>
      </w:r>
      <w:r>
        <w:t>Strategy</w:t>
      </w:r>
      <w:r>
        <w:rPr>
          <w:spacing w:val="-4"/>
        </w:rPr>
        <w:t xml:space="preserve"> </w:t>
      </w:r>
      <w:r>
        <w:t>Household</w:t>
      </w:r>
      <w:r>
        <w:rPr>
          <w:spacing w:val="-4"/>
        </w:rPr>
        <w:t xml:space="preserve"> </w:t>
      </w:r>
      <w:r>
        <w:t>Survey</w:t>
      </w:r>
      <w:r>
        <w:rPr>
          <w:spacing w:val="-3"/>
        </w:rPr>
        <w:t xml:space="preserve"> </w:t>
      </w:r>
      <w:r>
        <w:t>2016: detailed findings. Canberra: AIHW; 2017.</w:t>
      </w:r>
    </w:p>
    <w:p w14:paraId="7A4C3089" w14:textId="77777777" w:rsidR="00E13D3F" w:rsidRDefault="00FB2D6A" w:rsidP="00990D2B">
      <w:pPr>
        <w:pStyle w:val="ListParagraph"/>
        <w:numPr>
          <w:ilvl w:val="0"/>
          <w:numId w:val="31"/>
        </w:numPr>
        <w:tabs>
          <w:tab w:val="left" w:pos="1798"/>
          <w:tab w:val="left" w:pos="1800"/>
        </w:tabs>
        <w:spacing w:before="1" w:line="276" w:lineRule="auto"/>
        <w:ind w:right="1722"/>
      </w:pPr>
      <w:r>
        <w:t>Conigrave,</w:t>
      </w:r>
      <w:r>
        <w:rPr>
          <w:spacing w:val="-1"/>
        </w:rPr>
        <w:t xml:space="preserve"> </w:t>
      </w:r>
      <w:r>
        <w:t>J.</w:t>
      </w:r>
      <w:r>
        <w:rPr>
          <w:spacing w:val="-1"/>
        </w:rPr>
        <w:t xml:space="preserve"> </w:t>
      </w:r>
      <w:r>
        <w:t>H.,</w:t>
      </w:r>
      <w:r>
        <w:rPr>
          <w:spacing w:val="-1"/>
        </w:rPr>
        <w:t xml:space="preserve"> </w:t>
      </w:r>
      <w:r>
        <w:t>Lee,</w:t>
      </w:r>
      <w:r>
        <w:rPr>
          <w:spacing w:val="-4"/>
        </w:rPr>
        <w:t xml:space="preserve"> </w:t>
      </w:r>
      <w:r>
        <w:t>K.</w:t>
      </w:r>
      <w:r>
        <w:rPr>
          <w:spacing w:val="-1"/>
        </w:rPr>
        <w:t xml:space="preserve"> </w:t>
      </w:r>
      <w:r>
        <w:t>S.</w:t>
      </w:r>
      <w:r>
        <w:rPr>
          <w:spacing w:val="-2"/>
        </w:rPr>
        <w:t xml:space="preserve"> </w:t>
      </w:r>
      <w:r>
        <w:t>K.,</w:t>
      </w:r>
      <w:r>
        <w:rPr>
          <w:spacing w:val="-1"/>
        </w:rPr>
        <w:t xml:space="preserve"> </w:t>
      </w:r>
      <w:r>
        <w:t>Zheng,</w:t>
      </w:r>
      <w:r>
        <w:rPr>
          <w:spacing w:val="-1"/>
        </w:rPr>
        <w:t xml:space="preserve"> </w:t>
      </w:r>
      <w:r>
        <w:t>C.,</w:t>
      </w:r>
      <w:r>
        <w:rPr>
          <w:spacing w:val="-1"/>
        </w:rPr>
        <w:t xml:space="preserve"> </w:t>
      </w:r>
      <w:r>
        <w:t>Wilson,</w:t>
      </w:r>
      <w:r>
        <w:rPr>
          <w:spacing w:val="-1"/>
        </w:rPr>
        <w:t xml:space="preserve"> </w:t>
      </w:r>
      <w:r>
        <w:t>S.,</w:t>
      </w:r>
      <w:r>
        <w:rPr>
          <w:spacing w:val="-4"/>
        </w:rPr>
        <w:t xml:space="preserve"> </w:t>
      </w:r>
      <w:r>
        <w:t>Perry,</w:t>
      </w:r>
      <w:r>
        <w:rPr>
          <w:spacing w:val="-1"/>
        </w:rPr>
        <w:t xml:space="preserve"> </w:t>
      </w:r>
      <w:r>
        <w:t>J.,</w:t>
      </w:r>
      <w:r>
        <w:rPr>
          <w:spacing w:val="-1"/>
        </w:rPr>
        <w:t xml:space="preserve"> </w:t>
      </w:r>
      <w:proofErr w:type="spellStart"/>
      <w:r>
        <w:t>Chikritzhs</w:t>
      </w:r>
      <w:proofErr w:type="spellEnd"/>
      <w:r>
        <w:t>,</w:t>
      </w:r>
      <w:r>
        <w:rPr>
          <w:spacing w:val="-4"/>
        </w:rPr>
        <w:t xml:space="preserve"> </w:t>
      </w:r>
      <w:r>
        <w:t>T.,</w:t>
      </w:r>
      <w:r>
        <w:rPr>
          <w:spacing w:val="-1"/>
        </w:rPr>
        <w:t xml:space="preserve"> </w:t>
      </w:r>
      <w:r>
        <w:t>Slade,</w:t>
      </w:r>
      <w:r>
        <w:rPr>
          <w:spacing w:val="-1"/>
        </w:rPr>
        <w:t xml:space="preserve"> </w:t>
      </w:r>
      <w:r>
        <w:t>T.,</w:t>
      </w:r>
      <w:r>
        <w:rPr>
          <w:spacing w:val="-1"/>
        </w:rPr>
        <w:t xml:space="preserve"> </w:t>
      </w:r>
      <w:r>
        <w:t>Morley,</w:t>
      </w:r>
      <w:r>
        <w:rPr>
          <w:spacing w:val="-1"/>
        </w:rPr>
        <w:t xml:space="preserve"> </w:t>
      </w:r>
      <w:r>
        <w:t>K., Room,</w:t>
      </w:r>
      <w:r>
        <w:rPr>
          <w:spacing w:val="-2"/>
        </w:rPr>
        <w:t xml:space="preserve"> </w:t>
      </w:r>
      <w:r>
        <w:t>R., Callinan, S.,</w:t>
      </w:r>
      <w:r>
        <w:rPr>
          <w:spacing w:val="-2"/>
        </w:rPr>
        <w:t xml:space="preserve"> </w:t>
      </w:r>
      <w:r>
        <w:t>Hayman, N., and</w:t>
      </w:r>
      <w:r>
        <w:rPr>
          <w:spacing w:val="-1"/>
        </w:rPr>
        <w:t xml:space="preserve"> </w:t>
      </w:r>
      <w:r>
        <w:t>Conigrave,</w:t>
      </w:r>
      <w:r>
        <w:rPr>
          <w:spacing w:val="-1"/>
        </w:rPr>
        <w:t xml:space="preserve"> </w:t>
      </w:r>
      <w:r>
        <w:t>K.</w:t>
      </w:r>
      <w:r>
        <w:rPr>
          <w:spacing w:val="-1"/>
        </w:rPr>
        <w:t xml:space="preserve"> </w:t>
      </w:r>
      <w:r>
        <w:t>M. (2020)</w:t>
      </w:r>
      <w:r>
        <w:rPr>
          <w:spacing w:val="-2"/>
        </w:rPr>
        <w:t xml:space="preserve"> </w:t>
      </w:r>
      <w:r>
        <w:t>Drinking risk</w:t>
      </w:r>
      <w:r>
        <w:rPr>
          <w:spacing w:val="-1"/>
        </w:rPr>
        <w:t xml:space="preserve"> </w:t>
      </w:r>
      <w:r>
        <w:t xml:space="preserve">varies within and between Australian Aboriginal and Torres Strait Islander samples: a meta-analysis to identify sources of heterogeneity. Addiction, 115: 1817– 1830. </w:t>
      </w:r>
      <w:hyperlink r:id="rId35">
        <w:r w:rsidR="00E13D3F">
          <w:rPr>
            <w:color w:val="0462C1"/>
            <w:u w:val="single" w:color="0462C1"/>
          </w:rPr>
          <w:t>https://doi.org/10.1111/add.15015</w:t>
        </w:r>
      </w:hyperlink>
      <w:r>
        <w:t>.</w:t>
      </w:r>
    </w:p>
    <w:p w14:paraId="7A4C308A" w14:textId="77777777" w:rsidR="00E13D3F" w:rsidRDefault="00E13D3F">
      <w:pPr>
        <w:pStyle w:val="ListParagraph"/>
        <w:spacing w:line="276" w:lineRule="auto"/>
        <w:sectPr w:rsidR="00E13D3F">
          <w:pgSz w:w="11910" w:h="16840"/>
          <w:pgMar w:top="1400" w:right="0" w:bottom="1200" w:left="0" w:header="0" w:footer="1000" w:gutter="0"/>
          <w:cols w:space="720"/>
        </w:sectPr>
      </w:pPr>
    </w:p>
    <w:p w14:paraId="7A4C308B" w14:textId="77777777" w:rsidR="00E13D3F" w:rsidRDefault="00FB2D6A" w:rsidP="00990D2B">
      <w:pPr>
        <w:pStyle w:val="Heading1"/>
        <w:numPr>
          <w:ilvl w:val="0"/>
          <w:numId w:val="53"/>
        </w:numPr>
        <w:tabs>
          <w:tab w:val="left" w:pos="1678"/>
        </w:tabs>
        <w:ind w:left="1678" w:hanging="238"/>
        <w:rPr>
          <w:color w:val="2E5395"/>
          <w:u w:color="2E5395"/>
        </w:rPr>
      </w:pPr>
      <w:r>
        <w:rPr>
          <w:color w:val="2E5395"/>
          <w:spacing w:val="-6"/>
          <w:u w:color="2E5395"/>
        </w:rPr>
        <w:lastRenderedPageBreak/>
        <w:t xml:space="preserve"> </w:t>
      </w:r>
      <w:r>
        <w:rPr>
          <w:color w:val="2E5395"/>
          <w:u w:color="2E5395"/>
        </w:rPr>
        <w:t>The</w:t>
      </w:r>
      <w:r>
        <w:rPr>
          <w:color w:val="2E5395"/>
          <w:spacing w:val="-6"/>
          <w:u w:color="2E5395"/>
        </w:rPr>
        <w:t xml:space="preserve"> </w:t>
      </w:r>
      <w:r>
        <w:rPr>
          <w:color w:val="2E5395"/>
          <w:u w:color="2E5395"/>
        </w:rPr>
        <w:t>Health</w:t>
      </w:r>
      <w:r>
        <w:rPr>
          <w:color w:val="2E5395"/>
          <w:spacing w:val="-9"/>
          <w:u w:color="2E5395"/>
        </w:rPr>
        <w:t xml:space="preserve"> </w:t>
      </w:r>
      <w:r>
        <w:rPr>
          <w:color w:val="2E5395"/>
          <w:u w:color="2E5395"/>
        </w:rPr>
        <w:t>Assessment</w:t>
      </w:r>
      <w:r>
        <w:rPr>
          <w:color w:val="2E5395"/>
          <w:spacing w:val="-8"/>
          <w:u w:color="2E5395"/>
        </w:rPr>
        <w:t xml:space="preserve"> </w:t>
      </w:r>
      <w:r>
        <w:rPr>
          <w:color w:val="2E5395"/>
          <w:u w:color="2E5395"/>
        </w:rPr>
        <w:t>component:</w:t>
      </w:r>
      <w:r>
        <w:rPr>
          <w:color w:val="2E5395"/>
          <w:spacing w:val="-9"/>
          <w:u w:color="2E5395"/>
        </w:rPr>
        <w:t xml:space="preserve"> </w:t>
      </w:r>
      <w:r>
        <w:rPr>
          <w:color w:val="2E5395"/>
          <w:u w:color="2E5395"/>
        </w:rPr>
        <w:t>Physical</w:t>
      </w:r>
      <w:r>
        <w:rPr>
          <w:color w:val="2E5395"/>
          <w:spacing w:val="-7"/>
          <w:u w:color="2E5395"/>
        </w:rPr>
        <w:t xml:space="preserve"> </w:t>
      </w:r>
      <w:r>
        <w:rPr>
          <w:color w:val="2E5395"/>
          <w:spacing w:val="-2"/>
          <w:u w:color="2E5395"/>
        </w:rPr>
        <w:t>activity</w:t>
      </w:r>
    </w:p>
    <w:p w14:paraId="7A4C308C" w14:textId="77777777" w:rsidR="00E13D3F" w:rsidRDefault="00FB2D6A">
      <w:pPr>
        <w:pStyle w:val="Heading2"/>
        <w:spacing w:before="72"/>
      </w:pPr>
      <w:r>
        <w:rPr>
          <w:color w:val="2E5395"/>
        </w:rPr>
        <w:t>Background</w:t>
      </w:r>
      <w:r>
        <w:rPr>
          <w:color w:val="2E5395"/>
          <w:spacing w:val="-11"/>
        </w:rPr>
        <w:t xml:space="preserve"> </w:t>
      </w:r>
      <w:r>
        <w:rPr>
          <w:color w:val="2E5395"/>
        </w:rPr>
        <w:t>and</w:t>
      </w:r>
      <w:r>
        <w:rPr>
          <w:color w:val="2E5395"/>
          <w:spacing w:val="-8"/>
        </w:rPr>
        <w:t xml:space="preserve"> </w:t>
      </w:r>
      <w:r>
        <w:rPr>
          <w:color w:val="2E5395"/>
          <w:spacing w:val="-2"/>
        </w:rPr>
        <w:t>Description</w:t>
      </w:r>
    </w:p>
    <w:p w14:paraId="7A4C308D" w14:textId="77777777" w:rsidR="00E13D3F" w:rsidRDefault="00FB2D6A">
      <w:pPr>
        <w:pStyle w:val="BodyText"/>
        <w:spacing w:before="23" w:line="276" w:lineRule="auto"/>
        <w:ind w:right="1449"/>
      </w:pPr>
      <w:r>
        <w:t>Physical activity</w:t>
      </w:r>
      <w:r>
        <w:rPr>
          <w:spacing w:val="-1"/>
        </w:rPr>
        <w:t xml:space="preserve"> </w:t>
      </w:r>
      <w:r>
        <w:t>and exercise guidelines outline how much physical activity Australians of all ages should do each day and the maximum amount of time that should be spent sitting or lying</w:t>
      </w:r>
      <w:r>
        <w:rPr>
          <w:spacing w:val="-3"/>
        </w:rPr>
        <w:t xml:space="preserve"> </w:t>
      </w:r>
      <w:r>
        <w:t>down</w:t>
      </w:r>
      <w:r>
        <w:rPr>
          <w:spacing w:val="-4"/>
        </w:rPr>
        <w:t xml:space="preserve"> </w:t>
      </w:r>
      <w:r>
        <w:t>(1).</w:t>
      </w:r>
      <w:r>
        <w:rPr>
          <w:spacing w:val="-4"/>
        </w:rPr>
        <w:t xml:space="preserve"> </w:t>
      </w:r>
      <w:r>
        <w:t>However,</w:t>
      </w:r>
      <w:r>
        <w:rPr>
          <w:spacing w:val="-5"/>
        </w:rPr>
        <w:t xml:space="preserve"> </w:t>
      </w:r>
      <w:r>
        <w:t>more</w:t>
      </w:r>
      <w:r>
        <w:rPr>
          <w:spacing w:val="-4"/>
        </w:rPr>
        <w:t xml:space="preserve"> </w:t>
      </w:r>
      <w:r>
        <w:t>than</w:t>
      </w:r>
      <w:r>
        <w:rPr>
          <w:spacing w:val="-4"/>
        </w:rPr>
        <w:t xml:space="preserve"> </w:t>
      </w:r>
      <w:r>
        <w:t>half</w:t>
      </w:r>
      <w:r>
        <w:rPr>
          <w:spacing w:val="-2"/>
        </w:rPr>
        <w:t xml:space="preserve"> </w:t>
      </w:r>
      <w:r>
        <w:t>(55%)</w:t>
      </w:r>
      <w:r>
        <w:rPr>
          <w:spacing w:val="-4"/>
        </w:rPr>
        <w:t xml:space="preserve"> </w:t>
      </w:r>
      <w:r>
        <w:t>of</w:t>
      </w:r>
      <w:r>
        <w:rPr>
          <w:spacing w:val="-4"/>
        </w:rPr>
        <w:t xml:space="preserve"> </w:t>
      </w:r>
      <w:r>
        <w:t>Australian</w:t>
      </w:r>
      <w:r>
        <w:rPr>
          <w:spacing w:val="-2"/>
        </w:rPr>
        <w:t xml:space="preserve"> </w:t>
      </w:r>
      <w:r>
        <w:t>adults</w:t>
      </w:r>
      <w:r>
        <w:rPr>
          <w:spacing w:val="-3"/>
        </w:rPr>
        <w:t xml:space="preserve"> </w:t>
      </w:r>
      <w:r>
        <w:t>and</w:t>
      </w:r>
      <w:r>
        <w:rPr>
          <w:spacing w:val="-4"/>
        </w:rPr>
        <w:t xml:space="preserve"> </w:t>
      </w:r>
      <w:r>
        <w:t>70%</w:t>
      </w:r>
      <w:r>
        <w:rPr>
          <w:spacing w:val="-2"/>
        </w:rPr>
        <w:t xml:space="preserve"> </w:t>
      </w:r>
      <w:r>
        <w:t>of</w:t>
      </w:r>
      <w:r>
        <w:rPr>
          <w:spacing w:val="-2"/>
        </w:rPr>
        <w:t xml:space="preserve"> </w:t>
      </w:r>
      <w:r>
        <w:t>children</w:t>
      </w:r>
      <w:r>
        <w:rPr>
          <w:spacing w:val="-2"/>
        </w:rPr>
        <w:t xml:space="preserve"> </w:t>
      </w:r>
      <w:r>
        <w:t>aged 2-17 do not meet these guidelines (2). Low levels of physical activity are a major risk factor for all-cause and cardiovascular mortality, breast and prostate cancer, falls, cognitive decline, Alzheimer’s disease, and depression in older adults (3). There is also strong</w:t>
      </w:r>
      <w:r>
        <w:rPr>
          <w:spacing w:val="40"/>
        </w:rPr>
        <w:t xml:space="preserve"> </w:t>
      </w:r>
      <w:r>
        <w:t>evidence for a direct association between insufficient physical activity and CVD, stroke, type 2 diabetes, and osteoporosis in adults (4). In children and adolescents, physical inactivity contributes to elevated body mass index with increased risk for cardiovascular disease in adulthood (5). Physical inactivity was responsible for 2.6% of the total disease burden in Australia in 2011 (6).</w:t>
      </w:r>
    </w:p>
    <w:p w14:paraId="7A4C308E" w14:textId="77777777" w:rsidR="00E13D3F" w:rsidRDefault="00FB2D6A">
      <w:pPr>
        <w:pStyle w:val="BodyText"/>
        <w:spacing w:line="276" w:lineRule="auto"/>
        <w:ind w:right="1530"/>
      </w:pPr>
      <w:r>
        <w:t>The</w:t>
      </w:r>
      <w:r>
        <w:rPr>
          <w:spacing w:val="-2"/>
        </w:rPr>
        <w:t xml:space="preserve"> </w:t>
      </w:r>
      <w:r>
        <w:t>Red</w:t>
      </w:r>
      <w:r>
        <w:rPr>
          <w:spacing w:val="-4"/>
        </w:rPr>
        <w:t xml:space="preserve"> </w:t>
      </w:r>
      <w:r>
        <w:t>book</w:t>
      </w:r>
      <w:r>
        <w:rPr>
          <w:spacing w:val="-3"/>
        </w:rPr>
        <w:t xml:space="preserve"> </w:t>
      </w:r>
      <w:r>
        <w:t>currently</w:t>
      </w:r>
      <w:r>
        <w:rPr>
          <w:spacing w:val="-3"/>
        </w:rPr>
        <w:t xml:space="preserve"> </w:t>
      </w:r>
      <w:r>
        <w:t>recommends</w:t>
      </w:r>
      <w:r>
        <w:rPr>
          <w:spacing w:val="-3"/>
        </w:rPr>
        <w:t xml:space="preserve"> </w:t>
      </w:r>
      <w:r>
        <w:t>assessment</w:t>
      </w:r>
      <w:r>
        <w:rPr>
          <w:spacing w:val="-4"/>
        </w:rPr>
        <w:t xml:space="preserve"> </w:t>
      </w:r>
      <w:r>
        <w:t>of</w:t>
      </w:r>
      <w:r>
        <w:rPr>
          <w:spacing w:val="-3"/>
        </w:rPr>
        <w:t xml:space="preserve"> </w:t>
      </w:r>
      <w:r>
        <w:t>patients’</w:t>
      </w:r>
      <w:r>
        <w:rPr>
          <w:spacing w:val="-5"/>
        </w:rPr>
        <w:t xml:space="preserve"> </w:t>
      </w:r>
      <w:r>
        <w:t>physical</w:t>
      </w:r>
      <w:r>
        <w:rPr>
          <w:spacing w:val="-2"/>
        </w:rPr>
        <w:t xml:space="preserve"> </w:t>
      </w:r>
      <w:r>
        <w:t>activity</w:t>
      </w:r>
      <w:r>
        <w:rPr>
          <w:spacing w:val="-3"/>
        </w:rPr>
        <w:t xml:space="preserve"> </w:t>
      </w:r>
      <w:r>
        <w:t>by</w:t>
      </w:r>
      <w:r>
        <w:rPr>
          <w:spacing w:val="-3"/>
        </w:rPr>
        <w:t xml:space="preserve"> </w:t>
      </w:r>
      <w:r>
        <w:t xml:space="preserve">comparing patients self-report of their current level of activity against the current guidelines (1). For Aboriginal and Torres Strait Islander people, national guidelines recommend current levels of physical activity and sedentary </w:t>
      </w:r>
      <w:proofErr w:type="spellStart"/>
      <w:r>
        <w:t>behaviours</w:t>
      </w:r>
      <w:proofErr w:type="spellEnd"/>
      <w:r>
        <w:t xml:space="preserve"> be assessed against the Australian age-appropriate recommendations and suggest the UK General Practice Physical Activity Questionnaire (GPPAQ) be used in this assessment. </w:t>
      </w:r>
      <w:hyperlink r:id="rId36">
        <w:r w:rsidR="00E13D3F">
          <w:rPr>
            <w:spacing w:val="-2"/>
          </w:rPr>
          <w:t>(https://www.gov.uk/government/publications/general-practice-physical-activity-</w:t>
        </w:r>
      </w:hyperlink>
      <w:r>
        <w:rPr>
          <w:spacing w:val="-2"/>
        </w:rPr>
        <w:t>questionnaire-gppaq)</w:t>
      </w:r>
    </w:p>
    <w:p w14:paraId="7A4C308F" w14:textId="77777777" w:rsidR="00E13D3F" w:rsidRDefault="00E13D3F">
      <w:pPr>
        <w:pStyle w:val="BodyText"/>
        <w:spacing w:before="17"/>
        <w:ind w:left="0"/>
      </w:pPr>
    </w:p>
    <w:p w14:paraId="7A4C3090" w14:textId="77777777" w:rsidR="00E13D3F" w:rsidRDefault="00FB2D6A">
      <w:pPr>
        <w:pStyle w:val="Heading2"/>
      </w:pPr>
      <w:r>
        <w:rPr>
          <w:color w:val="2E5395"/>
        </w:rPr>
        <w:t>Evidence</w:t>
      </w:r>
      <w:r>
        <w:rPr>
          <w:color w:val="2E5395"/>
          <w:spacing w:val="-9"/>
        </w:rPr>
        <w:t xml:space="preserve"> </w:t>
      </w:r>
      <w:r>
        <w:rPr>
          <w:color w:val="2E5395"/>
        </w:rPr>
        <w:t>of</w:t>
      </w:r>
      <w:r>
        <w:rPr>
          <w:color w:val="2E5395"/>
          <w:spacing w:val="-10"/>
        </w:rPr>
        <w:t xml:space="preserve"> </w:t>
      </w:r>
      <w:r>
        <w:rPr>
          <w:color w:val="2E5395"/>
          <w:spacing w:val="-2"/>
        </w:rPr>
        <w:t>Effectiveness</w:t>
      </w:r>
    </w:p>
    <w:p w14:paraId="7A4C3091" w14:textId="77777777" w:rsidR="00E13D3F" w:rsidRDefault="00FB2D6A">
      <w:pPr>
        <w:pStyle w:val="BodyText"/>
        <w:spacing w:before="26" w:line="276" w:lineRule="auto"/>
        <w:ind w:right="1137"/>
      </w:pPr>
      <w:r>
        <w:t>No</w:t>
      </w:r>
      <w:r>
        <w:rPr>
          <w:spacing w:val="-2"/>
        </w:rPr>
        <w:t xml:space="preserve"> </w:t>
      </w:r>
      <w:r>
        <w:t>systematic</w:t>
      </w:r>
      <w:r>
        <w:rPr>
          <w:spacing w:val="-3"/>
        </w:rPr>
        <w:t xml:space="preserve"> </w:t>
      </w:r>
      <w:r>
        <w:t>reviews</w:t>
      </w:r>
      <w:r>
        <w:rPr>
          <w:spacing w:val="-5"/>
        </w:rPr>
        <w:t xml:space="preserve"> </w:t>
      </w:r>
      <w:r>
        <w:t>for</w:t>
      </w:r>
      <w:r>
        <w:rPr>
          <w:spacing w:val="-2"/>
        </w:rPr>
        <w:t xml:space="preserve"> </w:t>
      </w:r>
      <w:r>
        <w:t>the effect</w:t>
      </w:r>
      <w:r>
        <w:rPr>
          <w:spacing w:val="-2"/>
        </w:rPr>
        <w:t xml:space="preserve"> </w:t>
      </w:r>
      <w:r>
        <w:t>of</w:t>
      </w:r>
      <w:r>
        <w:rPr>
          <w:spacing w:val="-2"/>
        </w:rPr>
        <w:t xml:space="preserve"> </w:t>
      </w:r>
      <w:r>
        <w:t>screening</w:t>
      </w:r>
      <w:r>
        <w:rPr>
          <w:spacing w:val="-8"/>
        </w:rPr>
        <w:t xml:space="preserve"> </w:t>
      </w:r>
      <w:r>
        <w:t>for</w:t>
      </w:r>
      <w:r>
        <w:rPr>
          <w:spacing w:val="-4"/>
        </w:rPr>
        <w:t xml:space="preserve"> </w:t>
      </w:r>
      <w:r>
        <w:t>physical</w:t>
      </w:r>
      <w:r>
        <w:rPr>
          <w:spacing w:val="-2"/>
        </w:rPr>
        <w:t xml:space="preserve"> </w:t>
      </w:r>
      <w:r>
        <w:t>inactivity</w:t>
      </w:r>
      <w:r>
        <w:rPr>
          <w:spacing w:val="-6"/>
        </w:rPr>
        <w:t xml:space="preserve"> </w:t>
      </w:r>
      <w:r>
        <w:t>on</w:t>
      </w:r>
      <w:r>
        <w:rPr>
          <w:spacing w:val="-6"/>
        </w:rPr>
        <w:t xml:space="preserve"> </w:t>
      </w:r>
      <w:r>
        <w:t>future</w:t>
      </w:r>
      <w:r>
        <w:rPr>
          <w:spacing w:val="-4"/>
        </w:rPr>
        <w:t xml:space="preserve"> </w:t>
      </w:r>
      <w:r>
        <w:t>morbidity and/or mortality were identified.</w:t>
      </w:r>
    </w:p>
    <w:p w14:paraId="7A4C3092" w14:textId="77777777" w:rsidR="00E13D3F" w:rsidRDefault="00E13D3F">
      <w:pPr>
        <w:pStyle w:val="BodyText"/>
        <w:spacing w:before="43"/>
        <w:ind w:left="0"/>
      </w:pPr>
    </w:p>
    <w:p w14:paraId="7A4C3093" w14:textId="77777777" w:rsidR="00E13D3F" w:rsidRDefault="00FB2D6A">
      <w:pPr>
        <w:pStyle w:val="BodyText"/>
        <w:spacing w:before="1" w:line="276" w:lineRule="auto"/>
        <w:ind w:right="1450"/>
      </w:pPr>
      <w:r>
        <w:rPr>
          <w:b/>
        </w:rPr>
        <w:t xml:space="preserve">Linked evidence </w:t>
      </w:r>
      <w:r>
        <w:t xml:space="preserve">for the effect of interventions once physical inactivity is detected is provided by (a) a </w:t>
      </w:r>
      <w:proofErr w:type="spellStart"/>
      <w:r>
        <w:t>randomised</w:t>
      </w:r>
      <w:proofErr w:type="spellEnd"/>
      <w:r>
        <w:t xml:space="preserve"> controlled trial of the effect of supervised exercise training (high or moderate intensity) over 5 years on all-cause mortality (10), (b) overviews of systematic</w:t>
      </w:r>
      <w:r>
        <w:rPr>
          <w:spacing w:val="-3"/>
        </w:rPr>
        <w:t xml:space="preserve"> </w:t>
      </w:r>
      <w:r>
        <w:t>reviews</w:t>
      </w:r>
      <w:r>
        <w:rPr>
          <w:spacing w:val="40"/>
        </w:rPr>
        <w:t xml:space="preserve"> </w:t>
      </w:r>
      <w:r>
        <w:t>and</w:t>
      </w:r>
      <w:r>
        <w:rPr>
          <w:spacing w:val="-4"/>
        </w:rPr>
        <w:t xml:space="preserve"> </w:t>
      </w:r>
      <w:r>
        <w:t>a</w:t>
      </w:r>
      <w:r>
        <w:rPr>
          <w:spacing w:val="-3"/>
        </w:rPr>
        <w:t xml:space="preserve"> </w:t>
      </w:r>
      <w:r>
        <w:t>systematic</w:t>
      </w:r>
      <w:r>
        <w:rPr>
          <w:spacing w:val="-6"/>
        </w:rPr>
        <w:t xml:space="preserve"> </w:t>
      </w:r>
      <w:r>
        <w:t>review</w:t>
      </w:r>
      <w:r>
        <w:rPr>
          <w:spacing w:val="-2"/>
        </w:rPr>
        <w:t xml:space="preserve"> </w:t>
      </w:r>
      <w:r>
        <w:t>evaluating</w:t>
      </w:r>
      <w:r>
        <w:rPr>
          <w:spacing w:val="-3"/>
        </w:rPr>
        <w:t xml:space="preserve"> </w:t>
      </w:r>
      <w:r>
        <w:t>the</w:t>
      </w:r>
      <w:r>
        <w:rPr>
          <w:spacing w:val="-4"/>
        </w:rPr>
        <w:t xml:space="preserve"> </w:t>
      </w:r>
      <w:r>
        <w:t>effects</w:t>
      </w:r>
      <w:r>
        <w:rPr>
          <w:spacing w:val="-5"/>
        </w:rPr>
        <w:t xml:space="preserve"> </w:t>
      </w:r>
      <w:r>
        <w:t>of</w:t>
      </w:r>
      <w:r>
        <w:rPr>
          <w:spacing w:val="-4"/>
        </w:rPr>
        <w:t xml:space="preserve"> </w:t>
      </w:r>
      <w:r>
        <w:t>exercise</w:t>
      </w:r>
      <w:r>
        <w:rPr>
          <w:spacing w:val="-2"/>
        </w:rPr>
        <w:t xml:space="preserve"> </w:t>
      </w:r>
      <w:r>
        <w:t>on</w:t>
      </w:r>
      <w:r>
        <w:rPr>
          <w:spacing w:val="-1"/>
        </w:rPr>
        <w:t xml:space="preserve"> </w:t>
      </w:r>
      <w:r>
        <w:t>surrogate markers for cardiovascular disease, blood pressure and HDL cholesterol (7-9), and (c) a systematic review with network meta-analysis evaluating the effects of interventions including exercise for preventing falls in older adults (11).</w:t>
      </w:r>
    </w:p>
    <w:p w14:paraId="7A4C3094" w14:textId="77777777" w:rsidR="00E13D3F" w:rsidRDefault="00E13D3F">
      <w:pPr>
        <w:pStyle w:val="BodyText"/>
        <w:spacing w:before="44"/>
        <w:ind w:left="0"/>
      </w:pPr>
    </w:p>
    <w:p w14:paraId="7A4C3095" w14:textId="77777777" w:rsidR="00E13D3F" w:rsidRDefault="00FB2D6A" w:rsidP="00990D2B">
      <w:pPr>
        <w:pStyle w:val="ListParagraph"/>
        <w:numPr>
          <w:ilvl w:val="0"/>
          <w:numId w:val="30"/>
        </w:numPr>
        <w:tabs>
          <w:tab w:val="left" w:pos="1751"/>
        </w:tabs>
        <w:spacing w:line="276" w:lineRule="auto"/>
        <w:ind w:right="1507" w:firstLine="0"/>
        <w:rPr>
          <w:sz w:val="24"/>
        </w:rPr>
      </w:pPr>
      <w:r>
        <w:rPr>
          <w:sz w:val="24"/>
        </w:rPr>
        <w:t xml:space="preserve">All-cause mortality. The </w:t>
      </w:r>
      <w:proofErr w:type="spellStart"/>
      <w:r>
        <w:rPr>
          <w:sz w:val="24"/>
        </w:rPr>
        <w:t>randomised</w:t>
      </w:r>
      <w:proofErr w:type="spellEnd"/>
      <w:r>
        <w:rPr>
          <w:sz w:val="24"/>
        </w:rPr>
        <w:t xml:space="preserve"> controlled trial evaluated the effect of supervised exercise training over 5 years on all-cause mortality in 1567 older adults (70-77 years) who reported</w:t>
      </w:r>
      <w:r>
        <w:rPr>
          <w:spacing w:val="-1"/>
          <w:sz w:val="24"/>
        </w:rPr>
        <w:t xml:space="preserve"> </w:t>
      </w:r>
      <w:r>
        <w:rPr>
          <w:sz w:val="24"/>
        </w:rPr>
        <w:t>high levels of physical activity at</w:t>
      </w:r>
      <w:r>
        <w:rPr>
          <w:spacing w:val="-1"/>
          <w:sz w:val="24"/>
        </w:rPr>
        <w:t xml:space="preserve"> </w:t>
      </w:r>
      <w:r>
        <w:rPr>
          <w:sz w:val="24"/>
        </w:rPr>
        <w:t>baseline in</w:t>
      </w:r>
      <w:r>
        <w:rPr>
          <w:spacing w:val="-1"/>
          <w:sz w:val="24"/>
        </w:rPr>
        <w:t xml:space="preserve"> </w:t>
      </w:r>
      <w:r>
        <w:rPr>
          <w:sz w:val="24"/>
        </w:rPr>
        <w:t>Norway.</w:t>
      </w:r>
      <w:r>
        <w:rPr>
          <w:spacing w:val="40"/>
          <w:sz w:val="24"/>
        </w:rPr>
        <w:t xml:space="preserve"> </w:t>
      </w:r>
      <w:r>
        <w:rPr>
          <w:sz w:val="24"/>
        </w:rPr>
        <w:t>The</w:t>
      </w:r>
      <w:r>
        <w:rPr>
          <w:spacing w:val="-2"/>
          <w:sz w:val="24"/>
        </w:rPr>
        <w:t xml:space="preserve"> </w:t>
      </w:r>
      <w:r>
        <w:rPr>
          <w:sz w:val="24"/>
        </w:rPr>
        <w:t>trial</w:t>
      </w:r>
      <w:r>
        <w:rPr>
          <w:spacing w:val="-2"/>
          <w:sz w:val="24"/>
        </w:rPr>
        <w:t xml:space="preserve"> </w:t>
      </w:r>
      <w:r>
        <w:rPr>
          <w:sz w:val="24"/>
        </w:rPr>
        <w:t>found</w:t>
      </w:r>
      <w:r>
        <w:rPr>
          <w:spacing w:val="-1"/>
          <w:sz w:val="24"/>
        </w:rPr>
        <w:t xml:space="preserve"> </w:t>
      </w:r>
      <w:r>
        <w:rPr>
          <w:sz w:val="24"/>
        </w:rPr>
        <w:t>no</w:t>
      </w:r>
      <w:r>
        <w:rPr>
          <w:spacing w:val="-2"/>
          <w:sz w:val="24"/>
        </w:rPr>
        <w:t xml:space="preserve"> </w:t>
      </w:r>
      <w:r>
        <w:rPr>
          <w:sz w:val="24"/>
        </w:rPr>
        <w:t>difference in</w:t>
      </w:r>
      <w:r>
        <w:rPr>
          <w:spacing w:val="-3"/>
          <w:sz w:val="24"/>
        </w:rPr>
        <w:t xml:space="preserve"> </w:t>
      </w:r>
      <w:r>
        <w:rPr>
          <w:sz w:val="24"/>
        </w:rPr>
        <w:t>all-cause</w:t>
      </w:r>
      <w:r>
        <w:rPr>
          <w:spacing w:val="-3"/>
          <w:sz w:val="24"/>
        </w:rPr>
        <w:t xml:space="preserve"> </w:t>
      </w:r>
      <w:r>
        <w:rPr>
          <w:sz w:val="24"/>
        </w:rPr>
        <w:t>mortality</w:t>
      </w:r>
      <w:r>
        <w:rPr>
          <w:spacing w:val="-7"/>
          <w:sz w:val="24"/>
        </w:rPr>
        <w:t xml:space="preserve"> </w:t>
      </w:r>
      <w:r>
        <w:rPr>
          <w:sz w:val="24"/>
        </w:rPr>
        <w:t>between</w:t>
      </w:r>
      <w:r>
        <w:rPr>
          <w:spacing w:val="-5"/>
          <w:sz w:val="24"/>
        </w:rPr>
        <w:t xml:space="preserve"> </w:t>
      </w:r>
      <w:r>
        <w:rPr>
          <w:sz w:val="24"/>
        </w:rPr>
        <w:t>combined</w:t>
      </w:r>
      <w:r>
        <w:rPr>
          <w:spacing w:val="-3"/>
          <w:sz w:val="24"/>
        </w:rPr>
        <w:t xml:space="preserve"> </w:t>
      </w:r>
      <w:r>
        <w:rPr>
          <w:sz w:val="24"/>
        </w:rPr>
        <w:t>high</w:t>
      </w:r>
      <w:r>
        <w:rPr>
          <w:spacing w:val="-3"/>
          <w:sz w:val="24"/>
        </w:rPr>
        <w:t xml:space="preserve"> </w:t>
      </w:r>
      <w:r>
        <w:rPr>
          <w:sz w:val="24"/>
        </w:rPr>
        <w:t>and</w:t>
      </w:r>
      <w:r>
        <w:rPr>
          <w:spacing w:val="-3"/>
          <w:sz w:val="24"/>
        </w:rPr>
        <w:t xml:space="preserve"> </w:t>
      </w:r>
      <w:r>
        <w:rPr>
          <w:sz w:val="24"/>
        </w:rPr>
        <w:t>moderate</w:t>
      </w:r>
      <w:r>
        <w:rPr>
          <w:spacing w:val="-3"/>
          <w:sz w:val="24"/>
        </w:rPr>
        <w:t xml:space="preserve"> </w:t>
      </w:r>
      <w:r>
        <w:rPr>
          <w:sz w:val="24"/>
        </w:rPr>
        <w:t>intensity</w:t>
      </w:r>
      <w:r>
        <w:rPr>
          <w:spacing w:val="-7"/>
          <w:sz w:val="24"/>
        </w:rPr>
        <w:t xml:space="preserve"> </w:t>
      </w:r>
      <w:r>
        <w:rPr>
          <w:sz w:val="24"/>
        </w:rPr>
        <w:t>exercise</w:t>
      </w:r>
      <w:r>
        <w:rPr>
          <w:spacing w:val="-3"/>
          <w:sz w:val="24"/>
        </w:rPr>
        <w:t xml:space="preserve"> </w:t>
      </w:r>
      <w:r>
        <w:rPr>
          <w:sz w:val="24"/>
        </w:rPr>
        <w:t>groups</w:t>
      </w:r>
      <w:r>
        <w:rPr>
          <w:spacing w:val="-4"/>
          <w:sz w:val="24"/>
        </w:rPr>
        <w:t xml:space="preserve"> </w:t>
      </w:r>
      <w:r>
        <w:rPr>
          <w:sz w:val="24"/>
        </w:rPr>
        <w:t>and</w:t>
      </w:r>
      <w:r>
        <w:rPr>
          <w:spacing w:val="-3"/>
          <w:sz w:val="24"/>
        </w:rPr>
        <w:t xml:space="preserve"> </w:t>
      </w:r>
      <w:r>
        <w:rPr>
          <w:sz w:val="24"/>
        </w:rPr>
        <w:t>a control group following recommended physical activity guidelines (HR 0.92, 95% CI 0.58 to</w:t>
      </w:r>
    </w:p>
    <w:p w14:paraId="7A4C3096" w14:textId="77777777" w:rsidR="00E13D3F" w:rsidRDefault="00FB2D6A">
      <w:pPr>
        <w:pStyle w:val="BodyText"/>
        <w:spacing w:line="276" w:lineRule="auto"/>
        <w:ind w:right="1137"/>
      </w:pPr>
      <w:r>
        <w:t>1.47;</w:t>
      </w:r>
      <w:r>
        <w:rPr>
          <w:spacing w:val="-2"/>
        </w:rPr>
        <w:t xml:space="preserve"> </w:t>
      </w:r>
      <w:r>
        <w:t>confidence</w:t>
      </w:r>
      <w:r>
        <w:rPr>
          <w:spacing w:val="-5"/>
        </w:rPr>
        <w:t xml:space="preserve"> </w:t>
      </w:r>
      <w:r>
        <w:t>interval</w:t>
      </w:r>
      <w:r>
        <w:rPr>
          <w:spacing w:val="-5"/>
        </w:rPr>
        <w:t xml:space="preserve"> </w:t>
      </w:r>
      <w:r>
        <w:t>crossing</w:t>
      </w:r>
      <w:r>
        <w:rPr>
          <w:spacing w:val="-3"/>
        </w:rPr>
        <w:t xml:space="preserve"> </w:t>
      </w:r>
      <w:r>
        <w:t>1</w:t>
      </w:r>
      <w:r>
        <w:rPr>
          <w:spacing w:val="-4"/>
        </w:rPr>
        <w:t xml:space="preserve"> </w:t>
      </w:r>
      <w:r>
        <w:t>implies</w:t>
      </w:r>
      <w:r>
        <w:rPr>
          <w:spacing w:val="-3"/>
        </w:rPr>
        <w:t xml:space="preserve"> </w:t>
      </w:r>
      <w:r>
        <w:t>no</w:t>
      </w:r>
      <w:r>
        <w:rPr>
          <w:spacing w:val="-4"/>
        </w:rPr>
        <w:t xml:space="preserve"> </w:t>
      </w:r>
      <w:r>
        <w:t>difference</w:t>
      </w:r>
      <w:r>
        <w:rPr>
          <w:spacing w:val="-2"/>
        </w:rPr>
        <w:t xml:space="preserve"> </w:t>
      </w:r>
      <w:r>
        <w:t>between</w:t>
      </w:r>
      <w:r>
        <w:rPr>
          <w:spacing w:val="-2"/>
        </w:rPr>
        <w:t xml:space="preserve"> </w:t>
      </w:r>
      <w:r>
        <w:t>the</w:t>
      </w:r>
      <w:r>
        <w:rPr>
          <w:spacing w:val="-5"/>
        </w:rPr>
        <w:t xml:space="preserve"> </w:t>
      </w:r>
      <w:r>
        <w:t>exercise</w:t>
      </w:r>
      <w:r>
        <w:rPr>
          <w:spacing w:val="-2"/>
        </w:rPr>
        <w:t xml:space="preserve"> </w:t>
      </w:r>
      <w:r>
        <w:t>and</w:t>
      </w:r>
      <w:r>
        <w:rPr>
          <w:spacing w:val="-4"/>
        </w:rPr>
        <w:t xml:space="preserve"> </w:t>
      </w:r>
      <w:r>
        <w:t>control groups). All-cause mortality was 37% lower after high intensity interval exercise compared</w:t>
      </w:r>
    </w:p>
    <w:p w14:paraId="7A4C3097" w14:textId="77777777" w:rsidR="00E13D3F" w:rsidRDefault="00E13D3F">
      <w:pPr>
        <w:pStyle w:val="BodyText"/>
        <w:spacing w:line="276" w:lineRule="auto"/>
        <w:sectPr w:rsidR="00E13D3F">
          <w:pgSz w:w="11910" w:h="16840"/>
          <w:pgMar w:top="1400" w:right="0" w:bottom="1200" w:left="0" w:header="0" w:footer="1000" w:gutter="0"/>
          <w:cols w:space="720"/>
        </w:sectPr>
      </w:pPr>
    </w:p>
    <w:p w14:paraId="7A4C3098" w14:textId="77777777" w:rsidR="00E13D3F" w:rsidRDefault="00FB2D6A">
      <w:pPr>
        <w:pStyle w:val="BodyText"/>
        <w:spacing w:before="41" w:line="276" w:lineRule="auto"/>
        <w:ind w:right="1450"/>
      </w:pPr>
      <w:r>
        <w:lastRenderedPageBreak/>
        <w:t>with</w:t>
      </w:r>
      <w:r>
        <w:rPr>
          <w:spacing w:val="-1"/>
        </w:rPr>
        <w:t xml:space="preserve"> </w:t>
      </w:r>
      <w:r>
        <w:t>controls</w:t>
      </w:r>
      <w:r>
        <w:rPr>
          <w:spacing w:val="-4"/>
        </w:rPr>
        <w:t xml:space="preserve"> </w:t>
      </w:r>
      <w:r>
        <w:t>and</w:t>
      </w:r>
      <w:r>
        <w:rPr>
          <w:spacing w:val="-1"/>
        </w:rPr>
        <w:t xml:space="preserve"> </w:t>
      </w:r>
      <w:r>
        <w:t>49%</w:t>
      </w:r>
      <w:r>
        <w:rPr>
          <w:spacing w:val="-2"/>
        </w:rPr>
        <w:t xml:space="preserve"> </w:t>
      </w:r>
      <w:r>
        <w:t>lower</w:t>
      </w:r>
      <w:r>
        <w:rPr>
          <w:spacing w:val="-3"/>
        </w:rPr>
        <w:t xml:space="preserve"> </w:t>
      </w:r>
      <w:r>
        <w:t>when</w:t>
      </w:r>
      <w:r>
        <w:rPr>
          <w:spacing w:val="-3"/>
        </w:rPr>
        <w:t xml:space="preserve"> </w:t>
      </w:r>
      <w:r>
        <w:t>high</w:t>
      </w:r>
      <w:r>
        <w:rPr>
          <w:spacing w:val="-3"/>
        </w:rPr>
        <w:t xml:space="preserve"> </w:t>
      </w:r>
      <w:r>
        <w:t>intensity</w:t>
      </w:r>
      <w:r>
        <w:rPr>
          <w:spacing w:val="-2"/>
        </w:rPr>
        <w:t xml:space="preserve"> </w:t>
      </w:r>
      <w:r>
        <w:t>interval</w:t>
      </w:r>
      <w:r>
        <w:rPr>
          <w:spacing w:val="-4"/>
        </w:rPr>
        <w:t xml:space="preserve"> </w:t>
      </w:r>
      <w:r>
        <w:t>exercise</w:t>
      </w:r>
      <w:r>
        <w:rPr>
          <w:spacing w:val="-4"/>
        </w:rPr>
        <w:t xml:space="preserve"> </w:t>
      </w:r>
      <w:r>
        <w:t>was</w:t>
      </w:r>
      <w:r>
        <w:rPr>
          <w:spacing w:val="-2"/>
        </w:rPr>
        <w:t xml:space="preserve"> </w:t>
      </w:r>
      <w:r>
        <w:t>compared</w:t>
      </w:r>
      <w:r>
        <w:rPr>
          <w:spacing w:val="-3"/>
        </w:rPr>
        <w:t xml:space="preserve"> </w:t>
      </w:r>
      <w:r>
        <w:t>with moderate intensity continuous training, but these differences were not statistically significant (10).</w:t>
      </w:r>
    </w:p>
    <w:p w14:paraId="7A4C3099" w14:textId="77777777" w:rsidR="00E13D3F" w:rsidRDefault="00E13D3F">
      <w:pPr>
        <w:pStyle w:val="BodyText"/>
        <w:spacing w:before="45"/>
        <w:ind w:left="0"/>
      </w:pPr>
    </w:p>
    <w:p w14:paraId="7A4C309A" w14:textId="77777777" w:rsidR="00E13D3F" w:rsidRDefault="00FB2D6A" w:rsidP="00990D2B">
      <w:pPr>
        <w:pStyle w:val="ListParagraph"/>
        <w:numPr>
          <w:ilvl w:val="0"/>
          <w:numId w:val="30"/>
        </w:numPr>
        <w:tabs>
          <w:tab w:val="left" w:pos="1763"/>
        </w:tabs>
        <w:spacing w:line="276" w:lineRule="auto"/>
        <w:ind w:right="1484" w:firstLine="0"/>
        <w:rPr>
          <w:sz w:val="24"/>
        </w:rPr>
      </w:pPr>
      <w:r>
        <w:rPr>
          <w:sz w:val="24"/>
        </w:rPr>
        <w:t xml:space="preserve">Blood pressure. The overview of systematic reviews and pooled analyses of </w:t>
      </w:r>
      <w:proofErr w:type="spellStart"/>
      <w:r>
        <w:rPr>
          <w:sz w:val="24"/>
        </w:rPr>
        <w:t>randomised</w:t>
      </w:r>
      <w:proofErr w:type="spellEnd"/>
      <w:r>
        <w:rPr>
          <w:sz w:val="24"/>
        </w:rPr>
        <w:t xml:space="preserve"> controlled trials examined the relationship between exercise training and blood pressure among adults with normal blood pressure, prehypertension, and hypertension (as defined by</w:t>
      </w:r>
      <w:r>
        <w:rPr>
          <w:spacing w:val="-2"/>
          <w:sz w:val="24"/>
        </w:rPr>
        <w:t xml:space="preserve"> </w:t>
      </w:r>
      <w:r>
        <w:rPr>
          <w:sz w:val="24"/>
        </w:rPr>
        <w:t>the</w:t>
      </w:r>
      <w:r>
        <w:rPr>
          <w:spacing w:val="-1"/>
          <w:sz w:val="24"/>
        </w:rPr>
        <w:t xml:space="preserve"> </w:t>
      </w:r>
      <w:r>
        <w:rPr>
          <w:sz w:val="24"/>
        </w:rPr>
        <w:t>JNC</w:t>
      </w:r>
      <w:r>
        <w:rPr>
          <w:spacing w:val="-3"/>
          <w:sz w:val="24"/>
        </w:rPr>
        <w:t xml:space="preserve"> </w:t>
      </w:r>
      <w:r>
        <w:rPr>
          <w:sz w:val="24"/>
        </w:rPr>
        <w:t>7</w:t>
      </w:r>
      <w:r>
        <w:rPr>
          <w:spacing w:val="-1"/>
          <w:sz w:val="24"/>
        </w:rPr>
        <w:t xml:space="preserve"> </w:t>
      </w:r>
      <w:r>
        <w:rPr>
          <w:sz w:val="24"/>
        </w:rPr>
        <w:t>BP</w:t>
      </w:r>
      <w:r>
        <w:rPr>
          <w:spacing w:val="-3"/>
          <w:sz w:val="24"/>
        </w:rPr>
        <w:t xml:space="preserve"> </w:t>
      </w:r>
      <w:r>
        <w:rPr>
          <w:sz w:val="24"/>
        </w:rPr>
        <w:t>criteria)</w:t>
      </w:r>
      <w:r>
        <w:rPr>
          <w:spacing w:val="-4"/>
          <w:sz w:val="24"/>
        </w:rPr>
        <w:t xml:space="preserve"> </w:t>
      </w:r>
      <w:r>
        <w:rPr>
          <w:sz w:val="24"/>
        </w:rPr>
        <w:t>who</w:t>
      </w:r>
      <w:r>
        <w:rPr>
          <w:spacing w:val="-4"/>
          <w:sz w:val="24"/>
        </w:rPr>
        <w:t xml:space="preserve"> </w:t>
      </w:r>
      <w:r>
        <w:rPr>
          <w:sz w:val="24"/>
        </w:rPr>
        <w:t>were</w:t>
      </w:r>
      <w:r>
        <w:rPr>
          <w:spacing w:val="-3"/>
          <w:sz w:val="24"/>
        </w:rPr>
        <w:t xml:space="preserve"> </w:t>
      </w:r>
      <w:r>
        <w:rPr>
          <w:sz w:val="24"/>
        </w:rPr>
        <w:t>physically</w:t>
      </w:r>
      <w:r>
        <w:rPr>
          <w:spacing w:val="-2"/>
          <w:sz w:val="24"/>
        </w:rPr>
        <w:t xml:space="preserve"> </w:t>
      </w:r>
      <w:r>
        <w:rPr>
          <w:sz w:val="24"/>
        </w:rPr>
        <w:t>inactive</w:t>
      </w:r>
      <w:r>
        <w:rPr>
          <w:spacing w:val="-2"/>
          <w:sz w:val="24"/>
        </w:rPr>
        <w:t xml:space="preserve"> </w:t>
      </w:r>
      <w:r>
        <w:rPr>
          <w:sz w:val="24"/>
        </w:rPr>
        <w:t>at</w:t>
      </w:r>
      <w:r>
        <w:rPr>
          <w:spacing w:val="-1"/>
          <w:sz w:val="24"/>
        </w:rPr>
        <w:t xml:space="preserve"> </w:t>
      </w:r>
      <w:r>
        <w:rPr>
          <w:sz w:val="24"/>
        </w:rPr>
        <w:t>baseline.</w:t>
      </w:r>
      <w:r>
        <w:rPr>
          <w:spacing w:val="-4"/>
          <w:sz w:val="24"/>
        </w:rPr>
        <w:t xml:space="preserve"> </w:t>
      </w:r>
      <w:r>
        <w:rPr>
          <w:sz w:val="24"/>
        </w:rPr>
        <w:t>(8)</w:t>
      </w:r>
      <w:r>
        <w:rPr>
          <w:spacing w:val="-3"/>
          <w:sz w:val="24"/>
        </w:rPr>
        <w:t xml:space="preserve"> </w:t>
      </w:r>
      <w:r>
        <w:rPr>
          <w:sz w:val="24"/>
        </w:rPr>
        <w:t>Of</w:t>
      </w:r>
      <w:r>
        <w:rPr>
          <w:spacing w:val="-4"/>
          <w:sz w:val="24"/>
        </w:rPr>
        <w:t xml:space="preserve"> </w:t>
      </w:r>
      <w:r>
        <w:rPr>
          <w:sz w:val="24"/>
        </w:rPr>
        <w:t>the</w:t>
      </w:r>
      <w:r>
        <w:rPr>
          <w:spacing w:val="-1"/>
          <w:sz w:val="24"/>
        </w:rPr>
        <w:t xml:space="preserve"> </w:t>
      </w:r>
      <w:r>
        <w:rPr>
          <w:sz w:val="24"/>
        </w:rPr>
        <w:t>7</w:t>
      </w:r>
      <w:r>
        <w:rPr>
          <w:spacing w:val="-1"/>
          <w:sz w:val="24"/>
        </w:rPr>
        <w:t xml:space="preserve"> </w:t>
      </w:r>
      <w:r>
        <w:rPr>
          <w:sz w:val="24"/>
        </w:rPr>
        <w:t>meta-analyses of trials in adults with normal blood pressure, 3 reported a statistically significant reduction in blood pressure and 1 reported a statistically significant increase. Six of these 7 meta-analyses reported a statistically significant reduction in diastolic blood pressure.</w:t>
      </w:r>
      <w:r>
        <w:rPr>
          <w:spacing w:val="40"/>
          <w:sz w:val="24"/>
        </w:rPr>
        <w:t xml:space="preserve"> </w:t>
      </w:r>
      <w:r>
        <w:rPr>
          <w:sz w:val="24"/>
        </w:rPr>
        <w:t xml:space="preserve">The blood pressure reduction ranged from 2-3.2mmHg for SBP and 1-3.2mmHg for DBP (Table 7.1). Of the 5 meta-analyses involving adults with pre-hypertension, all reported a statistically significant reduction in SBP and 4 reported a statistically significant reduction in DBP (Table 7.1). A systematic review of 15 </w:t>
      </w:r>
      <w:proofErr w:type="spellStart"/>
      <w:r>
        <w:rPr>
          <w:sz w:val="24"/>
        </w:rPr>
        <w:t>randomised</w:t>
      </w:r>
      <w:proofErr w:type="spellEnd"/>
      <w:r>
        <w:rPr>
          <w:sz w:val="24"/>
        </w:rPr>
        <w:t xml:space="preserve"> trials in adults with hypertension reported an average reduction in 24-hour systolic blood pressure of -5.4mmHg (95% CI -9.2 to -1.6 indicating</w:t>
      </w:r>
      <w:r>
        <w:rPr>
          <w:spacing w:val="-1"/>
          <w:sz w:val="24"/>
        </w:rPr>
        <w:t xml:space="preserve"> </w:t>
      </w:r>
      <w:r>
        <w:rPr>
          <w:sz w:val="24"/>
        </w:rPr>
        <w:t>the</w:t>
      </w:r>
      <w:r>
        <w:rPr>
          <w:spacing w:val="-1"/>
          <w:sz w:val="24"/>
        </w:rPr>
        <w:t xml:space="preserve"> </w:t>
      </w:r>
      <w:r>
        <w:rPr>
          <w:sz w:val="24"/>
        </w:rPr>
        <w:t>average</w:t>
      </w:r>
      <w:r>
        <w:rPr>
          <w:spacing w:val="-1"/>
          <w:sz w:val="24"/>
        </w:rPr>
        <w:t xml:space="preserve"> </w:t>
      </w:r>
      <w:r>
        <w:rPr>
          <w:sz w:val="24"/>
        </w:rPr>
        <w:t>reduction may</w:t>
      </w:r>
      <w:r>
        <w:rPr>
          <w:spacing w:val="-1"/>
          <w:sz w:val="24"/>
        </w:rPr>
        <w:t xml:space="preserve"> </w:t>
      </w:r>
      <w:r>
        <w:rPr>
          <w:sz w:val="24"/>
        </w:rPr>
        <w:t>be</w:t>
      </w:r>
      <w:r>
        <w:rPr>
          <w:spacing w:val="-1"/>
          <w:sz w:val="24"/>
        </w:rPr>
        <w:t xml:space="preserve"> </w:t>
      </w:r>
      <w:r>
        <w:rPr>
          <w:sz w:val="24"/>
        </w:rPr>
        <w:t>as small as 1.6 mmHg</w:t>
      </w:r>
      <w:r>
        <w:rPr>
          <w:spacing w:val="-1"/>
          <w:sz w:val="24"/>
        </w:rPr>
        <w:t xml:space="preserve"> </w:t>
      </w:r>
      <w:r>
        <w:rPr>
          <w:sz w:val="24"/>
        </w:rPr>
        <w:t>or as</w:t>
      </w:r>
      <w:r>
        <w:rPr>
          <w:spacing w:val="-1"/>
          <w:sz w:val="24"/>
        </w:rPr>
        <w:t xml:space="preserve"> </w:t>
      </w:r>
      <w:r>
        <w:rPr>
          <w:sz w:val="24"/>
        </w:rPr>
        <w:t>large as 9.2 mmHg) (9). The exercise interventions in these trials lasted 8-24 weeks (3-5 sessions/week) and only aerobic exercise was found to provide significant benefit.</w:t>
      </w:r>
    </w:p>
    <w:p w14:paraId="7A4C309B" w14:textId="77777777" w:rsidR="00E13D3F" w:rsidRDefault="00E13D3F">
      <w:pPr>
        <w:pStyle w:val="BodyText"/>
        <w:spacing w:before="46"/>
        <w:ind w:left="0"/>
      </w:pPr>
    </w:p>
    <w:p w14:paraId="7A4C309C" w14:textId="77777777" w:rsidR="00E13D3F" w:rsidRDefault="00FB2D6A">
      <w:pPr>
        <w:spacing w:before="1" w:line="237" w:lineRule="auto"/>
        <w:ind w:left="1440" w:right="1137"/>
      </w:pPr>
      <w:r>
        <w:rPr>
          <w:b/>
        </w:rPr>
        <w:t>Table</w:t>
      </w:r>
      <w:r>
        <w:rPr>
          <w:b/>
          <w:spacing w:val="-3"/>
        </w:rPr>
        <w:t xml:space="preserve"> </w:t>
      </w:r>
      <w:r>
        <w:rPr>
          <w:b/>
        </w:rPr>
        <w:t>7.1:</w:t>
      </w:r>
      <w:r>
        <w:rPr>
          <w:b/>
          <w:spacing w:val="-2"/>
        </w:rPr>
        <w:t xml:space="preserve"> </w:t>
      </w:r>
      <w:r>
        <w:t>Characteristics</w:t>
      </w:r>
      <w:r>
        <w:rPr>
          <w:spacing w:val="-4"/>
        </w:rPr>
        <w:t xml:space="preserve"> </w:t>
      </w:r>
      <w:r>
        <w:t>and</w:t>
      </w:r>
      <w:r>
        <w:rPr>
          <w:spacing w:val="-3"/>
        </w:rPr>
        <w:t xml:space="preserve"> </w:t>
      </w:r>
      <w:r>
        <w:t>results</w:t>
      </w:r>
      <w:r>
        <w:rPr>
          <w:spacing w:val="-4"/>
        </w:rPr>
        <w:t xml:space="preserve"> </w:t>
      </w:r>
      <w:r>
        <w:t>of</w:t>
      </w:r>
      <w:r>
        <w:rPr>
          <w:spacing w:val="-4"/>
        </w:rPr>
        <w:t xml:space="preserve"> </w:t>
      </w:r>
      <w:r>
        <w:t>meta-analyses</w:t>
      </w:r>
      <w:r>
        <w:rPr>
          <w:spacing w:val="-5"/>
        </w:rPr>
        <w:t xml:space="preserve"> </w:t>
      </w:r>
      <w:r>
        <w:t>of</w:t>
      </w:r>
      <w:r>
        <w:rPr>
          <w:spacing w:val="-2"/>
        </w:rPr>
        <w:t xml:space="preserve"> </w:t>
      </w:r>
      <w:proofErr w:type="spellStart"/>
      <w:r>
        <w:t>randomised</w:t>
      </w:r>
      <w:proofErr w:type="spellEnd"/>
      <w:r>
        <w:rPr>
          <w:spacing w:val="-2"/>
        </w:rPr>
        <w:t xml:space="preserve"> </w:t>
      </w:r>
      <w:r>
        <w:t>controlled</w:t>
      </w:r>
      <w:r>
        <w:rPr>
          <w:spacing w:val="-2"/>
        </w:rPr>
        <w:t xml:space="preserve"> </w:t>
      </w:r>
      <w:r>
        <w:t>trials</w:t>
      </w:r>
      <w:r>
        <w:rPr>
          <w:spacing w:val="-2"/>
        </w:rPr>
        <w:t xml:space="preserve"> </w:t>
      </w:r>
      <w:r>
        <w:t>of</w:t>
      </w:r>
      <w:r>
        <w:rPr>
          <w:spacing w:val="-4"/>
        </w:rPr>
        <w:t xml:space="preserve"> </w:t>
      </w:r>
      <w:r>
        <w:t>the</w:t>
      </w:r>
      <w:r>
        <w:rPr>
          <w:spacing w:val="-2"/>
        </w:rPr>
        <w:t xml:space="preserve"> </w:t>
      </w:r>
      <w:r>
        <w:t>blood pressure response to an exercise training intervention</w:t>
      </w:r>
    </w:p>
    <w:tbl>
      <w:tblPr>
        <w:tblW w:w="0" w:type="auto"/>
        <w:tblInd w:w="145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1366"/>
        <w:gridCol w:w="1751"/>
        <w:gridCol w:w="2125"/>
        <w:gridCol w:w="1988"/>
        <w:gridCol w:w="1984"/>
      </w:tblGrid>
      <w:tr w:rsidR="00E13D3F" w14:paraId="7A4C30A2" w14:textId="77777777">
        <w:trPr>
          <w:trHeight w:val="1317"/>
        </w:trPr>
        <w:tc>
          <w:tcPr>
            <w:tcW w:w="1366" w:type="dxa"/>
          </w:tcPr>
          <w:p w14:paraId="7A4C309D" w14:textId="77777777" w:rsidR="00E13D3F" w:rsidRDefault="00FB2D6A">
            <w:pPr>
              <w:pStyle w:val="TableParagraph"/>
              <w:spacing w:before="1"/>
              <w:ind w:left="107"/>
              <w:rPr>
                <w:b/>
                <w:sz w:val="20"/>
              </w:rPr>
            </w:pPr>
            <w:r>
              <w:rPr>
                <w:b/>
                <w:spacing w:val="-2"/>
                <w:sz w:val="20"/>
              </w:rPr>
              <w:t>Population</w:t>
            </w:r>
          </w:p>
        </w:tc>
        <w:tc>
          <w:tcPr>
            <w:tcW w:w="1751" w:type="dxa"/>
          </w:tcPr>
          <w:p w14:paraId="7A4C309E" w14:textId="77777777" w:rsidR="00E13D3F" w:rsidRDefault="00FB2D6A">
            <w:pPr>
              <w:pStyle w:val="TableParagraph"/>
              <w:spacing w:before="1"/>
              <w:ind w:left="107" w:right="134"/>
              <w:rPr>
                <w:b/>
                <w:sz w:val="20"/>
              </w:rPr>
            </w:pPr>
            <w:r>
              <w:rPr>
                <w:b/>
                <w:sz w:val="20"/>
              </w:rPr>
              <w:t>Number of meta-analyses of RCTs (range ); Quality of meta-analyses rated</w:t>
            </w:r>
            <w:r>
              <w:rPr>
                <w:b/>
                <w:spacing w:val="-12"/>
                <w:sz w:val="20"/>
              </w:rPr>
              <w:t xml:space="preserve"> </w:t>
            </w:r>
            <w:r>
              <w:rPr>
                <w:b/>
                <w:sz w:val="20"/>
              </w:rPr>
              <w:t>on</w:t>
            </w:r>
            <w:r>
              <w:rPr>
                <w:b/>
                <w:spacing w:val="-11"/>
                <w:sz w:val="20"/>
              </w:rPr>
              <w:t xml:space="preserve"> </w:t>
            </w:r>
            <w:r>
              <w:rPr>
                <w:b/>
                <w:sz w:val="20"/>
              </w:rPr>
              <w:t>AMSTAR</w:t>
            </w:r>
          </w:p>
        </w:tc>
        <w:tc>
          <w:tcPr>
            <w:tcW w:w="2125" w:type="dxa"/>
          </w:tcPr>
          <w:p w14:paraId="7A4C309F" w14:textId="77777777" w:rsidR="00E13D3F" w:rsidRDefault="00FB2D6A">
            <w:pPr>
              <w:pStyle w:val="TableParagraph"/>
              <w:spacing w:before="1"/>
              <w:ind w:left="106" w:right="168"/>
              <w:rPr>
                <w:b/>
                <w:sz w:val="20"/>
              </w:rPr>
            </w:pPr>
            <w:r>
              <w:rPr>
                <w:b/>
                <w:sz w:val="20"/>
              </w:rPr>
              <w:t>Exercise</w:t>
            </w:r>
            <w:r>
              <w:rPr>
                <w:b/>
                <w:spacing w:val="-12"/>
                <w:sz w:val="20"/>
              </w:rPr>
              <w:t xml:space="preserve"> </w:t>
            </w:r>
            <w:r>
              <w:rPr>
                <w:b/>
                <w:sz w:val="20"/>
              </w:rPr>
              <w:t>interventions (number of meta-</w:t>
            </w:r>
            <w:r>
              <w:rPr>
                <w:b/>
                <w:spacing w:val="-2"/>
                <w:sz w:val="20"/>
              </w:rPr>
              <w:t>analyses)</w:t>
            </w:r>
          </w:p>
        </w:tc>
        <w:tc>
          <w:tcPr>
            <w:tcW w:w="1988" w:type="dxa"/>
          </w:tcPr>
          <w:p w14:paraId="7A4C30A0" w14:textId="77777777" w:rsidR="00E13D3F" w:rsidRDefault="00FB2D6A">
            <w:pPr>
              <w:pStyle w:val="TableParagraph"/>
              <w:spacing w:before="1"/>
              <w:ind w:left="105" w:right="128"/>
              <w:rPr>
                <w:b/>
                <w:sz w:val="20"/>
              </w:rPr>
            </w:pPr>
            <w:r>
              <w:rPr>
                <w:b/>
                <w:sz w:val="20"/>
              </w:rPr>
              <w:t>Range</w:t>
            </w:r>
            <w:r>
              <w:rPr>
                <w:b/>
                <w:spacing w:val="-5"/>
                <w:sz w:val="20"/>
              </w:rPr>
              <w:t xml:space="preserve"> </w:t>
            </w:r>
            <w:r>
              <w:rPr>
                <w:b/>
                <w:sz w:val="20"/>
              </w:rPr>
              <w:t>of</w:t>
            </w:r>
            <w:r>
              <w:rPr>
                <w:b/>
                <w:spacing w:val="-6"/>
                <w:sz w:val="20"/>
              </w:rPr>
              <w:t xml:space="preserve"> </w:t>
            </w:r>
            <w:r>
              <w:rPr>
                <w:b/>
                <w:sz w:val="20"/>
              </w:rPr>
              <w:t xml:space="preserve">statistically </w:t>
            </w:r>
            <w:r>
              <w:rPr>
                <w:b/>
                <w:spacing w:val="-2"/>
                <w:sz w:val="20"/>
              </w:rPr>
              <w:t>significant</w:t>
            </w:r>
            <w:r>
              <w:rPr>
                <w:b/>
                <w:spacing w:val="40"/>
                <w:sz w:val="20"/>
              </w:rPr>
              <w:t xml:space="preserve"> </w:t>
            </w:r>
            <w:r>
              <w:rPr>
                <w:b/>
                <w:sz w:val="20"/>
              </w:rPr>
              <w:t>reductions</w:t>
            </w:r>
            <w:r>
              <w:rPr>
                <w:b/>
                <w:spacing w:val="-12"/>
                <w:sz w:val="20"/>
              </w:rPr>
              <w:t xml:space="preserve"> </w:t>
            </w:r>
            <w:r>
              <w:rPr>
                <w:b/>
                <w:sz w:val="20"/>
              </w:rPr>
              <w:t>in</w:t>
            </w:r>
            <w:r>
              <w:rPr>
                <w:b/>
                <w:spacing w:val="-11"/>
                <w:sz w:val="20"/>
              </w:rPr>
              <w:t xml:space="preserve"> </w:t>
            </w:r>
            <w:r>
              <w:rPr>
                <w:b/>
                <w:sz w:val="20"/>
              </w:rPr>
              <w:t>systolic blood pressure</w:t>
            </w:r>
          </w:p>
        </w:tc>
        <w:tc>
          <w:tcPr>
            <w:tcW w:w="1984" w:type="dxa"/>
          </w:tcPr>
          <w:p w14:paraId="7A4C30A1" w14:textId="77777777" w:rsidR="00E13D3F" w:rsidRDefault="00FB2D6A">
            <w:pPr>
              <w:pStyle w:val="TableParagraph"/>
              <w:spacing w:before="1"/>
              <w:ind w:left="103" w:right="155"/>
              <w:rPr>
                <w:b/>
                <w:sz w:val="20"/>
              </w:rPr>
            </w:pPr>
            <w:r>
              <w:rPr>
                <w:b/>
                <w:sz w:val="20"/>
              </w:rPr>
              <w:t>Range</w:t>
            </w:r>
            <w:r>
              <w:rPr>
                <w:b/>
                <w:spacing w:val="-12"/>
                <w:sz w:val="20"/>
              </w:rPr>
              <w:t xml:space="preserve"> </w:t>
            </w:r>
            <w:r>
              <w:rPr>
                <w:b/>
                <w:sz w:val="20"/>
              </w:rPr>
              <w:t>of</w:t>
            </w:r>
            <w:r>
              <w:rPr>
                <w:b/>
                <w:spacing w:val="-11"/>
                <w:sz w:val="20"/>
              </w:rPr>
              <w:t xml:space="preserve"> </w:t>
            </w:r>
            <w:r>
              <w:rPr>
                <w:b/>
                <w:sz w:val="20"/>
              </w:rPr>
              <w:t xml:space="preserve">statistically </w:t>
            </w:r>
            <w:r>
              <w:rPr>
                <w:b/>
                <w:spacing w:val="-2"/>
                <w:sz w:val="20"/>
              </w:rPr>
              <w:t>significant</w:t>
            </w:r>
            <w:r>
              <w:rPr>
                <w:b/>
                <w:sz w:val="20"/>
              </w:rPr>
              <w:t xml:space="preserve"> reductions in diastolic blood </w:t>
            </w:r>
            <w:r>
              <w:rPr>
                <w:b/>
                <w:spacing w:val="-2"/>
                <w:sz w:val="20"/>
              </w:rPr>
              <w:t>pressure</w:t>
            </w:r>
          </w:p>
        </w:tc>
      </w:tr>
      <w:tr w:rsidR="00E13D3F" w14:paraId="7A4C30AF" w14:textId="77777777">
        <w:trPr>
          <w:trHeight w:val="1540"/>
        </w:trPr>
        <w:tc>
          <w:tcPr>
            <w:tcW w:w="1366" w:type="dxa"/>
            <w:shd w:val="clear" w:color="auto" w:fill="F1F1F1"/>
          </w:tcPr>
          <w:p w14:paraId="7A4C30A3" w14:textId="77777777" w:rsidR="00E13D3F" w:rsidRDefault="00FB2D6A">
            <w:pPr>
              <w:pStyle w:val="TableParagraph"/>
              <w:spacing w:before="1"/>
              <w:ind w:left="107" w:right="96"/>
              <w:rPr>
                <w:b/>
                <w:sz w:val="20"/>
              </w:rPr>
            </w:pPr>
            <w:r>
              <w:rPr>
                <w:b/>
                <w:sz w:val="20"/>
              </w:rPr>
              <w:t>Normal</w:t>
            </w:r>
            <w:r>
              <w:rPr>
                <w:b/>
                <w:spacing w:val="-12"/>
                <w:sz w:val="20"/>
              </w:rPr>
              <w:t xml:space="preserve"> </w:t>
            </w:r>
            <w:r>
              <w:rPr>
                <w:b/>
                <w:sz w:val="20"/>
              </w:rPr>
              <w:t xml:space="preserve">blood </w:t>
            </w:r>
            <w:r>
              <w:rPr>
                <w:b/>
                <w:spacing w:val="-2"/>
                <w:sz w:val="20"/>
              </w:rPr>
              <w:t>pressure</w:t>
            </w:r>
          </w:p>
        </w:tc>
        <w:tc>
          <w:tcPr>
            <w:tcW w:w="1751" w:type="dxa"/>
            <w:shd w:val="clear" w:color="auto" w:fill="F1F1F1"/>
          </w:tcPr>
          <w:p w14:paraId="7A4C30A4" w14:textId="77777777" w:rsidR="00E13D3F" w:rsidRDefault="00FB2D6A">
            <w:pPr>
              <w:pStyle w:val="TableParagraph"/>
              <w:spacing w:before="1"/>
              <w:ind w:left="107"/>
              <w:rPr>
                <w:sz w:val="20"/>
              </w:rPr>
            </w:pPr>
            <w:r>
              <w:rPr>
                <w:sz w:val="20"/>
              </w:rPr>
              <w:t>7</w:t>
            </w:r>
            <w:r>
              <w:rPr>
                <w:spacing w:val="-3"/>
                <w:sz w:val="20"/>
              </w:rPr>
              <w:t xml:space="preserve"> </w:t>
            </w:r>
            <w:r>
              <w:rPr>
                <w:sz w:val="20"/>
              </w:rPr>
              <w:t>(9</w:t>
            </w:r>
            <w:r>
              <w:rPr>
                <w:spacing w:val="-2"/>
                <w:sz w:val="20"/>
              </w:rPr>
              <w:t xml:space="preserve"> </w:t>
            </w:r>
            <w:r>
              <w:rPr>
                <w:sz w:val="20"/>
              </w:rPr>
              <w:t>to</w:t>
            </w:r>
            <w:r>
              <w:rPr>
                <w:spacing w:val="-2"/>
                <w:sz w:val="20"/>
              </w:rPr>
              <w:t xml:space="preserve"> </w:t>
            </w:r>
            <w:r>
              <w:rPr>
                <w:spacing w:val="-5"/>
                <w:sz w:val="20"/>
              </w:rPr>
              <w:t>93)</w:t>
            </w:r>
          </w:p>
          <w:p w14:paraId="7A4C30A5" w14:textId="77777777" w:rsidR="00E13D3F" w:rsidRDefault="00E13D3F">
            <w:pPr>
              <w:pStyle w:val="TableParagraph"/>
              <w:spacing w:before="1"/>
              <w:rPr>
                <w:sz w:val="20"/>
              </w:rPr>
            </w:pPr>
          </w:p>
          <w:p w14:paraId="7A4C30A6" w14:textId="77777777" w:rsidR="00E13D3F" w:rsidRDefault="00FB2D6A">
            <w:pPr>
              <w:pStyle w:val="TableParagraph"/>
              <w:spacing w:line="243" w:lineRule="exact"/>
              <w:ind w:left="107"/>
              <w:rPr>
                <w:sz w:val="20"/>
              </w:rPr>
            </w:pPr>
            <w:r>
              <w:rPr>
                <w:spacing w:val="-2"/>
                <w:sz w:val="20"/>
              </w:rPr>
              <w:t>Quality:</w:t>
            </w:r>
          </w:p>
          <w:p w14:paraId="7A4C30A7" w14:textId="77777777" w:rsidR="00E13D3F" w:rsidRDefault="00FB2D6A">
            <w:pPr>
              <w:pStyle w:val="TableParagraph"/>
              <w:spacing w:line="243" w:lineRule="exact"/>
              <w:ind w:left="107"/>
              <w:rPr>
                <w:sz w:val="20"/>
              </w:rPr>
            </w:pPr>
            <w:r>
              <w:rPr>
                <w:sz w:val="20"/>
              </w:rPr>
              <w:t>1</w:t>
            </w:r>
            <w:r>
              <w:rPr>
                <w:spacing w:val="-3"/>
                <w:sz w:val="20"/>
              </w:rPr>
              <w:t xml:space="preserve"> </w:t>
            </w:r>
            <w:r>
              <w:rPr>
                <w:spacing w:val="-4"/>
                <w:sz w:val="20"/>
              </w:rPr>
              <w:t>Poor</w:t>
            </w:r>
          </w:p>
          <w:p w14:paraId="7A4C30A8" w14:textId="77777777" w:rsidR="00E13D3F" w:rsidRDefault="00FB2D6A">
            <w:pPr>
              <w:pStyle w:val="TableParagraph"/>
              <w:spacing w:before="1"/>
              <w:ind w:left="107"/>
              <w:rPr>
                <w:sz w:val="20"/>
              </w:rPr>
            </w:pPr>
            <w:r>
              <w:rPr>
                <w:sz w:val="20"/>
              </w:rPr>
              <w:t>4</w:t>
            </w:r>
            <w:r>
              <w:rPr>
                <w:spacing w:val="-3"/>
                <w:sz w:val="20"/>
              </w:rPr>
              <w:t xml:space="preserve"> </w:t>
            </w:r>
            <w:r>
              <w:rPr>
                <w:spacing w:val="-2"/>
                <w:sz w:val="20"/>
              </w:rPr>
              <w:t>Moderate</w:t>
            </w:r>
          </w:p>
          <w:p w14:paraId="7A4C30A9" w14:textId="77777777" w:rsidR="00E13D3F" w:rsidRDefault="00FB2D6A">
            <w:pPr>
              <w:pStyle w:val="TableParagraph"/>
              <w:spacing w:before="1"/>
              <w:ind w:left="107"/>
              <w:rPr>
                <w:sz w:val="20"/>
              </w:rPr>
            </w:pPr>
            <w:r>
              <w:rPr>
                <w:sz w:val="20"/>
              </w:rPr>
              <w:t>2</w:t>
            </w:r>
            <w:r>
              <w:rPr>
                <w:spacing w:val="-3"/>
                <w:sz w:val="20"/>
              </w:rPr>
              <w:t xml:space="preserve"> </w:t>
            </w:r>
            <w:r>
              <w:rPr>
                <w:spacing w:val="-4"/>
                <w:sz w:val="20"/>
              </w:rPr>
              <w:t>High</w:t>
            </w:r>
          </w:p>
        </w:tc>
        <w:tc>
          <w:tcPr>
            <w:tcW w:w="2125" w:type="dxa"/>
            <w:shd w:val="clear" w:color="auto" w:fill="F1F1F1"/>
          </w:tcPr>
          <w:p w14:paraId="7A4C30AA" w14:textId="77777777" w:rsidR="00E13D3F" w:rsidRDefault="00FB2D6A">
            <w:pPr>
              <w:pStyle w:val="TableParagraph"/>
              <w:spacing w:before="1"/>
              <w:ind w:left="106" w:right="379"/>
              <w:rPr>
                <w:sz w:val="20"/>
              </w:rPr>
            </w:pPr>
            <w:r>
              <w:rPr>
                <w:sz w:val="20"/>
              </w:rPr>
              <w:t>Isometric</w:t>
            </w:r>
            <w:r>
              <w:rPr>
                <w:spacing w:val="-12"/>
                <w:sz w:val="20"/>
              </w:rPr>
              <w:t xml:space="preserve"> </w:t>
            </w:r>
            <w:r>
              <w:rPr>
                <w:sz w:val="20"/>
              </w:rPr>
              <w:t>resistance training (1)</w:t>
            </w:r>
            <w:r>
              <w:rPr>
                <w:spacing w:val="40"/>
                <w:sz w:val="20"/>
              </w:rPr>
              <w:t xml:space="preserve"> </w:t>
            </w:r>
            <w:r>
              <w:rPr>
                <w:sz w:val="20"/>
              </w:rPr>
              <w:t>Dynamic resistance training (3)</w:t>
            </w:r>
          </w:p>
          <w:p w14:paraId="7A4C30AB" w14:textId="77777777" w:rsidR="00E13D3F" w:rsidRDefault="00FB2D6A">
            <w:pPr>
              <w:pStyle w:val="TableParagraph"/>
              <w:ind w:left="106"/>
              <w:rPr>
                <w:sz w:val="20"/>
              </w:rPr>
            </w:pPr>
            <w:r>
              <w:rPr>
                <w:sz w:val="20"/>
              </w:rPr>
              <w:t>Aerobic</w:t>
            </w:r>
            <w:r>
              <w:rPr>
                <w:spacing w:val="-10"/>
                <w:sz w:val="20"/>
              </w:rPr>
              <w:t xml:space="preserve"> </w:t>
            </w:r>
            <w:r>
              <w:rPr>
                <w:sz w:val="20"/>
              </w:rPr>
              <w:t>training</w:t>
            </w:r>
            <w:r>
              <w:rPr>
                <w:spacing w:val="-9"/>
                <w:sz w:val="20"/>
              </w:rPr>
              <w:t xml:space="preserve"> </w:t>
            </w:r>
            <w:r>
              <w:rPr>
                <w:spacing w:val="-5"/>
                <w:sz w:val="20"/>
              </w:rPr>
              <w:t>(2)</w:t>
            </w:r>
          </w:p>
          <w:p w14:paraId="7A4C30AC" w14:textId="77777777" w:rsidR="00E13D3F" w:rsidRDefault="00FB2D6A">
            <w:pPr>
              <w:pStyle w:val="TableParagraph"/>
              <w:spacing w:before="1"/>
              <w:ind w:left="106"/>
              <w:rPr>
                <w:sz w:val="20"/>
              </w:rPr>
            </w:pPr>
            <w:r>
              <w:rPr>
                <w:sz w:val="20"/>
              </w:rPr>
              <w:t>Concurrent</w:t>
            </w:r>
            <w:r>
              <w:rPr>
                <w:spacing w:val="-11"/>
                <w:sz w:val="20"/>
              </w:rPr>
              <w:t xml:space="preserve"> </w:t>
            </w:r>
            <w:r>
              <w:rPr>
                <w:sz w:val="20"/>
              </w:rPr>
              <w:t>training</w:t>
            </w:r>
            <w:r>
              <w:rPr>
                <w:spacing w:val="-11"/>
                <w:sz w:val="20"/>
              </w:rPr>
              <w:t xml:space="preserve"> </w:t>
            </w:r>
            <w:r>
              <w:rPr>
                <w:spacing w:val="-5"/>
                <w:sz w:val="20"/>
              </w:rPr>
              <w:t>(1)</w:t>
            </w:r>
          </w:p>
        </w:tc>
        <w:tc>
          <w:tcPr>
            <w:tcW w:w="1988" w:type="dxa"/>
            <w:shd w:val="clear" w:color="auto" w:fill="F1F1F1"/>
          </w:tcPr>
          <w:p w14:paraId="7A4C30AD" w14:textId="77777777" w:rsidR="00E13D3F" w:rsidRDefault="00FB2D6A">
            <w:pPr>
              <w:pStyle w:val="TableParagraph"/>
              <w:spacing w:before="1"/>
              <w:ind w:left="105"/>
              <w:rPr>
                <w:sz w:val="20"/>
              </w:rPr>
            </w:pPr>
            <w:r>
              <w:rPr>
                <w:sz w:val="20"/>
              </w:rPr>
              <w:t>2.0</w:t>
            </w:r>
            <w:r>
              <w:rPr>
                <w:spacing w:val="-2"/>
                <w:sz w:val="20"/>
              </w:rPr>
              <w:t xml:space="preserve"> </w:t>
            </w:r>
            <w:r>
              <w:rPr>
                <w:sz w:val="20"/>
              </w:rPr>
              <w:t>–</w:t>
            </w:r>
            <w:r>
              <w:rPr>
                <w:spacing w:val="-3"/>
                <w:sz w:val="20"/>
              </w:rPr>
              <w:t xml:space="preserve"> </w:t>
            </w:r>
            <w:r>
              <w:rPr>
                <w:sz w:val="20"/>
              </w:rPr>
              <w:t>3.2</w:t>
            </w:r>
            <w:r>
              <w:rPr>
                <w:spacing w:val="-1"/>
                <w:sz w:val="20"/>
              </w:rPr>
              <w:t xml:space="preserve"> </w:t>
            </w:r>
            <w:r>
              <w:rPr>
                <w:spacing w:val="-2"/>
                <w:sz w:val="20"/>
              </w:rPr>
              <w:t>mmHg*</w:t>
            </w:r>
          </w:p>
        </w:tc>
        <w:tc>
          <w:tcPr>
            <w:tcW w:w="1984" w:type="dxa"/>
            <w:shd w:val="clear" w:color="auto" w:fill="F1F1F1"/>
          </w:tcPr>
          <w:p w14:paraId="7A4C30AE" w14:textId="77777777" w:rsidR="00E13D3F" w:rsidRDefault="00FB2D6A">
            <w:pPr>
              <w:pStyle w:val="TableParagraph"/>
              <w:spacing w:before="1"/>
              <w:ind w:left="103"/>
              <w:rPr>
                <w:sz w:val="20"/>
              </w:rPr>
            </w:pPr>
            <w:r>
              <w:rPr>
                <w:sz w:val="20"/>
              </w:rPr>
              <w:t>.09</w:t>
            </w:r>
            <w:r>
              <w:rPr>
                <w:spacing w:val="-2"/>
                <w:sz w:val="20"/>
              </w:rPr>
              <w:t xml:space="preserve"> </w:t>
            </w:r>
            <w:r>
              <w:rPr>
                <w:sz w:val="20"/>
              </w:rPr>
              <w:t>–</w:t>
            </w:r>
            <w:r>
              <w:rPr>
                <w:spacing w:val="-3"/>
                <w:sz w:val="20"/>
              </w:rPr>
              <w:t xml:space="preserve"> </w:t>
            </w:r>
            <w:r>
              <w:rPr>
                <w:sz w:val="20"/>
              </w:rPr>
              <w:t>3.2</w:t>
            </w:r>
            <w:r>
              <w:rPr>
                <w:spacing w:val="-1"/>
                <w:sz w:val="20"/>
              </w:rPr>
              <w:t xml:space="preserve"> </w:t>
            </w:r>
            <w:r>
              <w:rPr>
                <w:spacing w:val="-2"/>
                <w:sz w:val="20"/>
              </w:rPr>
              <w:t>mmHg</w:t>
            </w:r>
            <w:r>
              <w:rPr>
                <w:spacing w:val="-2"/>
                <w:sz w:val="20"/>
                <w:vertAlign w:val="superscript"/>
              </w:rPr>
              <w:t>#</w:t>
            </w:r>
          </w:p>
        </w:tc>
      </w:tr>
      <w:tr w:rsidR="00E13D3F" w14:paraId="7A4C30BA" w14:textId="77777777">
        <w:trPr>
          <w:trHeight w:val="1221"/>
        </w:trPr>
        <w:tc>
          <w:tcPr>
            <w:tcW w:w="1366" w:type="dxa"/>
          </w:tcPr>
          <w:p w14:paraId="7A4C30B0" w14:textId="77777777" w:rsidR="00E13D3F" w:rsidRDefault="00FB2D6A">
            <w:pPr>
              <w:pStyle w:val="TableParagraph"/>
              <w:spacing w:before="1"/>
              <w:ind w:left="107"/>
              <w:rPr>
                <w:b/>
                <w:sz w:val="20"/>
              </w:rPr>
            </w:pPr>
            <w:r>
              <w:rPr>
                <w:b/>
                <w:spacing w:val="-4"/>
                <w:sz w:val="20"/>
              </w:rPr>
              <w:t>Pre-</w:t>
            </w:r>
            <w:r>
              <w:rPr>
                <w:b/>
                <w:spacing w:val="-2"/>
                <w:sz w:val="20"/>
              </w:rPr>
              <w:t>hypertension</w:t>
            </w:r>
          </w:p>
        </w:tc>
        <w:tc>
          <w:tcPr>
            <w:tcW w:w="1751" w:type="dxa"/>
          </w:tcPr>
          <w:p w14:paraId="7A4C30B1" w14:textId="77777777" w:rsidR="00E13D3F" w:rsidRDefault="00FB2D6A">
            <w:pPr>
              <w:pStyle w:val="TableParagraph"/>
              <w:spacing w:before="1"/>
              <w:ind w:left="107"/>
              <w:rPr>
                <w:sz w:val="20"/>
              </w:rPr>
            </w:pPr>
            <w:r>
              <w:rPr>
                <w:sz w:val="20"/>
              </w:rPr>
              <w:t>5</w:t>
            </w:r>
            <w:r>
              <w:rPr>
                <w:spacing w:val="-3"/>
                <w:sz w:val="20"/>
              </w:rPr>
              <w:t xml:space="preserve"> </w:t>
            </w:r>
            <w:r>
              <w:rPr>
                <w:sz w:val="20"/>
              </w:rPr>
              <w:t>(28</w:t>
            </w:r>
            <w:r>
              <w:rPr>
                <w:spacing w:val="-3"/>
                <w:sz w:val="20"/>
              </w:rPr>
              <w:t xml:space="preserve"> </w:t>
            </w:r>
            <w:r>
              <w:rPr>
                <w:sz w:val="20"/>
              </w:rPr>
              <w:t>to</w:t>
            </w:r>
            <w:r>
              <w:rPr>
                <w:spacing w:val="-2"/>
                <w:sz w:val="20"/>
              </w:rPr>
              <w:t xml:space="preserve"> </w:t>
            </w:r>
            <w:r>
              <w:rPr>
                <w:spacing w:val="-4"/>
                <w:sz w:val="20"/>
              </w:rPr>
              <w:t>105)</w:t>
            </w:r>
          </w:p>
          <w:p w14:paraId="7A4C30B2" w14:textId="77777777" w:rsidR="00E13D3F" w:rsidRDefault="00FB2D6A">
            <w:pPr>
              <w:pStyle w:val="TableParagraph"/>
              <w:spacing w:before="243"/>
              <w:ind w:left="107"/>
              <w:rPr>
                <w:sz w:val="20"/>
              </w:rPr>
            </w:pPr>
            <w:r>
              <w:rPr>
                <w:spacing w:val="-2"/>
                <w:sz w:val="20"/>
              </w:rPr>
              <w:t>Quality:</w:t>
            </w:r>
          </w:p>
          <w:p w14:paraId="7A4C30B3" w14:textId="77777777" w:rsidR="00E13D3F" w:rsidRDefault="00FB2D6A">
            <w:pPr>
              <w:pStyle w:val="TableParagraph"/>
              <w:spacing w:before="1"/>
              <w:ind w:left="107"/>
              <w:rPr>
                <w:sz w:val="20"/>
              </w:rPr>
            </w:pPr>
            <w:r>
              <w:rPr>
                <w:sz w:val="20"/>
              </w:rPr>
              <w:t>3</w:t>
            </w:r>
            <w:r>
              <w:rPr>
                <w:spacing w:val="-3"/>
                <w:sz w:val="20"/>
              </w:rPr>
              <w:t xml:space="preserve"> </w:t>
            </w:r>
            <w:r>
              <w:rPr>
                <w:spacing w:val="-2"/>
                <w:sz w:val="20"/>
              </w:rPr>
              <w:t>Moderate</w:t>
            </w:r>
          </w:p>
          <w:p w14:paraId="7A4C30B4" w14:textId="77777777" w:rsidR="00E13D3F" w:rsidRDefault="00FB2D6A">
            <w:pPr>
              <w:pStyle w:val="TableParagraph"/>
              <w:spacing w:before="1" w:line="223" w:lineRule="exact"/>
              <w:ind w:left="107"/>
              <w:rPr>
                <w:sz w:val="20"/>
              </w:rPr>
            </w:pPr>
            <w:r>
              <w:rPr>
                <w:sz w:val="20"/>
              </w:rPr>
              <w:t>2</w:t>
            </w:r>
            <w:r>
              <w:rPr>
                <w:spacing w:val="-3"/>
                <w:sz w:val="20"/>
              </w:rPr>
              <w:t xml:space="preserve"> </w:t>
            </w:r>
            <w:r>
              <w:rPr>
                <w:spacing w:val="-4"/>
                <w:sz w:val="20"/>
              </w:rPr>
              <w:t>High</w:t>
            </w:r>
          </w:p>
        </w:tc>
        <w:tc>
          <w:tcPr>
            <w:tcW w:w="2125" w:type="dxa"/>
          </w:tcPr>
          <w:p w14:paraId="7A4C30B5" w14:textId="77777777" w:rsidR="00E13D3F" w:rsidRDefault="00FB2D6A">
            <w:pPr>
              <w:pStyle w:val="TableParagraph"/>
              <w:spacing w:before="1"/>
              <w:ind w:left="106" w:right="427"/>
              <w:rPr>
                <w:sz w:val="20"/>
              </w:rPr>
            </w:pPr>
            <w:r>
              <w:rPr>
                <w:sz w:val="20"/>
              </w:rPr>
              <w:t>Dynamic</w:t>
            </w:r>
            <w:r>
              <w:rPr>
                <w:spacing w:val="-12"/>
                <w:sz w:val="20"/>
              </w:rPr>
              <w:t xml:space="preserve"> </w:t>
            </w:r>
            <w:r>
              <w:rPr>
                <w:sz w:val="20"/>
              </w:rPr>
              <w:t>resistance training (2)</w:t>
            </w:r>
          </w:p>
          <w:p w14:paraId="7A4C30B6" w14:textId="77777777" w:rsidR="00E13D3F" w:rsidRDefault="00FB2D6A">
            <w:pPr>
              <w:pStyle w:val="TableParagraph"/>
              <w:spacing w:line="243" w:lineRule="exact"/>
              <w:ind w:left="106"/>
              <w:rPr>
                <w:sz w:val="20"/>
              </w:rPr>
            </w:pPr>
            <w:r>
              <w:rPr>
                <w:sz w:val="20"/>
              </w:rPr>
              <w:t>Aerobic</w:t>
            </w:r>
            <w:r>
              <w:rPr>
                <w:spacing w:val="-10"/>
                <w:sz w:val="20"/>
              </w:rPr>
              <w:t xml:space="preserve"> </w:t>
            </w:r>
            <w:r>
              <w:rPr>
                <w:sz w:val="20"/>
              </w:rPr>
              <w:t>training</w:t>
            </w:r>
            <w:r>
              <w:rPr>
                <w:spacing w:val="-9"/>
                <w:sz w:val="20"/>
              </w:rPr>
              <w:t xml:space="preserve"> </w:t>
            </w:r>
            <w:r>
              <w:rPr>
                <w:spacing w:val="-5"/>
                <w:sz w:val="20"/>
              </w:rPr>
              <w:t>(2)</w:t>
            </w:r>
          </w:p>
          <w:p w14:paraId="7A4C30B7" w14:textId="77777777" w:rsidR="00E13D3F" w:rsidRDefault="00FB2D6A">
            <w:pPr>
              <w:pStyle w:val="TableParagraph"/>
              <w:spacing w:before="1"/>
              <w:ind w:left="106"/>
              <w:rPr>
                <w:sz w:val="20"/>
              </w:rPr>
            </w:pPr>
            <w:r>
              <w:rPr>
                <w:sz w:val="20"/>
              </w:rPr>
              <w:t>Concurrent</w:t>
            </w:r>
            <w:r>
              <w:rPr>
                <w:spacing w:val="-11"/>
                <w:sz w:val="20"/>
              </w:rPr>
              <w:t xml:space="preserve"> </w:t>
            </w:r>
            <w:r>
              <w:rPr>
                <w:sz w:val="20"/>
              </w:rPr>
              <w:t>training</w:t>
            </w:r>
            <w:r>
              <w:rPr>
                <w:spacing w:val="-11"/>
                <w:sz w:val="20"/>
              </w:rPr>
              <w:t xml:space="preserve"> </w:t>
            </w:r>
            <w:r>
              <w:rPr>
                <w:spacing w:val="-5"/>
                <w:sz w:val="20"/>
              </w:rPr>
              <w:t>(1)</w:t>
            </w:r>
          </w:p>
        </w:tc>
        <w:tc>
          <w:tcPr>
            <w:tcW w:w="1988" w:type="dxa"/>
          </w:tcPr>
          <w:p w14:paraId="7A4C30B8" w14:textId="77777777" w:rsidR="00E13D3F" w:rsidRDefault="00FB2D6A">
            <w:pPr>
              <w:pStyle w:val="TableParagraph"/>
              <w:spacing w:before="1"/>
              <w:ind w:left="105"/>
              <w:rPr>
                <w:sz w:val="20"/>
              </w:rPr>
            </w:pPr>
            <w:r>
              <w:rPr>
                <w:sz w:val="20"/>
              </w:rPr>
              <w:t>2.9</w:t>
            </w:r>
            <w:r>
              <w:rPr>
                <w:spacing w:val="-2"/>
                <w:sz w:val="20"/>
              </w:rPr>
              <w:t xml:space="preserve"> </w:t>
            </w:r>
            <w:r>
              <w:rPr>
                <w:sz w:val="20"/>
              </w:rPr>
              <w:t>–</w:t>
            </w:r>
            <w:r>
              <w:rPr>
                <w:spacing w:val="-3"/>
                <w:sz w:val="20"/>
              </w:rPr>
              <w:t xml:space="preserve"> </w:t>
            </w:r>
            <w:r>
              <w:rPr>
                <w:sz w:val="20"/>
              </w:rPr>
              <w:t>4.7</w:t>
            </w:r>
            <w:r>
              <w:rPr>
                <w:spacing w:val="-1"/>
                <w:sz w:val="20"/>
              </w:rPr>
              <w:t xml:space="preserve"> </w:t>
            </w:r>
            <w:r>
              <w:rPr>
                <w:spacing w:val="-2"/>
                <w:sz w:val="20"/>
              </w:rPr>
              <w:t>mmHg</w:t>
            </w:r>
            <w:r>
              <w:rPr>
                <w:spacing w:val="-2"/>
                <w:sz w:val="20"/>
                <w:vertAlign w:val="superscript"/>
              </w:rPr>
              <w:t>$</w:t>
            </w:r>
          </w:p>
        </w:tc>
        <w:tc>
          <w:tcPr>
            <w:tcW w:w="1984" w:type="dxa"/>
          </w:tcPr>
          <w:p w14:paraId="7A4C30B9" w14:textId="77777777" w:rsidR="00E13D3F" w:rsidRDefault="00FB2D6A">
            <w:pPr>
              <w:pStyle w:val="TableParagraph"/>
              <w:spacing w:before="1"/>
              <w:ind w:left="103"/>
              <w:rPr>
                <w:sz w:val="20"/>
              </w:rPr>
            </w:pPr>
            <w:r>
              <w:rPr>
                <w:sz w:val="20"/>
              </w:rPr>
              <w:t>1.5</w:t>
            </w:r>
            <w:r>
              <w:rPr>
                <w:spacing w:val="-2"/>
                <w:sz w:val="20"/>
              </w:rPr>
              <w:t xml:space="preserve"> </w:t>
            </w:r>
            <w:r>
              <w:rPr>
                <w:sz w:val="20"/>
              </w:rPr>
              <w:t>–</w:t>
            </w:r>
            <w:r>
              <w:rPr>
                <w:spacing w:val="-3"/>
                <w:sz w:val="20"/>
              </w:rPr>
              <w:t xml:space="preserve"> </w:t>
            </w:r>
            <w:r>
              <w:rPr>
                <w:sz w:val="20"/>
              </w:rPr>
              <w:t>3.6</w:t>
            </w:r>
            <w:r>
              <w:rPr>
                <w:spacing w:val="-1"/>
                <w:sz w:val="20"/>
              </w:rPr>
              <w:t xml:space="preserve"> </w:t>
            </w:r>
            <w:r>
              <w:rPr>
                <w:spacing w:val="-2"/>
                <w:sz w:val="20"/>
              </w:rPr>
              <w:t>mmHg~</w:t>
            </w:r>
          </w:p>
        </w:tc>
      </w:tr>
    </w:tbl>
    <w:p w14:paraId="7A4C30BB" w14:textId="77777777" w:rsidR="00E13D3F" w:rsidRDefault="00FB2D6A">
      <w:pPr>
        <w:ind w:left="1440" w:right="1438"/>
        <w:jc w:val="both"/>
        <w:rPr>
          <w:sz w:val="18"/>
        </w:rPr>
      </w:pPr>
      <w:r>
        <w:rPr>
          <w:sz w:val="18"/>
        </w:rPr>
        <w:t>*Range of reductions in SBP from 2 meta-analyses reporting statistically significant reductions in systolic blood pressure (1 meta-analyses</w:t>
      </w:r>
      <w:r>
        <w:rPr>
          <w:spacing w:val="-9"/>
          <w:sz w:val="18"/>
        </w:rPr>
        <w:t xml:space="preserve"> </w:t>
      </w:r>
      <w:r>
        <w:rPr>
          <w:sz w:val="18"/>
        </w:rPr>
        <w:t>reported</w:t>
      </w:r>
      <w:r>
        <w:rPr>
          <w:spacing w:val="-9"/>
          <w:sz w:val="18"/>
        </w:rPr>
        <w:t xml:space="preserve"> </w:t>
      </w:r>
      <w:r>
        <w:rPr>
          <w:sz w:val="18"/>
        </w:rPr>
        <w:t>no</w:t>
      </w:r>
      <w:r>
        <w:rPr>
          <w:spacing w:val="-7"/>
          <w:sz w:val="18"/>
        </w:rPr>
        <w:t xml:space="preserve"> </w:t>
      </w:r>
      <w:r>
        <w:rPr>
          <w:sz w:val="18"/>
        </w:rPr>
        <w:t>difference</w:t>
      </w:r>
      <w:r>
        <w:rPr>
          <w:spacing w:val="-9"/>
          <w:sz w:val="18"/>
        </w:rPr>
        <w:t xml:space="preserve"> </w:t>
      </w:r>
      <w:r>
        <w:rPr>
          <w:sz w:val="18"/>
        </w:rPr>
        <w:t>between</w:t>
      </w:r>
      <w:r>
        <w:rPr>
          <w:spacing w:val="-9"/>
          <w:sz w:val="18"/>
        </w:rPr>
        <w:t xml:space="preserve"> </w:t>
      </w:r>
      <w:r>
        <w:rPr>
          <w:sz w:val="18"/>
        </w:rPr>
        <w:t>exercise</w:t>
      </w:r>
      <w:r>
        <w:rPr>
          <w:spacing w:val="-9"/>
          <w:sz w:val="18"/>
        </w:rPr>
        <w:t xml:space="preserve"> </w:t>
      </w:r>
      <w:r>
        <w:rPr>
          <w:sz w:val="18"/>
        </w:rPr>
        <w:t>versus</w:t>
      </w:r>
      <w:r>
        <w:rPr>
          <w:spacing w:val="-7"/>
          <w:sz w:val="18"/>
        </w:rPr>
        <w:t xml:space="preserve"> </w:t>
      </w:r>
      <w:r>
        <w:rPr>
          <w:sz w:val="18"/>
        </w:rPr>
        <w:t>control;</w:t>
      </w:r>
      <w:r>
        <w:rPr>
          <w:spacing w:val="-8"/>
          <w:sz w:val="18"/>
        </w:rPr>
        <w:t xml:space="preserve"> </w:t>
      </w:r>
      <w:r>
        <w:rPr>
          <w:sz w:val="18"/>
        </w:rPr>
        <w:t>2</w:t>
      </w:r>
      <w:r>
        <w:rPr>
          <w:spacing w:val="-8"/>
          <w:sz w:val="18"/>
        </w:rPr>
        <w:t xml:space="preserve"> </w:t>
      </w:r>
      <w:r>
        <w:rPr>
          <w:sz w:val="18"/>
        </w:rPr>
        <w:t>meta-analyses</w:t>
      </w:r>
      <w:r>
        <w:rPr>
          <w:spacing w:val="-9"/>
          <w:sz w:val="18"/>
        </w:rPr>
        <w:t xml:space="preserve"> </w:t>
      </w:r>
      <w:r>
        <w:rPr>
          <w:sz w:val="18"/>
        </w:rPr>
        <w:t>reported</w:t>
      </w:r>
      <w:r>
        <w:rPr>
          <w:spacing w:val="-9"/>
          <w:sz w:val="18"/>
        </w:rPr>
        <w:t xml:space="preserve"> </w:t>
      </w:r>
      <w:r>
        <w:rPr>
          <w:sz w:val="18"/>
        </w:rPr>
        <w:t>non</w:t>
      </w:r>
      <w:r>
        <w:rPr>
          <w:spacing w:val="-9"/>
          <w:sz w:val="18"/>
        </w:rPr>
        <w:t xml:space="preserve"> </w:t>
      </w:r>
      <w:r>
        <w:rPr>
          <w:sz w:val="18"/>
        </w:rPr>
        <w:t>statistically</w:t>
      </w:r>
      <w:r>
        <w:rPr>
          <w:spacing w:val="-8"/>
          <w:sz w:val="18"/>
        </w:rPr>
        <w:t xml:space="preserve"> </w:t>
      </w:r>
      <w:r>
        <w:rPr>
          <w:sz w:val="18"/>
        </w:rPr>
        <w:t xml:space="preserve">significant reductions in SBP; 1 meta-analysis including both </w:t>
      </w:r>
      <w:proofErr w:type="spellStart"/>
      <w:r>
        <w:rPr>
          <w:sz w:val="18"/>
        </w:rPr>
        <w:t>randomised</w:t>
      </w:r>
      <w:proofErr w:type="spellEnd"/>
      <w:r>
        <w:rPr>
          <w:sz w:val="18"/>
        </w:rPr>
        <w:t xml:space="preserve"> trials and cross-sectional studies reported a statistically significant reduction in SBP of 7.8 mmHg; 1 meta-analysis reported a statistically significant increase in SBP)</w:t>
      </w:r>
    </w:p>
    <w:p w14:paraId="7A4C30BC" w14:textId="77777777" w:rsidR="00E13D3F" w:rsidRDefault="00FB2D6A">
      <w:pPr>
        <w:ind w:left="1440" w:right="1434"/>
        <w:jc w:val="both"/>
        <w:rPr>
          <w:sz w:val="18"/>
        </w:rPr>
      </w:pPr>
      <w:r>
        <w:rPr>
          <w:sz w:val="18"/>
        </w:rPr>
        <w:t>#Range of reductions in DBP from 6 meta-analyses reporting statistically significant reductions in DBP (1 meta-analysis reported a non-statistically significant reduction in DBP)</w:t>
      </w:r>
    </w:p>
    <w:p w14:paraId="7A4C30BD" w14:textId="77777777" w:rsidR="00E13D3F" w:rsidRDefault="00FB2D6A">
      <w:pPr>
        <w:spacing w:before="2" w:line="219" w:lineRule="exact"/>
        <w:ind w:left="1440"/>
        <w:jc w:val="both"/>
        <w:rPr>
          <w:sz w:val="18"/>
        </w:rPr>
      </w:pPr>
      <w:r>
        <w:rPr>
          <w:sz w:val="18"/>
        </w:rPr>
        <w:t>$Range</w:t>
      </w:r>
      <w:r>
        <w:rPr>
          <w:spacing w:val="-6"/>
          <w:sz w:val="18"/>
        </w:rPr>
        <w:t xml:space="preserve"> </w:t>
      </w:r>
      <w:r>
        <w:rPr>
          <w:sz w:val="18"/>
        </w:rPr>
        <w:t>of</w:t>
      </w:r>
      <w:r>
        <w:rPr>
          <w:spacing w:val="-3"/>
          <w:sz w:val="18"/>
        </w:rPr>
        <w:t xml:space="preserve"> </w:t>
      </w:r>
      <w:r>
        <w:rPr>
          <w:sz w:val="18"/>
        </w:rPr>
        <w:t>reductions</w:t>
      </w:r>
      <w:r>
        <w:rPr>
          <w:spacing w:val="-3"/>
          <w:sz w:val="18"/>
        </w:rPr>
        <w:t xml:space="preserve"> </w:t>
      </w:r>
      <w:r>
        <w:rPr>
          <w:sz w:val="18"/>
        </w:rPr>
        <w:t>in</w:t>
      </w:r>
      <w:r>
        <w:rPr>
          <w:spacing w:val="-2"/>
          <w:sz w:val="18"/>
        </w:rPr>
        <w:t xml:space="preserve"> </w:t>
      </w:r>
      <w:r>
        <w:rPr>
          <w:sz w:val="18"/>
        </w:rPr>
        <w:t>SBP</w:t>
      </w:r>
      <w:r>
        <w:rPr>
          <w:spacing w:val="-2"/>
          <w:sz w:val="18"/>
        </w:rPr>
        <w:t xml:space="preserve"> </w:t>
      </w:r>
      <w:r>
        <w:rPr>
          <w:sz w:val="18"/>
        </w:rPr>
        <w:t>from</w:t>
      </w:r>
      <w:r>
        <w:rPr>
          <w:spacing w:val="-2"/>
          <w:sz w:val="18"/>
        </w:rPr>
        <w:t xml:space="preserve"> </w:t>
      </w:r>
      <w:r>
        <w:rPr>
          <w:sz w:val="18"/>
        </w:rPr>
        <w:t>5</w:t>
      </w:r>
      <w:r>
        <w:rPr>
          <w:spacing w:val="-1"/>
          <w:sz w:val="18"/>
        </w:rPr>
        <w:t xml:space="preserve"> </w:t>
      </w:r>
      <w:r>
        <w:rPr>
          <w:sz w:val="18"/>
        </w:rPr>
        <w:t>meta-analyses</w:t>
      </w:r>
      <w:r>
        <w:rPr>
          <w:spacing w:val="-3"/>
          <w:sz w:val="18"/>
        </w:rPr>
        <w:t xml:space="preserve"> </w:t>
      </w:r>
      <w:r>
        <w:rPr>
          <w:sz w:val="18"/>
        </w:rPr>
        <w:t>reporting</w:t>
      </w:r>
      <w:r>
        <w:rPr>
          <w:spacing w:val="-3"/>
          <w:sz w:val="18"/>
        </w:rPr>
        <w:t xml:space="preserve"> </w:t>
      </w:r>
      <w:r>
        <w:rPr>
          <w:sz w:val="18"/>
        </w:rPr>
        <w:t>statistically</w:t>
      </w:r>
      <w:r>
        <w:rPr>
          <w:spacing w:val="-2"/>
          <w:sz w:val="18"/>
        </w:rPr>
        <w:t xml:space="preserve"> </w:t>
      </w:r>
      <w:r>
        <w:rPr>
          <w:sz w:val="18"/>
        </w:rPr>
        <w:t>significant</w:t>
      </w:r>
      <w:r>
        <w:rPr>
          <w:spacing w:val="-3"/>
          <w:sz w:val="18"/>
        </w:rPr>
        <w:t xml:space="preserve"> </w:t>
      </w:r>
      <w:r>
        <w:rPr>
          <w:sz w:val="18"/>
        </w:rPr>
        <w:t>reductions</w:t>
      </w:r>
      <w:r>
        <w:rPr>
          <w:spacing w:val="-3"/>
          <w:sz w:val="18"/>
        </w:rPr>
        <w:t xml:space="preserve"> </w:t>
      </w:r>
      <w:r>
        <w:rPr>
          <w:sz w:val="18"/>
        </w:rPr>
        <w:t>in</w:t>
      </w:r>
      <w:r>
        <w:rPr>
          <w:spacing w:val="-2"/>
          <w:sz w:val="18"/>
        </w:rPr>
        <w:t xml:space="preserve"> </w:t>
      </w:r>
      <w:r>
        <w:rPr>
          <w:spacing w:val="-5"/>
          <w:sz w:val="18"/>
        </w:rPr>
        <w:t>SBP</w:t>
      </w:r>
    </w:p>
    <w:p w14:paraId="7A4C30BE" w14:textId="77777777" w:rsidR="00E13D3F" w:rsidRDefault="00FB2D6A">
      <w:pPr>
        <w:ind w:left="1440" w:right="1434"/>
        <w:jc w:val="both"/>
        <w:rPr>
          <w:sz w:val="18"/>
        </w:rPr>
      </w:pPr>
      <w:r>
        <w:rPr>
          <w:sz w:val="18"/>
        </w:rPr>
        <w:t>~Range of reductions in DBP from 4 meta-analyses reporting statistically significant reductions in DBP (1 meta-analysis reported a non-statistically significant reduction in DBP)</w:t>
      </w:r>
    </w:p>
    <w:p w14:paraId="7A4C30BF" w14:textId="77777777" w:rsidR="00E13D3F" w:rsidRDefault="00E13D3F">
      <w:pPr>
        <w:jc w:val="both"/>
        <w:rPr>
          <w:sz w:val="18"/>
        </w:rPr>
        <w:sectPr w:rsidR="00E13D3F">
          <w:pgSz w:w="11910" w:h="16840"/>
          <w:pgMar w:top="1380" w:right="0" w:bottom="1200" w:left="0" w:header="0" w:footer="1000" w:gutter="0"/>
          <w:cols w:space="720"/>
        </w:sectPr>
      </w:pPr>
    </w:p>
    <w:p w14:paraId="7A4C30C0" w14:textId="77777777" w:rsidR="00E13D3F" w:rsidRDefault="00FB2D6A">
      <w:pPr>
        <w:pStyle w:val="BodyText"/>
        <w:spacing w:before="41" w:line="276" w:lineRule="auto"/>
        <w:ind w:right="1137"/>
      </w:pPr>
      <w:r>
        <w:lastRenderedPageBreak/>
        <w:t>The overview of 23 systematic reviews of RCTs evaluating the effects of varying types and intensities of exercise on HDL cholesterol levels in health adults or adults at risk of cardiovascular</w:t>
      </w:r>
      <w:r>
        <w:rPr>
          <w:spacing w:val="-4"/>
        </w:rPr>
        <w:t xml:space="preserve"> </w:t>
      </w:r>
      <w:r>
        <w:t>disease</w:t>
      </w:r>
      <w:r>
        <w:rPr>
          <w:spacing w:val="-4"/>
        </w:rPr>
        <w:t xml:space="preserve"> </w:t>
      </w:r>
      <w:r>
        <w:t>reported</w:t>
      </w:r>
      <w:r>
        <w:rPr>
          <w:spacing w:val="-1"/>
        </w:rPr>
        <w:t xml:space="preserve"> </w:t>
      </w:r>
      <w:r>
        <w:t>small</w:t>
      </w:r>
      <w:r>
        <w:rPr>
          <w:spacing w:val="-2"/>
        </w:rPr>
        <w:t xml:space="preserve"> </w:t>
      </w:r>
      <w:r>
        <w:t>improvements</w:t>
      </w:r>
      <w:r>
        <w:rPr>
          <w:spacing w:val="-3"/>
        </w:rPr>
        <w:t xml:space="preserve"> </w:t>
      </w:r>
      <w:r>
        <w:t>in</w:t>
      </w:r>
      <w:r>
        <w:rPr>
          <w:spacing w:val="-2"/>
        </w:rPr>
        <w:t xml:space="preserve"> </w:t>
      </w:r>
      <w:r>
        <w:t>HDL</w:t>
      </w:r>
      <w:r>
        <w:rPr>
          <w:spacing w:val="-5"/>
        </w:rPr>
        <w:t xml:space="preserve"> </w:t>
      </w:r>
      <w:r>
        <w:t>cholesterol</w:t>
      </w:r>
      <w:r>
        <w:rPr>
          <w:spacing w:val="-4"/>
        </w:rPr>
        <w:t xml:space="preserve"> </w:t>
      </w:r>
      <w:r>
        <w:t>levels</w:t>
      </w:r>
      <w:r>
        <w:rPr>
          <w:spacing w:val="-3"/>
        </w:rPr>
        <w:t xml:space="preserve"> </w:t>
      </w:r>
      <w:r>
        <w:t>ranging</w:t>
      </w:r>
      <w:r>
        <w:rPr>
          <w:spacing w:val="-3"/>
        </w:rPr>
        <w:t xml:space="preserve"> </w:t>
      </w:r>
      <w:r>
        <w:t>from</w:t>
      </w:r>
    </w:p>
    <w:p w14:paraId="7A4C30C1" w14:textId="77777777" w:rsidR="00E13D3F" w:rsidRDefault="00FB2D6A">
      <w:pPr>
        <w:pStyle w:val="BodyText"/>
        <w:spacing w:line="278" w:lineRule="auto"/>
        <w:ind w:right="1137"/>
      </w:pPr>
      <w:r>
        <w:t>0.27</w:t>
      </w:r>
      <w:r>
        <w:rPr>
          <w:spacing w:val="-4"/>
        </w:rPr>
        <w:t xml:space="preserve"> </w:t>
      </w:r>
      <w:r>
        <w:t>to</w:t>
      </w:r>
      <w:r>
        <w:rPr>
          <w:spacing w:val="-4"/>
        </w:rPr>
        <w:t xml:space="preserve"> </w:t>
      </w:r>
      <w:r>
        <w:t>5.41</w:t>
      </w:r>
      <w:r>
        <w:rPr>
          <w:spacing w:val="-2"/>
        </w:rPr>
        <w:t xml:space="preserve"> </w:t>
      </w:r>
      <w:r>
        <w:t>mg/dl</w:t>
      </w:r>
      <w:r>
        <w:rPr>
          <w:spacing w:val="-5"/>
        </w:rPr>
        <w:t xml:space="preserve"> </w:t>
      </w:r>
      <w:r>
        <w:t>(0.007</w:t>
      </w:r>
      <w:r>
        <w:rPr>
          <w:spacing w:val="-2"/>
        </w:rPr>
        <w:t xml:space="preserve"> </w:t>
      </w:r>
      <w:r>
        <w:t>to</w:t>
      </w:r>
      <w:r>
        <w:rPr>
          <w:spacing w:val="-5"/>
        </w:rPr>
        <w:t xml:space="preserve"> </w:t>
      </w:r>
      <w:r>
        <w:t>0.14</w:t>
      </w:r>
      <w:r>
        <w:rPr>
          <w:spacing w:val="-2"/>
        </w:rPr>
        <w:t xml:space="preserve"> </w:t>
      </w:r>
      <w:r>
        <w:t>mmol/l)</w:t>
      </w:r>
      <w:r>
        <w:rPr>
          <w:spacing w:val="-4"/>
        </w:rPr>
        <w:t xml:space="preserve"> </w:t>
      </w:r>
      <w:r>
        <w:t>compared</w:t>
      </w:r>
      <w:r>
        <w:rPr>
          <w:spacing w:val="-4"/>
        </w:rPr>
        <w:t xml:space="preserve"> </w:t>
      </w:r>
      <w:r>
        <w:t>with</w:t>
      </w:r>
      <w:r>
        <w:rPr>
          <w:spacing w:val="-4"/>
        </w:rPr>
        <w:t xml:space="preserve"> </w:t>
      </w:r>
      <w:r>
        <w:t>no</w:t>
      </w:r>
      <w:r>
        <w:rPr>
          <w:spacing w:val="-2"/>
        </w:rPr>
        <w:t xml:space="preserve"> </w:t>
      </w:r>
      <w:r>
        <w:t>exercise,</w:t>
      </w:r>
      <w:r>
        <w:rPr>
          <w:spacing w:val="-2"/>
        </w:rPr>
        <w:t xml:space="preserve"> </w:t>
      </w:r>
      <w:r>
        <w:t>but</w:t>
      </w:r>
      <w:r>
        <w:rPr>
          <w:spacing w:val="-4"/>
        </w:rPr>
        <w:t xml:space="preserve"> </w:t>
      </w:r>
      <w:r>
        <w:t>the</w:t>
      </w:r>
      <w:r>
        <w:rPr>
          <w:spacing w:val="-2"/>
        </w:rPr>
        <w:t xml:space="preserve"> </w:t>
      </w:r>
      <w:r>
        <w:t>majority</w:t>
      </w:r>
      <w:r>
        <w:rPr>
          <w:spacing w:val="-5"/>
        </w:rPr>
        <w:t xml:space="preserve"> </w:t>
      </w:r>
      <w:r>
        <w:t>of systematic reviews were at high risk of bias (7).</w:t>
      </w:r>
    </w:p>
    <w:p w14:paraId="7A4C30C2" w14:textId="77777777" w:rsidR="00E13D3F" w:rsidRDefault="00E13D3F">
      <w:pPr>
        <w:pStyle w:val="BodyText"/>
        <w:spacing w:before="37"/>
        <w:ind w:left="0"/>
      </w:pPr>
    </w:p>
    <w:p w14:paraId="7A4C30C3" w14:textId="77777777" w:rsidR="00E13D3F" w:rsidRDefault="00FB2D6A" w:rsidP="00990D2B">
      <w:pPr>
        <w:pStyle w:val="ListParagraph"/>
        <w:numPr>
          <w:ilvl w:val="0"/>
          <w:numId w:val="30"/>
        </w:numPr>
        <w:tabs>
          <w:tab w:val="left" w:pos="1738"/>
        </w:tabs>
        <w:spacing w:before="1" w:line="276" w:lineRule="auto"/>
        <w:ind w:right="1515" w:firstLine="0"/>
        <w:rPr>
          <w:sz w:val="24"/>
        </w:rPr>
      </w:pPr>
      <w:r>
        <w:rPr>
          <w:sz w:val="24"/>
        </w:rPr>
        <w:t>Falls Prevention. The effect of exercise for falls prevention was assessed in a systematic review</w:t>
      </w:r>
      <w:r>
        <w:rPr>
          <w:spacing w:val="-4"/>
          <w:sz w:val="24"/>
        </w:rPr>
        <w:t xml:space="preserve"> </w:t>
      </w:r>
      <w:r>
        <w:rPr>
          <w:sz w:val="24"/>
        </w:rPr>
        <w:t>of</w:t>
      </w:r>
      <w:r>
        <w:rPr>
          <w:spacing w:val="-4"/>
          <w:sz w:val="24"/>
        </w:rPr>
        <w:t xml:space="preserve"> </w:t>
      </w:r>
      <w:proofErr w:type="spellStart"/>
      <w:r>
        <w:rPr>
          <w:sz w:val="24"/>
        </w:rPr>
        <w:t>randomised</w:t>
      </w:r>
      <w:proofErr w:type="spellEnd"/>
      <w:r>
        <w:rPr>
          <w:spacing w:val="-4"/>
          <w:sz w:val="24"/>
        </w:rPr>
        <w:t xml:space="preserve"> </w:t>
      </w:r>
      <w:r>
        <w:rPr>
          <w:sz w:val="24"/>
        </w:rPr>
        <w:t>trials</w:t>
      </w:r>
      <w:r>
        <w:rPr>
          <w:spacing w:val="-3"/>
          <w:sz w:val="24"/>
        </w:rPr>
        <w:t xml:space="preserve"> </w:t>
      </w:r>
      <w:r>
        <w:rPr>
          <w:sz w:val="24"/>
        </w:rPr>
        <w:t>in</w:t>
      </w:r>
      <w:r>
        <w:rPr>
          <w:spacing w:val="-4"/>
          <w:sz w:val="24"/>
        </w:rPr>
        <w:t xml:space="preserve"> </w:t>
      </w:r>
      <w:r>
        <w:rPr>
          <w:sz w:val="24"/>
        </w:rPr>
        <w:t>older</w:t>
      </w:r>
      <w:r>
        <w:rPr>
          <w:spacing w:val="-4"/>
          <w:sz w:val="24"/>
        </w:rPr>
        <w:t xml:space="preserve"> </w:t>
      </w:r>
      <w:r>
        <w:rPr>
          <w:sz w:val="24"/>
        </w:rPr>
        <w:t>(&gt;65</w:t>
      </w:r>
      <w:r>
        <w:rPr>
          <w:spacing w:val="-4"/>
          <w:sz w:val="24"/>
        </w:rPr>
        <w:t xml:space="preserve"> </w:t>
      </w:r>
      <w:r>
        <w:rPr>
          <w:sz w:val="24"/>
        </w:rPr>
        <w:t>years)</w:t>
      </w:r>
      <w:r>
        <w:rPr>
          <w:spacing w:val="-4"/>
          <w:sz w:val="24"/>
        </w:rPr>
        <w:t xml:space="preserve"> </w:t>
      </w:r>
      <w:r>
        <w:rPr>
          <w:sz w:val="24"/>
        </w:rPr>
        <w:t>community</w:t>
      </w:r>
      <w:r>
        <w:rPr>
          <w:spacing w:val="-5"/>
          <w:sz w:val="24"/>
        </w:rPr>
        <w:t xml:space="preserve"> </w:t>
      </w:r>
      <w:r>
        <w:rPr>
          <w:sz w:val="24"/>
        </w:rPr>
        <w:t>dwelling</w:t>
      </w:r>
      <w:r>
        <w:rPr>
          <w:spacing w:val="-3"/>
          <w:sz w:val="24"/>
        </w:rPr>
        <w:t xml:space="preserve"> </w:t>
      </w:r>
      <w:r>
        <w:rPr>
          <w:sz w:val="24"/>
        </w:rPr>
        <w:t>adults</w:t>
      </w:r>
      <w:r>
        <w:rPr>
          <w:spacing w:val="-3"/>
          <w:sz w:val="24"/>
        </w:rPr>
        <w:t xml:space="preserve"> </w:t>
      </w:r>
      <w:r>
        <w:rPr>
          <w:sz w:val="24"/>
        </w:rPr>
        <w:t>(11).</w:t>
      </w:r>
      <w:r>
        <w:rPr>
          <w:spacing w:val="-4"/>
          <w:sz w:val="24"/>
        </w:rPr>
        <w:t xml:space="preserve"> </w:t>
      </w:r>
      <w:r>
        <w:rPr>
          <w:sz w:val="24"/>
        </w:rPr>
        <w:t>This</w:t>
      </w:r>
      <w:r>
        <w:rPr>
          <w:spacing w:val="-5"/>
          <w:sz w:val="24"/>
        </w:rPr>
        <w:t xml:space="preserve"> </w:t>
      </w:r>
      <w:r>
        <w:rPr>
          <w:sz w:val="24"/>
        </w:rPr>
        <w:t>review and network meta-analysis of interventions to prevent falls and fall-related fractures found that exercise</w:t>
      </w:r>
      <w:r>
        <w:rPr>
          <w:spacing w:val="40"/>
          <w:sz w:val="24"/>
        </w:rPr>
        <w:t xml:space="preserve"> </w:t>
      </w:r>
      <w:r>
        <w:rPr>
          <w:sz w:val="24"/>
        </w:rPr>
        <w:t>as a single intervention was associated with three statistically and clinically significant reductions: 17% reduction in number of fallers (risk ratio 0.83, 95% CI 0.77 – 0.89), 21% reduction in falls rate (risk ratio 0.79, 95% CI 0.73 to 0.86), and 38% reduction in number of fall-related fractures (risk ratio 0.62, 95%CI 0.42 to 0.90) when compared to usual care. Exercise was also a common component of multiple interventions associated with a reduction in number or fallers and falls rate.</w:t>
      </w:r>
    </w:p>
    <w:p w14:paraId="7A4C30C4" w14:textId="77777777" w:rsidR="00E13D3F" w:rsidRDefault="00E13D3F">
      <w:pPr>
        <w:pStyle w:val="BodyText"/>
        <w:spacing w:before="57"/>
        <w:ind w:left="0"/>
      </w:pPr>
    </w:p>
    <w:p w14:paraId="7A4C30C5" w14:textId="77777777" w:rsidR="00E13D3F" w:rsidRDefault="00FB2D6A">
      <w:pPr>
        <w:pStyle w:val="Heading2"/>
      </w:pPr>
      <w:r>
        <w:rPr>
          <w:color w:val="2E5395"/>
        </w:rPr>
        <w:t>Starting</w:t>
      </w:r>
      <w:r>
        <w:rPr>
          <w:color w:val="2E5395"/>
          <w:spacing w:val="-8"/>
        </w:rPr>
        <w:t xml:space="preserve"> </w:t>
      </w:r>
      <w:r>
        <w:rPr>
          <w:color w:val="2E5395"/>
        </w:rPr>
        <w:t>and</w:t>
      </w:r>
      <w:r>
        <w:rPr>
          <w:color w:val="2E5395"/>
          <w:spacing w:val="-8"/>
        </w:rPr>
        <w:t xml:space="preserve"> </w:t>
      </w:r>
      <w:r>
        <w:rPr>
          <w:color w:val="2E5395"/>
        </w:rPr>
        <w:t>Stopping</w:t>
      </w:r>
      <w:r>
        <w:rPr>
          <w:color w:val="2E5395"/>
          <w:spacing w:val="-8"/>
        </w:rPr>
        <w:t xml:space="preserve"> </w:t>
      </w:r>
      <w:r>
        <w:rPr>
          <w:color w:val="2E5395"/>
          <w:spacing w:val="-4"/>
        </w:rPr>
        <w:t>Ages</w:t>
      </w:r>
    </w:p>
    <w:p w14:paraId="7A4C30C6" w14:textId="77777777" w:rsidR="00E13D3F" w:rsidRDefault="00FB2D6A">
      <w:pPr>
        <w:pStyle w:val="BodyText"/>
        <w:spacing w:before="47" w:line="278" w:lineRule="auto"/>
        <w:ind w:right="1137"/>
      </w:pPr>
      <w:r>
        <w:t>The</w:t>
      </w:r>
      <w:r>
        <w:rPr>
          <w:spacing w:val="-2"/>
        </w:rPr>
        <w:t xml:space="preserve"> </w:t>
      </w:r>
      <w:r>
        <w:t>Red</w:t>
      </w:r>
      <w:r>
        <w:rPr>
          <w:spacing w:val="-4"/>
        </w:rPr>
        <w:t xml:space="preserve"> </w:t>
      </w:r>
      <w:r>
        <w:t>book</w:t>
      </w:r>
      <w:r>
        <w:rPr>
          <w:spacing w:val="-3"/>
        </w:rPr>
        <w:t xml:space="preserve"> </w:t>
      </w:r>
      <w:r>
        <w:t>recommends</w:t>
      </w:r>
      <w:r>
        <w:rPr>
          <w:spacing w:val="-3"/>
        </w:rPr>
        <w:t xml:space="preserve"> </w:t>
      </w:r>
      <w:r>
        <w:t>asking</w:t>
      </w:r>
      <w:r>
        <w:rPr>
          <w:spacing w:val="-3"/>
        </w:rPr>
        <w:t xml:space="preserve"> </w:t>
      </w:r>
      <w:r>
        <w:t>about</w:t>
      </w:r>
      <w:r>
        <w:rPr>
          <w:spacing w:val="-4"/>
        </w:rPr>
        <w:t xml:space="preserve"> </w:t>
      </w:r>
      <w:r>
        <w:t>patients’</w:t>
      </w:r>
      <w:r>
        <w:rPr>
          <w:spacing w:val="-2"/>
        </w:rPr>
        <w:t xml:space="preserve"> </w:t>
      </w:r>
      <w:r>
        <w:t>current</w:t>
      </w:r>
      <w:r>
        <w:rPr>
          <w:spacing w:val="-2"/>
        </w:rPr>
        <w:t xml:space="preserve"> </w:t>
      </w:r>
      <w:r>
        <w:t>level</w:t>
      </w:r>
      <w:r>
        <w:rPr>
          <w:spacing w:val="-2"/>
        </w:rPr>
        <w:t xml:space="preserve"> </w:t>
      </w:r>
      <w:r>
        <w:t>of</w:t>
      </w:r>
      <w:r>
        <w:rPr>
          <w:spacing w:val="-4"/>
        </w:rPr>
        <w:t xml:space="preserve"> </w:t>
      </w:r>
      <w:r>
        <w:t>physical</w:t>
      </w:r>
      <w:r>
        <w:rPr>
          <w:spacing w:val="-5"/>
        </w:rPr>
        <w:t xml:space="preserve"> </w:t>
      </w:r>
      <w:r>
        <w:t>activity</w:t>
      </w:r>
      <w:r>
        <w:rPr>
          <w:spacing w:val="-3"/>
        </w:rPr>
        <w:t xml:space="preserve"> </w:t>
      </w:r>
      <w:r>
        <w:t xml:space="preserve">and sedentary </w:t>
      </w:r>
      <w:proofErr w:type="spellStart"/>
      <w:r>
        <w:t>behaviour</w:t>
      </w:r>
      <w:proofErr w:type="spellEnd"/>
      <w:r>
        <w:t xml:space="preserve"> to begin at age 10 (1).</w:t>
      </w:r>
    </w:p>
    <w:p w14:paraId="7A4C30C7" w14:textId="77777777" w:rsidR="00E13D3F" w:rsidRDefault="00E13D3F">
      <w:pPr>
        <w:pStyle w:val="BodyText"/>
        <w:spacing w:before="35"/>
        <w:ind w:left="0"/>
      </w:pPr>
    </w:p>
    <w:p w14:paraId="7A4C30C8" w14:textId="77777777" w:rsidR="00E13D3F" w:rsidRDefault="00FB2D6A">
      <w:pPr>
        <w:pStyle w:val="Heading2"/>
        <w:spacing w:before="1"/>
      </w:pPr>
      <w:r>
        <w:rPr>
          <w:color w:val="2E5395"/>
        </w:rPr>
        <w:t>Interval</w:t>
      </w:r>
      <w:r>
        <w:rPr>
          <w:color w:val="2E5395"/>
          <w:spacing w:val="-6"/>
        </w:rPr>
        <w:t xml:space="preserve"> </w:t>
      </w:r>
      <w:r>
        <w:rPr>
          <w:color w:val="2E5395"/>
        </w:rPr>
        <w:t>for</w:t>
      </w:r>
      <w:r>
        <w:rPr>
          <w:color w:val="2E5395"/>
          <w:spacing w:val="-8"/>
        </w:rPr>
        <w:t xml:space="preserve"> </w:t>
      </w:r>
      <w:r>
        <w:rPr>
          <w:color w:val="2E5395"/>
          <w:spacing w:val="-2"/>
        </w:rPr>
        <w:t>Assessment</w:t>
      </w:r>
    </w:p>
    <w:p w14:paraId="7A4C30C9" w14:textId="77777777" w:rsidR="00E13D3F" w:rsidRDefault="00FB2D6A">
      <w:pPr>
        <w:pStyle w:val="BodyText"/>
        <w:spacing w:before="23" w:line="276" w:lineRule="auto"/>
        <w:ind w:right="1450"/>
      </w:pPr>
      <w:r>
        <w:t xml:space="preserve">The rate of insufficient physical activity generally increases with age (6) (Figure 7.1). The RACGP recommend asking questions regarding current level of activity and sedentary </w:t>
      </w:r>
      <w:proofErr w:type="spellStart"/>
      <w:r>
        <w:t>behaviour</w:t>
      </w:r>
      <w:proofErr w:type="spellEnd"/>
      <w:r>
        <w:rPr>
          <w:spacing w:val="-5"/>
        </w:rPr>
        <w:t xml:space="preserve"> </w:t>
      </w:r>
      <w:r>
        <w:t>for</w:t>
      </w:r>
      <w:r>
        <w:rPr>
          <w:spacing w:val="-4"/>
        </w:rPr>
        <w:t xml:space="preserve"> </w:t>
      </w:r>
      <w:r>
        <w:t>assessment</w:t>
      </w:r>
      <w:r>
        <w:rPr>
          <w:spacing w:val="-2"/>
        </w:rPr>
        <w:t xml:space="preserve"> </w:t>
      </w:r>
      <w:r>
        <w:t>against</w:t>
      </w:r>
      <w:r>
        <w:rPr>
          <w:spacing w:val="-2"/>
        </w:rPr>
        <w:t xml:space="preserve"> </w:t>
      </w:r>
      <w:r>
        <w:t>current</w:t>
      </w:r>
      <w:r>
        <w:rPr>
          <w:spacing w:val="-2"/>
        </w:rPr>
        <w:t xml:space="preserve"> </w:t>
      </w:r>
      <w:r>
        <w:t>guidelines</w:t>
      </w:r>
      <w:r>
        <w:rPr>
          <w:spacing w:val="-3"/>
        </w:rPr>
        <w:t xml:space="preserve"> </w:t>
      </w:r>
      <w:r>
        <w:t>opportunistically</w:t>
      </w:r>
      <w:r>
        <w:rPr>
          <w:spacing w:val="-3"/>
        </w:rPr>
        <w:t xml:space="preserve"> </w:t>
      </w:r>
      <w:r>
        <w:t>for</w:t>
      </w:r>
      <w:r>
        <w:rPr>
          <w:spacing w:val="-2"/>
        </w:rPr>
        <w:t xml:space="preserve"> </w:t>
      </w:r>
      <w:r>
        <w:t>children</w:t>
      </w:r>
      <w:r>
        <w:rPr>
          <w:spacing w:val="-2"/>
        </w:rPr>
        <w:t xml:space="preserve"> </w:t>
      </w:r>
      <w:r>
        <w:t>aged</w:t>
      </w:r>
      <w:r>
        <w:rPr>
          <w:spacing w:val="-4"/>
        </w:rPr>
        <w:t xml:space="preserve"> </w:t>
      </w:r>
      <w:r>
        <w:t>5-17 years of age and every</w:t>
      </w:r>
      <w:r>
        <w:rPr>
          <w:spacing w:val="-1"/>
        </w:rPr>
        <w:t xml:space="preserve"> </w:t>
      </w:r>
      <w:r>
        <w:t>two years</w:t>
      </w:r>
      <w:r>
        <w:rPr>
          <w:spacing w:val="-1"/>
        </w:rPr>
        <w:t xml:space="preserve"> </w:t>
      </w:r>
      <w:r>
        <w:t>for adults</w:t>
      </w:r>
      <w:r>
        <w:rPr>
          <w:spacing w:val="-1"/>
        </w:rPr>
        <w:t xml:space="preserve"> </w:t>
      </w:r>
      <w:r>
        <w:t>aged</w:t>
      </w:r>
      <w:r>
        <w:rPr>
          <w:spacing w:val="-2"/>
        </w:rPr>
        <w:t xml:space="preserve"> </w:t>
      </w:r>
      <w:r>
        <w:t>18 years</w:t>
      </w:r>
      <w:r>
        <w:rPr>
          <w:spacing w:val="-1"/>
        </w:rPr>
        <w:t xml:space="preserve"> </w:t>
      </w:r>
      <w:r>
        <w:t>and older. For</w:t>
      </w:r>
      <w:r>
        <w:rPr>
          <w:spacing w:val="-1"/>
        </w:rPr>
        <w:t xml:space="preserve"> </w:t>
      </w:r>
      <w:r>
        <w:t xml:space="preserve">those at higher risk of physical inactivity/sedentary </w:t>
      </w:r>
      <w:proofErr w:type="spellStart"/>
      <w:r>
        <w:t>behaviour</w:t>
      </w:r>
      <w:proofErr w:type="spellEnd"/>
      <w:r>
        <w:t xml:space="preserve"> (teenage girls, older adults, office workers, Aboriginal and Torres Strait Islander peoples and people from low socio-economic and non-English</w:t>
      </w:r>
      <w:r>
        <w:rPr>
          <w:spacing w:val="-3"/>
        </w:rPr>
        <w:t xml:space="preserve"> </w:t>
      </w:r>
      <w:r>
        <w:t>speaking</w:t>
      </w:r>
      <w:r>
        <w:rPr>
          <w:spacing w:val="-6"/>
        </w:rPr>
        <w:t xml:space="preserve"> </w:t>
      </w:r>
      <w:r>
        <w:t>backgrounds)</w:t>
      </w:r>
      <w:r>
        <w:rPr>
          <w:spacing w:val="-7"/>
        </w:rPr>
        <w:t xml:space="preserve"> </w:t>
      </w:r>
      <w:r>
        <w:t>the</w:t>
      </w:r>
      <w:r>
        <w:rPr>
          <w:spacing w:val="-3"/>
        </w:rPr>
        <w:t xml:space="preserve"> </w:t>
      </w:r>
      <w:r>
        <w:t>RACGP</w:t>
      </w:r>
      <w:r>
        <w:rPr>
          <w:spacing w:val="-3"/>
        </w:rPr>
        <w:t xml:space="preserve"> </w:t>
      </w:r>
      <w:r>
        <w:t>recommends</w:t>
      </w:r>
      <w:r>
        <w:rPr>
          <w:spacing w:val="-6"/>
        </w:rPr>
        <w:t xml:space="preserve"> </w:t>
      </w:r>
      <w:r>
        <w:t>asking</w:t>
      </w:r>
      <w:r>
        <w:rPr>
          <w:spacing w:val="-4"/>
        </w:rPr>
        <w:t xml:space="preserve"> </w:t>
      </w:r>
      <w:r>
        <w:t>questions</w:t>
      </w:r>
      <w:r>
        <w:rPr>
          <w:spacing w:val="-6"/>
        </w:rPr>
        <w:t xml:space="preserve"> </w:t>
      </w:r>
      <w:r>
        <w:t>about</w:t>
      </w:r>
      <w:r>
        <w:rPr>
          <w:spacing w:val="-3"/>
        </w:rPr>
        <w:t xml:space="preserve"> </w:t>
      </w:r>
      <w:r>
        <w:t>current</w:t>
      </w:r>
      <w:r>
        <w:rPr>
          <w:spacing w:val="-3"/>
        </w:rPr>
        <w:t xml:space="preserve"> </w:t>
      </w:r>
      <w:r>
        <w:t>level of physical activity at least 2 yearly and opportunistically (1). The</w:t>
      </w:r>
      <w:r>
        <w:rPr>
          <w:spacing w:val="-1"/>
        </w:rPr>
        <w:t xml:space="preserve"> </w:t>
      </w:r>
      <w:r>
        <w:t>RACGP National guide to</w:t>
      </w:r>
      <w:r>
        <w:rPr>
          <w:spacing w:val="-1"/>
        </w:rPr>
        <w:t xml:space="preserve"> </w:t>
      </w:r>
      <w:r>
        <w:t xml:space="preserve">a preventive health assessment for Aboriginal and Torres Strait Islander people recommends screening all Aboriginal and Torres Strait Islander people’s current level of physical activity and sedentary </w:t>
      </w:r>
      <w:proofErr w:type="spellStart"/>
      <w:r>
        <w:t>behaviours</w:t>
      </w:r>
      <w:proofErr w:type="spellEnd"/>
      <w:r>
        <w:t xml:space="preserve"> against the Australian age-appropriate recommendations opportunistically and as part of an annual health assessment (12).</w:t>
      </w:r>
    </w:p>
    <w:p w14:paraId="7A4C30CA" w14:textId="77777777" w:rsidR="00E13D3F" w:rsidRDefault="00E13D3F">
      <w:pPr>
        <w:pStyle w:val="BodyText"/>
        <w:spacing w:line="276" w:lineRule="auto"/>
        <w:sectPr w:rsidR="00E13D3F">
          <w:pgSz w:w="11910" w:h="16840"/>
          <w:pgMar w:top="1380" w:right="0" w:bottom="1200" w:left="0" w:header="0" w:footer="1000" w:gutter="0"/>
          <w:cols w:space="720"/>
        </w:sectPr>
      </w:pPr>
    </w:p>
    <w:p w14:paraId="7A4C30CB" w14:textId="77777777" w:rsidR="00E13D3F" w:rsidRDefault="00FB2D6A">
      <w:pPr>
        <w:ind w:left="1838"/>
        <w:rPr>
          <w:sz w:val="20"/>
        </w:rPr>
      </w:pPr>
      <w:r>
        <w:rPr>
          <w:noProof/>
          <w:sz w:val="20"/>
        </w:rPr>
        <w:lastRenderedPageBreak/>
        <w:drawing>
          <wp:inline distT="0" distB="0" distL="0" distR="0" wp14:anchorId="7A4C3C46" wp14:editId="7A4C3C47">
            <wp:extent cx="5227717" cy="2986087"/>
            <wp:effectExtent l="0" t="0" r="0" b="0"/>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37" cstate="print"/>
                    <a:stretch>
                      <a:fillRect/>
                    </a:stretch>
                  </pic:blipFill>
                  <pic:spPr>
                    <a:xfrm>
                      <a:off x="0" y="0"/>
                      <a:ext cx="5227717" cy="2986087"/>
                    </a:xfrm>
                    <a:prstGeom prst="rect">
                      <a:avLst/>
                    </a:prstGeom>
                  </pic:spPr>
                </pic:pic>
              </a:graphicData>
            </a:graphic>
          </wp:inline>
        </w:drawing>
      </w:r>
    </w:p>
    <w:p w14:paraId="7A4C30CC" w14:textId="77777777" w:rsidR="00E13D3F" w:rsidRDefault="00FB2D6A">
      <w:pPr>
        <w:spacing w:before="18"/>
        <w:ind w:left="4330" w:right="1450" w:hanging="2814"/>
      </w:pPr>
      <w:r>
        <w:rPr>
          <w:b/>
        </w:rPr>
        <w:t>Figure</w:t>
      </w:r>
      <w:r>
        <w:rPr>
          <w:b/>
          <w:spacing w:val="-4"/>
        </w:rPr>
        <w:t xml:space="preserve"> </w:t>
      </w:r>
      <w:r>
        <w:rPr>
          <w:b/>
        </w:rPr>
        <w:t>7.1.</w:t>
      </w:r>
      <w:r>
        <w:rPr>
          <w:b/>
          <w:spacing w:val="-2"/>
        </w:rPr>
        <w:t xml:space="preserve"> </w:t>
      </w:r>
      <w:r>
        <w:t>Prevalence</w:t>
      </w:r>
      <w:r>
        <w:rPr>
          <w:spacing w:val="-4"/>
        </w:rPr>
        <w:t xml:space="preserve"> </w:t>
      </w:r>
      <w:r>
        <w:t>of</w:t>
      </w:r>
      <w:r>
        <w:rPr>
          <w:spacing w:val="-2"/>
        </w:rPr>
        <w:t xml:space="preserve"> </w:t>
      </w:r>
      <w:r>
        <w:t>insufficient</w:t>
      </w:r>
      <w:r>
        <w:rPr>
          <w:spacing w:val="-2"/>
        </w:rPr>
        <w:t xml:space="preserve"> </w:t>
      </w:r>
      <w:r>
        <w:t>physical</w:t>
      </w:r>
      <w:r>
        <w:rPr>
          <w:spacing w:val="-2"/>
        </w:rPr>
        <w:t xml:space="preserve"> </w:t>
      </w:r>
      <w:r>
        <w:t>activity</w:t>
      </w:r>
      <w:r>
        <w:rPr>
          <w:spacing w:val="-2"/>
        </w:rPr>
        <w:t xml:space="preserve"> </w:t>
      </w:r>
      <w:r>
        <w:t>among</w:t>
      </w:r>
      <w:r>
        <w:rPr>
          <w:spacing w:val="-3"/>
        </w:rPr>
        <w:t xml:space="preserve"> </w:t>
      </w:r>
      <w:r>
        <w:t>Australian</w:t>
      </w:r>
      <w:r>
        <w:rPr>
          <w:spacing w:val="-3"/>
        </w:rPr>
        <w:t xml:space="preserve"> </w:t>
      </w:r>
      <w:r>
        <w:t>adults</w:t>
      </w:r>
      <w:r>
        <w:rPr>
          <w:spacing w:val="-2"/>
        </w:rPr>
        <w:t xml:space="preserve"> </w:t>
      </w:r>
      <w:r>
        <w:t>by</w:t>
      </w:r>
      <w:r>
        <w:rPr>
          <w:spacing w:val="-4"/>
        </w:rPr>
        <w:t xml:space="preserve"> </w:t>
      </w:r>
      <w:r>
        <w:t>age</w:t>
      </w:r>
      <w:r>
        <w:rPr>
          <w:spacing w:val="-2"/>
        </w:rPr>
        <w:t xml:space="preserve"> </w:t>
      </w:r>
      <w:r>
        <w:t>and</w:t>
      </w:r>
      <w:r>
        <w:rPr>
          <w:spacing w:val="-3"/>
        </w:rPr>
        <w:t xml:space="preserve"> </w:t>
      </w:r>
      <w:r>
        <w:t>sex</w:t>
      </w:r>
      <w:r>
        <w:rPr>
          <w:spacing w:val="-4"/>
        </w:rPr>
        <w:t xml:space="preserve"> </w:t>
      </w:r>
      <w:r>
        <w:t>2017-18 (AIHW analysis of ABS 2019 data)</w:t>
      </w:r>
    </w:p>
    <w:p w14:paraId="7A4C30CD" w14:textId="77777777" w:rsidR="00E13D3F" w:rsidRDefault="00E13D3F">
      <w:pPr>
        <w:pStyle w:val="BodyText"/>
        <w:ind w:left="0"/>
        <w:rPr>
          <w:sz w:val="22"/>
        </w:rPr>
      </w:pPr>
    </w:p>
    <w:p w14:paraId="7A4C30CE" w14:textId="77777777" w:rsidR="00E13D3F" w:rsidRDefault="00E13D3F">
      <w:pPr>
        <w:pStyle w:val="BodyText"/>
        <w:spacing w:before="66"/>
        <w:ind w:left="0"/>
        <w:rPr>
          <w:sz w:val="22"/>
        </w:rPr>
      </w:pPr>
    </w:p>
    <w:p w14:paraId="7A4C30CF" w14:textId="77777777" w:rsidR="00E13D3F" w:rsidRDefault="00FB2D6A">
      <w:pPr>
        <w:pStyle w:val="Heading2"/>
      </w:pPr>
      <w:r>
        <w:rPr>
          <w:color w:val="2E5395"/>
          <w:spacing w:val="-2"/>
        </w:rPr>
        <w:t>Subpopulations</w:t>
      </w:r>
    </w:p>
    <w:p w14:paraId="7A4C30D0" w14:textId="77777777" w:rsidR="00E13D3F" w:rsidRDefault="00FB2D6A">
      <w:pPr>
        <w:pStyle w:val="BodyText"/>
        <w:spacing w:before="23" w:line="276" w:lineRule="auto"/>
        <w:ind w:right="1519"/>
      </w:pPr>
      <w:r>
        <w:t>The RACGP advises the following groups are at higher risk of physical inactivity and sedentary</w:t>
      </w:r>
      <w:r>
        <w:rPr>
          <w:spacing w:val="-5"/>
        </w:rPr>
        <w:t xml:space="preserve"> </w:t>
      </w:r>
      <w:proofErr w:type="spellStart"/>
      <w:r>
        <w:t>behaviour</w:t>
      </w:r>
      <w:proofErr w:type="spellEnd"/>
      <w:r>
        <w:t>;</w:t>
      </w:r>
      <w:r>
        <w:rPr>
          <w:spacing w:val="-4"/>
        </w:rPr>
        <w:t xml:space="preserve"> </w:t>
      </w:r>
      <w:r>
        <w:t>teenage</w:t>
      </w:r>
      <w:r>
        <w:rPr>
          <w:spacing w:val="-2"/>
        </w:rPr>
        <w:t xml:space="preserve"> </w:t>
      </w:r>
      <w:r>
        <w:t>girls,</w:t>
      </w:r>
      <w:r>
        <w:rPr>
          <w:spacing w:val="-5"/>
        </w:rPr>
        <w:t xml:space="preserve"> </w:t>
      </w:r>
      <w:r>
        <w:t>older</w:t>
      </w:r>
      <w:r>
        <w:rPr>
          <w:spacing w:val="-2"/>
        </w:rPr>
        <w:t xml:space="preserve"> </w:t>
      </w:r>
      <w:r>
        <w:t>adults,</w:t>
      </w:r>
      <w:r>
        <w:rPr>
          <w:spacing w:val="-3"/>
        </w:rPr>
        <w:t xml:space="preserve"> </w:t>
      </w:r>
      <w:r>
        <w:t>office</w:t>
      </w:r>
      <w:r>
        <w:rPr>
          <w:spacing w:val="-4"/>
        </w:rPr>
        <w:t xml:space="preserve"> </w:t>
      </w:r>
      <w:r>
        <w:t>workers,</w:t>
      </w:r>
      <w:r>
        <w:rPr>
          <w:spacing w:val="-5"/>
        </w:rPr>
        <w:t xml:space="preserve"> </w:t>
      </w:r>
      <w:r>
        <w:t>Aboriginal</w:t>
      </w:r>
      <w:r>
        <w:rPr>
          <w:spacing w:val="-5"/>
        </w:rPr>
        <w:t xml:space="preserve"> </w:t>
      </w:r>
      <w:r>
        <w:t>and</w:t>
      </w:r>
      <w:r>
        <w:rPr>
          <w:spacing w:val="-4"/>
        </w:rPr>
        <w:t xml:space="preserve"> </w:t>
      </w:r>
      <w:r>
        <w:t>Torres</w:t>
      </w:r>
      <w:r>
        <w:rPr>
          <w:spacing w:val="-5"/>
        </w:rPr>
        <w:t xml:space="preserve"> </w:t>
      </w:r>
      <w:r>
        <w:t xml:space="preserve">Strait Islander peoples, people from low socioeconomic and non-English speaking backgrounds </w:t>
      </w:r>
      <w:r>
        <w:rPr>
          <w:spacing w:val="-4"/>
        </w:rPr>
        <w:t>(1).</w:t>
      </w:r>
    </w:p>
    <w:p w14:paraId="7A4C30D1" w14:textId="77777777" w:rsidR="00E13D3F" w:rsidRDefault="00E13D3F">
      <w:pPr>
        <w:pStyle w:val="BodyText"/>
        <w:spacing w:before="86"/>
        <w:ind w:left="0"/>
      </w:pPr>
    </w:p>
    <w:p w14:paraId="7A4C30D2" w14:textId="77777777" w:rsidR="00E13D3F" w:rsidRDefault="00FB2D6A">
      <w:pPr>
        <w:pStyle w:val="Heading2"/>
      </w:pPr>
      <w:r>
        <w:rPr>
          <w:color w:val="2E5395"/>
          <w:spacing w:val="-2"/>
        </w:rPr>
        <w:t>Conclusion</w:t>
      </w:r>
    </w:p>
    <w:p w14:paraId="7A4C30D3" w14:textId="77777777" w:rsidR="00E13D3F" w:rsidRDefault="00FB2D6A">
      <w:pPr>
        <w:pStyle w:val="BodyText"/>
        <w:spacing w:before="23" w:line="276" w:lineRule="auto"/>
        <w:ind w:right="1450"/>
      </w:pPr>
      <w:r>
        <w:t>There is evidence that exercise provides modest reductions in blood pressure across the range of baseline blood pressures, results in small improvements in HDL cholesterol in healthy</w:t>
      </w:r>
      <w:r>
        <w:rPr>
          <w:spacing w:val="-2"/>
        </w:rPr>
        <w:t xml:space="preserve"> </w:t>
      </w:r>
      <w:r>
        <w:t>adults</w:t>
      </w:r>
      <w:r>
        <w:rPr>
          <w:spacing w:val="-4"/>
        </w:rPr>
        <w:t xml:space="preserve"> </w:t>
      </w:r>
      <w:r>
        <w:t>or</w:t>
      </w:r>
      <w:r>
        <w:rPr>
          <w:spacing w:val="-3"/>
        </w:rPr>
        <w:t xml:space="preserve"> </w:t>
      </w:r>
      <w:r>
        <w:t>adults</w:t>
      </w:r>
      <w:r>
        <w:rPr>
          <w:spacing w:val="-4"/>
        </w:rPr>
        <w:t xml:space="preserve"> </w:t>
      </w:r>
      <w:r>
        <w:t>at</w:t>
      </w:r>
      <w:r>
        <w:rPr>
          <w:spacing w:val="-1"/>
        </w:rPr>
        <w:t xml:space="preserve"> </w:t>
      </w:r>
      <w:r>
        <w:t>risk</w:t>
      </w:r>
      <w:r>
        <w:rPr>
          <w:spacing w:val="-3"/>
        </w:rPr>
        <w:t xml:space="preserve"> </w:t>
      </w:r>
      <w:r>
        <w:t>of</w:t>
      </w:r>
      <w:r>
        <w:rPr>
          <w:spacing w:val="-1"/>
        </w:rPr>
        <w:t xml:space="preserve"> </w:t>
      </w:r>
      <w:r>
        <w:t>cardiovascular</w:t>
      </w:r>
      <w:r>
        <w:rPr>
          <w:spacing w:val="-3"/>
        </w:rPr>
        <w:t xml:space="preserve"> </w:t>
      </w:r>
      <w:r>
        <w:t>disease</w:t>
      </w:r>
      <w:r>
        <w:rPr>
          <w:spacing w:val="-1"/>
        </w:rPr>
        <w:t xml:space="preserve"> </w:t>
      </w:r>
      <w:r>
        <w:t>and</w:t>
      </w:r>
      <w:r>
        <w:rPr>
          <w:spacing w:val="-3"/>
        </w:rPr>
        <w:t xml:space="preserve"> </w:t>
      </w:r>
      <w:r>
        <w:t>reduces</w:t>
      </w:r>
      <w:r>
        <w:rPr>
          <w:spacing w:val="-4"/>
        </w:rPr>
        <w:t xml:space="preserve"> </w:t>
      </w:r>
      <w:r>
        <w:t>falls</w:t>
      </w:r>
      <w:r>
        <w:rPr>
          <w:spacing w:val="-4"/>
        </w:rPr>
        <w:t xml:space="preserve"> </w:t>
      </w:r>
      <w:r>
        <w:t>and</w:t>
      </w:r>
      <w:r>
        <w:rPr>
          <w:spacing w:val="-3"/>
        </w:rPr>
        <w:t xml:space="preserve"> </w:t>
      </w:r>
      <w:r>
        <w:t>falls</w:t>
      </w:r>
      <w:r>
        <w:rPr>
          <w:spacing w:val="-4"/>
        </w:rPr>
        <w:t xml:space="preserve"> </w:t>
      </w:r>
      <w:r>
        <w:t xml:space="preserve">related </w:t>
      </w:r>
      <w:r>
        <w:rPr>
          <w:spacing w:val="-2"/>
        </w:rPr>
        <w:t>fractures.</w:t>
      </w:r>
    </w:p>
    <w:p w14:paraId="7A4C30D4" w14:textId="77777777" w:rsidR="00E13D3F" w:rsidRDefault="00E13D3F">
      <w:pPr>
        <w:pStyle w:val="BodyText"/>
        <w:spacing w:line="276" w:lineRule="auto"/>
        <w:sectPr w:rsidR="00E13D3F">
          <w:pgSz w:w="11910" w:h="16840"/>
          <w:pgMar w:top="1420" w:right="0" w:bottom="1200" w:left="0" w:header="0" w:footer="1000" w:gutter="0"/>
          <w:cols w:space="720"/>
        </w:sectPr>
      </w:pPr>
    </w:p>
    <w:p w14:paraId="7A4C30D5" w14:textId="77777777" w:rsidR="00E13D3F" w:rsidRDefault="00FB2D6A">
      <w:pPr>
        <w:pStyle w:val="Heading2"/>
        <w:spacing w:before="24"/>
      </w:pPr>
      <w:r>
        <w:rPr>
          <w:color w:val="2E5395"/>
          <w:spacing w:val="-2"/>
        </w:rPr>
        <w:lastRenderedPageBreak/>
        <w:t>References</w:t>
      </w:r>
    </w:p>
    <w:p w14:paraId="7A4C30D6" w14:textId="77777777" w:rsidR="00E13D3F" w:rsidRDefault="00FB2D6A" w:rsidP="00990D2B">
      <w:pPr>
        <w:pStyle w:val="ListParagraph"/>
        <w:numPr>
          <w:ilvl w:val="0"/>
          <w:numId w:val="29"/>
        </w:numPr>
        <w:tabs>
          <w:tab w:val="left" w:pos="1798"/>
          <w:tab w:val="left" w:pos="1800"/>
        </w:tabs>
        <w:spacing w:before="23" w:line="273" w:lineRule="auto"/>
        <w:ind w:right="1960"/>
      </w:pPr>
      <w:r>
        <w:t>The</w:t>
      </w:r>
      <w:r>
        <w:rPr>
          <w:spacing w:val="-2"/>
        </w:rPr>
        <w:t xml:space="preserve"> </w:t>
      </w:r>
      <w:r>
        <w:t>Royal</w:t>
      </w:r>
      <w:r>
        <w:rPr>
          <w:spacing w:val="-5"/>
        </w:rPr>
        <w:t xml:space="preserve"> </w:t>
      </w:r>
      <w:r>
        <w:t>Australian</w:t>
      </w:r>
      <w:r>
        <w:rPr>
          <w:spacing w:val="-3"/>
        </w:rPr>
        <w:t xml:space="preserve"> </w:t>
      </w:r>
      <w:r>
        <w:t>College</w:t>
      </w:r>
      <w:r>
        <w:rPr>
          <w:spacing w:val="-2"/>
        </w:rPr>
        <w:t xml:space="preserve"> </w:t>
      </w:r>
      <w:r>
        <w:t>of</w:t>
      </w:r>
      <w:r>
        <w:rPr>
          <w:spacing w:val="-5"/>
        </w:rPr>
        <w:t xml:space="preserve"> </w:t>
      </w:r>
      <w:r>
        <w:t>General</w:t>
      </w:r>
      <w:r>
        <w:rPr>
          <w:spacing w:val="-2"/>
        </w:rPr>
        <w:t xml:space="preserve"> </w:t>
      </w:r>
      <w:r>
        <w:t>Practitioners.</w:t>
      </w:r>
      <w:r>
        <w:rPr>
          <w:spacing w:val="-4"/>
        </w:rPr>
        <w:t xml:space="preserve"> </w:t>
      </w:r>
      <w:r>
        <w:t>Guidelines</w:t>
      </w:r>
      <w:r>
        <w:rPr>
          <w:spacing w:val="-1"/>
        </w:rPr>
        <w:t xml:space="preserve"> </w:t>
      </w:r>
      <w:r>
        <w:t>for</w:t>
      </w:r>
      <w:r>
        <w:rPr>
          <w:spacing w:val="-5"/>
        </w:rPr>
        <w:t xml:space="preserve"> </w:t>
      </w:r>
      <w:r>
        <w:t>preventive</w:t>
      </w:r>
      <w:r>
        <w:rPr>
          <w:spacing w:val="-2"/>
        </w:rPr>
        <w:t xml:space="preserve"> </w:t>
      </w:r>
      <w:r>
        <w:t>activities</w:t>
      </w:r>
      <w:r>
        <w:rPr>
          <w:spacing w:val="-1"/>
        </w:rPr>
        <w:t xml:space="preserve"> </w:t>
      </w:r>
      <w:r>
        <w:t xml:space="preserve">in general practice. 9th </w:t>
      </w:r>
      <w:proofErr w:type="spellStart"/>
      <w:r>
        <w:t>edn</w:t>
      </w:r>
      <w:proofErr w:type="spellEnd"/>
      <w:r>
        <w:t>, updated. East Melbourne, VIC: RACGP, 2021.</w:t>
      </w:r>
    </w:p>
    <w:p w14:paraId="7A4C30D7" w14:textId="77777777" w:rsidR="00E13D3F" w:rsidRDefault="00FB2D6A" w:rsidP="00990D2B">
      <w:pPr>
        <w:pStyle w:val="ListParagraph"/>
        <w:numPr>
          <w:ilvl w:val="0"/>
          <w:numId w:val="29"/>
        </w:numPr>
        <w:tabs>
          <w:tab w:val="left" w:pos="1798"/>
          <w:tab w:val="left" w:pos="1800"/>
        </w:tabs>
        <w:spacing w:before="4" w:line="276" w:lineRule="auto"/>
        <w:ind w:right="1634"/>
      </w:pPr>
      <w:r>
        <w:t>Australian</w:t>
      </w:r>
      <w:r>
        <w:rPr>
          <w:spacing w:val="-3"/>
        </w:rPr>
        <w:t xml:space="preserve"> </w:t>
      </w:r>
      <w:r>
        <w:t>Institute</w:t>
      </w:r>
      <w:r>
        <w:rPr>
          <w:spacing w:val="-4"/>
        </w:rPr>
        <w:t xml:space="preserve"> </w:t>
      </w:r>
      <w:r>
        <w:t>of</w:t>
      </w:r>
      <w:r>
        <w:rPr>
          <w:spacing w:val="-5"/>
        </w:rPr>
        <w:t xml:space="preserve"> </w:t>
      </w:r>
      <w:r>
        <w:t>Health</w:t>
      </w:r>
      <w:r>
        <w:rPr>
          <w:spacing w:val="-2"/>
        </w:rPr>
        <w:t xml:space="preserve"> </w:t>
      </w:r>
      <w:r>
        <w:t>and</w:t>
      </w:r>
      <w:r>
        <w:rPr>
          <w:spacing w:val="-3"/>
        </w:rPr>
        <w:t xml:space="preserve"> </w:t>
      </w:r>
      <w:r>
        <w:t>Welfare</w:t>
      </w:r>
      <w:r>
        <w:rPr>
          <w:spacing w:val="-4"/>
        </w:rPr>
        <w:t xml:space="preserve"> </w:t>
      </w:r>
      <w:r>
        <w:t>2020.</w:t>
      </w:r>
      <w:r>
        <w:rPr>
          <w:spacing w:val="-2"/>
        </w:rPr>
        <w:t xml:space="preserve"> </w:t>
      </w:r>
      <w:r>
        <w:t>Insufficient</w:t>
      </w:r>
      <w:r>
        <w:rPr>
          <w:spacing w:val="-2"/>
        </w:rPr>
        <w:t xml:space="preserve"> </w:t>
      </w:r>
      <w:r>
        <w:t>physical</w:t>
      </w:r>
      <w:r>
        <w:rPr>
          <w:spacing w:val="-2"/>
        </w:rPr>
        <w:t xml:space="preserve"> </w:t>
      </w:r>
      <w:r>
        <w:t>activity.</w:t>
      </w:r>
      <w:r>
        <w:rPr>
          <w:spacing w:val="-2"/>
        </w:rPr>
        <w:t xml:space="preserve"> </w:t>
      </w:r>
      <w:r>
        <w:t>Cat.</w:t>
      </w:r>
      <w:r>
        <w:rPr>
          <w:spacing w:val="-5"/>
        </w:rPr>
        <w:t xml:space="preserve"> </w:t>
      </w:r>
      <w:r>
        <w:t>No.</w:t>
      </w:r>
      <w:r>
        <w:rPr>
          <w:spacing w:val="-1"/>
        </w:rPr>
        <w:t xml:space="preserve"> </w:t>
      </w:r>
      <w:r>
        <w:t>PHE</w:t>
      </w:r>
      <w:r>
        <w:rPr>
          <w:spacing w:val="-2"/>
        </w:rPr>
        <w:t xml:space="preserve"> </w:t>
      </w:r>
      <w:r>
        <w:t xml:space="preserve">248. Canberra: AIHW. </w:t>
      </w:r>
      <w:hyperlink r:id="rId38">
        <w:r w:rsidR="00E13D3F">
          <w:t>https://www.aihw.gov.au/reports/risk-factors/insufficient-physical-activity.</w:t>
        </w:r>
      </w:hyperlink>
    </w:p>
    <w:p w14:paraId="7A4C30D8" w14:textId="77777777" w:rsidR="00E13D3F" w:rsidRDefault="00FB2D6A" w:rsidP="00990D2B">
      <w:pPr>
        <w:pStyle w:val="ListParagraph"/>
        <w:numPr>
          <w:ilvl w:val="0"/>
          <w:numId w:val="29"/>
        </w:numPr>
        <w:tabs>
          <w:tab w:val="left" w:pos="1798"/>
          <w:tab w:val="left" w:pos="1800"/>
        </w:tabs>
        <w:spacing w:line="276" w:lineRule="auto"/>
        <w:ind w:right="1638"/>
      </w:pPr>
      <w:r>
        <w:t>Cunningham</w:t>
      </w:r>
      <w:r>
        <w:rPr>
          <w:spacing w:val="-1"/>
        </w:rPr>
        <w:t xml:space="preserve"> </w:t>
      </w:r>
      <w:r>
        <w:t>C,</w:t>
      </w:r>
      <w:r>
        <w:rPr>
          <w:spacing w:val="-2"/>
        </w:rPr>
        <w:t xml:space="preserve"> </w:t>
      </w:r>
      <w:r>
        <w:t>O'</w:t>
      </w:r>
      <w:r>
        <w:rPr>
          <w:spacing w:val="-2"/>
        </w:rPr>
        <w:t xml:space="preserve"> </w:t>
      </w:r>
      <w:r>
        <w:t>Sullivan</w:t>
      </w:r>
      <w:r>
        <w:rPr>
          <w:spacing w:val="-4"/>
        </w:rPr>
        <w:t xml:space="preserve"> </w:t>
      </w:r>
      <w:r>
        <w:t>R,</w:t>
      </w:r>
      <w:r>
        <w:rPr>
          <w:spacing w:val="-2"/>
        </w:rPr>
        <w:t xml:space="preserve"> </w:t>
      </w:r>
      <w:proofErr w:type="spellStart"/>
      <w:r>
        <w:t>Caserotti</w:t>
      </w:r>
      <w:proofErr w:type="spellEnd"/>
      <w:r>
        <w:rPr>
          <w:spacing w:val="-3"/>
        </w:rPr>
        <w:t xml:space="preserve"> </w:t>
      </w:r>
      <w:r>
        <w:t>P,</w:t>
      </w:r>
      <w:r>
        <w:rPr>
          <w:spacing w:val="-2"/>
        </w:rPr>
        <w:t xml:space="preserve"> </w:t>
      </w:r>
      <w:r>
        <w:t>Tully</w:t>
      </w:r>
      <w:r>
        <w:rPr>
          <w:spacing w:val="-2"/>
        </w:rPr>
        <w:t xml:space="preserve"> </w:t>
      </w:r>
      <w:r>
        <w:t>MA.</w:t>
      </w:r>
      <w:r>
        <w:rPr>
          <w:spacing w:val="-5"/>
        </w:rPr>
        <w:t xml:space="preserve"> </w:t>
      </w:r>
      <w:r>
        <w:t>Consequences</w:t>
      </w:r>
      <w:r>
        <w:rPr>
          <w:spacing w:val="-3"/>
        </w:rPr>
        <w:t xml:space="preserve"> </w:t>
      </w:r>
      <w:r>
        <w:t>of</w:t>
      </w:r>
      <w:r>
        <w:rPr>
          <w:spacing w:val="-2"/>
        </w:rPr>
        <w:t xml:space="preserve"> </w:t>
      </w:r>
      <w:r>
        <w:t>physical</w:t>
      </w:r>
      <w:r>
        <w:rPr>
          <w:spacing w:val="-3"/>
        </w:rPr>
        <w:t xml:space="preserve"> </w:t>
      </w:r>
      <w:r>
        <w:t>inactivity</w:t>
      </w:r>
      <w:r>
        <w:rPr>
          <w:spacing w:val="-2"/>
        </w:rPr>
        <w:t xml:space="preserve"> </w:t>
      </w:r>
      <w:r>
        <w:t>in</w:t>
      </w:r>
      <w:r>
        <w:rPr>
          <w:spacing w:val="-4"/>
        </w:rPr>
        <w:t xml:space="preserve"> </w:t>
      </w:r>
      <w:r>
        <w:t xml:space="preserve">older adults: A systematic review of reviews and meta-analyses. Scand J Med Sci Sports. 2020 May;30(5):816-827. </w:t>
      </w:r>
      <w:proofErr w:type="spellStart"/>
      <w:r>
        <w:t>doi</w:t>
      </w:r>
      <w:proofErr w:type="spellEnd"/>
      <w:r>
        <w:t xml:space="preserve">: 10.1111/sms.13616. </w:t>
      </w:r>
      <w:proofErr w:type="spellStart"/>
      <w:r>
        <w:t>Epub</w:t>
      </w:r>
      <w:proofErr w:type="spellEnd"/>
      <w:r>
        <w:t xml:space="preserve"> 2020 Feb 4. PMID: 32020713.</w:t>
      </w:r>
    </w:p>
    <w:p w14:paraId="7A4C30D9" w14:textId="77777777" w:rsidR="00E13D3F" w:rsidRDefault="00FB2D6A" w:rsidP="00990D2B">
      <w:pPr>
        <w:pStyle w:val="ListParagraph"/>
        <w:numPr>
          <w:ilvl w:val="0"/>
          <w:numId w:val="29"/>
        </w:numPr>
        <w:tabs>
          <w:tab w:val="left" w:pos="1798"/>
          <w:tab w:val="left" w:pos="1800"/>
        </w:tabs>
        <w:spacing w:line="276" w:lineRule="auto"/>
        <w:ind w:right="1471"/>
      </w:pPr>
      <w:r>
        <w:t>Cancer</w:t>
      </w:r>
      <w:r>
        <w:rPr>
          <w:spacing w:val="-2"/>
        </w:rPr>
        <w:t xml:space="preserve"> </w:t>
      </w:r>
      <w:r>
        <w:t>Australia.</w:t>
      </w:r>
      <w:r>
        <w:rPr>
          <w:spacing w:val="-5"/>
        </w:rPr>
        <w:t xml:space="preserve"> </w:t>
      </w:r>
      <w:r>
        <w:t>Cancer</w:t>
      </w:r>
      <w:r>
        <w:rPr>
          <w:spacing w:val="-2"/>
        </w:rPr>
        <w:t xml:space="preserve"> </w:t>
      </w:r>
      <w:r>
        <w:t>Australia</w:t>
      </w:r>
      <w:r>
        <w:rPr>
          <w:spacing w:val="-2"/>
        </w:rPr>
        <w:t xml:space="preserve"> </w:t>
      </w:r>
      <w:r>
        <w:t>position</w:t>
      </w:r>
      <w:r>
        <w:rPr>
          <w:spacing w:val="-3"/>
        </w:rPr>
        <w:t xml:space="preserve"> </w:t>
      </w:r>
      <w:r>
        <w:t>statements.</w:t>
      </w:r>
      <w:r>
        <w:rPr>
          <w:spacing w:val="40"/>
        </w:rPr>
        <w:t xml:space="preserve"> </w:t>
      </w:r>
      <w:r>
        <w:t>Surrey</w:t>
      </w:r>
      <w:r>
        <w:rPr>
          <w:spacing w:val="-4"/>
        </w:rPr>
        <w:t xml:space="preserve"> </w:t>
      </w:r>
      <w:r>
        <w:t>Hills,</w:t>
      </w:r>
      <w:r>
        <w:rPr>
          <w:spacing w:val="-2"/>
        </w:rPr>
        <w:t xml:space="preserve"> </w:t>
      </w:r>
      <w:r>
        <w:t>NSQ:</w:t>
      </w:r>
      <w:r>
        <w:rPr>
          <w:spacing w:val="-4"/>
        </w:rPr>
        <w:t xml:space="preserve"> </w:t>
      </w:r>
      <w:r>
        <w:t>Cancer</w:t>
      </w:r>
      <w:r>
        <w:rPr>
          <w:spacing w:val="-2"/>
        </w:rPr>
        <w:t xml:space="preserve"> </w:t>
      </w:r>
      <w:r>
        <w:t>Australia,</w:t>
      </w:r>
      <w:r>
        <w:rPr>
          <w:spacing w:val="-4"/>
        </w:rPr>
        <w:t xml:space="preserve"> </w:t>
      </w:r>
      <w:r>
        <w:t xml:space="preserve">2016 </w:t>
      </w:r>
      <w:r>
        <w:rPr>
          <w:spacing w:val="-2"/>
        </w:rPr>
        <w:t>position-statements/lifestyle-risk-factors-and-primaryprevention-cancer.</w:t>
      </w:r>
    </w:p>
    <w:p w14:paraId="7A4C30DA" w14:textId="77777777" w:rsidR="00E13D3F" w:rsidRDefault="00FB2D6A" w:rsidP="00990D2B">
      <w:pPr>
        <w:pStyle w:val="ListParagraph"/>
        <w:numPr>
          <w:ilvl w:val="0"/>
          <w:numId w:val="29"/>
        </w:numPr>
        <w:tabs>
          <w:tab w:val="left" w:pos="1798"/>
          <w:tab w:val="left" w:pos="1800"/>
        </w:tabs>
        <w:spacing w:before="1" w:line="276" w:lineRule="auto"/>
        <w:ind w:right="1532"/>
      </w:pPr>
      <w:r>
        <w:t>Lloyd</w:t>
      </w:r>
      <w:r>
        <w:rPr>
          <w:spacing w:val="-3"/>
        </w:rPr>
        <w:t xml:space="preserve"> </w:t>
      </w:r>
      <w:r>
        <w:t>LJ,</w:t>
      </w:r>
      <w:r>
        <w:rPr>
          <w:spacing w:val="-4"/>
        </w:rPr>
        <w:t xml:space="preserve"> </w:t>
      </w:r>
      <w:r>
        <w:t>Langley-Evans</w:t>
      </w:r>
      <w:r>
        <w:rPr>
          <w:spacing w:val="-5"/>
        </w:rPr>
        <w:t xml:space="preserve"> </w:t>
      </w:r>
      <w:r>
        <w:t>SC,</w:t>
      </w:r>
      <w:r>
        <w:rPr>
          <w:spacing w:val="-4"/>
        </w:rPr>
        <w:t xml:space="preserve"> </w:t>
      </w:r>
      <w:r>
        <w:t>McMullen</w:t>
      </w:r>
      <w:r>
        <w:rPr>
          <w:spacing w:val="-2"/>
        </w:rPr>
        <w:t xml:space="preserve"> </w:t>
      </w:r>
      <w:r>
        <w:t>S.</w:t>
      </w:r>
      <w:r>
        <w:rPr>
          <w:spacing w:val="-3"/>
        </w:rPr>
        <w:t xml:space="preserve"> </w:t>
      </w:r>
      <w:r>
        <w:t>Childhood</w:t>
      </w:r>
      <w:r>
        <w:rPr>
          <w:spacing w:val="-3"/>
        </w:rPr>
        <w:t xml:space="preserve"> </w:t>
      </w:r>
      <w:r>
        <w:t>obesity</w:t>
      </w:r>
      <w:r>
        <w:rPr>
          <w:spacing w:val="-3"/>
        </w:rPr>
        <w:t xml:space="preserve"> </w:t>
      </w:r>
      <w:r>
        <w:t>and</w:t>
      </w:r>
      <w:r>
        <w:rPr>
          <w:spacing w:val="-4"/>
        </w:rPr>
        <w:t xml:space="preserve"> </w:t>
      </w:r>
      <w:r>
        <w:t>adult</w:t>
      </w:r>
      <w:r>
        <w:rPr>
          <w:spacing w:val="-2"/>
        </w:rPr>
        <w:t xml:space="preserve"> </w:t>
      </w:r>
      <w:r>
        <w:t>cardiovascular</w:t>
      </w:r>
      <w:r>
        <w:rPr>
          <w:spacing w:val="-3"/>
        </w:rPr>
        <w:t xml:space="preserve"> </w:t>
      </w:r>
      <w:r>
        <w:t>disease</w:t>
      </w:r>
      <w:r>
        <w:rPr>
          <w:spacing w:val="-4"/>
        </w:rPr>
        <w:t xml:space="preserve"> </w:t>
      </w:r>
      <w:r>
        <w:t xml:space="preserve">risk: a systematic review. Int J </w:t>
      </w:r>
      <w:proofErr w:type="spellStart"/>
      <w:r>
        <w:t>Obes</w:t>
      </w:r>
      <w:proofErr w:type="spellEnd"/>
      <w:r>
        <w:t xml:space="preserve"> (Lond). 2010</w:t>
      </w:r>
      <w:r>
        <w:rPr>
          <w:spacing w:val="40"/>
        </w:rPr>
        <w:t xml:space="preserve"> </w:t>
      </w:r>
      <w:r>
        <w:t xml:space="preserve">Jan;34(1):18-28. </w:t>
      </w:r>
      <w:proofErr w:type="spellStart"/>
      <w:r>
        <w:t>doi</w:t>
      </w:r>
      <w:proofErr w:type="spellEnd"/>
      <w:r>
        <w:t xml:space="preserve">: 10.1038/ijo.2009.61. </w:t>
      </w:r>
      <w:proofErr w:type="spellStart"/>
      <w:r>
        <w:t>Epub</w:t>
      </w:r>
      <w:proofErr w:type="spellEnd"/>
      <w:r>
        <w:t xml:space="preserve"> 2009 May 12. PMID: 19434067.</w:t>
      </w:r>
    </w:p>
    <w:p w14:paraId="7A4C30DB" w14:textId="77777777" w:rsidR="00E13D3F" w:rsidRDefault="00FB2D6A" w:rsidP="00990D2B">
      <w:pPr>
        <w:pStyle w:val="ListParagraph"/>
        <w:numPr>
          <w:ilvl w:val="0"/>
          <w:numId w:val="29"/>
        </w:numPr>
        <w:tabs>
          <w:tab w:val="left" w:pos="1798"/>
          <w:tab w:val="left" w:pos="1800"/>
        </w:tabs>
        <w:spacing w:line="276" w:lineRule="auto"/>
        <w:ind w:right="1634"/>
      </w:pPr>
      <w:r>
        <w:t>Australian</w:t>
      </w:r>
      <w:r>
        <w:rPr>
          <w:spacing w:val="-2"/>
        </w:rPr>
        <w:t xml:space="preserve"> </w:t>
      </w:r>
      <w:r>
        <w:t>Institute</w:t>
      </w:r>
      <w:r>
        <w:rPr>
          <w:spacing w:val="-3"/>
        </w:rPr>
        <w:t xml:space="preserve"> </w:t>
      </w:r>
      <w:r>
        <w:t>of</w:t>
      </w:r>
      <w:r>
        <w:rPr>
          <w:spacing w:val="-4"/>
        </w:rPr>
        <w:t xml:space="preserve"> </w:t>
      </w:r>
      <w:r>
        <w:t>Health</w:t>
      </w:r>
      <w:r>
        <w:rPr>
          <w:spacing w:val="-1"/>
        </w:rPr>
        <w:t xml:space="preserve"> </w:t>
      </w:r>
      <w:r>
        <w:t>and</w:t>
      </w:r>
      <w:r>
        <w:rPr>
          <w:spacing w:val="-2"/>
        </w:rPr>
        <w:t xml:space="preserve"> </w:t>
      </w:r>
      <w:r>
        <w:t>Welfare</w:t>
      </w:r>
      <w:r>
        <w:rPr>
          <w:spacing w:val="-3"/>
        </w:rPr>
        <w:t xml:space="preserve"> </w:t>
      </w:r>
      <w:r>
        <w:t>2017.</w:t>
      </w:r>
      <w:r>
        <w:rPr>
          <w:spacing w:val="-1"/>
        </w:rPr>
        <w:t xml:space="preserve"> </w:t>
      </w:r>
      <w:r>
        <w:t>Impact of</w:t>
      </w:r>
      <w:r>
        <w:rPr>
          <w:spacing w:val="-4"/>
        </w:rPr>
        <w:t xml:space="preserve"> </w:t>
      </w:r>
      <w:r>
        <w:t>physical</w:t>
      </w:r>
      <w:r>
        <w:rPr>
          <w:spacing w:val="-4"/>
        </w:rPr>
        <w:t xml:space="preserve"> </w:t>
      </w:r>
      <w:r>
        <w:t>inactivity</w:t>
      </w:r>
      <w:r>
        <w:rPr>
          <w:spacing w:val="-3"/>
        </w:rPr>
        <w:t xml:space="preserve"> </w:t>
      </w:r>
      <w:r>
        <w:t>as</w:t>
      </w:r>
      <w:r>
        <w:rPr>
          <w:spacing w:val="-1"/>
        </w:rPr>
        <w:t xml:space="preserve"> </w:t>
      </w:r>
      <w:r>
        <w:t>a</w:t>
      </w:r>
      <w:r>
        <w:rPr>
          <w:spacing w:val="-4"/>
        </w:rPr>
        <w:t xml:space="preserve"> </w:t>
      </w:r>
      <w:r>
        <w:t>risk</w:t>
      </w:r>
      <w:r>
        <w:rPr>
          <w:spacing w:val="-1"/>
        </w:rPr>
        <w:t xml:space="preserve"> </w:t>
      </w:r>
      <w:r>
        <w:t>factor</w:t>
      </w:r>
      <w:r>
        <w:rPr>
          <w:spacing w:val="-4"/>
        </w:rPr>
        <w:t xml:space="preserve"> </w:t>
      </w:r>
      <w:r>
        <w:t>for chronic conditions: Australian Burden of Disease Study. Australian Burden of Disease Study series no. 15. Cat. No. BOD 16. Canberra: AIHW.</w:t>
      </w:r>
    </w:p>
    <w:p w14:paraId="7A4C30DC" w14:textId="77777777" w:rsidR="00E13D3F" w:rsidRDefault="00FB2D6A" w:rsidP="00990D2B">
      <w:pPr>
        <w:pStyle w:val="ListParagraph"/>
        <w:numPr>
          <w:ilvl w:val="0"/>
          <w:numId w:val="29"/>
        </w:numPr>
        <w:tabs>
          <w:tab w:val="left" w:pos="1798"/>
          <w:tab w:val="left" w:pos="1800"/>
          <w:tab w:val="left" w:pos="7225"/>
        </w:tabs>
        <w:spacing w:line="276" w:lineRule="auto"/>
        <w:ind w:right="2092"/>
      </w:pPr>
      <w:proofErr w:type="spellStart"/>
      <w:r>
        <w:t>Palazón</w:t>
      </w:r>
      <w:proofErr w:type="spellEnd"/>
      <w:r>
        <w:t>-Bru,</w:t>
      </w:r>
      <w:r>
        <w:rPr>
          <w:spacing w:val="-1"/>
        </w:rPr>
        <w:t xml:space="preserve"> </w:t>
      </w:r>
      <w:r>
        <w:t>A.,</w:t>
      </w:r>
      <w:r>
        <w:rPr>
          <w:spacing w:val="-5"/>
        </w:rPr>
        <w:t xml:space="preserve"> </w:t>
      </w:r>
      <w:r>
        <w:t>Hernández-Lozano,</w:t>
      </w:r>
      <w:r>
        <w:rPr>
          <w:spacing w:val="-2"/>
        </w:rPr>
        <w:t xml:space="preserve"> </w:t>
      </w:r>
      <w:r>
        <w:t>D.</w:t>
      </w:r>
      <w:r>
        <w:rPr>
          <w:spacing w:val="-5"/>
        </w:rPr>
        <w:t xml:space="preserve"> </w:t>
      </w:r>
      <w:r>
        <w:t>and</w:t>
      </w:r>
      <w:r>
        <w:rPr>
          <w:spacing w:val="-4"/>
        </w:rPr>
        <w:t xml:space="preserve"> </w:t>
      </w:r>
      <w:r>
        <w:t>Gil-Guillén,</w:t>
      </w:r>
      <w:r>
        <w:rPr>
          <w:spacing w:val="-5"/>
        </w:rPr>
        <w:t xml:space="preserve"> </w:t>
      </w:r>
      <w:r>
        <w:t>V.</w:t>
      </w:r>
      <w:r>
        <w:rPr>
          <w:spacing w:val="-2"/>
        </w:rPr>
        <w:t xml:space="preserve"> </w:t>
      </w:r>
      <w:r>
        <w:t>F.</w:t>
      </w:r>
      <w:r>
        <w:rPr>
          <w:spacing w:val="-3"/>
        </w:rPr>
        <w:t xml:space="preserve"> </w:t>
      </w:r>
      <w:r>
        <w:t>2021.</w:t>
      </w:r>
      <w:r>
        <w:rPr>
          <w:spacing w:val="-2"/>
        </w:rPr>
        <w:t xml:space="preserve"> </w:t>
      </w:r>
      <w:r>
        <w:t>Which</w:t>
      </w:r>
      <w:r>
        <w:rPr>
          <w:spacing w:val="-5"/>
        </w:rPr>
        <w:t xml:space="preserve"> </w:t>
      </w:r>
      <w:r>
        <w:t>Physical</w:t>
      </w:r>
      <w:r>
        <w:rPr>
          <w:spacing w:val="-4"/>
        </w:rPr>
        <w:t xml:space="preserve"> </w:t>
      </w:r>
      <w:r>
        <w:t>Exercise Interventions Increase HDL-Cholesterol Levels? A</w:t>
      </w:r>
      <w:r>
        <w:tab/>
        <w:t>Systematic Review of Meta-analyses of Randomized Controlled Trials. Sports Med, 51, 243-253.</w:t>
      </w:r>
    </w:p>
    <w:p w14:paraId="7A4C30DD" w14:textId="77777777" w:rsidR="00E13D3F" w:rsidRDefault="00FB2D6A" w:rsidP="00990D2B">
      <w:pPr>
        <w:pStyle w:val="ListParagraph"/>
        <w:numPr>
          <w:ilvl w:val="0"/>
          <w:numId w:val="29"/>
        </w:numPr>
        <w:tabs>
          <w:tab w:val="left" w:pos="1798"/>
          <w:tab w:val="left" w:pos="1800"/>
        </w:tabs>
        <w:spacing w:line="276" w:lineRule="auto"/>
        <w:ind w:right="1434"/>
      </w:pPr>
      <w:r>
        <w:t>Pescatello, L. S., Buchner, D. M., Jakicic, J. M., Powell, K. E., Kraus, W. E., Bloodgood, B.,</w:t>
      </w:r>
      <w:r>
        <w:rPr>
          <w:spacing w:val="40"/>
        </w:rPr>
        <w:t xml:space="preserve"> </w:t>
      </w:r>
      <w:r>
        <w:t>Campbell,</w:t>
      </w:r>
      <w:r>
        <w:rPr>
          <w:spacing w:val="-1"/>
        </w:rPr>
        <w:t xml:space="preserve"> </w:t>
      </w:r>
      <w:r>
        <w:t>W. W.,</w:t>
      </w:r>
      <w:r>
        <w:rPr>
          <w:spacing w:val="-1"/>
        </w:rPr>
        <w:t xml:space="preserve"> </w:t>
      </w:r>
      <w:r>
        <w:t>Dietz, S.,</w:t>
      </w:r>
      <w:r>
        <w:rPr>
          <w:spacing w:val="-2"/>
        </w:rPr>
        <w:t xml:space="preserve"> </w:t>
      </w:r>
      <w:r>
        <w:t>Dipietro,</w:t>
      </w:r>
      <w:r>
        <w:rPr>
          <w:spacing w:val="-1"/>
        </w:rPr>
        <w:t xml:space="preserve"> </w:t>
      </w:r>
      <w:r>
        <w:t>L., George,</w:t>
      </w:r>
      <w:r>
        <w:rPr>
          <w:spacing w:val="-1"/>
        </w:rPr>
        <w:t xml:space="preserve"> </w:t>
      </w:r>
      <w:r>
        <w:t>S. M.,</w:t>
      </w:r>
      <w:r>
        <w:rPr>
          <w:spacing w:val="-4"/>
        </w:rPr>
        <w:t xml:space="preserve"> </w:t>
      </w:r>
      <w:r>
        <w:t>Macko,</w:t>
      </w:r>
      <w:r>
        <w:rPr>
          <w:spacing w:val="-1"/>
        </w:rPr>
        <w:t xml:space="preserve"> </w:t>
      </w:r>
      <w:r>
        <w:t xml:space="preserve">R. F., </w:t>
      </w:r>
      <w:proofErr w:type="spellStart"/>
      <w:r>
        <w:t>Mctiernan</w:t>
      </w:r>
      <w:proofErr w:type="spellEnd"/>
      <w:r>
        <w:t>,</w:t>
      </w:r>
      <w:r>
        <w:rPr>
          <w:spacing w:val="-2"/>
        </w:rPr>
        <w:t xml:space="preserve"> </w:t>
      </w:r>
      <w:r>
        <w:t>A., Pate, R.</w:t>
      </w:r>
      <w:r>
        <w:rPr>
          <w:spacing w:val="-2"/>
        </w:rPr>
        <w:t xml:space="preserve"> </w:t>
      </w:r>
      <w:r>
        <w:t>R. and Piercy,</w:t>
      </w:r>
      <w:r>
        <w:rPr>
          <w:spacing w:val="-4"/>
        </w:rPr>
        <w:t xml:space="preserve"> </w:t>
      </w:r>
      <w:r>
        <w:t>K.</w:t>
      </w:r>
      <w:r>
        <w:rPr>
          <w:spacing w:val="-2"/>
        </w:rPr>
        <w:t xml:space="preserve"> </w:t>
      </w:r>
      <w:r>
        <w:t>L.</w:t>
      </w:r>
      <w:r>
        <w:rPr>
          <w:spacing w:val="-5"/>
        </w:rPr>
        <w:t xml:space="preserve"> </w:t>
      </w:r>
      <w:r>
        <w:t>2019.</w:t>
      </w:r>
      <w:r>
        <w:rPr>
          <w:spacing w:val="-5"/>
        </w:rPr>
        <w:t xml:space="preserve"> </w:t>
      </w:r>
      <w:r>
        <w:t>Physical</w:t>
      </w:r>
      <w:r>
        <w:rPr>
          <w:spacing w:val="-5"/>
        </w:rPr>
        <w:t xml:space="preserve"> </w:t>
      </w:r>
      <w:r>
        <w:t>Activity</w:t>
      </w:r>
      <w:r>
        <w:rPr>
          <w:spacing w:val="-2"/>
        </w:rPr>
        <w:t xml:space="preserve"> </w:t>
      </w:r>
      <w:r>
        <w:t>to</w:t>
      </w:r>
      <w:r>
        <w:rPr>
          <w:spacing w:val="-3"/>
        </w:rPr>
        <w:t xml:space="preserve"> </w:t>
      </w:r>
      <w:r>
        <w:t>Prevent</w:t>
      </w:r>
      <w:r>
        <w:rPr>
          <w:spacing w:val="-5"/>
        </w:rPr>
        <w:t xml:space="preserve"> </w:t>
      </w:r>
      <w:r>
        <w:t>and</w:t>
      </w:r>
      <w:r>
        <w:rPr>
          <w:spacing w:val="-4"/>
        </w:rPr>
        <w:t xml:space="preserve"> </w:t>
      </w:r>
      <w:r>
        <w:t>Treat</w:t>
      </w:r>
      <w:r>
        <w:rPr>
          <w:spacing w:val="-2"/>
        </w:rPr>
        <w:t xml:space="preserve"> </w:t>
      </w:r>
      <w:r>
        <w:t>Hypertension:</w:t>
      </w:r>
      <w:r>
        <w:rPr>
          <w:spacing w:val="-2"/>
        </w:rPr>
        <w:t xml:space="preserve"> </w:t>
      </w:r>
      <w:r>
        <w:t>A Systematic</w:t>
      </w:r>
      <w:r>
        <w:rPr>
          <w:spacing w:val="-2"/>
        </w:rPr>
        <w:t xml:space="preserve"> </w:t>
      </w:r>
      <w:r>
        <w:t>Review.</w:t>
      </w:r>
      <w:r>
        <w:rPr>
          <w:spacing w:val="-4"/>
        </w:rPr>
        <w:t xml:space="preserve"> </w:t>
      </w:r>
      <w:r>
        <w:t xml:space="preserve">Med Sci Sports </w:t>
      </w:r>
      <w:proofErr w:type="spellStart"/>
      <w:r>
        <w:t>Exerc</w:t>
      </w:r>
      <w:proofErr w:type="spellEnd"/>
      <w:r>
        <w:t>, 51, 1314-1323.</w:t>
      </w:r>
    </w:p>
    <w:p w14:paraId="7A4C30DE" w14:textId="77777777" w:rsidR="00E13D3F" w:rsidRDefault="00FB2D6A" w:rsidP="00990D2B">
      <w:pPr>
        <w:pStyle w:val="ListParagraph"/>
        <w:numPr>
          <w:ilvl w:val="0"/>
          <w:numId w:val="29"/>
        </w:numPr>
        <w:tabs>
          <w:tab w:val="left" w:pos="1798"/>
          <w:tab w:val="left" w:pos="1800"/>
        </w:tabs>
        <w:spacing w:before="1" w:line="276" w:lineRule="auto"/>
        <w:ind w:right="1789"/>
      </w:pPr>
      <w:r>
        <w:t xml:space="preserve">Saco-Ledo, G., Valenzuela, P. L., Ruiz-Hurtado, G., </w:t>
      </w:r>
      <w:proofErr w:type="spellStart"/>
      <w:r>
        <w:t>Ruilope</w:t>
      </w:r>
      <w:proofErr w:type="spellEnd"/>
      <w:r>
        <w:t>, L. M. &amp; Lucia, A. 2020. Exercise Reduces</w:t>
      </w:r>
      <w:r>
        <w:rPr>
          <w:spacing w:val="-2"/>
        </w:rPr>
        <w:t xml:space="preserve"> </w:t>
      </w:r>
      <w:r>
        <w:t>Ambulatory</w:t>
      </w:r>
      <w:r>
        <w:rPr>
          <w:spacing w:val="-4"/>
        </w:rPr>
        <w:t xml:space="preserve"> </w:t>
      </w:r>
      <w:r>
        <w:t>Blood</w:t>
      </w:r>
      <w:r>
        <w:rPr>
          <w:spacing w:val="-6"/>
        </w:rPr>
        <w:t xml:space="preserve"> </w:t>
      </w:r>
      <w:r>
        <w:t>Pressure</w:t>
      </w:r>
      <w:r>
        <w:rPr>
          <w:spacing w:val="-2"/>
        </w:rPr>
        <w:t xml:space="preserve"> </w:t>
      </w:r>
      <w:r>
        <w:t>in</w:t>
      </w:r>
      <w:r>
        <w:rPr>
          <w:spacing w:val="-6"/>
        </w:rPr>
        <w:t xml:space="preserve"> </w:t>
      </w:r>
      <w:r>
        <w:t>Patients</w:t>
      </w:r>
      <w:r>
        <w:rPr>
          <w:spacing w:val="-4"/>
        </w:rPr>
        <w:t xml:space="preserve"> </w:t>
      </w:r>
      <w:r>
        <w:t>With</w:t>
      </w:r>
      <w:r>
        <w:rPr>
          <w:spacing w:val="-5"/>
        </w:rPr>
        <w:t xml:space="preserve"> </w:t>
      </w:r>
      <w:r>
        <w:t>Hypertension:</w:t>
      </w:r>
      <w:r>
        <w:rPr>
          <w:spacing w:val="-4"/>
        </w:rPr>
        <w:t xml:space="preserve"> </w:t>
      </w:r>
      <w:r>
        <w:t>A</w:t>
      </w:r>
      <w:r>
        <w:rPr>
          <w:spacing w:val="-2"/>
        </w:rPr>
        <w:t xml:space="preserve"> </w:t>
      </w:r>
      <w:r>
        <w:t>Systematic</w:t>
      </w:r>
      <w:r>
        <w:rPr>
          <w:spacing w:val="-2"/>
        </w:rPr>
        <w:t xml:space="preserve"> </w:t>
      </w:r>
      <w:r>
        <w:t>Review</w:t>
      </w:r>
      <w:r>
        <w:rPr>
          <w:spacing w:val="-1"/>
        </w:rPr>
        <w:t xml:space="preserve"> </w:t>
      </w:r>
      <w:r>
        <w:t>and Meta-Analysis of Randomized Controlled Trials. J Am Heart Assoc, 9, e018487.</w:t>
      </w:r>
    </w:p>
    <w:p w14:paraId="7A4C30DF" w14:textId="77777777" w:rsidR="00E13D3F" w:rsidRDefault="00FB2D6A" w:rsidP="00990D2B">
      <w:pPr>
        <w:pStyle w:val="ListParagraph"/>
        <w:numPr>
          <w:ilvl w:val="0"/>
          <w:numId w:val="29"/>
        </w:numPr>
        <w:tabs>
          <w:tab w:val="left" w:pos="1798"/>
          <w:tab w:val="left" w:pos="1800"/>
        </w:tabs>
        <w:spacing w:line="276" w:lineRule="auto"/>
        <w:ind w:right="1494"/>
      </w:pPr>
      <w:r>
        <w:t xml:space="preserve">Stensvold, D., Viken, H., </w:t>
      </w:r>
      <w:proofErr w:type="spellStart"/>
      <w:r>
        <w:t>Steinshamn</w:t>
      </w:r>
      <w:proofErr w:type="spellEnd"/>
      <w:r>
        <w:t xml:space="preserve">, S. L., Dalen, H., Støylen, A., </w:t>
      </w:r>
      <w:proofErr w:type="spellStart"/>
      <w:r>
        <w:t>Loennechen</w:t>
      </w:r>
      <w:proofErr w:type="spellEnd"/>
      <w:r>
        <w:t xml:space="preserve">, J. P., </w:t>
      </w:r>
      <w:proofErr w:type="spellStart"/>
      <w:r>
        <w:t>Reitlo</w:t>
      </w:r>
      <w:proofErr w:type="spellEnd"/>
      <w:r>
        <w:t>, L. S., Zisko,</w:t>
      </w:r>
      <w:r>
        <w:rPr>
          <w:spacing w:val="-4"/>
        </w:rPr>
        <w:t xml:space="preserve"> </w:t>
      </w:r>
      <w:r>
        <w:t>N.,</w:t>
      </w:r>
      <w:r>
        <w:rPr>
          <w:spacing w:val="-1"/>
        </w:rPr>
        <w:t xml:space="preserve"> </w:t>
      </w:r>
      <w:proofErr w:type="spellStart"/>
      <w:r>
        <w:t>Bækkerud</w:t>
      </w:r>
      <w:proofErr w:type="spellEnd"/>
      <w:r>
        <w:t>,</w:t>
      </w:r>
      <w:r>
        <w:rPr>
          <w:spacing w:val="-1"/>
        </w:rPr>
        <w:t xml:space="preserve"> </w:t>
      </w:r>
      <w:r>
        <w:t>F.</w:t>
      </w:r>
      <w:r>
        <w:rPr>
          <w:spacing w:val="-1"/>
        </w:rPr>
        <w:t xml:space="preserve"> </w:t>
      </w:r>
      <w:r>
        <w:t>H.,</w:t>
      </w:r>
      <w:r>
        <w:rPr>
          <w:spacing w:val="-4"/>
        </w:rPr>
        <w:t xml:space="preserve"> </w:t>
      </w:r>
      <w:r>
        <w:t>Tari,</w:t>
      </w:r>
      <w:r>
        <w:rPr>
          <w:spacing w:val="-1"/>
        </w:rPr>
        <w:t xml:space="preserve"> </w:t>
      </w:r>
      <w:r>
        <w:t>A.</w:t>
      </w:r>
      <w:r>
        <w:rPr>
          <w:spacing w:val="-2"/>
        </w:rPr>
        <w:t xml:space="preserve"> </w:t>
      </w:r>
      <w:r>
        <w:t>R.,</w:t>
      </w:r>
      <w:r>
        <w:rPr>
          <w:spacing w:val="-1"/>
        </w:rPr>
        <w:t xml:space="preserve"> </w:t>
      </w:r>
      <w:r>
        <w:t>Sandbakk,</w:t>
      </w:r>
      <w:r>
        <w:rPr>
          <w:spacing w:val="-1"/>
        </w:rPr>
        <w:t xml:space="preserve"> </w:t>
      </w:r>
      <w:r>
        <w:t>S.</w:t>
      </w:r>
      <w:r>
        <w:rPr>
          <w:spacing w:val="-2"/>
        </w:rPr>
        <w:t xml:space="preserve"> </w:t>
      </w:r>
      <w:r>
        <w:t>B.,</w:t>
      </w:r>
      <w:r>
        <w:rPr>
          <w:spacing w:val="-3"/>
        </w:rPr>
        <w:t xml:space="preserve"> </w:t>
      </w:r>
      <w:r>
        <w:t>Carlsen,</w:t>
      </w:r>
      <w:r>
        <w:rPr>
          <w:spacing w:val="-1"/>
        </w:rPr>
        <w:t xml:space="preserve"> </w:t>
      </w:r>
      <w:r>
        <w:t>T.,</w:t>
      </w:r>
      <w:r>
        <w:rPr>
          <w:spacing w:val="-4"/>
        </w:rPr>
        <w:t xml:space="preserve"> </w:t>
      </w:r>
      <w:r>
        <w:t>Ingebrigtsen,</w:t>
      </w:r>
      <w:r>
        <w:rPr>
          <w:spacing w:val="-1"/>
        </w:rPr>
        <w:t xml:space="preserve"> </w:t>
      </w:r>
      <w:r>
        <w:t>J.</w:t>
      </w:r>
      <w:r>
        <w:rPr>
          <w:spacing w:val="-4"/>
        </w:rPr>
        <w:t xml:space="preserve"> </w:t>
      </w:r>
      <w:r>
        <w:t>E.,</w:t>
      </w:r>
      <w:r>
        <w:rPr>
          <w:spacing w:val="-1"/>
        </w:rPr>
        <w:t xml:space="preserve"> </w:t>
      </w:r>
      <w:r>
        <w:t>Lydersen,</w:t>
      </w:r>
      <w:r>
        <w:rPr>
          <w:spacing w:val="-1"/>
        </w:rPr>
        <w:t xml:space="preserve"> </w:t>
      </w:r>
      <w:r>
        <w:t xml:space="preserve">S., Mattsson, E., Anderssen, S. A., </w:t>
      </w:r>
      <w:proofErr w:type="spellStart"/>
      <w:r>
        <w:t>Fiatarone</w:t>
      </w:r>
      <w:proofErr w:type="spellEnd"/>
      <w:r>
        <w:t xml:space="preserve"> Singh, M. A., Coombes, J. S., Skogvoll, E., </w:t>
      </w:r>
      <w:proofErr w:type="spellStart"/>
      <w:r>
        <w:t>Vatten</w:t>
      </w:r>
      <w:proofErr w:type="spellEnd"/>
      <w:r>
        <w:t xml:space="preserve">, L. J., </w:t>
      </w:r>
      <w:proofErr w:type="spellStart"/>
      <w:r>
        <w:t>Helbostad</w:t>
      </w:r>
      <w:proofErr w:type="spellEnd"/>
      <w:r>
        <w:t xml:space="preserve">, J. L., Rognmo, Ø. and Wisløff, U. 2020. Effect of exercise training for five years on </w:t>
      </w:r>
      <w:proofErr w:type="spellStart"/>
      <w:r>
        <w:t>all cause</w:t>
      </w:r>
      <w:proofErr w:type="spellEnd"/>
      <w:r>
        <w:t xml:space="preserve"> mortality in</w:t>
      </w:r>
      <w:r>
        <w:rPr>
          <w:spacing w:val="-1"/>
        </w:rPr>
        <w:t xml:space="preserve"> </w:t>
      </w:r>
      <w:r>
        <w:t xml:space="preserve">older adults-the Generation 100 study: </w:t>
      </w:r>
      <w:proofErr w:type="spellStart"/>
      <w:r>
        <w:t>randomised</w:t>
      </w:r>
      <w:proofErr w:type="spellEnd"/>
      <w:r>
        <w:t xml:space="preserve"> controlled trial. </w:t>
      </w:r>
      <w:proofErr w:type="spellStart"/>
      <w:r>
        <w:t>Bmj</w:t>
      </w:r>
      <w:proofErr w:type="spellEnd"/>
      <w:r>
        <w:t xml:space="preserve">, 371, </w:t>
      </w:r>
      <w:r>
        <w:rPr>
          <w:spacing w:val="-2"/>
        </w:rPr>
        <w:t>m3485.</w:t>
      </w:r>
    </w:p>
    <w:p w14:paraId="7A4C30E0" w14:textId="77777777" w:rsidR="00E13D3F" w:rsidRDefault="00FB2D6A" w:rsidP="00990D2B">
      <w:pPr>
        <w:pStyle w:val="ListParagraph"/>
        <w:numPr>
          <w:ilvl w:val="0"/>
          <w:numId w:val="29"/>
        </w:numPr>
        <w:tabs>
          <w:tab w:val="left" w:pos="1798"/>
          <w:tab w:val="left" w:pos="1800"/>
        </w:tabs>
        <w:spacing w:line="276" w:lineRule="auto"/>
        <w:ind w:right="1655"/>
      </w:pPr>
      <w:proofErr w:type="spellStart"/>
      <w:r>
        <w:t>Dautzenberg</w:t>
      </w:r>
      <w:proofErr w:type="spellEnd"/>
      <w:r>
        <w:t xml:space="preserve"> L, Beglinger S, </w:t>
      </w:r>
      <w:proofErr w:type="spellStart"/>
      <w:r>
        <w:t>Tsokani</w:t>
      </w:r>
      <w:proofErr w:type="spellEnd"/>
      <w:r>
        <w:t xml:space="preserve"> S, </w:t>
      </w:r>
      <w:proofErr w:type="spellStart"/>
      <w:r>
        <w:t>Zevgiti</w:t>
      </w:r>
      <w:proofErr w:type="spellEnd"/>
      <w:r>
        <w:t xml:space="preserve"> S, </w:t>
      </w:r>
      <w:proofErr w:type="spellStart"/>
      <w:r>
        <w:t>Raijmann</w:t>
      </w:r>
      <w:proofErr w:type="spellEnd"/>
      <w:r>
        <w:t xml:space="preserve"> RCMA, </w:t>
      </w:r>
      <w:proofErr w:type="spellStart"/>
      <w:r>
        <w:t>Rodondi</w:t>
      </w:r>
      <w:proofErr w:type="spellEnd"/>
      <w:r>
        <w:t xml:space="preserve"> N, Scholten RJPM, </w:t>
      </w:r>
      <w:proofErr w:type="spellStart"/>
      <w:r>
        <w:t>Rutjes</w:t>
      </w:r>
      <w:proofErr w:type="spellEnd"/>
      <w:r>
        <w:t xml:space="preserve"> AWS,</w:t>
      </w:r>
      <w:r>
        <w:rPr>
          <w:spacing w:val="-1"/>
        </w:rPr>
        <w:t xml:space="preserve"> </w:t>
      </w:r>
      <w:r>
        <w:t>Di Nisio</w:t>
      </w:r>
      <w:r>
        <w:rPr>
          <w:spacing w:val="-1"/>
        </w:rPr>
        <w:t xml:space="preserve"> </w:t>
      </w:r>
      <w:r>
        <w:t>M,</w:t>
      </w:r>
      <w:r>
        <w:rPr>
          <w:spacing w:val="-2"/>
        </w:rPr>
        <w:t xml:space="preserve"> </w:t>
      </w:r>
      <w:proofErr w:type="spellStart"/>
      <w:r>
        <w:t>Emmelot</w:t>
      </w:r>
      <w:proofErr w:type="spellEnd"/>
      <w:r>
        <w:t>-Vonk</w:t>
      </w:r>
      <w:r>
        <w:rPr>
          <w:spacing w:val="-1"/>
        </w:rPr>
        <w:t xml:space="preserve"> </w:t>
      </w:r>
      <w:r>
        <w:t xml:space="preserve">M, </w:t>
      </w:r>
      <w:proofErr w:type="spellStart"/>
      <w:r>
        <w:t>Tricco</w:t>
      </w:r>
      <w:proofErr w:type="spellEnd"/>
      <w:r>
        <w:t xml:space="preserve"> AC, Straus SE,</w:t>
      </w:r>
      <w:r>
        <w:rPr>
          <w:spacing w:val="-1"/>
        </w:rPr>
        <w:t xml:space="preserve"> </w:t>
      </w:r>
      <w:r>
        <w:t>Thomas S,</w:t>
      </w:r>
      <w:r>
        <w:rPr>
          <w:spacing w:val="-2"/>
        </w:rPr>
        <w:t xml:space="preserve"> </w:t>
      </w:r>
      <w:r>
        <w:t>Bretagne L,</w:t>
      </w:r>
      <w:r>
        <w:rPr>
          <w:spacing w:val="-1"/>
        </w:rPr>
        <w:t xml:space="preserve"> </w:t>
      </w:r>
      <w:r>
        <w:t>Knol</w:t>
      </w:r>
      <w:r>
        <w:rPr>
          <w:spacing w:val="-1"/>
        </w:rPr>
        <w:t xml:space="preserve"> </w:t>
      </w:r>
      <w:r>
        <w:t>W, Mavridis</w:t>
      </w:r>
      <w:r>
        <w:rPr>
          <w:spacing w:val="-4"/>
        </w:rPr>
        <w:t xml:space="preserve"> </w:t>
      </w:r>
      <w:r>
        <w:t>D,</w:t>
      </w:r>
      <w:r>
        <w:rPr>
          <w:spacing w:val="-4"/>
        </w:rPr>
        <w:t xml:space="preserve"> </w:t>
      </w:r>
      <w:proofErr w:type="spellStart"/>
      <w:r>
        <w:t>Koek</w:t>
      </w:r>
      <w:proofErr w:type="spellEnd"/>
      <w:r>
        <w:rPr>
          <w:spacing w:val="-3"/>
        </w:rPr>
        <w:t xml:space="preserve"> </w:t>
      </w:r>
      <w:r>
        <w:t>HL.</w:t>
      </w:r>
      <w:r>
        <w:rPr>
          <w:spacing w:val="-1"/>
        </w:rPr>
        <w:t xml:space="preserve"> </w:t>
      </w:r>
      <w:r>
        <w:t>Interventions</w:t>
      </w:r>
      <w:r>
        <w:rPr>
          <w:spacing w:val="-1"/>
        </w:rPr>
        <w:t xml:space="preserve"> </w:t>
      </w:r>
      <w:r>
        <w:t>for</w:t>
      </w:r>
      <w:r>
        <w:rPr>
          <w:spacing w:val="-1"/>
        </w:rPr>
        <w:t xml:space="preserve"> </w:t>
      </w:r>
      <w:r>
        <w:t>preventing</w:t>
      </w:r>
      <w:r>
        <w:rPr>
          <w:spacing w:val="-2"/>
        </w:rPr>
        <w:t xml:space="preserve"> </w:t>
      </w:r>
      <w:r>
        <w:t>falls</w:t>
      </w:r>
      <w:r>
        <w:rPr>
          <w:spacing w:val="-4"/>
        </w:rPr>
        <w:t xml:space="preserve"> </w:t>
      </w:r>
      <w:r>
        <w:t>and</w:t>
      </w:r>
      <w:r>
        <w:rPr>
          <w:spacing w:val="-2"/>
        </w:rPr>
        <w:t xml:space="preserve"> </w:t>
      </w:r>
      <w:r>
        <w:t>fall-related</w:t>
      </w:r>
      <w:r>
        <w:rPr>
          <w:spacing w:val="-1"/>
        </w:rPr>
        <w:t xml:space="preserve"> </w:t>
      </w:r>
      <w:r>
        <w:t>fractures</w:t>
      </w:r>
      <w:r>
        <w:rPr>
          <w:spacing w:val="-4"/>
        </w:rPr>
        <w:t xml:space="preserve"> </w:t>
      </w:r>
      <w:r>
        <w:t>in</w:t>
      </w:r>
      <w:r>
        <w:rPr>
          <w:spacing w:val="-1"/>
        </w:rPr>
        <w:t xml:space="preserve"> </w:t>
      </w:r>
      <w:r>
        <w:t xml:space="preserve">community-dwelling older adults: A systematic review and network meta-analysis. J Am </w:t>
      </w:r>
      <w:proofErr w:type="spellStart"/>
      <w:r>
        <w:t>Geriatr</w:t>
      </w:r>
      <w:proofErr w:type="spellEnd"/>
      <w:r>
        <w:t xml:space="preserve"> Soc. 2021 Oct;69(10):2973-2984. </w:t>
      </w:r>
      <w:proofErr w:type="spellStart"/>
      <w:r>
        <w:t>doi</w:t>
      </w:r>
      <w:proofErr w:type="spellEnd"/>
      <w:r>
        <w:t xml:space="preserve">: 10.1111/jgs.17375. </w:t>
      </w:r>
      <w:proofErr w:type="spellStart"/>
      <w:r>
        <w:t>Epub</w:t>
      </w:r>
      <w:proofErr w:type="spellEnd"/>
      <w:r>
        <w:t xml:space="preserve"> 2021 Jul 28. PMID: 34318929; PMCID: </w:t>
      </w:r>
      <w:r>
        <w:rPr>
          <w:spacing w:val="-2"/>
        </w:rPr>
        <w:t>PMC8518387.</w:t>
      </w:r>
    </w:p>
    <w:p w14:paraId="7A4C30E1" w14:textId="77777777" w:rsidR="00E13D3F" w:rsidRDefault="00FB2D6A" w:rsidP="00990D2B">
      <w:pPr>
        <w:pStyle w:val="ListParagraph"/>
        <w:numPr>
          <w:ilvl w:val="0"/>
          <w:numId w:val="29"/>
        </w:numPr>
        <w:tabs>
          <w:tab w:val="left" w:pos="1798"/>
          <w:tab w:val="left" w:pos="1800"/>
        </w:tabs>
        <w:spacing w:line="280" w:lineRule="auto"/>
        <w:ind w:right="1498"/>
        <w:rPr>
          <w:sz w:val="24"/>
        </w:rPr>
      </w:pPr>
      <w:r>
        <w:t>National</w:t>
      </w:r>
      <w:r>
        <w:rPr>
          <w:spacing w:val="-3"/>
        </w:rPr>
        <w:t xml:space="preserve"> </w:t>
      </w:r>
      <w:r>
        <w:t>Aboriginal</w:t>
      </w:r>
      <w:r>
        <w:rPr>
          <w:spacing w:val="-6"/>
        </w:rPr>
        <w:t xml:space="preserve"> </w:t>
      </w:r>
      <w:r>
        <w:t>Community</w:t>
      </w:r>
      <w:r>
        <w:rPr>
          <w:spacing w:val="-3"/>
        </w:rPr>
        <w:t xml:space="preserve"> </w:t>
      </w:r>
      <w:r>
        <w:t>Controlled</w:t>
      </w:r>
      <w:r>
        <w:rPr>
          <w:spacing w:val="-3"/>
        </w:rPr>
        <w:t xml:space="preserve"> </w:t>
      </w:r>
      <w:r>
        <w:t>Health</w:t>
      </w:r>
      <w:r>
        <w:rPr>
          <w:spacing w:val="-6"/>
        </w:rPr>
        <w:t xml:space="preserve"> </w:t>
      </w:r>
      <w:r>
        <w:t>Organisation</w:t>
      </w:r>
      <w:r>
        <w:rPr>
          <w:spacing w:val="-4"/>
        </w:rPr>
        <w:t xml:space="preserve"> </w:t>
      </w:r>
      <w:r>
        <w:t>and</w:t>
      </w:r>
      <w:r>
        <w:rPr>
          <w:spacing w:val="-5"/>
        </w:rPr>
        <w:t xml:space="preserve"> </w:t>
      </w:r>
      <w:r>
        <w:t>The</w:t>
      </w:r>
      <w:r>
        <w:rPr>
          <w:spacing w:val="-3"/>
        </w:rPr>
        <w:t xml:space="preserve"> </w:t>
      </w:r>
      <w:r>
        <w:t>Royal</w:t>
      </w:r>
      <w:r>
        <w:rPr>
          <w:spacing w:val="-6"/>
        </w:rPr>
        <w:t xml:space="preserve"> </w:t>
      </w:r>
      <w:r>
        <w:t>Australian</w:t>
      </w:r>
      <w:r>
        <w:rPr>
          <w:spacing w:val="-4"/>
        </w:rPr>
        <w:t xml:space="preserve"> </w:t>
      </w:r>
      <w:r>
        <w:t xml:space="preserve">College of General Practitioners. National guide to a preventive health assessment for Aboriginal and Torres Strait Islander people. 3rd </w:t>
      </w:r>
      <w:proofErr w:type="spellStart"/>
      <w:r>
        <w:t>edn</w:t>
      </w:r>
      <w:proofErr w:type="spellEnd"/>
      <w:r>
        <w:t>. East Melbourne, Vic: RACGP, 2018.</w:t>
      </w:r>
    </w:p>
    <w:p w14:paraId="7A4C30E2" w14:textId="77777777" w:rsidR="00E13D3F" w:rsidRDefault="00E13D3F">
      <w:pPr>
        <w:pStyle w:val="ListParagraph"/>
        <w:spacing w:line="280" w:lineRule="auto"/>
        <w:rPr>
          <w:sz w:val="24"/>
        </w:rPr>
        <w:sectPr w:rsidR="00E13D3F">
          <w:pgSz w:w="11910" w:h="16840"/>
          <w:pgMar w:top="1400" w:right="0" w:bottom="1200" w:left="0" w:header="0" w:footer="1000" w:gutter="0"/>
          <w:cols w:space="720"/>
        </w:sectPr>
      </w:pPr>
    </w:p>
    <w:p w14:paraId="7A4C30E3" w14:textId="77777777" w:rsidR="00E13D3F" w:rsidRDefault="00FB2D6A" w:rsidP="00990D2B">
      <w:pPr>
        <w:pStyle w:val="Heading1"/>
        <w:numPr>
          <w:ilvl w:val="0"/>
          <w:numId w:val="53"/>
        </w:numPr>
        <w:tabs>
          <w:tab w:val="left" w:pos="1678"/>
        </w:tabs>
        <w:ind w:left="1678" w:hanging="238"/>
        <w:rPr>
          <w:color w:val="2E5395"/>
          <w:u w:color="2E5395"/>
        </w:rPr>
      </w:pPr>
      <w:r>
        <w:rPr>
          <w:color w:val="2E5395"/>
          <w:spacing w:val="-6"/>
          <w:u w:color="2E5395"/>
        </w:rPr>
        <w:lastRenderedPageBreak/>
        <w:t xml:space="preserve"> </w:t>
      </w:r>
      <w:r>
        <w:rPr>
          <w:color w:val="2E5395"/>
          <w:u w:color="2E5395"/>
        </w:rPr>
        <w:t>The</w:t>
      </w:r>
      <w:r>
        <w:rPr>
          <w:color w:val="2E5395"/>
          <w:spacing w:val="-6"/>
          <w:u w:color="2E5395"/>
        </w:rPr>
        <w:t xml:space="preserve"> </w:t>
      </w:r>
      <w:r>
        <w:rPr>
          <w:color w:val="2E5395"/>
          <w:u w:color="2E5395"/>
        </w:rPr>
        <w:t>Health</w:t>
      </w:r>
      <w:r>
        <w:rPr>
          <w:color w:val="2E5395"/>
          <w:spacing w:val="-10"/>
          <w:u w:color="2E5395"/>
        </w:rPr>
        <w:t xml:space="preserve"> </w:t>
      </w:r>
      <w:r>
        <w:rPr>
          <w:color w:val="2E5395"/>
          <w:u w:color="2E5395"/>
        </w:rPr>
        <w:t>Assessment</w:t>
      </w:r>
      <w:r>
        <w:rPr>
          <w:color w:val="2E5395"/>
          <w:spacing w:val="-7"/>
          <w:u w:color="2E5395"/>
        </w:rPr>
        <w:t xml:space="preserve"> </w:t>
      </w:r>
      <w:r>
        <w:rPr>
          <w:color w:val="2E5395"/>
          <w:u w:color="2E5395"/>
        </w:rPr>
        <w:t>component:</w:t>
      </w:r>
      <w:r>
        <w:rPr>
          <w:color w:val="2E5395"/>
          <w:spacing w:val="-9"/>
          <w:u w:color="2E5395"/>
        </w:rPr>
        <w:t xml:space="preserve"> </w:t>
      </w:r>
      <w:r>
        <w:rPr>
          <w:color w:val="2E5395"/>
          <w:u w:color="2E5395"/>
        </w:rPr>
        <w:t>Overweight</w:t>
      </w:r>
      <w:r>
        <w:rPr>
          <w:color w:val="2E5395"/>
          <w:spacing w:val="-9"/>
          <w:u w:color="2E5395"/>
        </w:rPr>
        <w:t xml:space="preserve"> </w:t>
      </w:r>
      <w:r>
        <w:rPr>
          <w:color w:val="2E5395"/>
          <w:u w:color="2E5395"/>
        </w:rPr>
        <w:t>and</w:t>
      </w:r>
      <w:r>
        <w:rPr>
          <w:color w:val="2E5395"/>
          <w:spacing w:val="-7"/>
          <w:u w:color="2E5395"/>
        </w:rPr>
        <w:t xml:space="preserve"> </w:t>
      </w:r>
      <w:r>
        <w:rPr>
          <w:color w:val="2E5395"/>
          <w:spacing w:val="-2"/>
          <w:u w:color="2E5395"/>
        </w:rPr>
        <w:t>obesity</w:t>
      </w:r>
    </w:p>
    <w:p w14:paraId="7A4C30E4" w14:textId="77777777" w:rsidR="00E13D3F" w:rsidRDefault="00FB2D6A">
      <w:pPr>
        <w:pStyle w:val="Heading2"/>
        <w:spacing w:before="72"/>
      </w:pPr>
      <w:r>
        <w:rPr>
          <w:color w:val="2E5395"/>
        </w:rPr>
        <w:t>Background</w:t>
      </w:r>
      <w:r>
        <w:rPr>
          <w:color w:val="2E5395"/>
          <w:spacing w:val="-11"/>
        </w:rPr>
        <w:t xml:space="preserve"> </w:t>
      </w:r>
      <w:r>
        <w:rPr>
          <w:color w:val="2E5395"/>
        </w:rPr>
        <w:t>and</w:t>
      </w:r>
      <w:r>
        <w:rPr>
          <w:color w:val="2E5395"/>
          <w:spacing w:val="-10"/>
        </w:rPr>
        <w:t xml:space="preserve"> </w:t>
      </w:r>
      <w:r>
        <w:rPr>
          <w:color w:val="2E5395"/>
          <w:spacing w:val="-2"/>
        </w:rPr>
        <w:t>Description</w:t>
      </w:r>
    </w:p>
    <w:p w14:paraId="7A4C30E5" w14:textId="77777777" w:rsidR="00E13D3F" w:rsidRDefault="00FB2D6A">
      <w:pPr>
        <w:pStyle w:val="BodyText"/>
        <w:spacing w:before="23" w:line="276" w:lineRule="auto"/>
        <w:ind w:right="1519"/>
      </w:pPr>
      <w:r>
        <w:t>Greater body mass is associated with increased risk of death with progressively greater mortality as body mass increases. The risk profile appears as a J-shaped curve with progressively greater mortality as BMI increases above 25 kg/m</w:t>
      </w:r>
      <w:r>
        <w:rPr>
          <w:vertAlign w:val="superscript"/>
        </w:rPr>
        <w:t>2</w:t>
      </w:r>
      <w:r>
        <w:t xml:space="preserve"> (1). In a meta-analysis of over 30</w:t>
      </w:r>
      <w:r>
        <w:rPr>
          <w:spacing w:val="-2"/>
        </w:rPr>
        <w:t xml:space="preserve"> </w:t>
      </w:r>
      <w:r>
        <w:t>million individuals,</w:t>
      </w:r>
      <w:r>
        <w:rPr>
          <w:spacing w:val="-1"/>
        </w:rPr>
        <w:t xml:space="preserve"> </w:t>
      </w:r>
      <w:r>
        <w:t>both</w:t>
      </w:r>
      <w:r>
        <w:rPr>
          <w:spacing w:val="-2"/>
        </w:rPr>
        <w:t xml:space="preserve"> </w:t>
      </w:r>
      <w:r>
        <w:t>obesity</w:t>
      </w:r>
      <w:r>
        <w:rPr>
          <w:spacing w:val="-1"/>
        </w:rPr>
        <w:t xml:space="preserve"> </w:t>
      </w:r>
      <w:r>
        <w:t>and</w:t>
      </w:r>
      <w:r>
        <w:rPr>
          <w:spacing w:val="-2"/>
        </w:rPr>
        <w:t xml:space="preserve"> </w:t>
      </w:r>
      <w:r>
        <w:t>overweight</w:t>
      </w:r>
      <w:r>
        <w:rPr>
          <w:spacing w:val="-2"/>
        </w:rPr>
        <w:t xml:space="preserve"> </w:t>
      </w:r>
      <w:r>
        <w:t>were</w:t>
      </w:r>
      <w:r>
        <w:rPr>
          <w:spacing w:val="-3"/>
        </w:rPr>
        <w:t xml:space="preserve"> </w:t>
      </w:r>
      <w:r>
        <w:t>associated</w:t>
      </w:r>
      <w:r>
        <w:rPr>
          <w:spacing w:val="-2"/>
        </w:rPr>
        <w:t xml:space="preserve"> </w:t>
      </w:r>
      <w:r>
        <w:t>with an</w:t>
      </w:r>
      <w:r>
        <w:rPr>
          <w:spacing w:val="-2"/>
        </w:rPr>
        <w:t xml:space="preserve"> </w:t>
      </w:r>
      <w:r>
        <w:t>increased risk of all-cause mortality (2). In addition to increased mortality, overweight, obesity, and increased</w:t>
      </w:r>
      <w:r>
        <w:rPr>
          <w:spacing w:val="-6"/>
        </w:rPr>
        <w:t xml:space="preserve"> </w:t>
      </w:r>
      <w:r>
        <w:t>central</w:t>
      </w:r>
      <w:r>
        <w:rPr>
          <w:spacing w:val="-4"/>
        </w:rPr>
        <w:t xml:space="preserve"> </w:t>
      </w:r>
      <w:r>
        <w:t>adiposity</w:t>
      </w:r>
      <w:r>
        <w:rPr>
          <w:spacing w:val="-5"/>
        </w:rPr>
        <w:t xml:space="preserve"> </w:t>
      </w:r>
      <w:r>
        <w:t>are</w:t>
      </w:r>
      <w:r>
        <w:rPr>
          <w:spacing w:val="-6"/>
        </w:rPr>
        <w:t xml:space="preserve"> </w:t>
      </w:r>
      <w:r>
        <w:t>associated</w:t>
      </w:r>
      <w:r>
        <w:rPr>
          <w:spacing w:val="-6"/>
        </w:rPr>
        <w:t xml:space="preserve"> </w:t>
      </w:r>
      <w:r>
        <w:t>with</w:t>
      </w:r>
      <w:r>
        <w:rPr>
          <w:spacing w:val="-4"/>
        </w:rPr>
        <w:t xml:space="preserve"> </w:t>
      </w:r>
      <w:r>
        <w:t>increased</w:t>
      </w:r>
      <w:r>
        <w:rPr>
          <w:spacing w:val="-3"/>
        </w:rPr>
        <w:t xml:space="preserve"> </w:t>
      </w:r>
      <w:r>
        <w:t>morbidity</w:t>
      </w:r>
      <w:r>
        <w:rPr>
          <w:spacing w:val="-5"/>
        </w:rPr>
        <w:t xml:space="preserve"> </w:t>
      </w:r>
      <w:r>
        <w:t>including</w:t>
      </w:r>
      <w:r>
        <w:rPr>
          <w:spacing w:val="-5"/>
        </w:rPr>
        <w:t xml:space="preserve"> </w:t>
      </w:r>
      <w:r>
        <w:t>hypertension, hypercholesterolemia, diabetes mellitus, heart disease, stroke, and cancer (3-4). Excess body weight contributed to four million deaths globally in 2015 (5).</w:t>
      </w:r>
    </w:p>
    <w:p w14:paraId="7A4C30E6" w14:textId="77777777" w:rsidR="00E13D3F" w:rsidRDefault="00E13D3F">
      <w:pPr>
        <w:pStyle w:val="BodyText"/>
        <w:spacing w:before="44"/>
        <w:ind w:left="0"/>
      </w:pPr>
    </w:p>
    <w:p w14:paraId="7A4C30E7" w14:textId="77777777" w:rsidR="00E13D3F" w:rsidRDefault="00FB2D6A">
      <w:pPr>
        <w:pStyle w:val="BodyText"/>
        <w:spacing w:line="276" w:lineRule="auto"/>
        <w:ind w:right="1450"/>
      </w:pPr>
      <w:r>
        <w:t>The</w:t>
      </w:r>
      <w:r>
        <w:rPr>
          <w:spacing w:val="-2"/>
        </w:rPr>
        <w:t xml:space="preserve"> </w:t>
      </w:r>
      <w:r>
        <w:t>Red</w:t>
      </w:r>
      <w:r>
        <w:rPr>
          <w:spacing w:val="-4"/>
        </w:rPr>
        <w:t xml:space="preserve"> </w:t>
      </w:r>
      <w:r>
        <w:t>book</w:t>
      </w:r>
      <w:r>
        <w:rPr>
          <w:spacing w:val="-3"/>
        </w:rPr>
        <w:t xml:space="preserve"> </w:t>
      </w:r>
      <w:r>
        <w:t>currently</w:t>
      </w:r>
      <w:r>
        <w:rPr>
          <w:spacing w:val="-3"/>
        </w:rPr>
        <w:t xml:space="preserve"> </w:t>
      </w:r>
      <w:r>
        <w:t>recommends</w:t>
      </w:r>
      <w:r>
        <w:rPr>
          <w:spacing w:val="-3"/>
        </w:rPr>
        <w:t xml:space="preserve"> </w:t>
      </w:r>
      <w:r>
        <w:t>measurement</w:t>
      </w:r>
      <w:r>
        <w:rPr>
          <w:spacing w:val="-2"/>
        </w:rPr>
        <w:t xml:space="preserve"> </w:t>
      </w:r>
      <w:r>
        <w:t>and</w:t>
      </w:r>
      <w:r>
        <w:rPr>
          <w:spacing w:val="-4"/>
        </w:rPr>
        <w:t xml:space="preserve"> </w:t>
      </w:r>
      <w:r>
        <w:t>recording</w:t>
      </w:r>
      <w:r>
        <w:rPr>
          <w:spacing w:val="-5"/>
        </w:rPr>
        <w:t xml:space="preserve"> </w:t>
      </w:r>
      <w:r>
        <w:t>of</w:t>
      </w:r>
      <w:r>
        <w:rPr>
          <w:spacing w:val="-4"/>
        </w:rPr>
        <w:t xml:space="preserve"> </w:t>
      </w:r>
      <w:r>
        <w:t>body</w:t>
      </w:r>
      <w:r>
        <w:rPr>
          <w:spacing w:val="-6"/>
        </w:rPr>
        <w:t xml:space="preserve"> </w:t>
      </w:r>
      <w:r>
        <w:t>mass</w:t>
      </w:r>
      <w:r>
        <w:rPr>
          <w:spacing w:val="-3"/>
        </w:rPr>
        <w:t xml:space="preserve"> </w:t>
      </w:r>
      <w:r>
        <w:t>index</w:t>
      </w:r>
      <w:r>
        <w:rPr>
          <w:spacing w:val="-3"/>
        </w:rPr>
        <w:t xml:space="preserve"> </w:t>
      </w:r>
      <w:r>
        <w:t>(BMI) and waist circumference every two years with recommendation that patients who are overweight or obese be offered individual lifestyle education and skills training (6).</w:t>
      </w:r>
    </w:p>
    <w:p w14:paraId="7A4C30E8" w14:textId="77777777" w:rsidR="00E13D3F" w:rsidRDefault="00E13D3F">
      <w:pPr>
        <w:pStyle w:val="BodyText"/>
        <w:spacing w:before="4"/>
        <w:ind w:left="0"/>
      </w:pPr>
    </w:p>
    <w:p w14:paraId="7A4C30E9" w14:textId="77777777" w:rsidR="00E13D3F" w:rsidRDefault="00FB2D6A">
      <w:pPr>
        <w:pStyle w:val="Heading2"/>
      </w:pPr>
      <w:r>
        <w:rPr>
          <w:color w:val="2E5395"/>
        </w:rPr>
        <w:t>Evidence</w:t>
      </w:r>
      <w:r>
        <w:rPr>
          <w:color w:val="2E5395"/>
          <w:spacing w:val="-9"/>
        </w:rPr>
        <w:t xml:space="preserve"> </w:t>
      </w:r>
      <w:r>
        <w:rPr>
          <w:color w:val="2E5395"/>
        </w:rPr>
        <w:t>of</w:t>
      </w:r>
      <w:r>
        <w:rPr>
          <w:color w:val="2E5395"/>
          <w:spacing w:val="-9"/>
        </w:rPr>
        <w:t xml:space="preserve"> </w:t>
      </w:r>
      <w:r>
        <w:rPr>
          <w:color w:val="2E5395"/>
          <w:spacing w:val="-2"/>
        </w:rPr>
        <w:t>Effectiveness</w:t>
      </w:r>
    </w:p>
    <w:p w14:paraId="7A4C30EA" w14:textId="77777777" w:rsidR="00E13D3F" w:rsidRDefault="00FB2D6A">
      <w:pPr>
        <w:pStyle w:val="BodyText"/>
        <w:spacing w:before="26" w:line="276" w:lineRule="auto"/>
        <w:ind w:right="1137"/>
      </w:pPr>
      <w:r>
        <w:t>In 2015, the Canadian Task Force on Preventive Health Care reviewed the evidence for screening</w:t>
      </w:r>
      <w:r>
        <w:rPr>
          <w:spacing w:val="-6"/>
        </w:rPr>
        <w:t xml:space="preserve"> </w:t>
      </w:r>
      <w:r>
        <w:t>for</w:t>
      </w:r>
      <w:r>
        <w:rPr>
          <w:spacing w:val="-5"/>
        </w:rPr>
        <w:t xml:space="preserve"> </w:t>
      </w:r>
      <w:r>
        <w:t>weight</w:t>
      </w:r>
      <w:r>
        <w:rPr>
          <w:spacing w:val="-5"/>
        </w:rPr>
        <w:t xml:space="preserve"> </w:t>
      </w:r>
      <w:r>
        <w:t>issues</w:t>
      </w:r>
      <w:r>
        <w:rPr>
          <w:spacing w:val="-4"/>
        </w:rPr>
        <w:t xml:space="preserve"> </w:t>
      </w:r>
      <w:r>
        <w:t>and</w:t>
      </w:r>
      <w:r>
        <w:rPr>
          <w:spacing w:val="-3"/>
        </w:rPr>
        <w:t xml:space="preserve"> </w:t>
      </w:r>
      <w:proofErr w:type="spellStart"/>
      <w:r>
        <w:t>behavioural</w:t>
      </w:r>
      <w:proofErr w:type="spellEnd"/>
      <w:r>
        <w:rPr>
          <w:spacing w:val="-5"/>
        </w:rPr>
        <w:t xml:space="preserve"> </w:t>
      </w:r>
      <w:r>
        <w:t>and</w:t>
      </w:r>
      <w:r>
        <w:rPr>
          <w:spacing w:val="-5"/>
        </w:rPr>
        <w:t xml:space="preserve"> </w:t>
      </w:r>
      <w:r>
        <w:t>pharmacologic</w:t>
      </w:r>
      <w:r>
        <w:rPr>
          <w:spacing w:val="-5"/>
        </w:rPr>
        <w:t xml:space="preserve"> </w:t>
      </w:r>
      <w:r>
        <w:t>interventions</w:t>
      </w:r>
      <w:r>
        <w:rPr>
          <w:spacing w:val="-4"/>
        </w:rPr>
        <w:t xml:space="preserve"> </w:t>
      </w:r>
      <w:r>
        <w:t>to</w:t>
      </w:r>
      <w:r>
        <w:rPr>
          <w:spacing w:val="-6"/>
        </w:rPr>
        <w:t xml:space="preserve"> </w:t>
      </w:r>
      <w:r>
        <w:t>manage overweight and obesity in adults in primary care (AMSTAR rating 11/12) (7).</w:t>
      </w:r>
    </w:p>
    <w:p w14:paraId="7A4C30EB" w14:textId="77777777" w:rsidR="00E13D3F" w:rsidRDefault="00E13D3F">
      <w:pPr>
        <w:pStyle w:val="BodyText"/>
        <w:spacing w:before="42"/>
        <w:ind w:left="0"/>
      </w:pPr>
    </w:p>
    <w:p w14:paraId="7A4C30EC" w14:textId="77777777" w:rsidR="00E13D3F" w:rsidRDefault="00FB2D6A">
      <w:pPr>
        <w:pStyle w:val="BodyText"/>
        <w:spacing w:line="276" w:lineRule="auto"/>
        <w:ind w:right="1519"/>
      </w:pPr>
      <w:r>
        <w:rPr>
          <w:b/>
        </w:rPr>
        <w:t>Direct Evidence</w:t>
      </w:r>
      <w:r>
        <w:t>. The CTFPHC review found no trials examining the effect of screening for weight issues in primary</w:t>
      </w:r>
      <w:r>
        <w:rPr>
          <w:spacing w:val="-1"/>
        </w:rPr>
        <w:t xml:space="preserve"> </w:t>
      </w:r>
      <w:r>
        <w:t>care (7). A search for systematic</w:t>
      </w:r>
      <w:r>
        <w:rPr>
          <w:spacing w:val="-1"/>
        </w:rPr>
        <w:t xml:space="preserve"> </w:t>
      </w:r>
      <w:r>
        <w:t xml:space="preserve">reviews and </w:t>
      </w:r>
      <w:proofErr w:type="spellStart"/>
      <w:r>
        <w:t>randomised</w:t>
      </w:r>
      <w:proofErr w:type="spellEnd"/>
      <w:r>
        <w:t xml:space="preserve"> trials of screening for overweight and obesity published subsequent to the Canadian Task Force review located a single </w:t>
      </w:r>
      <w:proofErr w:type="spellStart"/>
      <w:r>
        <w:t>randomised</w:t>
      </w:r>
      <w:proofErr w:type="spellEnd"/>
      <w:r>
        <w:t xml:space="preserve"> trial evaluating the effect of screening with opportunistic</w:t>
      </w:r>
      <w:r>
        <w:rPr>
          <w:spacing w:val="-7"/>
        </w:rPr>
        <w:t xml:space="preserve"> </w:t>
      </w:r>
      <w:r>
        <w:t>intervention</w:t>
      </w:r>
      <w:r>
        <w:rPr>
          <w:spacing w:val="-3"/>
        </w:rPr>
        <w:t xml:space="preserve"> </w:t>
      </w:r>
      <w:r>
        <w:t>among adults</w:t>
      </w:r>
      <w:r>
        <w:rPr>
          <w:spacing w:val="-4"/>
        </w:rPr>
        <w:t xml:space="preserve"> </w:t>
      </w:r>
      <w:r>
        <w:t>with</w:t>
      </w:r>
      <w:r>
        <w:rPr>
          <w:spacing w:val="-5"/>
        </w:rPr>
        <w:t xml:space="preserve"> </w:t>
      </w:r>
      <w:r>
        <w:t>obesity</w:t>
      </w:r>
      <w:r>
        <w:rPr>
          <w:spacing w:val="-4"/>
        </w:rPr>
        <w:t xml:space="preserve"> </w:t>
      </w:r>
      <w:r>
        <w:t>consulting</w:t>
      </w:r>
      <w:r>
        <w:rPr>
          <w:spacing w:val="-6"/>
        </w:rPr>
        <w:t xml:space="preserve"> </w:t>
      </w:r>
      <w:r>
        <w:t>primary</w:t>
      </w:r>
      <w:r>
        <w:rPr>
          <w:spacing w:val="-4"/>
        </w:rPr>
        <w:t xml:space="preserve"> </w:t>
      </w:r>
      <w:r>
        <w:t>care</w:t>
      </w:r>
      <w:r>
        <w:rPr>
          <w:spacing w:val="-3"/>
        </w:rPr>
        <w:t xml:space="preserve"> </w:t>
      </w:r>
      <w:r>
        <w:t>physicians</w:t>
      </w:r>
      <w:r>
        <w:rPr>
          <w:spacing w:val="-4"/>
        </w:rPr>
        <w:t xml:space="preserve"> </w:t>
      </w:r>
      <w:r>
        <w:t>in England (8). In this trial, individuals consulting a primary care physician were screened for obesity</w:t>
      </w:r>
      <w:r>
        <w:rPr>
          <w:spacing w:val="-5"/>
        </w:rPr>
        <w:t xml:space="preserve"> </w:t>
      </w:r>
      <w:r>
        <w:t>and</w:t>
      </w:r>
      <w:r>
        <w:rPr>
          <w:spacing w:val="-1"/>
        </w:rPr>
        <w:t xml:space="preserve"> </w:t>
      </w:r>
      <w:r>
        <w:t>individuals</w:t>
      </w:r>
      <w:r>
        <w:rPr>
          <w:spacing w:val="-4"/>
        </w:rPr>
        <w:t xml:space="preserve"> </w:t>
      </w:r>
      <w:r>
        <w:t>with</w:t>
      </w:r>
      <w:r>
        <w:rPr>
          <w:spacing w:val="-1"/>
        </w:rPr>
        <w:t xml:space="preserve"> </w:t>
      </w:r>
      <w:r>
        <w:t>BMI</w:t>
      </w:r>
      <w:r>
        <w:rPr>
          <w:spacing w:val="-5"/>
        </w:rPr>
        <w:t xml:space="preserve"> </w:t>
      </w:r>
      <w:r>
        <w:t>&gt;30</w:t>
      </w:r>
      <w:r>
        <w:rPr>
          <w:spacing w:val="-1"/>
        </w:rPr>
        <w:t xml:space="preserve"> </w:t>
      </w:r>
      <w:r>
        <w:t>kg/m2</w:t>
      </w:r>
      <w:r>
        <w:rPr>
          <w:spacing w:val="-3"/>
        </w:rPr>
        <w:t xml:space="preserve"> </w:t>
      </w:r>
      <w:r>
        <w:t>(or</w:t>
      </w:r>
      <w:r>
        <w:rPr>
          <w:spacing w:val="-1"/>
        </w:rPr>
        <w:t xml:space="preserve"> </w:t>
      </w:r>
      <w:r>
        <w:t>25</w:t>
      </w:r>
      <w:r>
        <w:rPr>
          <w:spacing w:val="-3"/>
        </w:rPr>
        <w:t xml:space="preserve"> </w:t>
      </w:r>
      <w:r>
        <w:t>kg/m2</w:t>
      </w:r>
      <w:r>
        <w:rPr>
          <w:spacing w:val="-3"/>
        </w:rPr>
        <w:t xml:space="preserve"> </w:t>
      </w:r>
      <w:r>
        <w:t>for</w:t>
      </w:r>
      <w:r>
        <w:rPr>
          <w:spacing w:val="-1"/>
        </w:rPr>
        <w:t xml:space="preserve"> </w:t>
      </w:r>
      <w:r>
        <w:t>individuals</w:t>
      </w:r>
      <w:r>
        <w:rPr>
          <w:spacing w:val="-4"/>
        </w:rPr>
        <w:t xml:space="preserve"> </w:t>
      </w:r>
      <w:r>
        <w:t>of</w:t>
      </w:r>
      <w:r>
        <w:rPr>
          <w:spacing w:val="-4"/>
        </w:rPr>
        <w:t xml:space="preserve"> </w:t>
      </w:r>
      <w:r>
        <w:t>Asian</w:t>
      </w:r>
      <w:r>
        <w:rPr>
          <w:spacing w:val="-1"/>
        </w:rPr>
        <w:t xml:space="preserve"> </w:t>
      </w:r>
      <w:r>
        <w:t xml:space="preserve">ethnicity) and raised body fat percentage </w:t>
      </w:r>
      <w:proofErr w:type="spellStart"/>
      <w:r>
        <w:t>randomised</w:t>
      </w:r>
      <w:proofErr w:type="spellEnd"/>
      <w:r>
        <w:t xml:space="preserve"> to one of two 30 second interventions; (</w:t>
      </w:r>
      <w:proofErr w:type="spellStart"/>
      <w:r>
        <w:t>i</w:t>
      </w:r>
      <w:proofErr w:type="spellEnd"/>
      <w:r>
        <w:t xml:space="preserve">) referral to a weight management </w:t>
      </w:r>
      <w:proofErr w:type="spellStart"/>
      <w:r>
        <w:t>programme</w:t>
      </w:r>
      <w:proofErr w:type="spellEnd"/>
      <w:r>
        <w:t xml:space="preserve"> with appointment made and follow-up support offered or (ii) advice the patients’ health would benefit from weight loss.</w:t>
      </w:r>
      <w:r>
        <w:rPr>
          <w:spacing w:val="40"/>
        </w:rPr>
        <w:t xml:space="preserve"> </w:t>
      </w:r>
      <w:r>
        <w:t>The primary outcome was weight change at 12 months.</w:t>
      </w:r>
    </w:p>
    <w:p w14:paraId="7A4C30ED" w14:textId="77777777" w:rsidR="00E13D3F" w:rsidRDefault="00E13D3F">
      <w:pPr>
        <w:pStyle w:val="BodyText"/>
        <w:spacing w:before="46"/>
        <w:ind w:left="0"/>
      </w:pPr>
    </w:p>
    <w:p w14:paraId="7A4C30EE" w14:textId="77777777" w:rsidR="00E13D3F" w:rsidRDefault="00FB2D6A">
      <w:pPr>
        <w:pStyle w:val="BodyText"/>
        <w:spacing w:line="276" w:lineRule="auto"/>
        <w:ind w:right="1519"/>
      </w:pPr>
      <w:r>
        <w:t xml:space="preserve">Of 8403 patients screened, 1882 were obese and included in the trial. Of the individuals </w:t>
      </w:r>
      <w:proofErr w:type="spellStart"/>
      <w:r>
        <w:t>randomised</w:t>
      </w:r>
      <w:proofErr w:type="spellEnd"/>
      <w:r>
        <w:rPr>
          <w:spacing w:val="-4"/>
        </w:rPr>
        <w:t xml:space="preserve"> </w:t>
      </w:r>
      <w:r>
        <w:t>to</w:t>
      </w:r>
      <w:r>
        <w:rPr>
          <w:spacing w:val="-5"/>
        </w:rPr>
        <w:t xml:space="preserve"> </w:t>
      </w:r>
      <w:r>
        <w:t>the</w:t>
      </w:r>
      <w:r>
        <w:rPr>
          <w:spacing w:val="-4"/>
        </w:rPr>
        <w:t xml:space="preserve"> </w:t>
      </w:r>
      <w:r>
        <w:t>weight</w:t>
      </w:r>
      <w:r>
        <w:rPr>
          <w:spacing w:val="-2"/>
        </w:rPr>
        <w:t xml:space="preserve"> </w:t>
      </w:r>
      <w:r>
        <w:t>management</w:t>
      </w:r>
      <w:r>
        <w:rPr>
          <w:spacing w:val="-4"/>
        </w:rPr>
        <w:t xml:space="preserve"> </w:t>
      </w:r>
      <w:r>
        <w:t>program,</w:t>
      </w:r>
      <w:r>
        <w:rPr>
          <w:spacing w:val="-4"/>
        </w:rPr>
        <w:t xml:space="preserve"> </w:t>
      </w:r>
      <w:r>
        <w:t>77%</w:t>
      </w:r>
      <w:r>
        <w:rPr>
          <w:spacing w:val="-4"/>
        </w:rPr>
        <w:t xml:space="preserve"> </w:t>
      </w:r>
      <w:r>
        <w:t>(722/940)</w:t>
      </w:r>
      <w:r>
        <w:rPr>
          <w:spacing w:val="-5"/>
        </w:rPr>
        <w:t xml:space="preserve"> </w:t>
      </w:r>
      <w:r>
        <w:t>agreed</w:t>
      </w:r>
      <w:r>
        <w:rPr>
          <w:spacing w:val="-4"/>
        </w:rPr>
        <w:t xml:space="preserve"> </w:t>
      </w:r>
      <w:r>
        <w:t>to</w:t>
      </w:r>
      <w:r>
        <w:rPr>
          <w:spacing w:val="-5"/>
        </w:rPr>
        <w:t xml:space="preserve"> </w:t>
      </w:r>
      <w:r>
        <w:t>attend</w:t>
      </w:r>
      <w:r>
        <w:rPr>
          <w:spacing w:val="-2"/>
        </w:rPr>
        <w:t xml:space="preserve"> </w:t>
      </w:r>
      <w:r>
        <w:t>and</w:t>
      </w:r>
      <w:r>
        <w:rPr>
          <w:spacing w:val="-4"/>
        </w:rPr>
        <w:t xml:space="preserve"> </w:t>
      </w:r>
      <w:r>
        <w:t>40% attended (379/940). Mean weight change at 12 months was 2.43 kg with the weight management program and support intervention and 1.04 kg with the advice intervention. The difference between study groups was not statistically significant (adjusted difference 1.43 kg, 95% CI 0.89 to 1.97). (Table 8.1) There was no difference in patients’ thoughts about the appropriateness or helpfulness of discussing their weight when visiting their primary care physician for other reasons and only 4 participants (&lt;1%) thought the intervention was inappropriate and unhelpful (8).</w:t>
      </w:r>
    </w:p>
    <w:p w14:paraId="7A4C30EF" w14:textId="77777777" w:rsidR="00E13D3F" w:rsidRDefault="00E13D3F">
      <w:pPr>
        <w:pStyle w:val="BodyText"/>
        <w:spacing w:line="276" w:lineRule="auto"/>
        <w:sectPr w:rsidR="00E13D3F">
          <w:pgSz w:w="11910" w:h="16840"/>
          <w:pgMar w:top="1400" w:right="0" w:bottom="1200" w:left="0" w:header="0" w:footer="1000" w:gutter="0"/>
          <w:cols w:space="720"/>
        </w:sectPr>
      </w:pPr>
    </w:p>
    <w:p w14:paraId="7A4C30F0" w14:textId="77777777" w:rsidR="00E13D3F" w:rsidRDefault="00FB2D6A">
      <w:pPr>
        <w:spacing w:before="30"/>
        <w:ind w:left="1440" w:right="1137"/>
      </w:pPr>
      <w:r>
        <w:rPr>
          <w:b/>
        </w:rPr>
        <w:lastRenderedPageBreak/>
        <w:t>Table</w:t>
      </w:r>
      <w:r>
        <w:rPr>
          <w:b/>
          <w:spacing w:val="-3"/>
        </w:rPr>
        <w:t xml:space="preserve"> </w:t>
      </w:r>
      <w:r>
        <w:rPr>
          <w:b/>
        </w:rPr>
        <w:t>8.1</w:t>
      </w:r>
      <w:r>
        <w:t>.</w:t>
      </w:r>
      <w:r>
        <w:rPr>
          <w:spacing w:val="-4"/>
        </w:rPr>
        <w:t xml:space="preserve"> </w:t>
      </w:r>
      <w:r>
        <w:t>The</w:t>
      </w:r>
      <w:r>
        <w:rPr>
          <w:spacing w:val="-4"/>
        </w:rPr>
        <w:t xml:space="preserve"> </w:t>
      </w:r>
      <w:r>
        <w:t>effects</w:t>
      </w:r>
      <w:r>
        <w:rPr>
          <w:spacing w:val="-4"/>
        </w:rPr>
        <w:t xml:space="preserve"> </w:t>
      </w:r>
      <w:r>
        <w:t>of</w:t>
      </w:r>
      <w:r>
        <w:rPr>
          <w:spacing w:val="-2"/>
        </w:rPr>
        <w:t xml:space="preserve"> </w:t>
      </w:r>
      <w:r>
        <w:t>screening</w:t>
      </w:r>
      <w:r>
        <w:rPr>
          <w:spacing w:val="-3"/>
        </w:rPr>
        <w:t xml:space="preserve"> </w:t>
      </w:r>
      <w:r>
        <w:t>and</w:t>
      </w:r>
      <w:r>
        <w:rPr>
          <w:spacing w:val="-4"/>
        </w:rPr>
        <w:t xml:space="preserve"> </w:t>
      </w:r>
      <w:r>
        <w:t>brief</w:t>
      </w:r>
      <w:r>
        <w:rPr>
          <w:spacing w:val="-2"/>
        </w:rPr>
        <w:t xml:space="preserve"> </w:t>
      </w:r>
      <w:r>
        <w:t>intervention</w:t>
      </w:r>
      <w:r>
        <w:rPr>
          <w:spacing w:val="-3"/>
        </w:rPr>
        <w:t xml:space="preserve"> </w:t>
      </w:r>
      <w:r>
        <w:t>for</w:t>
      </w:r>
      <w:r>
        <w:rPr>
          <w:spacing w:val="-4"/>
        </w:rPr>
        <w:t xml:space="preserve"> </w:t>
      </w:r>
      <w:r>
        <w:t>obesity</w:t>
      </w:r>
      <w:r>
        <w:rPr>
          <w:spacing w:val="-2"/>
        </w:rPr>
        <w:t xml:space="preserve"> </w:t>
      </w:r>
      <w:r>
        <w:t>in</w:t>
      </w:r>
      <w:r>
        <w:rPr>
          <w:spacing w:val="-2"/>
        </w:rPr>
        <w:t xml:space="preserve"> </w:t>
      </w:r>
      <w:r>
        <w:t>primary</w:t>
      </w:r>
      <w:r>
        <w:rPr>
          <w:spacing w:val="-4"/>
        </w:rPr>
        <w:t xml:space="preserve"> </w:t>
      </w:r>
      <w:r>
        <w:t>care</w:t>
      </w:r>
      <w:r>
        <w:rPr>
          <w:spacing w:val="-2"/>
        </w:rPr>
        <w:t xml:space="preserve"> </w:t>
      </w:r>
      <w:r>
        <w:t>in</w:t>
      </w:r>
      <w:r>
        <w:rPr>
          <w:spacing w:val="-2"/>
        </w:rPr>
        <w:t xml:space="preserve"> </w:t>
      </w:r>
      <w:r>
        <w:t>a</w:t>
      </w:r>
      <w:r>
        <w:rPr>
          <w:spacing w:val="-2"/>
        </w:rPr>
        <w:t xml:space="preserve"> </w:t>
      </w:r>
      <w:proofErr w:type="spellStart"/>
      <w:r>
        <w:t>randomised</w:t>
      </w:r>
      <w:proofErr w:type="spellEnd"/>
      <w:r>
        <w:t xml:space="preserve"> controlled trial (Aveyard et al, 2016)</w:t>
      </w:r>
    </w:p>
    <w:tbl>
      <w:tblPr>
        <w:tblW w:w="0" w:type="auto"/>
        <w:tblInd w:w="145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1980"/>
        <w:gridCol w:w="2161"/>
        <w:gridCol w:w="1575"/>
        <w:gridCol w:w="2912"/>
      </w:tblGrid>
      <w:tr w:rsidR="00E13D3F" w14:paraId="7A4C30F6" w14:textId="77777777">
        <w:trPr>
          <w:trHeight w:val="359"/>
        </w:trPr>
        <w:tc>
          <w:tcPr>
            <w:tcW w:w="1980" w:type="dxa"/>
            <w:vMerge w:val="restart"/>
          </w:tcPr>
          <w:p w14:paraId="7A4C30F1" w14:textId="77777777" w:rsidR="00E13D3F" w:rsidRDefault="00E13D3F">
            <w:pPr>
              <w:pStyle w:val="TableParagraph"/>
              <w:spacing w:before="184"/>
              <w:rPr>
                <w:sz w:val="20"/>
              </w:rPr>
            </w:pPr>
          </w:p>
          <w:p w14:paraId="7A4C30F2" w14:textId="77777777" w:rsidR="00E13D3F" w:rsidRDefault="00FB2D6A">
            <w:pPr>
              <w:pStyle w:val="TableParagraph"/>
              <w:ind w:left="606"/>
              <w:rPr>
                <w:b/>
                <w:sz w:val="20"/>
              </w:rPr>
            </w:pPr>
            <w:r>
              <w:rPr>
                <w:b/>
                <w:spacing w:val="-2"/>
                <w:sz w:val="20"/>
              </w:rPr>
              <w:t>Outcome</w:t>
            </w:r>
          </w:p>
        </w:tc>
        <w:tc>
          <w:tcPr>
            <w:tcW w:w="3736" w:type="dxa"/>
            <w:gridSpan w:val="2"/>
          </w:tcPr>
          <w:p w14:paraId="7A4C30F3" w14:textId="77777777" w:rsidR="00E13D3F" w:rsidRDefault="00FB2D6A">
            <w:pPr>
              <w:pStyle w:val="TableParagraph"/>
              <w:spacing w:before="59"/>
              <w:ind w:left="7"/>
              <w:jc w:val="center"/>
              <w:rPr>
                <w:b/>
                <w:sz w:val="20"/>
              </w:rPr>
            </w:pPr>
            <w:r>
              <w:rPr>
                <w:b/>
                <w:spacing w:val="-2"/>
                <w:sz w:val="20"/>
              </w:rPr>
              <w:t>Interventions</w:t>
            </w:r>
          </w:p>
        </w:tc>
        <w:tc>
          <w:tcPr>
            <w:tcW w:w="2912" w:type="dxa"/>
            <w:vMerge w:val="restart"/>
          </w:tcPr>
          <w:p w14:paraId="7A4C30F4" w14:textId="77777777" w:rsidR="00E13D3F" w:rsidRDefault="00E13D3F">
            <w:pPr>
              <w:pStyle w:val="TableParagraph"/>
              <w:spacing w:before="64"/>
              <w:rPr>
                <w:sz w:val="20"/>
              </w:rPr>
            </w:pPr>
          </w:p>
          <w:p w14:paraId="7A4C30F5" w14:textId="77777777" w:rsidR="00E13D3F" w:rsidRDefault="00FB2D6A">
            <w:pPr>
              <w:pStyle w:val="TableParagraph"/>
              <w:ind w:left="140" w:right="136" w:firstLine="213"/>
              <w:rPr>
                <w:b/>
                <w:sz w:val="20"/>
              </w:rPr>
            </w:pPr>
            <w:r>
              <w:rPr>
                <w:b/>
                <w:sz w:val="20"/>
              </w:rPr>
              <w:t>Difference in mean weight change</w:t>
            </w:r>
            <w:r>
              <w:rPr>
                <w:b/>
                <w:spacing w:val="-10"/>
                <w:sz w:val="20"/>
              </w:rPr>
              <w:t xml:space="preserve"> </w:t>
            </w:r>
            <w:r>
              <w:rPr>
                <w:b/>
                <w:sz w:val="20"/>
              </w:rPr>
              <w:t>at</w:t>
            </w:r>
            <w:r>
              <w:rPr>
                <w:b/>
                <w:spacing w:val="-10"/>
                <w:sz w:val="20"/>
              </w:rPr>
              <w:t xml:space="preserve"> </w:t>
            </w:r>
            <w:r>
              <w:rPr>
                <w:b/>
                <w:sz w:val="20"/>
              </w:rPr>
              <w:t>12</w:t>
            </w:r>
            <w:r>
              <w:rPr>
                <w:b/>
                <w:spacing w:val="-10"/>
                <w:sz w:val="20"/>
              </w:rPr>
              <w:t xml:space="preserve"> </w:t>
            </w:r>
            <w:r>
              <w:rPr>
                <w:b/>
                <w:sz w:val="20"/>
              </w:rPr>
              <w:t>months</w:t>
            </w:r>
            <w:r>
              <w:rPr>
                <w:b/>
                <w:spacing w:val="-11"/>
                <w:sz w:val="20"/>
              </w:rPr>
              <w:t xml:space="preserve"> </w:t>
            </w:r>
            <w:r>
              <w:rPr>
                <w:b/>
                <w:sz w:val="20"/>
              </w:rPr>
              <w:t>(adjusted)</w:t>
            </w:r>
          </w:p>
        </w:tc>
      </w:tr>
      <w:tr w:rsidR="00E13D3F" w14:paraId="7A4C30FC" w14:textId="77777777">
        <w:trPr>
          <w:trHeight w:val="731"/>
        </w:trPr>
        <w:tc>
          <w:tcPr>
            <w:tcW w:w="1980" w:type="dxa"/>
            <w:vMerge/>
            <w:tcBorders>
              <w:top w:val="nil"/>
            </w:tcBorders>
          </w:tcPr>
          <w:p w14:paraId="7A4C30F7" w14:textId="77777777" w:rsidR="00E13D3F" w:rsidRDefault="00E13D3F">
            <w:pPr>
              <w:rPr>
                <w:sz w:val="2"/>
                <w:szCs w:val="2"/>
              </w:rPr>
            </w:pPr>
          </w:p>
        </w:tc>
        <w:tc>
          <w:tcPr>
            <w:tcW w:w="2161" w:type="dxa"/>
            <w:shd w:val="clear" w:color="auto" w:fill="F1F1F1"/>
          </w:tcPr>
          <w:p w14:paraId="7A4C30F8" w14:textId="77777777" w:rsidR="00E13D3F" w:rsidRDefault="00FB2D6A">
            <w:pPr>
              <w:pStyle w:val="TableParagraph"/>
              <w:spacing w:before="1"/>
              <w:ind w:left="146" w:right="142" w:firstLine="4"/>
              <w:jc w:val="center"/>
              <w:rPr>
                <w:b/>
                <w:sz w:val="20"/>
              </w:rPr>
            </w:pPr>
            <w:r>
              <w:rPr>
                <w:b/>
                <w:sz w:val="20"/>
              </w:rPr>
              <w:t>Referral to weight management</w:t>
            </w:r>
            <w:r>
              <w:rPr>
                <w:b/>
                <w:spacing w:val="-12"/>
                <w:sz w:val="20"/>
              </w:rPr>
              <w:t xml:space="preserve"> </w:t>
            </w:r>
            <w:r>
              <w:rPr>
                <w:b/>
                <w:sz w:val="20"/>
              </w:rPr>
              <w:t>program</w:t>
            </w:r>
          </w:p>
          <w:p w14:paraId="7A4C30F9" w14:textId="77777777" w:rsidR="00E13D3F" w:rsidRDefault="00FB2D6A">
            <w:pPr>
              <w:pStyle w:val="TableParagraph"/>
              <w:spacing w:line="222" w:lineRule="exact"/>
              <w:ind w:left="10"/>
              <w:jc w:val="center"/>
              <w:rPr>
                <w:b/>
                <w:sz w:val="20"/>
              </w:rPr>
            </w:pPr>
            <w:r>
              <w:rPr>
                <w:b/>
                <w:sz w:val="20"/>
              </w:rPr>
              <w:t>and</w:t>
            </w:r>
            <w:r>
              <w:rPr>
                <w:b/>
                <w:spacing w:val="-4"/>
                <w:sz w:val="20"/>
              </w:rPr>
              <w:t xml:space="preserve"> </w:t>
            </w:r>
            <w:r>
              <w:rPr>
                <w:b/>
                <w:spacing w:val="-2"/>
                <w:sz w:val="20"/>
              </w:rPr>
              <w:t>support</w:t>
            </w:r>
          </w:p>
        </w:tc>
        <w:tc>
          <w:tcPr>
            <w:tcW w:w="1575" w:type="dxa"/>
            <w:shd w:val="clear" w:color="auto" w:fill="F1F1F1"/>
          </w:tcPr>
          <w:p w14:paraId="7A4C30FA" w14:textId="77777777" w:rsidR="00E13D3F" w:rsidRDefault="00FB2D6A">
            <w:pPr>
              <w:pStyle w:val="TableParagraph"/>
              <w:spacing w:before="1"/>
              <w:ind w:left="6" w:right="2"/>
              <w:jc w:val="center"/>
              <w:rPr>
                <w:b/>
                <w:sz w:val="20"/>
              </w:rPr>
            </w:pPr>
            <w:r>
              <w:rPr>
                <w:b/>
                <w:spacing w:val="-2"/>
                <w:sz w:val="20"/>
              </w:rPr>
              <w:t>Advice</w:t>
            </w:r>
          </w:p>
        </w:tc>
        <w:tc>
          <w:tcPr>
            <w:tcW w:w="2912" w:type="dxa"/>
            <w:vMerge/>
            <w:tcBorders>
              <w:top w:val="nil"/>
            </w:tcBorders>
          </w:tcPr>
          <w:p w14:paraId="7A4C30FB" w14:textId="77777777" w:rsidR="00E13D3F" w:rsidRDefault="00E13D3F">
            <w:pPr>
              <w:rPr>
                <w:sz w:val="2"/>
                <w:szCs w:val="2"/>
              </w:rPr>
            </w:pPr>
          </w:p>
        </w:tc>
      </w:tr>
      <w:tr w:rsidR="00E13D3F" w14:paraId="7A4C3102" w14:textId="77777777">
        <w:trPr>
          <w:trHeight w:val="666"/>
        </w:trPr>
        <w:tc>
          <w:tcPr>
            <w:tcW w:w="1980" w:type="dxa"/>
          </w:tcPr>
          <w:p w14:paraId="7A4C30FD" w14:textId="77777777" w:rsidR="00E13D3F" w:rsidRDefault="00FB2D6A">
            <w:pPr>
              <w:pStyle w:val="TableParagraph"/>
              <w:spacing w:before="90"/>
              <w:ind w:left="107" w:right="97"/>
              <w:rPr>
                <w:b/>
                <w:sz w:val="20"/>
              </w:rPr>
            </w:pPr>
            <w:r>
              <w:rPr>
                <w:b/>
                <w:sz w:val="20"/>
              </w:rPr>
              <w:t>Mean</w:t>
            </w:r>
            <w:r>
              <w:rPr>
                <w:b/>
                <w:spacing w:val="-12"/>
                <w:sz w:val="20"/>
              </w:rPr>
              <w:t xml:space="preserve"> </w:t>
            </w:r>
            <w:r>
              <w:rPr>
                <w:b/>
                <w:sz w:val="20"/>
              </w:rPr>
              <w:t>weight</w:t>
            </w:r>
            <w:r>
              <w:rPr>
                <w:b/>
                <w:spacing w:val="-11"/>
                <w:sz w:val="20"/>
              </w:rPr>
              <w:t xml:space="preserve"> </w:t>
            </w:r>
            <w:r>
              <w:rPr>
                <w:b/>
                <w:sz w:val="20"/>
              </w:rPr>
              <w:t>change at 12 months (kg)</w:t>
            </w:r>
          </w:p>
        </w:tc>
        <w:tc>
          <w:tcPr>
            <w:tcW w:w="2161" w:type="dxa"/>
          </w:tcPr>
          <w:p w14:paraId="7A4C30FE" w14:textId="77777777" w:rsidR="00E13D3F" w:rsidRDefault="00FB2D6A">
            <w:pPr>
              <w:pStyle w:val="TableParagraph"/>
              <w:spacing w:before="212"/>
              <w:ind w:left="10" w:right="3"/>
              <w:jc w:val="center"/>
              <w:rPr>
                <w:sz w:val="20"/>
              </w:rPr>
            </w:pPr>
            <w:r>
              <w:rPr>
                <w:spacing w:val="-4"/>
                <w:sz w:val="20"/>
              </w:rPr>
              <w:t>2.43</w:t>
            </w:r>
          </w:p>
        </w:tc>
        <w:tc>
          <w:tcPr>
            <w:tcW w:w="1575" w:type="dxa"/>
          </w:tcPr>
          <w:p w14:paraId="7A4C30FF" w14:textId="77777777" w:rsidR="00E13D3F" w:rsidRDefault="00FB2D6A">
            <w:pPr>
              <w:pStyle w:val="TableParagraph"/>
              <w:spacing w:before="212"/>
              <w:ind w:left="6"/>
              <w:jc w:val="center"/>
              <w:rPr>
                <w:sz w:val="20"/>
              </w:rPr>
            </w:pPr>
            <w:r>
              <w:rPr>
                <w:spacing w:val="-4"/>
                <w:sz w:val="20"/>
              </w:rPr>
              <w:t>1.04</w:t>
            </w:r>
          </w:p>
        </w:tc>
        <w:tc>
          <w:tcPr>
            <w:tcW w:w="2912" w:type="dxa"/>
          </w:tcPr>
          <w:p w14:paraId="7A4C3100" w14:textId="77777777" w:rsidR="00E13D3F" w:rsidRDefault="00FB2D6A">
            <w:pPr>
              <w:pStyle w:val="TableParagraph"/>
              <w:spacing w:before="90"/>
              <w:ind w:left="3"/>
              <w:jc w:val="center"/>
              <w:rPr>
                <w:sz w:val="20"/>
              </w:rPr>
            </w:pPr>
            <w:r>
              <w:rPr>
                <w:spacing w:val="-4"/>
                <w:sz w:val="20"/>
              </w:rPr>
              <w:t>1.43</w:t>
            </w:r>
          </w:p>
          <w:p w14:paraId="7A4C3101" w14:textId="77777777" w:rsidR="00E13D3F" w:rsidRDefault="00FB2D6A">
            <w:pPr>
              <w:pStyle w:val="TableParagraph"/>
              <w:spacing w:before="1"/>
              <w:ind w:left="3" w:right="2"/>
              <w:jc w:val="center"/>
              <w:rPr>
                <w:sz w:val="20"/>
              </w:rPr>
            </w:pPr>
            <w:r>
              <w:rPr>
                <w:sz w:val="20"/>
              </w:rPr>
              <w:t>95%</w:t>
            </w:r>
            <w:r>
              <w:rPr>
                <w:spacing w:val="-5"/>
                <w:sz w:val="20"/>
              </w:rPr>
              <w:t xml:space="preserve"> </w:t>
            </w:r>
            <w:r>
              <w:rPr>
                <w:sz w:val="20"/>
              </w:rPr>
              <w:t>CI</w:t>
            </w:r>
            <w:r>
              <w:rPr>
                <w:spacing w:val="-2"/>
                <w:sz w:val="20"/>
              </w:rPr>
              <w:t xml:space="preserve"> </w:t>
            </w:r>
            <w:r>
              <w:rPr>
                <w:sz w:val="20"/>
              </w:rPr>
              <w:t>0.89</w:t>
            </w:r>
            <w:r>
              <w:rPr>
                <w:spacing w:val="-3"/>
                <w:sz w:val="20"/>
              </w:rPr>
              <w:t xml:space="preserve"> </w:t>
            </w:r>
            <w:r>
              <w:rPr>
                <w:sz w:val="20"/>
              </w:rPr>
              <w:t>to</w:t>
            </w:r>
            <w:r>
              <w:rPr>
                <w:spacing w:val="-3"/>
                <w:sz w:val="20"/>
              </w:rPr>
              <w:t xml:space="preserve"> </w:t>
            </w:r>
            <w:r>
              <w:rPr>
                <w:spacing w:val="-4"/>
                <w:sz w:val="20"/>
              </w:rPr>
              <w:t>1.97</w:t>
            </w:r>
          </w:p>
        </w:tc>
      </w:tr>
    </w:tbl>
    <w:p w14:paraId="7A4C3103" w14:textId="77777777" w:rsidR="00E13D3F" w:rsidRDefault="00E13D3F">
      <w:pPr>
        <w:pStyle w:val="BodyText"/>
        <w:spacing w:before="8"/>
        <w:ind w:left="0"/>
        <w:rPr>
          <w:sz w:val="22"/>
        </w:rPr>
      </w:pPr>
    </w:p>
    <w:p w14:paraId="7A4C3104" w14:textId="77777777" w:rsidR="00E13D3F" w:rsidRDefault="00FB2D6A">
      <w:pPr>
        <w:pStyle w:val="BodyText"/>
        <w:spacing w:line="276" w:lineRule="auto"/>
        <w:ind w:right="1494"/>
      </w:pPr>
      <w:r>
        <w:rPr>
          <w:b/>
        </w:rPr>
        <w:t xml:space="preserve">Linked evidence </w:t>
      </w:r>
      <w:r>
        <w:t xml:space="preserve">for the effect of screening for overweight and obesity is provided by a) evidence on the effect of </w:t>
      </w:r>
      <w:proofErr w:type="spellStart"/>
      <w:r>
        <w:t>behavioural</w:t>
      </w:r>
      <w:proofErr w:type="spellEnd"/>
      <w:r>
        <w:t xml:space="preserve"> interventions in adults who are overweight or obese (BMI 25-39.9) from a systematic review conducted by the Canadian Task Force on Preventive Health Care and b) evidence of the effect of weight reducing diets on all-cause and</w:t>
      </w:r>
      <w:r>
        <w:rPr>
          <w:spacing w:val="-2"/>
        </w:rPr>
        <w:t xml:space="preserve"> </w:t>
      </w:r>
      <w:r>
        <w:t>CVD</w:t>
      </w:r>
      <w:r>
        <w:rPr>
          <w:spacing w:val="-2"/>
        </w:rPr>
        <w:t xml:space="preserve"> </w:t>
      </w:r>
      <w:r>
        <w:t>mortality,</w:t>
      </w:r>
      <w:r>
        <w:rPr>
          <w:spacing w:val="-3"/>
        </w:rPr>
        <w:t xml:space="preserve"> </w:t>
      </w:r>
      <w:r>
        <w:t>adverse</w:t>
      </w:r>
      <w:r>
        <w:rPr>
          <w:spacing w:val="-2"/>
        </w:rPr>
        <w:t xml:space="preserve"> </w:t>
      </w:r>
      <w:r>
        <w:t>events</w:t>
      </w:r>
      <w:r>
        <w:rPr>
          <w:spacing w:val="-3"/>
        </w:rPr>
        <w:t xml:space="preserve"> </w:t>
      </w:r>
      <w:r>
        <w:t>and</w:t>
      </w:r>
      <w:r>
        <w:rPr>
          <w:spacing w:val="-2"/>
        </w:rPr>
        <w:t xml:space="preserve"> </w:t>
      </w:r>
      <w:r>
        <w:t>changes</w:t>
      </w:r>
      <w:r>
        <w:rPr>
          <w:spacing w:val="-5"/>
        </w:rPr>
        <w:t xml:space="preserve"> </w:t>
      </w:r>
      <w:r>
        <w:t>in</w:t>
      </w:r>
      <w:r>
        <w:rPr>
          <w:spacing w:val="-4"/>
        </w:rPr>
        <w:t xml:space="preserve"> </w:t>
      </w:r>
      <w:r>
        <w:t>weight</w:t>
      </w:r>
      <w:r>
        <w:rPr>
          <w:spacing w:val="-4"/>
        </w:rPr>
        <w:t xml:space="preserve"> </w:t>
      </w:r>
      <w:r>
        <w:t>and</w:t>
      </w:r>
      <w:r>
        <w:rPr>
          <w:spacing w:val="-4"/>
        </w:rPr>
        <w:t xml:space="preserve"> </w:t>
      </w:r>
      <w:r>
        <w:t>blood</w:t>
      </w:r>
      <w:r>
        <w:rPr>
          <w:spacing w:val="-4"/>
        </w:rPr>
        <w:t xml:space="preserve"> </w:t>
      </w:r>
      <w:r>
        <w:t>pressure</w:t>
      </w:r>
      <w:r>
        <w:rPr>
          <w:spacing w:val="-2"/>
        </w:rPr>
        <w:t xml:space="preserve"> </w:t>
      </w:r>
      <w:r>
        <w:t>in</w:t>
      </w:r>
      <w:r>
        <w:rPr>
          <w:spacing w:val="-4"/>
        </w:rPr>
        <w:t xml:space="preserve"> </w:t>
      </w:r>
      <w:r>
        <w:t>people</w:t>
      </w:r>
      <w:r>
        <w:rPr>
          <w:spacing w:val="-5"/>
        </w:rPr>
        <w:t xml:space="preserve"> </w:t>
      </w:r>
      <w:r>
        <w:t>with hypertension from a Cochrane systematic review.</w:t>
      </w:r>
    </w:p>
    <w:p w14:paraId="7A4C3105" w14:textId="77777777" w:rsidR="00E13D3F" w:rsidRDefault="00FB2D6A" w:rsidP="00990D2B">
      <w:pPr>
        <w:pStyle w:val="ListParagraph"/>
        <w:numPr>
          <w:ilvl w:val="0"/>
          <w:numId w:val="28"/>
        </w:numPr>
        <w:tabs>
          <w:tab w:val="left" w:pos="1688"/>
        </w:tabs>
        <w:spacing w:line="276" w:lineRule="auto"/>
        <w:ind w:right="2145" w:firstLine="0"/>
        <w:rPr>
          <w:i/>
          <w:sz w:val="24"/>
        </w:rPr>
      </w:pPr>
      <w:r>
        <w:rPr>
          <w:i/>
          <w:sz w:val="24"/>
        </w:rPr>
        <w:t>Evidence</w:t>
      </w:r>
      <w:r>
        <w:rPr>
          <w:i/>
          <w:spacing w:val="-2"/>
          <w:sz w:val="24"/>
        </w:rPr>
        <w:t xml:space="preserve"> </w:t>
      </w:r>
      <w:r>
        <w:rPr>
          <w:i/>
          <w:sz w:val="24"/>
        </w:rPr>
        <w:t>on</w:t>
      </w:r>
      <w:r>
        <w:rPr>
          <w:i/>
          <w:spacing w:val="-4"/>
          <w:sz w:val="24"/>
        </w:rPr>
        <w:t xml:space="preserve"> </w:t>
      </w:r>
      <w:r>
        <w:rPr>
          <w:i/>
          <w:sz w:val="24"/>
        </w:rPr>
        <w:t>the</w:t>
      </w:r>
      <w:r>
        <w:rPr>
          <w:i/>
          <w:spacing w:val="-2"/>
          <w:sz w:val="24"/>
        </w:rPr>
        <w:t xml:space="preserve"> </w:t>
      </w:r>
      <w:r>
        <w:rPr>
          <w:i/>
          <w:sz w:val="24"/>
        </w:rPr>
        <w:t>effect</w:t>
      </w:r>
      <w:r>
        <w:rPr>
          <w:i/>
          <w:spacing w:val="-6"/>
          <w:sz w:val="24"/>
        </w:rPr>
        <w:t xml:space="preserve"> </w:t>
      </w:r>
      <w:r>
        <w:rPr>
          <w:i/>
          <w:sz w:val="24"/>
        </w:rPr>
        <w:t>of</w:t>
      </w:r>
      <w:r>
        <w:rPr>
          <w:i/>
          <w:spacing w:val="-2"/>
          <w:sz w:val="24"/>
        </w:rPr>
        <w:t xml:space="preserve"> </w:t>
      </w:r>
      <w:proofErr w:type="spellStart"/>
      <w:r>
        <w:rPr>
          <w:i/>
          <w:sz w:val="24"/>
        </w:rPr>
        <w:t>behavioural</w:t>
      </w:r>
      <w:proofErr w:type="spellEnd"/>
      <w:r>
        <w:rPr>
          <w:i/>
          <w:spacing w:val="-3"/>
          <w:sz w:val="24"/>
        </w:rPr>
        <w:t xml:space="preserve"> </w:t>
      </w:r>
      <w:r>
        <w:rPr>
          <w:i/>
          <w:sz w:val="24"/>
        </w:rPr>
        <w:t>interventions</w:t>
      </w:r>
      <w:r>
        <w:rPr>
          <w:i/>
          <w:spacing w:val="-3"/>
          <w:sz w:val="24"/>
        </w:rPr>
        <w:t xml:space="preserve"> </w:t>
      </w:r>
      <w:r>
        <w:rPr>
          <w:i/>
          <w:sz w:val="24"/>
        </w:rPr>
        <w:t>in</w:t>
      </w:r>
      <w:r>
        <w:rPr>
          <w:i/>
          <w:spacing w:val="-4"/>
          <w:sz w:val="24"/>
        </w:rPr>
        <w:t xml:space="preserve"> </w:t>
      </w:r>
      <w:r>
        <w:rPr>
          <w:i/>
          <w:sz w:val="24"/>
        </w:rPr>
        <w:t>adults</w:t>
      </w:r>
      <w:r>
        <w:rPr>
          <w:i/>
          <w:spacing w:val="-3"/>
          <w:sz w:val="24"/>
        </w:rPr>
        <w:t xml:space="preserve"> </w:t>
      </w:r>
      <w:r>
        <w:rPr>
          <w:i/>
          <w:sz w:val="24"/>
        </w:rPr>
        <w:t>who</w:t>
      </w:r>
      <w:r>
        <w:rPr>
          <w:i/>
          <w:spacing w:val="-4"/>
          <w:sz w:val="24"/>
        </w:rPr>
        <w:t xml:space="preserve"> </w:t>
      </w:r>
      <w:r>
        <w:rPr>
          <w:i/>
          <w:sz w:val="24"/>
        </w:rPr>
        <w:t>are</w:t>
      </w:r>
      <w:r>
        <w:rPr>
          <w:i/>
          <w:spacing w:val="-3"/>
          <w:sz w:val="24"/>
        </w:rPr>
        <w:t xml:space="preserve"> </w:t>
      </w:r>
      <w:r>
        <w:rPr>
          <w:i/>
          <w:sz w:val="24"/>
        </w:rPr>
        <w:t>overweight</w:t>
      </w:r>
      <w:r>
        <w:rPr>
          <w:i/>
          <w:spacing w:val="-2"/>
          <w:sz w:val="24"/>
        </w:rPr>
        <w:t xml:space="preserve"> </w:t>
      </w:r>
      <w:r>
        <w:rPr>
          <w:i/>
          <w:sz w:val="24"/>
        </w:rPr>
        <w:t xml:space="preserve">or </w:t>
      </w:r>
      <w:r>
        <w:rPr>
          <w:i/>
          <w:spacing w:val="-2"/>
          <w:sz w:val="24"/>
        </w:rPr>
        <w:t>obese.</w:t>
      </w:r>
    </w:p>
    <w:p w14:paraId="7A4C3106" w14:textId="77777777" w:rsidR="00E13D3F" w:rsidRDefault="00FB2D6A">
      <w:pPr>
        <w:pStyle w:val="BodyText"/>
        <w:spacing w:before="1" w:line="276" w:lineRule="auto"/>
        <w:ind w:right="1137"/>
      </w:pPr>
      <w:r>
        <w:t xml:space="preserve">The 2015 Canadian Task Force on Preventive Health Care review finds moderate quality evidence for the effects of </w:t>
      </w:r>
      <w:proofErr w:type="spellStart"/>
      <w:r>
        <w:t>behavioural</w:t>
      </w:r>
      <w:proofErr w:type="spellEnd"/>
      <w:r>
        <w:t xml:space="preserve"> interventions (diet, exercise and/or lifestyle components)</w:t>
      </w:r>
      <w:r>
        <w:rPr>
          <w:spacing w:val="-7"/>
        </w:rPr>
        <w:t xml:space="preserve"> </w:t>
      </w:r>
      <w:r>
        <w:t>on</w:t>
      </w:r>
      <w:r>
        <w:rPr>
          <w:spacing w:val="-5"/>
        </w:rPr>
        <w:t xml:space="preserve"> </w:t>
      </w:r>
      <w:r>
        <w:t>weight</w:t>
      </w:r>
      <w:r>
        <w:rPr>
          <w:spacing w:val="-5"/>
        </w:rPr>
        <w:t xml:space="preserve"> </w:t>
      </w:r>
      <w:r>
        <w:t>loss,</w:t>
      </w:r>
      <w:r>
        <w:rPr>
          <w:spacing w:val="-1"/>
        </w:rPr>
        <w:t xml:space="preserve"> </w:t>
      </w:r>
      <w:r>
        <w:t>BMI,</w:t>
      </w:r>
      <w:r>
        <w:rPr>
          <w:spacing w:val="-4"/>
        </w:rPr>
        <w:t xml:space="preserve"> </w:t>
      </w:r>
      <w:r>
        <w:t>waist</w:t>
      </w:r>
      <w:r>
        <w:rPr>
          <w:spacing w:val="-3"/>
        </w:rPr>
        <w:t xml:space="preserve"> </w:t>
      </w:r>
      <w:r>
        <w:t>circumference</w:t>
      </w:r>
      <w:r>
        <w:rPr>
          <w:spacing w:val="-3"/>
        </w:rPr>
        <w:t xml:space="preserve"> </w:t>
      </w:r>
      <w:r>
        <w:t>and</w:t>
      </w:r>
      <w:r>
        <w:rPr>
          <w:spacing w:val="-5"/>
        </w:rPr>
        <w:t xml:space="preserve"> </w:t>
      </w:r>
      <w:r>
        <w:t>physiological</w:t>
      </w:r>
      <w:r>
        <w:rPr>
          <w:spacing w:val="-4"/>
        </w:rPr>
        <w:t xml:space="preserve"> </w:t>
      </w:r>
      <w:r>
        <w:t>measures</w:t>
      </w:r>
      <w:r>
        <w:rPr>
          <w:spacing w:val="-4"/>
        </w:rPr>
        <w:t xml:space="preserve"> </w:t>
      </w:r>
      <w:r>
        <w:t>in</w:t>
      </w:r>
      <w:r>
        <w:rPr>
          <w:spacing w:val="-3"/>
        </w:rPr>
        <w:t xml:space="preserve"> </w:t>
      </w:r>
      <w:r>
        <w:t>adults</w:t>
      </w:r>
    </w:p>
    <w:p w14:paraId="7A4C3107" w14:textId="77777777" w:rsidR="00E13D3F" w:rsidRDefault="00FB2D6A">
      <w:pPr>
        <w:pStyle w:val="BodyText"/>
        <w:spacing w:line="293" w:lineRule="exact"/>
      </w:pPr>
      <w:r>
        <w:t>(7).</w:t>
      </w:r>
      <w:r>
        <w:rPr>
          <w:spacing w:val="-7"/>
        </w:rPr>
        <w:t xml:space="preserve"> </w:t>
      </w:r>
      <w:r>
        <w:t>No</w:t>
      </w:r>
      <w:r>
        <w:rPr>
          <w:spacing w:val="-2"/>
        </w:rPr>
        <w:t xml:space="preserve"> </w:t>
      </w:r>
      <w:r>
        <w:t>trials</w:t>
      </w:r>
      <w:r>
        <w:rPr>
          <w:spacing w:val="-3"/>
        </w:rPr>
        <w:t xml:space="preserve"> </w:t>
      </w:r>
      <w:r>
        <w:t>reporting</w:t>
      </w:r>
      <w:r>
        <w:rPr>
          <w:spacing w:val="-5"/>
        </w:rPr>
        <w:t xml:space="preserve"> </w:t>
      </w:r>
      <w:r>
        <w:t>on</w:t>
      </w:r>
      <w:r>
        <w:rPr>
          <w:spacing w:val="-2"/>
        </w:rPr>
        <w:t xml:space="preserve"> </w:t>
      </w:r>
      <w:r>
        <w:t>the</w:t>
      </w:r>
      <w:r>
        <w:rPr>
          <w:spacing w:val="-4"/>
        </w:rPr>
        <w:t xml:space="preserve"> </w:t>
      </w:r>
      <w:r>
        <w:t>effect</w:t>
      </w:r>
      <w:r>
        <w:rPr>
          <w:spacing w:val="-5"/>
        </w:rPr>
        <w:t xml:space="preserve"> </w:t>
      </w:r>
      <w:r>
        <w:t>of</w:t>
      </w:r>
      <w:r>
        <w:rPr>
          <w:spacing w:val="-4"/>
        </w:rPr>
        <w:t xml:space="preserve"> </w:t>
      </w:r>
      <w:proofErr w:type="spellStart"/>
      <w:r>
        <w:t>behavioural</w:t>
      </w:r>
      <w:proofErr w:type="spellEnd"/>
      <w:r>
        <w:rPr>
          <w:spacing w:val="-2"/>
        </w:rPr>
        <w:t xml:space="preserve"> </w:t>
      </w:r>
      <w:r>
        <w:t>interventions</w:t>
      </w:r>
      <w:r>
        <w:rPr>
          <w:spacing w:val="-3"/>
        </w:rPr>
        <w:t xml:space="preserve"> </w:t>
      </w:r>
      <w:r>
        <w:t>on</w:t>
      </w:r>
      <w:r>
        <w:rPr>
          <w:spacing w:val="-2"/>
        </w:rPr>
        <w:t xml:space="preserve"> </w:t>
      </w:r>
      <w:r>
        <w:t>mortality</w:t>
      </w:r>
      <w:r>
        <w:rPr>
          <w:spacing w:val="-3"/>
        </w:rPr>
        <w:t xml:space="preserve"> </w:t>
      </w:r>
      <w:r>
        <w:rPr>
          <w:spacing w:val="-4"/>
        </w:rPr>
        <w:t>were</w:t>
      </w:r>
    </w:p>
    <w:p w14:paraId="7A4C3108" w14:textId="77777777" w:rsidR="00E13D3F" w:rsidRDefault="00FB2D6A">
      <w:pPr>
        <w:pStyle w:val="BodyText"/>
        <w:spacing w:before="43" w:line="276" w:lineRule="auto"/>
        <w:ind w:right="1450"/>
      </w:pPr>
      <w:r>
        <w:t xml:space="preserve">found. Meta-analysis of </w:t>
      </w:r>
      <w:proofErr w:type="spellStart"/>
      <w:r>
        <w:t>randomised</w:t>
      </w:r>
      <w:proofErr w:type="spellEnd"/>
      <w:r>
        <w:t xml:space="preserve"> trials including participants with and without diabetes and other chronic conditions found that participants receiving </w:t>
      </w:r>
      <w:proofErr w:type="spellStart"/>
      <w:r>
        <w:t>behavioural</w:t>
      </w:r>
      <w:proofErr w:type="spellEnd"/>
      <w:r>
        <w:t xml:space="preserve"> interventions found</w:t>
      </w:r>
      <w:r>
        <w:rPr>
          <w:spacing w:val="-4"/>
        </w:rPr>
        <w:t xml:space="preserve"> </w:t>
      </w:r>
      <w:r>
        <w:t>a</w:t>
      </w:r>
      <w:r>
        <w:rPr>
          <w:spacing w:val="-2"/>
        </w:rPr>
        <w:t xml:space="preserve"> </w:t>
      </w:r>
      <w:r>
        <w:t>statistically</w:t>
      </w:r>
      <w:r>
        <w:rPr>
          <w:spacing w:val="-3"/>
        </w:rPr>
        <w:t xml:space="preserve"> </w:t>
      </w:r>
      <w:r>
        <w:t>significant</w:t>
      </w:r>
      <w:r>
        <w:rPr>
          <w:spacing w:val="-4"/>
        </w:rPr>
        <w:t xml:space="preserve"> </w:t>
      </w:r>
      <w:r>
        <w:t>reduction</w:t>
      </w:r>
      <w:r>
        <w:rPr>
          <w:spacing w:val="-2"/>
        </w:rPr>
        <w:t xml:space="preserve"> </w:t>
      </w:r>
      <w:r>
        <w:t>in</w:t>
      </w:r>
      <w:r>
        <w:rPr>
          <w:spacing w:val="-4"/>
        </w:rPr>
        <w:t xml:space="preserve"> </w:t>
      </w:r>
      <w:r>
        <w:t>weight</w:t>
      </w:r>
      <w:r>
        <w:rPr>
          <w:spacing w:val="-2"/>
        </w:rPr>
        <w:t xml:space="preserve"> </w:t>
      </w:r>
      <w:r>
        <w:t>(mean</w:t>
      </w:r>
      <w:r>
        <w:rPr>
          <w:spacing w:val="-4"/>
        </w:rPr>
        <w:t xml:space="preserve"> </w:t>
      </w:r>
      <w:r>
        <w:t>difference -3.1</w:t>
      </w:r>
      <w:r>
        <w:rPr>
          <w:spacing w:val="-2"/>
        </w:rPr>
        <w:t xml:space="preserve"> </w:t>
      </w:r>
      <w:r>
        <w:t>kg,</w:t>
      </w:r>
      <w:r>
        <w:rPr>
          <w:spacing w:val="-2"/>
        </w:rPr>
        <w:t xml:space="preserve"> </w:t>
      </w:r>
      <w:r>
        <w:t>95%</w:t>
      </w:r>
      <w:r>
        <w:rPr>
          <w:spacing w:val="-4"/>
        </w:rPr>
        <w:t xml:space="preserve"> </w:t>
      </w:r>
      <w:r>
        <w:t>CI</w:t>
      </w:r>
      <w:r>
        <w:rPr>
          <w:spacing w:val="-3"/>
        </w:rPr>
        <w:t xml:space="preserve"> </w:t>
      </w:r>
      <w:r>
        <w:t>-3.9</w:t>
      </w:r>
      <w:r>
        <w:rPr>
          <w:spacing w:val="-2"/>
        </w:rPr>
        <w:t xml:space="preserve"> </w:t>
      </w:r>
      <w:r>
        <w:t>to</w:t>
      </w:r>
      <w:r>
        <w:rPr>
          <w:spacing w:val="-2"/>
        </w:rPr>
        <w:t xml:space="preserve"> </w:t>
      </w:r>
      <w:r>
        <w:t>- 2.4; 33 trials), BMI (mean difference 1.1, 95% CI 1.4 to 0.8; 22 trials) and waist</w:t>
      </w:r>
    </w:p>
    <w:p w14:paraId="7A4C3109" w14:textId="77777777" w:rsidR="00E13D3F" w:rsidRDefault="00FB2D6A">
      <w:pPr>
        <w:pStyle w:val="BodyText"/>
        <w:spacing w:before="1" w:line="276" w:lineRule="auto"/>
        <w:ind w:right="1450"/>
      </w:pPr>
      <w:r>
        <w:t>circumference (mean difference 3.0 cm, 95% CI 3.9 to 2.2; 22 trials) compared to controls (Table 8.2). There were small but statistically significant reductions in levels of total and LDL cholesterol,</w:t>
      </w:r>
      <w:r>
        <w:rPr>
          <w:spacing w:val="-4"/>
        </w:rPr>
        <w:t xml:space="preserve"> </w:t>
      </w:r>
      <w:r>
        <w:t>fasting</w:t>
      </w:r>
      <w:r>
        <w:rPr>
          <w:spacing w:val="-3"/>
        </w:rPr>
        <w:t xml:space="preserve"> </w:t>
      </w:r>
      <w:r>
        <w:t>glucose,</w:t>
      </w:r>
      <w:r>
        <w:rPr>
          <w:spacing w:val="-2"/>
        </w:rPr>
        <w:t xml:space="preserve"> </w:t>
      </w:r>
      <w:r>
        <w:t>and</w:t>
      </w:r>
      <w:r>
        <w:rPr>
          <w:spacing w:val="-2"/>
        </w:rPr>
        <w:t xml:space="preserve"> </w:t>
      </w:r>
      <w:r>
        <w:t>blood</w:t>
      </w:r>
      <w:r>
        <w:rPr>
          <w:spacing w:val="-4"/>
        </w:rPr>
        <w:t xml:space="preserve"> </w:t>
      </w:r>
      <w:r>
        <w:t>pressure</w:t>
      </w:r>
      <w:r>
        <w:rPr>
          <w:spacing w:val="-4"/>
        </w:rPr>
        <w:t xml:space="preserve"> </w:t>
      </w:r>
      <w:r>
        <w:t>with</w:t>
      </w:r>
      <w:r>
        <w:rPr>
          <w:spacing w:val="-4"/>
        </w:rPr>
        <w:t xml:space="preserve"> </w:t>
      </w:r>
      <w:proofErr w:type="spellStart"/>
      <w:r>
        <w:t>behavioural</w:t>
      </w:r>
      <w:proofErr w:type="spellEnd"/>
      <w:r>
        <w:rPr>
          <w:spacing w:val="-3"/>
        </w:rPr>
        <w:t xml:space="preserve"> </w:t>
      </w:r>
      <w:r>
        <w:t>interventions</w:t>
      </w:r>
      <w:r>
        <w:rPr>
          <w:spacing w:val="-3"/>
        </w:rPr>
        <w:t xml:space="preserve"> </w:t>
      </w:r>
      <w:r>
        <w:t>compared</w:t>
      </w:r>
      <w:r>
        <w:rPr>
          <w:spacing w:val="-2"/>
        </w:rPr>
        <w:t xml:space="preserve"> </w:t>
      </w:r>
      <w:r>
        <w:t>to controls.</w:t>
      </w:r>
      <w:r>
        <w:rPr>
          <w:spacing w:val="-1"/>
        </w:rPr>
        <w:t xml:space="preserve"> </w:t>
      </w:r>
      <w:r>
        <w:t>No significant difference in frequency of</w:t>
      </w:r>
      <w:r>
        <w:rPr>
          <w:spacing w:val="-1"/>
        </w:rPr>
        <w:t xml:space="preserve"> </w:t>
      </w:r>
      <w:r>
        <w:t xml:space="preserve">any adverse event, serious adverse event, or withdrawal due to adverse events was reported between intervention groups and </w:t>
      </w:r>
      <w:r>
        <w:rPr>
          <w:spacing w:val="-2"/>
        </w:rPr>
        <w:t>controls.</w:t>
      </w:r>
    </w:p>
    <w:p w14:paraId="7A4C310A" w14:textId="77777777" w:rsidR="00E13D3F" w:rsidRDefault="00E13D3F">
      <w:pPr>
        <w:pStyle w:val="BodyText"/>
        <w:spacing w:line="276" w:lineRule="auto"/>
        <w:sectPr w:rsidR="00E13D3F">
          <w:pgSz w:w="11910" w:h="16840"/>
          <w:pgMar w:top="1660" w:right="0" w:bottom="1200" w:left="0" w:header="0" w:footer="1000" w:gutter="0"/>
          <w:cols w:space="720"/>
        </w:sectPr>
      </w:pPr>
    </w:p>
    <w:p w14:paraId="7A4C310B" w14:textId="77777777" w:rsidR="00E13D3F" w:rsidRDefault="00FB2D6A">
      <w:pPr>
        <w:spacing w:before="41"/>
        <w:ind w:left="1440" w:right="1450"/>
      </w:pPr>
      <w:r>
        <w:rPr>
          <w:b/>
        </w:rPr>
        <w:lastRenderedPageBreak/>
        <w:t>Table</w:t>
      </w:r>
      <w:r>
        <w:rPr>
          <w:b/>
          <w:spacing w:val="-1"/>
        </w:rPr>
        <w:t xml:space="preserve"> </w:t>
      </w:r>
      <w:r>
        <w:rPr>
          <w:b/>
        </w:rPr>
        <w:t>8.2.</w:t>
      </w:r>
      <w:r>
        <w:rPr>
          <w:b/>
          <w:spacing w:val="-1"/>
        </w:rPr>
        <w:t xml:space="preserve"> </w:t>
      </w:r>
      <w:r>
        <w:t>Summary</w:t>
      </w:r>
      <w:r>
        <w:rPr>
          <w:spacing w:val="-3"/>
        </w:rPr>
        <w:t xml:space="preserve"> </w:t>
      </w:r>
      <w:r>
        <w:t>of</w:t>
      </w:r>
      <w:r>
        <w:rPr>
          <w:spacing w:val="-3"/>
        </w:rPr>
        <w:t xml:space="preserve"> </w:t>
      </w:r>
      <w:r>
        <w:t>the</w:t>
      </w:r>
      <w:r>
        <w:rPr>
          <w:spacing w:val="-3"/>
        </w:rPr>
        <w:t xml:space="preserve"> </w:t>
      </w:r>
      <w:r>
        <w:t>evidence</w:t>
      </w:r>
      <w:r>
        <w:rPr>
          <w:spacing w:val="-1"/>
        </w:rPr>
        <w:t xml:space="preserve"> </w:t>
      </w:r>
      <w:r>
        <w:t>for</w:t>
      </w:r>
      <w:r>
        <w:rPr>
          <w:spacing w:val="-1"/>
        </w:rPr>
        <w:t xml:space="preserve"> </w:t>
      </w:r>
      <w:r>
        <w:t>the</w:t>
      </w:r>
      <w:r>
        <w:rPr>
          <w:spacing w:val="-3"/>
        </w:rPr>
        <w:t xml:space="preserve"> </w:t>
      </w:r>
      <w:r>
        <w:t>effects</w:t>
      </w:r>
      <w:r>
        <w:rPr>
          <w:spacing w:val="-3"/>
        </w:rPr>
        <w:t xml:space="preserve"> </w:t>
      </w:r>
      <w:r>
        <w:t>of</w:t>
      </w:r>
      <w:r>
        <w:rPr>
          <w:spacing w:val="-3"/>
        </w:rPr>
        <w:t xml:space="preserve"> </w:t>
      </w:r>
      <w:proofErr w:type="spellStart"/>
      <w:r>
        <w:t>behavioural</w:t>
      </w:r>
      <w:proofErr w:type="spellEnd"/>
      <w:r>
        <w:rPr>
          <w:spacing w:val="-5"/>
        </w:rPr>
        <w:t xml:space="preserve"> </w:t>
      </w:r>
      <w:r>
        <w:t>interventions</w:t>
      </w:r>
      <w:r>
        <w:rPr>
          <w:spacing w:val="-1"/>
        </w:rPr>
        <w:t xml:space="preserve"> </w:t>
      </w:r>
      <w:r>
        <w:t>in</w:t>
      </w:r>
      <w:r>
        <w:rPr>
          <w:spacing w:val="-2"/>
        </w:rPr>
        <w:t xml:space="preserve"> </w:t>
      </w:r>
      <w:r>
        <w:t>overweight</w:t>
      </w:r>
      <w:r>
        <w:rPr>
          <w:spacing w:val="-1"/>
        </w:rPr>
        <w:t xml:space="preserve"> </w:t>
      </w:r>
      <w:r>
        <w:t>and obese adults (Canadian Task Force on Preventive Health Care, 2015)</w:t>
      </w:r>
    </w:p>
    <w:tbl>
      <w:tblPr>
        <w:tblW w:w="0" w:type="auto"/>
        <w:tblInd w:w="145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3046"/>
        <w:gridCol w:w="1694"/>
        <w:gridCol w:w="2071"/>
        <w:gridCol w:w="2203"/>
      </w:tblGrid>
      <w:tr w:rsidR="00E13D3F" w14:paraId="7A4C3112" w14:textId="77777777">
        <w:trPr>
          <w:trHeight w:val="486"/>
        </w:trPr>
        <w:tc>
          <w:tcPr>
            <w:tcW w:w="3046" w:type="dxa"/>
          </w:tcPr>
          <w:p w14:paraId="7A4C310C" w14:textId="77777777" w:rsidR="00E13D3F" w:rsidRDefault="00FB2D6A">
            <w:pPr>
              <w:pStyle w:val="TableParagraph"/>
              <w:spacing w:before="1"/>
              <w:ind w:left="107"/>
              <w:rPr>
                <w:b/>
                <w:sz w:val="20"/>
              </w:rPr>
            </w:pPr>
            <w:r>
              <w:rPr>
                <w:b/>
                <w:spacing w:val="-2"/>
                <w:sz w:val="20"/>
              </w:rPr>
              <w:t>Outcome</w:t>
            </w:r>
          </w:p>
        </w:tc>
        <w:tc>
          <w:tcPr>
            <w:tcW w:w="1694" w:type="dxa"/>
          </w:tcPr>
          <w:p w14:paraId="7A4C310D" w14:textId="77777777" w:rsidR="00E13D3F" w:rsidRDefault="00FB2D6A">
            <w:pPr>
              <w:pStyle w:val="TableParagraph"/>
              <w:spacing w:before="1"/>
              <w:ind w:left="10" w:right="48"/>
              <w:jc w:val="center"/>
              <w:rPr>
                <w:b/>
                <w:sz w:val="20"/>
              </w:rPr>
            </w:pPr>
            <w:r>
              <w:rPr>
                <w:b/>
                <w:spacing w:val="-2"/>
                <w:sz w:val="20"/>
              </w:rPr>
              <w:t>Trials</w:t>
            </w:r>
          </w:p>
        </w:tc>
        <w:tc>
          <w:tcPr>
            <w:tcW w:w="2071" w:type="dxa"/>
          </w:tcPr>
          <w:p w14:paraId="7A4C310E" w14:textId="77777777" w:rsidR="00E13D3F" w:rsidRDefault="00FB2D6A">
            <w:pPr>
              <w:pStyle w:val="TableParagraph"/>
              <w:spacing w:before="1" w:line="243" w:lineRule="exact"/>
              <w:ind w:left="6"/>
              <w:jc w:val="center"/>
              <w:rPr>
                <w:b/>
                <w:sz w:val="20"/>
              </w:rPr>
            </w:pPr>
            <w:r>
              <w:rPr>
                <w:b/>
                <w:sz w:val="20"/>
              </w:rPr>
              <w:t>Certainty</w:t>
            </w:r>
            <w:r>
              <w:rPr>
                <w:b/>
                <w:spacing w:val="-6"/>
                <w:sz w:val="20"/>
              </w:rPr>
              <w:t xml:space="preserve"> </w:t>
            </w:r>
            <w:r>
              <w:rPr>
                <w:b/>
                <w:sz w:val="20"/>
              </w:rPr>
              <w:t>of</w:t>
            </w:r>
            <w:r>
              <w:rPr>
                <w:b/>
                <w:spacing w:val="-6"/>
                <w:sz w:val="20"/>
              </w:rPr>
              <w:t xml:space="preserve"> </w:t>
            </w:r>
            <w:r>
              <w:rPr>
                <w:b/>
                <w:spacing w:val="-2"/>
                <w:sz w:val="20"/>
              </w:rPr>
              <w:t>evidence</w:t>
            </w:r>
          </w:p>
          <w:p w14:paraId="7A4C310F" w14:textId="77777777" w:rsidR="00E13D3F" w:rsidRDefault="00FB2D6A">
            <w:pPr>
              <w:pStyle w:val="TableParagraph"/>
              <w:spacing w:line="222" w:lineRule="exact"/>
              <w:ind w:left="6"/>
              <w:jc w:val="center"/>
              <w:rPr>
                <w:b/>
                <w:sz w:val="20"/>
              </w:rPr>
            </w:pPr>
            <w:r>
              <w:rPr>
                <w:b/>
                <w:spacing w:val="-2"/>
                <w:sz w:val="20"/>
              </w:rPr>
              <w:t>(GRADE)</w:t>
            </w:r>
          </w:p>
        </w:tc>
        <w:tc>
          <w:tcPr>
            <w:tcW w:w="2203" w:type="dxa"/>
          </w:tcPr>
          <w:p w14:paraId="7A4C3110" w14:textId="77777777" w:rsidR="00E13D3F" w:rsidRDefault="00FB2D6A">
            <w:pPr>
              <w:pStyle w:val="TableParagraph"/>
              <w:spacing w:before="1" w:line="243" w:lineRule="exact"/>
              <w:ind w:left="47" w:right="75"/>
              <w:jc w:val="center"/>
              <w:rPr>
                <w:b/>
                <w:sz w:val="20"/>
              </w:rPr>
            </w:pPr>
            <w:r>
              <w:rPr>
                <w:b/>
                <w:sz w:val="20"/>
              </w:rPr>
              <w:t>Mean</w:t>
            </w:r>
            <w:r>
              <w:rPr>
                <w:b/>
                <w:spacing w:val="-4"/>
                <w:sz w:val="20"/>
              </w:rPr>
              <w:t xml:space="preserve"> </w:t>
            </w:r>
            <w:r>
              <w:rPr>
                <w:b/>
                <w:spacing w:val="-2"/>
                <w:sz w:val="20"/>
              </w:rPr>
              <w:t>difference</w:t>
            </w:r>
          </w:p>
          <w:p w14:paraId="7A4C3111" w14:textId="77777777" w:rsidR="00E13D3F" w:rsidRDefault="00FB2D6A">
            <w:pPr>
              <w:pStyle w:val="TableParagraph"/>
              <w:spacing w:line="222" w:lineRule="exact"/>
              <w:ind w:left="47" w:right="75"/>
              <w:jc w:val="center"/>
              <w:rPr>
                <w:b/>
                <w:sz w:val="20"/>
              </w:rPr>
            </w:pPr>
            <w:r>
              <w:rPr>
                <w:b/>
                <w:sz w:val="20"/>
              </w:rPr>
              <w:t>(95%</w:t>
            </w:r>
            <w:r>
              <w:rPr>
                <w:b/>
                <w:spacing w:val="-5"/>
                <w:sz w:val="20"/>
              </w:rPr>
              <w:t xml:space="preserve"> CI)</w:t>
            </w:r>
          </w:p>
        </w:tc>
      </w:tr>
      <w:tr w:rsidR="00E13D3F" w14:paraId="7A4C311A" w14:textId="77777777">
        <w:trPr>
          <w:trHeight w:val="489"/>
        </w:trPr>
        <w:tc>
          <w:tcPr>
            <w:tcW w:w="3046" w:type="dxa"/>
            <w:shd w:val="clear" w:color="auto" w:fill="F1F1F1"/>
          </w:tcPr>
          <w:p w14:paraId="7A4C3113" w14:textId="77777777" w:rsidR="00E13D3F" w:rsidRDefault="00FB2D6A">
            <w:pPr>
              <w:pStyle w:val="TableParagraph"/>
              <w:spacing w:before="1"/>
              <w:ind w:left="107"/>
              <w:rPr>
                <w:b/>
                <w:sz w:val="20"/>
              </w:rPr>
            </w:pPr>
            <w:r>
              <w:rPr>
                <w:b/>
                <w:sz w:val="20"/>
              </w:rPr>
              <w:t>Weight</w:t>
            </w:r>
            <w:r>
              <w:rPr>
                <w:b/>
                <w:spacing w:val="-9"/>
                <w:sz w:val="20"/>
              </w:rPr>
              <w:t xml:space="preserve"> </w:t>
            </w:r>
            <w:r>
              <w:rPr>
                <w:b/>
                <w:spacing w:val="-4"/>
                <w:sz w:val="20"/>
              </w:rPr>
              <w:t>(kg)</w:t>
            </w:r>
          </w:p>
        </w:tc>
        <w:tc>
          <w:tcPr>
            <w:tcW w:w="1694" w:type="dxa"/>
            <w:shd w:val="clear" w:color="auto" w:fill="F1F1F1"/>
          </w:tcPr>
          <w:p w14:paraId="7A4C3114" w14:textId="77777777" w:rsidR="00E13D3F" w:rsidRDefault="00FB2D6A">
            <w:pPr>
              <w:pStyle w:val="TableParagraph"/>
              <w:spacing w:before="123"/>
              <w:ind w:left="48" w:right="38"/>
              <w:jc w:val="center"/>
              <w:rPr>
                <w:sz w:val="20"/>
              </w:rPr>
            </w:pPr>
            <w:r>
              <w:rPr>
                <w:spacing w:val="-5"/>
                <w:sz w:val="20"/>
              </w:rPr>
              <w:t>33</w:t>
            </w:r>
          </w:p>
        </w:tc>
        <w:tc>
          <w:tcPr>
            <w:tcW w:w="2071" w:type="dxa"/>
            <w:vMerge w:val="restart"/>
            <w:shd w:val="clear" w:color="auto" w:fill="F1F1F1"/>
          </w:tcPr>
          <w:p w14:paraId="7A4C3115" w14:textId="77777777" w:rsidR="00E13D3F" w:rsidRDefault="00E13D3F">
            <w:pPr>
              <w:pStyle w:val="TableParagraph"/>
              <w:rPr>
                <w:sz w:val="20"/>
              </w:rPr>
            </w:pPr>
          </w:p>
          <w:p w14:paraId="7A4C3116" w14:textId="77777777" w:rsidR="00E13D3F" w:rsidRDefault="00E13D3F">
            <w:pPr>
              <w:pStyle w:val="TableParagraph"/>
              <w:spacing w:before="134"/>
              <w:rPr>
                <w:sz w:val="20"/>
              </w:rPr>
            </w:pPr>
          </w:p>
          <w:p w14:paraId="7A4C3117" w14:textId="77777777" w:rsidR="00E13D3F" w:rsidRDefault="00FB2D6A">
            <w:pPr>
              <w:pStyle w:val="TableParagraph"/>
              <w:ind w:left="627"/>
              <w:rPr>
                <w:sz w:val="20"/>
              </w:rPr>
            </w:pPr>
            <w:r>
              <w:rPr>
                <w:spacing w:val="-2"/>
                <w:sz w:val="20"/>
              </w:rPr>
              <w:t>Moderate</w:t>
            </w:r>
          </w:p>
        </w:tc>
        <w:tc>
          <w:tcPr>
            <w:tcW w:w="2203" w:type="dxa"/>
            <w:shd w:val="clear" w:color="auto" w:fill="F1F1F1"/>
          </w:tcPr>
          <w:p w14:paraId="7A4C3118" w14:textId="77777777" w:rsidR="00E13D3F" w:rsidRDefault="00FB2D6A">
            <w:pPr>
              <w:pStyle w:val="TableParagraph"/>
              <w:spacing w:before="1"/>
              <w:ind w:right="75"/>
              <w:jc w:val="center"/>
              <w:rPr>
                <w:sz w:val="20"/>
              </w:rPr>
            </w:pPr>
            <w:r>
              <w:rPr>
                <w:spacing w:val="-2"/>
                <w:sz w:val="20"/>
              </w:rPr>
              <w:t>-</w:t>
            </w:r>
            <w:r>
              <w:rPr>
                <w:spacing w:val="-5"/>
                <w:sz w:val="20"/>
              </w:rPr>
              <w:t>3.1</w:t>
            </w:r>
          </w:p>
          <w:p w14:paraId="7A4C3119" w14:textId="77777777" w:rsidR="00E13D3F" w:rsidRDefault="00FB2D6A">
            <w:pPr>
              <w:pStyle w:val="TableParagraph"/>
              <w:spacing w:before="1" w:line="223" w:lineRule="exact"/>
              <w:ind w:left="45" w:right="75"/>
              <w:jc w:val="center"/>
              <w:rPr>
                <w:sz w:val="20"/>
              </w:rPr>
            </w:pPr>
            <w:r>
              <w:rPr>
                <w:sz w:val="20"/>
              </w:rPr>
              <w:t>(-3.</w:t>
            </w:r>
            <w:r>
              <w:rPr>
                <w:spacing w:val="-6"/>
                <w:sz w:val="20"/>
              </w:rPr>
              <w:t xml:space="preserve"> </w:t>
            </w:r>
            <w:r>
              <w:rPr>
                <w:sz w:val="20"/>
              </w:rPr>
              <w:t>to</w:t>
            </w:r>
            <w:r>
              <w:rPr>
                <w:spacing w:val="-4"/>
                <w:sz w:val="20"/>
              </w:rPr>
              <w:t xml:space="preserve"> </w:t>
            </w:r>
            <w:r>
              <w:rPr>
                <w:sz w:val="20"/>
              </w:rPr>
              <w:t>-</w:t>
            </w:r>
            <w:r>
              <w:rPr>
                <w:spacing w:val="-5"/>
                <w:sz w:val="20"/>
              </w:rPr>
              <w:t>2.)</w:t>
            </w:r>
          </w:p>
        </w:tc>
      </w:tr>
      <w:tr w:rsidR="00E13D3F" w14:paraId="7A4C3120" w14:textId="77777777">
        <w:trPr>
          <w:trHeight w:val="489"/>
        </w:trPr>
        <w:tc>
          <w:tcPr>
            <w:tcW w:w="3046" w:type="dxa"/>
          </w:tcPr>
          <w:p w14:paraId="7A4C311B" w14:textId="77777777" w:rsidR="00E13D3F" w:rsidRDefault="00FB2D6A">
            <w:pPr>
              <w:pStyle w:val="TableParagraph"/>
              <w:spacing w:before="1"/>
              <w:ind w:left="107"/>
              <w:rPr>
                <w:b/>
                <w:sz w:val="20"/>
              </w:rPr>
            </w:pPr>
            <w:r>
              <w:rPr>
                <w:b/>
                <w:spacing w:val="-5"/>
                <w:sz w:val="20"/>
              </w:rPr>
              <w:t>BMI</w:t>
            </w:r>
          </w:p>
        </w:tc>
        <w:tc>
          <w:tcPr>
            <w:tcW w:w="1694" w:type="dxa"/>
          </w:tcPr>
          <w:p w14:paraId="7A4C311C" w14:textId="77777777" w:rsidR="00E13D3F" w:rsidRDefault="00FB2D6A">
            <w:pPr>
              <w:pStyle w:val="TableParagraph"/>
              <w:spacing w:before="123"/>
              <w:ind w:left="48" w:right="38"/>
              <w:jc w:val="center"/>
              <w:rPr>
                <w:sz w:val="20"/>
              </w:rPr>
            </w:pPr>
            <w:r>
              <w:rPr>
                <w:spacing w:val="-5"/>
                <w:sz w:val="20"/>
              </w:rPr>
              <w:t>22</w:t>
            </w:r>
          </w:p>
        </w:tc>
        <w:tc>
          <w:tcPr>
            <w:tcW w:w="2071" w:type="dxa"/>
            <w:vMerge/>
            <w:tcBorders>
              <w:top w:val="nil"/>
            </w:tcBorders>
            <w:shd w:val="clear" w:color="auto" w:fill="F1F1F1"/>
          </w:tcPr>
          <w:p w14:paraId="7A4C311D" w14:textId="77777777" w:rsidR="00E13D3F" w:rsidRDefault="00E13D3F">
            <w:pPr>
              <w:rPr>
                <w:sz w:val="2"/>
                <w:szCs w:val="2"/>
              </w:rPr>
            </w:pPr>
          </w:p>
        </w:tc>
        <w:tc>
          <w:tcPr>
            <w:tcW w:w="2203" w:type="dxa"/>
          </w:tcPr>
          <w:p w14:paraId="7A4C311E" w14:textId="77777777" w:rsidR="00E13D3F" w:rsidRDefault="00FB2D6A">
            <w:pPr>
              <w:pStyle w:val="TableParagraph"/>
              <w:spacing w:before="1"/>
              <w:ind w:left="43" w:right="75"/>
              <w:jc w:val="center"/>
              <w:rPr>
                <w:sz w:val="20"/>
              </w:rPr>
            </w:pPr>
            <w:r>
              <w:rPr>
                <w:spacing w:val="-2"/>
                <w:sz w:val="20"/>
              </w:rPr>
              <w:t>-</w:t>
            </w:r>
            <w:r>
              <w:rPr>
                <w:spacing w:val="-5"/>
                <w:sz w:val="20"/>
              </w:rPr>
              <w:t>1.1</w:t>
            </w:r>
          </w:p>
          <w:p w14:paraId="7A4C311F" w14:textId="77777777" w:rsidR="00E13D3F" w:rsidRDefault="00FB2D6A">
            <w:pPr>
              <w:pStyle w:val="TableParagraph"/>
              <w:spacing w:before="1" w:line="223" w:lineRule="exact"/>
              <w:ind w:left="46" w:right="75"/>
              <w:jc w:val="center"/>
              <w:rPr>
                <w:sz w:val="20"/>
              </w:rPr>
            </w:pPr>
            <w:r>
              <w:rPr>
                <w:sz w:val="20"/>
              </w:rPr>
              <w:t>(-1.4</w:t>
            </w:r>
            <w:r>
              <w:rPr>
                <w:spacing w:val="-5"/>
                <w:sz w:val="20"/>
              </w:rPr>
              <w:t xml:space="preserve"> </w:t>
            </w:r>
            <w:r>
              <w:rPr>
                <w:sz w:val="20"/>
              </w:rPr>
              <w:t>to</w:t>
            </w:r>
            <w:r>
              <w:rPr>
                <w:spacing w:val="-3"/>
                <w:sz w:val="20"/>
              </w:rPr>
              <w:t xml:space="preserve"> </w:t>
            </w:r>
            <w:r>
              <w:rPr>
                <w:sz w:val="20"/>
              </w:rPr>
              <w:t>-</w:t>
            </w:r>
            <w:r>
              <w:rPr>
                <w:spacing w:val="-4"/>
                <w:sz w:val="20"/>
              </w:rPr>
              <w:t>0.8)</w:t>
            </w:r>
          </w:p>
        </w:tc>
      </w:tr>
      <w:tr w:rsidR="00E13D3F" w14:paraId="7A4C3126" w14:textId="77777777">
        <w:trPr>
          <w:trHeight w:val="486"/>
        </w:trPr>
        <w:tc>
          <w:tcPr>
            <w:tcW w:w="3046" w:type="dxa"/>
            <w:shd w:val="clear" w:color="auto" w:fill="F1F1F1"/>
          </w:tcPr>
          <w:p w14:paraId="7A4C3121" w14:textId="77777777" w:rsidR="00E13D3F" w:rsidRDefault="00FB2D6A">
            <w:pPr>
              <w:pStyle w:val="TableParagraph"/>
              <w:spacing w:before="1"/>
              <w:ind w:left="107"/>
              <w:rPr>
                <w:b/>
                <w:sz w:val="20"/>
              </w:rPr>
            </w:pPr>
            <w:r>
              <w:rPr>
                <w:b/>
                <w:sz w:val="20"/>
              </w:rPr>
              <w:t>Waist</w:t>
            </w:r>
            <w:r>
              <w:rPr>
                <w:b/>
                <w:spacing w:val="-11"/>
                <w:sz w:val="20"/>
              </w:rPr>
              <w:t xml:space="preserve"> </w:t>
            </w:r>
            <w:r>
              <w:rPr>
                <w:b/>
                <w:sz w:val="20"/>
              </w:rPr>
              <w:t>circumference</w:t>
            </w:r>
            <w:r>
              <w:rPr>
                <w:b/>
                <w:spacing w:val="-10"/>
                <w:sz w:val="20"/>
              </w:rPr>
              <w:t xml:space="preserve"> </w:t>
            </w:r>
            <w:r>
              <w:rPr>
                <w:b/>
                <w:spacing w:val="-4"/>
                <w:sz w:val="20"/>
              </w:rPr>
              <w:t>(cm)</w:t>
            </w:r>
          </w:p>
        </w:tc>
        <w:tc>
          <w:tcPr>
            <w:tcW w:w="1694" w:type="dxa"/>
            <w:shd w:val="clear" w:color="auto" w:fill="F1F1F1"/>
          </w:tcPr>
          <w:p w14:paraId="7A4C3122" w14:textId="77777777" w:rsidR="00E13D3F" w:rsidRDefault="00FB2D6A">
            <w:pPr>
              <w:pStyle w:val="TableParagraph"/>
              <w:spacing w:before="121"/>
              <w:ind w:left="48" w:right="38"/>
              <w:jc w:val="center"/>
              <w:rPr>
                <w:sz w:val="20"/>
              </w:rPr>
            </w:pPr>
            <w:r>
              <w:rPr>
                <w:spacing w:val="-5"/>
                <w:sz w:val="20"/>
              </w:rPr>
              <w:t>22</w:t>
            </w:r>
          </w:p>
        </w:tc>
        <w:tc>
          <w:tcPr>
            <w:tcW w:w="2071" w:type="dxa"/>
            <w:vMerge/>
            <w:tcBorders>
              <w:top w:val="nil"/>
            </w:tcBorders>
            <w:shd w:val="clear" w:color="auto" w:fill="F1F1F1"/>
          </w:tcPr>
          <w:p w14:paraId="7A4C3123" w14:textId="77777777" w:rsidR="00E13D3F" w:rsidRDefault="00E13D3F">
            <w:pPr>
              <w:rPr>
                <w:sz w:val="2"/>
                <w:szCs w:val="2"/>
              </w:rPr>
            </w:pPr>
          </w:p>
        </w:tc>
        <w:tc>
          <w:tcPr>
            <w:tcW w:w="2203" w:type="dxa"/>
            <w:shd w:val="clear" w:color="auto" w:fill="F1F1F1"/>
          </w:tcPr>
          <w:p w14:paraId="7A4C3124" w14:textId="77777777" w:rsidR="00E13D3F" w:rsidRDefault="00FB2D6A">
            <w:pPr>
              <w:pStyle w:val="TableParagraph"/>
              <w:spacing w:before="1" w:line="243" w:lineRule="exact"/>
              <w:ind w:left="43" w:right="75"/>
              <w:jc w:val="center"/>
              <w:rPr>
                <w:sz w:val="20"/>
              </w:rPr>
            </w:pPr>
            <w:r>
              <w:rPr>
                <w:spacing w:val="-2"/>
                <w:sz w:val="20"/>
              </w:rPr>
              <w:t>-</w:t>
            </w:r>
            <w:r>
              <w:rPr>
                <w:spacing w:val="-5"/>
                <w:sz w:val="20"/>
              </w:rPr>
              <w:t>3.0</w:t>
            </w:r>
          </w:p>
          <w:p w14:paraId="7A4C3125" w14:textId="77777777" w:rsidR="00E13D3F" w:rsidRDefault="00FB2D6A">
            <w:pPr>
              <w:pStyle w:val="TableParagraph"/>
              <w:spacing w:line="222" w:lineRule="exact"/>
              <w:ind w:left="46" w:right="75"/>
              <w:jc w:val="center"/>
              <w:rPr>
                <w:sz w:val="20"/>
              </w:rPr>
            </w:pPr>
            <w:r>
              <w:rPr>
                <w:sz w:val="20"/>
              </w:rPr>
              <w:t>(-3.9</w:t>
            </w:r>
            <w:r>
              <w:rPr>
                <w:spacing w:val="-5"/>
                <w:sz w:val="20"/>
              </w:rPr>
              <w:t xml:space="preserve"> </w:t>
            </w:r>
            <w:r>
              <w:rPr>
                <w:sz w:val="20"/>
              </w:rPr>
              <w:t>to</w:t>
            </w:r>
            <w:r>
              <w:rPr>
                <w:spacing w:val="-3"/>
                <w:sz w:val="20"/>
              </w:rPr>
              <w:t xml:space="preserve"> </w:t>
            </w:r>
            <w:r>
              <w:rPr>
                <w:sz w:val="20"/>
              </w:rPr>
              <w:t>-</w:t>
            </w:r>
            <w:r>
              <w:rPr>
                <w:spacing w:val="-4"/>
                <w:sz w:val="20"/>
              </w:rPr>
              <w:t>2.2)</w:t>
            </w:r>
          </w:p>
        </w:tc>
      </w:tr>
      <w:tr w:rsidR="00E13D3F" w14:paraId="7A4C312C" w14:textId="77777777">
        <w:trPr>
          <w:trHeight w:val="489"/>
        </w:trPr>
        <w:tc>
          <w:tcPr>
            <w:tcW w:w="3046" w:type="dxa"/>
          </w:tcPr>
          <w:p w14:paraId="7A4C3127" w14:textId="77777777" w:rsidR="00E13D3F" w:rsidRDefault="00FB2D6A">
            <w:pPr>
              <w:pStyle w:val="TableParagraph"/>
              <w:spacing w:before="1"/>
              <w:ind w:left="107"/>
              <w:rPr>
                <w:b/>
                <w:sz w:val="20"/>
              </w:rPr>
            </w:pPr>
            <w:r>
              <w:rPr>
                <w:b/>
                <w:sz w:val="20"/>
              </w:rPr>
              <w:t>Total</w:t>
            </w:r>
            <w:r>
              <w:rPr>
                <w:b/>
                <w:spacing w:val="-10"/>
                <w:sz w:val="20"/>
              </w:rPr>
              <w:t xml:space="preserve"> </w:t>
            </w:r>
            <w:r>
              <w:rPr>
                <w:b/>
                <w:sz w:val="20"/>
              </w:rPr>
              <w:t>cholesterol</w:t>
            </w:r>
            <w:r>
              <w:rPr>
                <w:b/>
                <w:spacing w:val="-10"/>
                <w:sz w:val="20"/>
              </w:rPr>
              <w:t xml:space="preserve"> </w:t>
            </w:r>
            <w:r>
              <w:rPr>
                <w:b/>
                <w:spacing w:val="-2"/>
                <w:sz w:val="20"/>
              </w:rPr>
              <w:t>(mmol/L)</w:t>
            </w:r>
          </w:p>
        </w:tc>
        <w:tc>
          <w:tcPr>
            <w:tcW w:w="1694" w:type="dxa"/>
          </w:tcPr>
          <w:p w14:paraId="7A4C3128" w14:textId="77777777" w:rsidR="00E13D3F" w:rsidRDefault="00FB2D6A">
            <w:pPr>
              <w:pStyle w:val="TableParagraph"/>
              <w:spacing w:before="123"/>
              <w:ind w:left="48" w:right="38"/>
              <w:jc w:val="center"/>
              <w:rPr>
                <w:sz w:val="20"/>
              </w:rPr>
            </w:pPr>
            <w:r>
              <w:rPr>
                <w:spacing w:val="-5"/>
                <w:sz w:val="20"/>
              </w:rPr>
              <w:t>18</w:t>
            </w:r>
          </w:p>
        </w:tc>
        <w:tc>
          <w:tcPr>
            <w:tcW w:w="2071" w:type="dxa"/>
          </w:tcPr>
          <w:p w14:paraId="7A4C3129" w14:textId="77777777" w:rsidR="00E13D3F" w:rsidRDefault="00FB2D6A">
            <w:pPr>
              <w:pStyle w:val="TableParagraph"/>
              <w:spacing w:before="123"/>
              <w:ind w:left="6" w:right="1"/>
              <w:jc w:val="center"/>
              <w:rPr>
                <w:sz w:val="20"/>
              </w:rPr>
            </w:pPr>
            <w:r>
              <w:rPr>
                <w:spacing w:val="-5"/>
                <w:sz w:val="20"/>
              </w:rPr>
              <w:t>Low</w:t>
            </w:r>
          </w:p>
        </w:tc>
        <w:tc>
          <w:tcPr>
            <w:tcW w:w="2203" w:type="dxa"/>
          </w:tcPr>
          <w:p w14:paraId="7A4C312A" w14:textId="77777777" w:rsidR="00E13D3F" w:rsidRDefault="00FB2D6A">
            <w:pPr>
              <w:pStyle w:val="TableParagraph"/>
              <w:spacing w:before="1"/>
              <w:ind w:left="43" w:right="75"/>
              <w:jc w:val="center"/>
              <w:rPr>
                <w:sz w:val="20"/>
              </w:rPr>
            </w:pPr>
            <w:r>
              <w:rPr>
                <w:spacing w:val="-2"/>
                <w:sz w:val="20"/>
              </w:rPr>
              <w:t>-</w:t>
            </w:r>
            <w:r>
              <w:rPr>
                <w:spacing w:val="-5"/>
                <w:sz w:val="20"/>
              </w:rPr>
              <w:t>0.1</w:t>
            </w:r>
          </w:p>
          <w:p w14:paraId="7A4C312B" w14:textId="77777777" w:rsidR="00E13D3F" w:rsidRDefault="00FB2D6A">
            <w:pPr>
              <w:pStyle w:val="TableParagraph"/>
              <w:spacing w:before="1" w:line="223" w:lineRule="exact"/>
              <w:ind w:left="46" w:right="75"/>
              <w:jc w:val="center"/>
              <w:rPr>
                <w:sz w:val="20"/>
              </w:rPr>
            </w:pPr>
            <w:r>
              <w:rPr>
                <w:sz w:val="20"/>
              </w:rPr>
              <w:t>(-0.2</w:t>
            </w:r>
            <w:r>
              <w:rPr>
                <w:spacing w:val="-5"/>
                <w:sz w:val="20"/>
              </w:rPr>
              <w:t xml:space="preserve"> </w:t>
            </w:r>
            <w:r>
              <w:rPr>
                <w:sz w:val="20"/>
              </w:rPr>
              <w:t>to</w:t>
            </w:r>
            <w:r>
              <w:rPr>
                <w:spacing w:val="-3"/>
                <w:sz w:val="20"/>
              </w:rPr>
              <w:t xml:space="preserve"> </w:t>
            </w:r>
            <w:r>
              <w:rPr>
                <w:sz w:val="20"/>
              </w:rPr>
              <w:t>-</w:t>
            </w:r>
            <w:r>
              <w:rPr>
                <w:spacing w:val="-4"/>
                <w:sz w:val="20"/>
              </w:rPr>
              <w:t>0.0)</w:t>
            </w:r>
          </w:p>
        </w:tc>
      </w:tr>
      <w:tr w:rsidR="00E13D3F" w14:paraId="7A4C3135" w14:textId="77777777">
        <w:trPr>
          <w:trHeight w:val="486"/>
        </w:trPr>
        <w:tc>
          <w:tcPr>
            <w:tcW w:w="3046" w:type="dxa"/>
            <w:shd w:val="clear" w:color="auto" w:fill="F1F1F1"/>
          </w:tcPr>
          <w:p w14:paraId="7A4C312D" w14:textId="77777777" w:rsidR="00E13D3F" w:rsidRDefault="00FB2D6A">
            <w:pPr>
              <w:pStyle w:val="TableParagraph"/>
              <w:spacing w:before="1"/>
              <w:ind w:left="107"/>
              <w:rPr>
                <w:b/>
                <w:sz w:val="20"/>
              </w:rPr>
            </w:pPr>
            <w:r>
              <w:rPr>
                <w:b/>
                <w:sz w:val="20"/>
              </w:rPr>
              <w:t>LDL</w:t>
            </w:r>
            <w:r>
              <w:rPr>
                <w:b/>
                <w:spacing w:val="-11"/>
                <w:sz w:val="20"/>
              </w:rPr>
              <w:t xml:space="preserve"> </w:t>
            </w:r>
            <w:r>
              <w:rPr>
                <w:b/>
                <w:sz w:val="20"/>
              </w:rPr>
              <w:t>cholesterol</w:t>
            </w:r>
            <w:r>
              <w:rPr>
                <w:b/>
                <w:spacing w:val="-11"/>
                <w:sz w:val="20"/>
              </w:rPr>
              <w:t xml:space="preserve"> </w:t>
            </w:r>
            <w:r>
              <w:rPr>
                <w:b/>
                <w:spacing w:val="-2"/>
                <w:sz w:val="20"/>
              </w:rPr>
              <w:t>(mmol/L)</w:t>
            </w:r>
          </w:p>
        </w:tc>
        <w:tc>
          <w:tcPr>
            <w:tcW w:w="1694" w:type="dxa"/>
            <w:shd w:val="clear" w:color="auto" w:fill="F1F1F1"/>
          </w:tcPr>
          <w:p w14:paraId="7A4C312E" w14:textId="77777777" w:rsidR="00E13D3F" w:rsidRDefault="00FB2D6A">
            <w:pPr>
              <w:pStyle w:val="TableParagraph"/>
              <w:spacing w:before="123"/>
              <w:ind w:left="48" w:right="38"/>
              <w:jc w:val="center"/>
              <w:rPr>
                <w:sz w:val="20"/>
              </w:rPr>
            </w:pPr>
            <w:r>
              <w:rPr>
                <w:spacing w:val="-5"/>
                <w:sz w:val="20"/>
              </w:rPr>
              <w:t>15</w:t>
            </w:r>
          </w:p>
        </w:tc>
        <w:tc>
          <w:tcPr>
            <w:tcW w:w="2071" w:type="dxa"/>
            <w:vMerge w:val="restart"/>
            <w:shd w:val="clear" w:color="auto" w:fill="F1F1F1"/>
          </w:tcPr>
          <w:p w14:paraId="7A4C312F" w14:textId="77777777" w:rsidR="00E13D3F" w:rsidRDefault="00E13D3F">
            <w:pPr>
              <w:pStyle w:val="TableParagraph"/>
              <w:rPr>
                <w:sz w:val="20"/>
              </w:rPr>
            </w:pPr>
          </w:p>
          <w:p w14:paraId="7A4C3130" w14:textId="77777777" w:rsidR="00E13D3F" w:rsidRDefault="00E13D3F">
            <w:pPr>
              <w:pStyle w:val="TableParagraph"/>
              <w:rPr>
                <w:sz w:val="20"/>
              </w:rPr>
            </w:pPr>
          </w:p>
          <w:p w14:paraId="7A4C3131" w14:textId="77777777" w:rsidR="00E13D3F" w:rsidRDefault="00E13D3F">
            <w:pPr>
              <w:pStyle w:val="TableParagraph"/>
              <w:spacing w:before="138"/>
              <w:rPr>
                <w:sz w:val="20"/>
              </w:rPr>
            </w:pPr>
          </w:p>
          <w:p w14:paraId="7A4C3132" w14:textId="77777777" w:rsidR="00E13D3F" w:rsidRDefault="00FB2D6A">
            <w:pPr>
              <w:pStyle w:val="TableParagraph"/>
              <w:ind w:left="627"/>
              <w:rPr>
                <w:sz w:val="20"/>
              </w:rPr>
            </w:pPr>
            <w:r>
              <w:rPr>
                <w:spacing w:val="-2"/>
                <w:sz w:val="20"/>
              </w:rPr>
              <w:t>Moderate</w:t>
            </w:r>
          </w:p>
        </w:tc>
        <w:tc>
          <w:tcPr>
            <w:tcW w:w="2203" w:type="dxa"/>
            <w:shd w:val="clear" w:color="auto" w:fill="F1F1F1"/>
          </w:tcPr>
          <w:p w14:paraId="7A4C3133" w14:textId="77777777" w:rsidR="00E13D3F" w:rsidRDefault="00FB2D6A">
            <w:pPr>
              <w:pStyle w:val="TableParagraph"/>
              <w:spacing w:before="1" w:line="243" w:lineRule="exact"/>
              <w:ind w:left="43" w:right="75"/>
              <w:jc w:val="center"/>
              <w:rPr>
                <w:sz w:val="20"/>
              </w:rPr>
            </w:pPr>
            <w:r>
              <w:rPr>
                <w:spacing w:val="-2"/>
                <w:sz w:val="20"/>
              </w:rPr>
              <w:t>-</w:t>
            </w:r>
            <w:r>
              <w:rPr>
                <w:spacing w:val="-5"/>
                <w:sz w:val="20"/>
              </w:rPr>
              <w:t>0.1</w:t>
            </w:r>
          </w:p>
          <w:p w14:paraId="7A4C3134" w14:textId="77777777" w:rsidR="00E13D3F" w:rsidRDefault="00FB2D6A">
            <w:pPr>
              <w:pStyle w:val="TableParagraph"/>
              <w:spacing w:line="222" w:lineRule="exact"/>
              <w:ind w:left="47" w:right="75"/>
              <w:jc w:val="center"/>
              <w:rPr>
                <w:sz w:val="20"/>
              </w:rPr>
            </w:pPr>
            <w:r>
              <w:rPr>
                <w:sz w:val="20"/>
              </w:rPr>
              <w:t>(-0.3</w:t>
            </w:r>
            <w:r>
              <w:rPr>
                <w:spacing w:val="-5"/>
                <w:sz w:val="20"/>
              </w:rPr>
              <w:t xml:space="preserve"> </w:t>
            </w:r>
            <w:r>
              <w:rPr>
                <w:sz w:val="20"/>
              </w:rPr>
              <w:t>to</w:t>
            </w:r>
            <w:r>
              <w:rPr>
                <w:spacing w:val="-4"/>
                <w:sz w:val="20"/>
              </w:rPr>
              <w:t xml:space="preserve"> 0.0)</w:t>
            </w:r>
          </w:p>
        </w:tc>
      </w:tr>
      <w:tr w:rsidR="00E13D3F" w14:paraId="7A4C313B" w14:textId="77777777">
        <w:trPr>
          <w:trHeight w:val="489"/>
        </w:trPr>
        <w:tc>
          <w:tcPr>
            <w:tcW w:w="3046" w:type="dxa"/>
          </w:tcPr>
          <w:p w14:paraId="7A4C3136" w14:textId="77777777" w:rsidR="00E13D3F" w:rsidRDefault="00FB2D6A">
            <w:pPr>
              <w:pStyle w:val="TableParagraph"/>
              <w:spacing w:before="1"/>
              <w:ind w:left="107"/>
              <w:rPr>
                <w:b/>
                <w:sz w:val="20"/>
              </w:rPr>
            </w:pPr>
            <w:r>
              <w:rPr>
                <w:b/>
                <w:sz w:val="20"/>
              </w:rPr>
              <w:t>Fasting</w:t>
            </w:r>
            <w:r>
              <w:rPr>
                <w:b/>
                <w:spacing w:val="-8"/>
                <w:sz w:val="20"/>
              </w:rPr>
              <w:t xml:space="preserve"> </w:t>
            </w:r>
            <w:r>
              <w:rPr>
                <w:b/>
                <w:sz w:val="20"/>
              </w:rPr>
              <w:t>glucose</w:t>
            </w:r>
            <w:r>
              <w:rPr>
                <w:b/>
                <w:spacing w:val="-8"/>
                <w:sz w:val="20"/>
              </w:rPr>
              <w:t xml:space="preserve"> </w:t>
            </w:r>
            <w:r>
              <w:rPr>
                <w:b/>
                <w:spacing w:val="-2"/>
                <w:sz w:val="20"/>
              </w:rPr>
              <w:t>(mmol/L)</w:t>
            </w:r>
          </w:p>
        </w:tc>
        <w:tc>
          <w:tcPr>
            <w:tcW w:w="1694" w:type="dxa"/>
          </w:tcPr>
          <w:p w14:paraId="7A4C3137" w14:textId="77777777" w:rsidR="00E13D3F" w:rsidRDefault="00FB2D6A">
            <w:pPr>
              <w:pStyle w:val="TableParagraph"/>
              <w:spacing w:before="124"/>
              <w:ind w:left="48" w:right="38"/>
              <w:jc w:val="center"/>
              <w:rPr>
                <w:sz w:val="20"/>
              </w:rPr>
            </w:pPr>
            <w:r>
              <w:rPr>
                <w:spacing w:val="-5"/>
                <w:sz w:val="20"/>
              </w:rPr>
              <w:t>15</w:t>
            </w:r>
          </w:p>
        </w:tc>
        <w:tc>
          <w:tcPr>
            <w:tcW w:w="2071" w:type="dxa"/>
            <w:vMerge/>
            <w:tcBorders>
              <w:top w:val="nil"/>
            </w:tcBorders>
            <w:shd w:val="clear" w:color="auto" w:fill="F1F1F1"/>
          </w:tcPr>
          <w:p w14:paraId="7A4C3138" w14:textId="77777777" w:rsidR="00E13D3F" w:rsidRDefault="00E13D3F">
            <w:pPr>
              <w:rPr>
                <w:sz w:val="2"/>
                <w:szCs w:val="2"/>
              </w:rPr>
            </w:pPr>
          </w:p>
        </w:tc>
        <w:tc>
          <w:tcPr>
            <w:tcW w:w="2203" w:type="dxa"/>
          </w:tcPr>
          <w:p w14:paraId="7A4C3139" w14:textId="77777777" w:rsidR="00E13D3F" w:rsidRDefault="00FB2D6A">
            <w:pPr>
              <w:pStyle w:val="TableParagraph"/>
              <w:spacing w:before="1"/>
              <w:ind w:left="43" w:right="75"/>
              <w:jc w:val="center"/>
              <w:rPr>
                <w:sz w:val="20"/>
              </w:rPr>
            </w:pPr>
            <w:r>
              <w:rPr>
                <w:spacing w:val="-2"/>
                <w:sz w:val="20"/>
              </w:rPr>
              <w:t>-</w:t>
            </w:r>
            <w:r>
              <w:rPr>
                <w:spacing w:val="-5"/>
                <w:sz w:val="20"/>
              </w:rPr>
              <w:t>0.1</w:t>
            </w:r>
          </w:p>
          <w:p w14:paraId="7A4C313A" w14:textId="77777777" w:rsidR="00E13D3F" w:rsidRDefault="00FB2D6A">
            <w:pPr>
              <w:pStyle w:val="TableParagraph"/>
              <w:spacing w:before="1" w:line="223" w:lineRule="exact"/>
              <w:ind w:left="46" w:right="75"/>
              <w:jc w:val="center"/>
              <w:rPr>
                <w:sz w:val="20"/>
              </w:rPr>
            </w:pPr>
            <w:r>
              <w:rPr>
                <w:sz w:val="20"/>
              </w:rPr>
              <w:t>(-0.2</w:t>
            </w:r>
            <w:r>
              <w:rPr>
                <w:spacing w:val="-5"/>
                <w:sz w:val="20"/>
              </w:rPr>
              <w:t xml:space="preserve"> </w:t>
            </w:r>
            <w:r>
              <w:rPr>
                <w:sz w:val="20"/>
              </w:rPr>
              <w:t>to</w:t>
            </w:r>
            <w:r>
              <w:rPr>
                <w:spacing w:val="-3"/>
                <w:sz w:val="20"/>
              </w:rPr>
              <w:t xml:space="preserve"> </w:t>
            </w:r>
            <w:r>
              <w:rPr>
                <w:sz w:val="20"/>
              </w:rPr>
              <w:t>-</w:t>
            </w:r>
            <w:r>
              <w:rPr>
                <w:spacing w:val="-4"/>
                <w:sz w:val="20"/>
              </w:rPr>
              <w:t>0.0)</w:t>
            </w:r>
          </w:p>
        </w:tc>
      </w:tr>
      <w:tr w:rsidR="00E13D3F" w14:paraId="7A4C3141" w14:textId="77777777">
        <w:trPr>
          <w:trHeight w:val="489"/>
        </w:trPr>
        <w:tc>
          <w:tcPr>
            <w:tcW w:w="3046" w:type="dxa"/>
            <w:shd w:val="clear" w:color="auto" w:fill="F1F1F1"/>
          </w:tcPr>
          <w:p w14:paraId="7A4C313C" w14:textId="77777777" w:rsidR="00E13D3F" w:rsidRDefault="00FB2D6A">
            <w:pPr>
              <w:pStyle w:val="TableParagraph"/>
              <w:spacing w:before="1"/>
              <w:ind w:left="107"/>
              <w:rPr>
                <w:b/>
                <w:sz w:val="20"/>
              </w:rPr>
            </w:pPr>
            <w:r>
              <w:rPr>
                <w:b/>
                <w:sz w:val="20"/>
              </w:rPr>
              <w:t>Systolic</w:t>
            </w:r>
            <w:r>
              <w:rPr>
                <w:b/>
                <w:spacing w:val="-7"/>
                <w:sz w:val="20"/>
              </w:rPr>
              <w:t xml:space="preserve"> </w:t>
            </w:r>
            <w:r>
              <w:rPr>
                <w:b/>
                <w:sz w:val="20"/>
              </w:rPr>
              <w:t>blood</w:t>
            </w:r>
            <w:r>
              <w:rPr>
                <w:b/>
                <w:spacing w:val="-7"/>
                <w:sz w:val="20"/>
              </w:rPr>
              <w:t xml:space="preserve"> </w:t>
            </w:r>
            <w:r>
              <w:rPr>
                <w:b/>
                <w:sz w:val="20"/>
              </w:rPr>
              <w:t>pressure</w:t>
            </w:r>
            <w:r>
              <w:rPr>
                <w:b/>
                <w:spacing w:val="-7"/>
                <w:sz w:val="20"/>
              </w:rPr>
              <w:t xml:space="preserve"> </w:t>
            </w:r>
            <w:r>
              <w:rPr>
                <w:b/>
                <w:sz w:val="20"/>
              </w:rPr>
              <w:t>(mm</w:t>
            </w:r>
            <w:r>
              <w:rPr>
                <w:b/>
                <w:spacing w:val="-9"/>
                <w:sz w:val="20"/>
              </w:rPr>
              <w:t xml:space="preserve"> </w:t>
            </w:r>
            <w:r>
              <w:rPr>
                <w:b/>
                <w:spacing w:val="-5"/>
                <w:sz w:val="20"/>
              </w:rPr>
              <w:t>Hg)</w:t>
            </w:r>
          </w:p>
        </w:tc>
        <w:tc>
          <w:tcPr>
            <w:tcW w:w="1694" w:type="dxa"/>
            <w:shd w:val="clear" w:color="auto" w:fill="F1F1F1"/>
          </w:tcPr>
          <w:p w14:paraId="7A4C313D" w14:textId="77777777" w:rsidR="00E13D3F" w:rsidRDefault="00FB2D6A">
            <w:pPr>
              <w:pStyle w:val="TableParagraph"/>
              <w:spacing w:before="123"/>
              <w:ind w:left="48" w:right="38"/>
              <w:jc w:val="center"/>
              <w:rPr>
                <w:sz w:val="20"/>
              </w:rPr>
            </w:pPr>
            <w:r>
              <w:rPr>
                <w:spacing w:val="-5"/>
                <w:sz w:val="20"/>
              </w:rPr>
              <w:t>22</w:t>
            </w:r>
          </w:p>
        </w:tc>
        <w:tc>
          <w:tcPr>
            <w:tcW w:w="2071" w:type="dxa"/>
            <w:vMerge/>
            <w:tcBorders>
              <w:top w:val="nil"/>
            </w:tcBorders>
            <w:shd w:val="clear" w:color="auto" w:fill="F1F1F1"/>
          </w:tcPr>
          <w:p w14:paraId="7A4C313E" w14:textId="77777777" w:rsidR="00E13D3F" w:rsidRDefault="00E13D3F">
            <w:pPr>
              <w:rPr>
                <w:sz w:val="2"/>
                <w:szCs w:val="2"/>
              </w:rPr>
            </w:pPr>
          </w:p>
        </w:tc>
        <w:tc>
          <w:tcPr>
            <w:tcW w:w="2203" w:type="dxa"/>
            <w:shd w:val="clear" w:color="auto" w:fill="F1F1F1"/>
          </w:tcPr>
          <w:p w14:paraId="7A4C313F" w14:textId="77777777" w:rsidR="00E13D3F" w:rsidRDefault="00FB2D6A">
            <w:pPr>
              <w:pStyle w:val="TableParagraph"/>
              <w:spacing w:before="1"/>
              <w:ind w:left="43" w:right="75"/>
              <w:jc w:val="center"/>
              <w:rPr>
                <w:sz w:val="20"/>
              </w:rPr>
            </w:pPr>
            <w:r>
              <w:rPr>
                <w:spacing w:val="-2"/>
                <w:sz w:val="20"/>
              </w:rPr>
              <w:t>-</w:t>
            </w:r>
            <w:r>
              <w:rPr>
                <w:spacing w:val="-5"/>
                <w:sz w:val="20"/>
              </w:rPr>
              <w:t>1.8</w:t>
            </w:r>
          </w:p>
          <w:p w14:paraId="7A4C3140" w14:textId="77777777" w:rsidR="00E13D3F" w:rsidRDefault="00FB2D6A">
            <w:pPr>
              <w:pStyle w:val="TableParagraph"/>
              <w:spacing w:before="1" w:line="223" w:lineRule="exact"/>
              <w:ind w:left="46" w:right="75"/>
              <w:jc w:val="center"/>
              <w:rPr>
                <w:sz w:val="20"/>
              </w:rPr>
            </w:pPr>
            <w:r>
              <w:rPr>
                <w:sz w:val="20"/>
              </w:rPr>
              <w:t>(-2.6</w:t>
            </w:r>
            <w:r>
              <w:rPr>
                <w:spacing w:val="-5"/>
                <w:sz w:val="20"/>
              </w:rPr>
              <w:t xml:space="preserve"> </w:t>
            </w:r>
            <w:r>
              <w:rPr>
                <w:sz w:val="20"/>
              </w:rPr>
              <w:t>to</w:t>
            </w:r>
            <w:r>
              <w:rPr>
                <w:spacing w:val="-3"/>
                <w:sz w:val="20"/>
              </w:rPr>
              <w:t xml:space="preserve"> </w:t>
            </w:r>
            <w:r>
              <w:rPr>
                <w:sz w:val="20"/>
              </w:rPr>
              <w:t>-</w:t>
            </w:r>
            <w:r>
              <w:rPr>
                <w:spacing w:val="-4"/>
                <w:sz w:val="20"/>
              </w:rPr>
              <w:t>0.9)</w:t>
            </w:r>
          </w:p>
        </w:tc>
      </w:tr>
      <w:tr w:rsidR="00E13D3F" w14:paraId="7A4C3147" w14:textId="77777777">
        <w:trPr>
          <w:trHeight w:val="489"/>
        </w:trPr>
        <w:tc>
          <w:tcPr>
            <w:tcW w:w="3046" w:type="dxa"/>
          </w:tcPr>
          <w:p w14:paraId="7A4C3142" w14:textId="77777777" w:rsidR="00E13D3F" w:rsidRDefault="00FB2D6A">
            <w:pPr>
              <w:pStyle w:val="TableParagraph"/>
              <w:spacing w:before="1"/>
              <w:ind w:left="107"/>
              <w:rPr>
                <w:b/>
                <w:sz w:val="20"/>
              </w:rPr>
            </w:pPr>
            <w:r>
              <w:rPr>
                <w:b/>
                <w:sz w:val="20"/>
              </w:rPr>
              <w:t>Diastolic</w:t>
            </w:r>
            <w:r>
              <w:rPr>
                <w:b/>
                <w:spacing w:val="-7"/>
                <w:sz w:val="20"/>
              </w:rPr>
              <w:t xml:space="preserve"> </w:t>
            </w:r>
            <w:r>
              <w:rPr>
                <w:b/>
                <w:sz w:val="20"/>
              </w:rPr>
              <w:t>blood</w:t>
            </w:r>
            <w:r>
              <w:rPr>
                <w:b/>
                <w:spacing w:val="-6"/>
                <w:sz w:val="20"/>
              </w:rPr>
              <w:t xml:space="preserve"> </w:t>
            </w:r>
            <w:r>
              <w:rPr>
                <w:b/>
                <w:sz w:val="20"/>
              </w:rPr>
              <w:t>pressure</w:t>
            </w:r>
            <w:r>
              <w:rPr>
                <w:b/>
                <w:spacing w:val="-6"/>
                <w:sz w:val="20"/>
              </w:rPr>
              <w:t xml:space="preserve"> </w:t>
            </w:r>
            <w:r>
              <w:rPr>
                <w:b/>
                <w:sz w:val="20"/>
              </w:rPr>
              <w:t>(mm</w:t>
            </w:r>
            <w:r>
              <w:rPr>
                <w:b/>
                <w:spacing w:val="-8"/>
                <w:sz w:val="20"/>
              </w:rPr>
              <w:t xml:space="preserve"> </w:t>
            </w:r>
            <w:r>
              <w:rPr>
                <w:b/>
                <w:spacing w:val="-5"/>
                <w:sz w:val="20"/>
              </w:rPr>
              <w:t>Hg)</w:t>
            </w:r>
          </w:p>
        </w:tc>
        <w:tc>
          <w:tcPr>
            <w:tcW w:w="1694" w:type="dxa"/>
          </w:tcPr>
          <w:p w14:paraId="7A4C3143" w14:textId="77777777" w:rsidR="00E13D3F" w:rsidRDefault="00FB2D6A">
            <w:pPr>
              <w:pStyle w:val="TableParagraph"/>
              <w:spacing w:before="121"/>
              <w:ind w:left="48" w:right="38"/>
              <w:jc w:val="center"/>
              <w:rPr>
                <w:sz w:val="20"/>
              </w:rPr>
            </w:pPr>
            <w:r>
              <w:rPr>
                <w:spacing w:val="-5"/>
                <w:sz w:val="20"/>
              </w:rPr>
              <w:t>22</w:t>
            </w:r>
          </w:p>
        </w:tc>
        <w:tc>
          <w:tcPr>
            <w:tcW w:w="2071" w:type="dxa"/>
            <w:vMerge/>
            <w:tcBorders>
              <w:top w:val="nil"/>
            </w:tcBorders>
            <w:shd w:val="clear" w:color="auto" w:fill="F1F1F1"/>
          </w:tcPr>
          <w:p w14:paraId="7A4C3144" w14:textId="77777777" w:rsidR="00E13D3F" w:rsidRDefault="00E13D3F">
            <w:pPr>
              <w:rPr>
                <w:sz w:val="2"/>
                <w:szCs w:val="2"/>
              </w:rPr>
            </w:pPr>
          </w:p>
        </w:tc>
        <w:tc>
          <w:tcPr>
            <w:tcW w:w="2203" w:type="dxa"/>
          </w:tcPr>
          <w:p w14:paraId="7A4C3145" w14:textId="77777777" w:rsidR="00E13D3F" w:rsidRDefault="00FB2D6A">
            <w:pPr>
              <w:pStyle w:val="TableParagraph"/>
              <w:spacing w:before="1" w:line="243" w:lineRule="exact"/>
              <w:ind w:left="43" w:right="75"/>
              <w:jc w:val="center"/>
              <w:rPr>
                <w:sz w:val="20"/>
              </w:rPr>
            </w:pPr>
            <w:r>
              <w:rPr>
                <w:spacing w:val="-2"/>
                <w:sz w:val="20"/>
              </w:rPr>
              <w:t>-</w:t>
            </w:r>
            <w:r>
              <w:rPr>
                <w:spacing w:val="-5"/>
                <w:sz w:val="20"/>
              </w:rPr>
              <w:t>1.6</w:t>
            </w:r>
          </w:p>
          <w:p w14:paraId="7A4C3146" w14:textId="77777777" w:rsidR="00E13D3F" w:rsidRDefault="00FB2D6A">
            <w:pPr>
              <w:pStyle w:val="TableParagraph"/>
              <w:spacing w:line="225" w:lineRule="exact"/>
              <w:ind w:left="45" w:right="75"/>
              <w:jc w:val="center"/>
              <w:rPr>
                <w:sz w:val="20"/>
              </w:rPr>
            </w:pPr>
            <w:r>
              <w:rPr>
                <w:sz w:val="20"/>
              </w:rPr>
              <w:t>(-2.3</w:t>
            </w:r>
            <w:r>
              <w:rPr>
                <w:spacing w:val="-5"/>
                <w:sz w:val="20"/>
              </w:rPr>
              <w:t xml:space="preserve"> </w:t>
            </w:r>
            <w:r>
              <w:rPr>
                <w:sz w:val="20"/>
              </w:rPr>
              <w:t>to</w:t>
            </w:r>
            <w:r>
              <w:rPr>
                <w:spacing w:val="-3"/>
                <w:sz w:val="20"/>
              </w:rPr>
              <w:t xml:space="preserve"> </w:t>
            </w:r>
            <w:r>
              <w:rPr>
                <w:sz w:val="20"/>
              </w:rPr>
              <w:t>-</w:t>
            </w:r>
            <w:r>
              <w:rPr>
                <w:spacing w:val="-4"/>
                <w:sz w:val="20"/>
              </w:rPr>
              <w:t>0.9)</w:t>
            </w:r>
          </w:p>
        </w:tc>
      </w:tr>
    </w:tbl>
    <w:p w14:paraId="7A4C3148" w14:textId="77777777" w:rsidR="00E13D3F" w:rsidRDefault="00E13D3F">
      <w:pPr>
        <w:pStyle w:val="BodyText"/>
        <w:ind w:left="0"/>
        <w:rPr>
          <w:sz w:val="22"/>
        </w:rPr>
      </w:pPr>
    </w:p>
    <w:p w14:paraId="7A4C3149" w14:textId="77777777" w:rsidR="00E13D3F" w:rsidRDefault="00E13D3F">
      <w:pPr>
        <w:pStyle w:val="BodyText"/>
        <w:spacing w:before="20"/>
        <w:ind w:left="0"/>
        <w:rPr>
          <w:sz w:val="22"/>
        </w:rPr>
      </w:pPr>
    </w:p>
    <w:p w14:paraId="7A4C314A" w14:textId="77777777" w:rsidR="00E13D3F" w:rsidRDefault="00FB2D6A" w:rsidP="00990D2B">
      <w:pPr>
        <w:pStyle w:val="ListParagraph"/>
        <w:numPr>
          <w:ilvl w:val="0"/>
          <w:numId w:val="28"/>
        </w:numPr>
        <w:tabs>
          <w:tab w:val="left" w:pos="1688"/>
        </w:tabs>
        <w:ind w:left="1688" w:hanging="248"/>
        <w:rPr>
          <w:i/>
          <w:sz w:val="24"/>
        </w:rPr>
      </w:pPr>
      <w:r>
        <w:rPr>
          <w:i/>
          <w:sz w:val="24"/>
        </w:rPr>
        <w:t>Evidence</w:t>
      </w:r>
      <w:r>
        <w:rPr>
          <w:i/>
          <w:spacing w:val="-4"/>
          <w:sz w:val="24"/>
        </w:rPr>
        <w:t xml:space="preserve"> </w:t>
      </w:r>
      <w:r>
        <w:rPr>
          <w:i/>
          <w:sz w:val="24"/>
        </w:rPr>
        <w:t>of</w:t>
      </w:r>
      <w:r>
        <w:rPr>
          <w:i/>
          <w:spacing w:val="-3"/>
          <w:sz w:val="24"/>
        </w:rPr>
        <w:t xml:space="preserve"> </w:t>
      </w:r>
      <w:r>
        <w:rPr>
          <w:i/>
          <w:sz w:val="24"/>
        </w:rPr>
        <w:t>the</w:t>
      </w:r>
      <w:r>
        <w:rPr>
          <w:i/>
          <w:spacing w:val="-2"/>
          <w:sz w:val="24"/>
        </w:rPr>
        <w:t xml:space="preserve"> </w:t>
      </w:r>
      <w:r>
        <w:rPr>
          <w:i/>
          <w:sz w:val="24"/>
        </w:rPr>
        <w:t>effect</w:t>
      </w:r>
      <w:r>
        <w:rPr>
          <w:i/>
          <w:spacing w:val="-5"/>
          <w:sz w:val="24"/>
        </w:rPr>
        <w:t xml:space="preserve"> </w:t>
      </w:r>
      <w:r>
        <w:rPr>
          <w:i/>
          <w:sz w:val="24"/>
        </w:rPr>
        <w:t>of</w:t>
      </w:r>
      <w:r>
        <w:rPr>
          <w:i/>
          <w:spacing w:val="-2"/>
          <w:sz w:val="24"/>
        </w:rPr>
        <w:t xml:space="preserve"> </w:t>
      </w:r>
      <w:r>
        <w:rPr>
          <w:i/>
          <w:sz w:val="24"/>
        </w:rPr>
        <w:t>weight</w:t>
      </w:r>
      <w:r>
        <w:rPr>
          <w:i/>
          <w:spacing w:val="-1"/>
          <w:sz w:val="24"/>
        </w:rPr>
        <w:t xml:space="preserve"> </w:t>
      </w:r>
      <w:r>
        <w:rPr>
          <w:i/>
          <w:sz w:val="24"/>
        </w:rPr>
        <w:t>reducing</w:t>
      </w:r>
      <w:r>
        <w:rPr>
          <w:i/>
          <w:spacing w:val="-4"/>
          <w:sz w:val="24"/>
        </w:rPr>
        <w:t xml:space="preserve"> </w:t>
      </w:r>
      <w:r>
        <w:rPr>
          <w:i/>
          <w:sz w:val="24"/>
        </w:rPr>
        <w:t>diets</w:t>
      </w:r>
      <w:r>
        <w:rPr>
          <w:i/>
          <w:spacing w:val="-2"/>
          <w:sz w:val="24"/>
        </w:rPr>
        <w:t xml:space="preserve"> </w:t>
      </w:r>
      <w:r>
        <w:rPr>
          <w:i/>
          <w:sz w:val="24"/>
        </w:rPr>
        <w:t>in</w:t>
      </w:r>
      <w:r>
        <w:rPr>
          <w:i/>
          <w:spacing w:val="-4"/>
          <w:sz w:val="24"/>
        </w:rPr>
        <w:t xml:space="preserve"> </w:t>
      </w:r>
      <w:r>
        <w:rPr>
          <w:i/>
          <w:sz w:val="24"/>
        </w:rPr>
        <w:t>people</w:t>
      </w:r>
      <w:r>
        <w:rPr>
          <w:i/>
          <w:spacing w:val="-1"/>
          <w:sz w:val="24"/>
        </w:rPr>
        <w:t xml:space="preserve"> </w:t>
      </w:r>
      <w:r>
        <w:rPr>
          <w:i/>
          <w:sz w:val="24"/>
        </w:rPr>
        <w:t>with</w:t>
      </w:r>
      <w:r>
        <w:rPr>
          <w:i/>
          <w:spacing w:val="-3"/>
          <w:sz w:val="24"/>
        </w:rPr>
        <w:t xml:space="preserve"> </w:t>
      </w:r>
      <w:r>
        <w:rPr>
          <w:i/>
          <w:spacing w:val="-2"/>
          <w:sz w:val="24"/>
        </w:rPr>
        <w:t>hypertension</w:t>
      </w:r>
    </w:p>
    <w:p w14:paraId="7A4C314B" w14:textId="77777777" w:rsidR="00E13D3F" w:rsidRDefault="00FB2D6A">
      <w:pPr>
        <w:pStyle w:val="BodyText"/>
        <w:spacing w:before="46" w:line="276" w:lineRule="auto"/>
        <w:ind w:right="1502"/>
      </w:pPr>
      <w:r>
        <w:t>A Cochrane systematic review has assessed the long-term effects of weight reducing diets on all-cause</w:t>
      </w:r>
      <w:r>
        <w:rPr>
          <w:spacing w:val="-2"/>
        </w:rPr>
        <w:t xml:space="preserve"> </w:t>
      </w:r>
      <w:r>
        <w:t>mortality, CVD mortality, CVD</w:t>
      </w:r>
      <w:r>
        <w:rPr>
          <w:spacing w:val="-1"/>
        </w:rPr>
        <w:t xml:space="preserve"> </w:t>
      </w:r>
      <w:r>
        <w:t>morbidity, adverse</w:t>
      </w:r>
      <w:r>
        <w:rPr>
          <w:spacing w:val="-1"/>
        </w:rPr>
        <w:t xml:space="preserve"> </w:t>
      </w:r>
      <w:r>
        <w:t>events and</w:t>
      </w:r>
      <w:r>
        <w:rPr>
          <w:spacing w:val="-1"/>
        </w:rPr>
        <w:t xml:space="preserve"> </w:t>
      </w:r>
      <w:r>
        <w:t>changes in</w:t>
      </w:r>
      <w:r>
        <w:rPr>
          <w:spacing w:val="-1"/>
        </w:rPr>
        <w:t xml:space="preserve"> </w:t>
      </w:r>
      <w:r>
        <w:t>weight and blood pressure in people with hypertension (9). None of the trials included in the review assessed mortality as a pre-specified outcome but 3 trials reported no deaths in either diet group during follow-up. (Table 8.3) Only one trial reported cardiovascular morbidity outcomes as a combined endpoint (recommencing antihypertensive therapy and severe cardiovascular complications) and found a statistically significant reduction in the composite endpoint with the weight reducing diet compared to usual care (Hazard ratio 0.70, 95% CI 0.57 to 0.87). Moderate certainty evidence from 5 trials found that dietary interventions to reduce weight were significantly more effective than no diet/usual care (Mean difference –4.0 kg, 95% CI –4.8 to –3.2kg) and low certainty evidence found that weight reducing diets reduce systolic blood pressure (Mean difference 4.5mmHg 95% CI – 7.5mmHg</w:t>
      </w:r>
      <w:r>
        <w:rPr>
          <w:spacing w:val="-3"/>
        </w:rPr>
        <w:t xml:space="preserve"> </w:t>
      </w:r>
      <w:r>
        <w:t>to</w:t>
      </w:r>
      <w:r>
        <w:rPr>
          <w:spacing w:val="-4"/>
        </w:rPr>
        <w:t xml:space="preserve"> </w:t>
      </w:r>
      <w:r>
        <w:t>–1.8mmHg)</w:t>
      </w:r>
      <w:r>
        <w:rPr>
          <w:spacing w:val="-4"/>
        </w:rPr>
        <w:t xml:space="preserve"> </w:t>
      </w:r>
      <w:r>
        <w:t>and</w:t>
      </w:r>
      <w:r>
        <w:rPr>
          <w:spacing w:val="-4"/>
        </w:rPr>
        <w:t xml:space="preserve"> </w:t>
      </w:r>
      <w:r>
        <w:t>diastolic</w:t>
      </w:r>
      <w:r>
        <w:rPr>
          <w:spacing w:val="-5"/>
        </w:rPr>
        <w:t xml:space="preserve"> </w:t>
      </w:r>
      <w:r>
        <w:t>blood</w:t>
      </w:r>
      <w:r>
        <w:rPr>
          <w:spacing w:val="-4"/>
        </w:rPr>
        <w:t xml:space="preserve"> </w:t>
      </w:r>
      <w:r>
        <w:t>pressure</w:t>
      </w:r>
      <w:r>
        <w:rPr>
          <w:spacing w:val="-2"/>
        </w:rPr>
        <w:t xml:space="preserve"> </w:t>
      </w:r>
      <w:r>
        <w:t>(Mean</w:t>
      </w:r>
      <w:r>
        <w:rPr>
          <w:spacing w:val="-4"/>
        </w:rPr>
        <w:t xml:space="preserve"> </w:t>
      </w:r>
      <w:r>
        <w:t>difference –3.2mmHg</w:t>
      </w:r>
      <w:r>
        <w:rPr>
          <w:spacing w:val="-3"/>
        </w:rPr>
        <w:t xml:space="preserve"> </w:t>
      </w:r>
      <w:r>
        <w:t>95%</w:t>
      </w:r>
      <w:r>
        <w:rPr>
          <w:spacing w:val="-2"/>
        </w:rPr>
        <w:t xml:space="preserve"> </w:t>
      </w:r>
      <w:r>
        <w:t>CI</w:t>
      </w:r>
      <w:r>
        <w:rPr>
          <w:spacing w:val="-2"/>
        </w:rPr>
        <w:t xml:space="preserve"> </w:t>
      </w:r>
      <w:r>
        <w:t>– 4.8mmHg to -1.5mmHg) more than control diets (Table 8.3).</w:t>
      </w:r>
    </w:p>
    <w:p w14:paraId="7A4C314C" w14:textId="77777777" w:rsidR="00E13D3F" w:rsidRDefault="00E13D3F">
      <w:pPr>
        <w:pStyle w:val="BodyText"/>
        <w:spacing w:line="276" w:lineRule="auto"/>
        <w:sectPr w:rsidR="00E13D3F">
          <w:pgSz w:w="11910" w:h="16840"/>
          <w:pgMar w:top="1380" w:right="0" w:bottom="1200" w:left="0" w:header="0" w:footer="1000" w:gutter="0"/>
          <w:cols w:space="720"/>
        </w:sectPr>
      </w:pPr>
    </w:p>
    <w:p w14:paraId="7A4C314D" w14:textId="77777777" w:rsidR="00E13D3F" w:rsidRDefault="00FB2D6A">
      <w:pPr>
        <w:spacing w:before="41"/>
        <w:ind w:left="1440" w:right="1137"/>
      </w:pPr>
      <w:r>
        <w:rPr>
          <w:b/>
        </w:rPr>
        <w:lastRenderedPageBreak/>
        <w:t>Table</w:t>
      </w:r>
      <w:r>
        <w:rPr>
          <w:b/>
          <w:spacing w:val="-1"/>
        </w:rPr>
        <w:t xml:space="preserve"> </w:t>
      </w:r>
      <w:r>
        <w:rPr>
          <w:b/>
        </w:rPr>
        <w:t xml:space="preserve">8.3. </w:t>
      </w:r>
      <w:r>
        <w:t>Summary</w:t>
      </w:r>
      <w:r>
        <w:rPr>
          <w:spacing w:val="-3"/>
        </w:rPr>
        <w:t xml:space="preserve"> </w:t>
      </w:r>
      <w:r>
        <w:t>of</w:t>
      </w:r>
      <w:r>
        <w:rPr>
          <w:spacing w:val="-3"/>
        </w:rPr>
        <w:t xml:space="preserve"> </w:t>
      </w:r>
      <w:r>
        <w:t>the</w:t>
      </w:r>
      <w:r>
        <w:rPr>
          <w:spacing w:val="-3"/>
        </w:rPr>
        <w:t xml:space="preserve"> </w:t>
      </w:r>
      <w:r>
        <w:t>evidence</w:t>
      </w:r>
      <w:r>
        <w:rPr>
          <w:spacing w:val="-1"/>
        </w:rPr>
        <w:t xml:space="preserve"> </w:t>
      </w:r>
      <w:r>
        <w:t>for</w:t>
      </w:r>
      <w:r>
        <w:rPr>
          <w:spacing w:val="-1"/>
        </w:rPr>
        <w:t xml:space="preserve"> </w:t>
      </w:r>
      <w:r>
        <w:t>the</w:t>
      </w:r>
      <w:r>
        <w:rPr>
          <w:spacing w:val="-3"/>
        </w:rPr>
        <w:t xml:space="preserve"> </w:t>
      </w:r>
      <w:r>
        <w:t>effects</w:t>
      </w:r>
      <w:r>
        <w:rPr>
          <w:spacing w:val="-3"/>
        </w:rPr>
        <w:t xml:space="preserve"> </w:t>
      </w:r>
      <w:r>
        <w:t>of</w:t>
      </w:r>
      <w:r>
        <w:rPr>
          <w:spacing w:val="-3"/>
        </w:rPr>
        <w:t xml:space="preserve"> </w:t>
      </w:r>
      <w:r>
        <w:t>weight</w:t>
      </w:r>
      <w:r>
        <w:rPr>
          <w:spacing w:val="-1"/>
        </w:rPr>
        <w:t xml:space="preserve"> </w:t>
      </w:r>
      <w:r>
        <w:t>reducing</w:t>
      </w:r>
      <w:r>
        <w:rPr>
          <w:spacing w:val="-2"/>
        </w:rPr>
        <w:t xml:space="preserve"> </w:t>
      </w:r>
      <w:r>
        <w:t>diets</w:t>
      </w:r>
      <w:r>
        <w:rPr>
          <w:spacing w:val="-3"/>
        </w:rPr>
        <w:t xml:space="preserve"> </w:t>
      </w:r>
      <w:r>
        <w:t>versus</w:t>
      </w:r>
      <w:r>
        <w:rPr>
          <w:spacing w:val="-1"/>
        </w:rPr>
        <w:t xml:space="preserve"> </w:t>
      </w:r>
      <w:r>
        <w:t>control</w:t>
      </w:r>
      <w:r>
        <w:rPr>
          <w:spacing w:val="-1"/>
        </w:rPr>
        <w:t xml:space="preserve"> </w:t>
      </w:r>
      <w:r>
        <w:t>diet</w:t>
      </w:r>
      <w:r>
        <w:rPr>
          <w:spacing w:val="-1"/>
        </w:rPr>
        <w:t xml:space="preserve"> </w:t>
      </w:r>
      <w:r>
        <w:t>for people with hypertension (9)</w:t>
      </w:r>
    </w:p>
    <w:tbl>
      <w:tblPr>
        <w:tblW w:w="0" w:type="auto"/>
        <w:tblInd w:w="145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1675"/>
        <w:gridCol w:w="862"/>
        <w:gridCol w:w="1176"/>
        <w:gridCol w:w="1282"/>
        <w:gridCol w:w="1200"/>
        <w:gridCol w:w="1107"/>
        <w:gridCol w:w="1716"/>
      </w:tblGrid>
      <w:tr w:rsidR="00E13D3F" w14:paraId="7A4C3155" w14:textId="77777777">
        <w:trPr>
          <w:trHeight w:val="253"/>
        </w:trPr>
        <w:tc>
          <w:tcPr>
            <w:tcW w:w="1675" w:type="dxa"/>
            <w:vMerge w:val="restart"/>
          </w:tcPr>
          <w:p w14:paraId="7A4C314E" w14:textId="77777777" w:rsidR="00E13D3F" w:rsidRDefault="00FB2D6A">
            <w:pPr>
              <w:pStyle w:val="TableParagraph"/>
              <w:spacing w:before="1"/>
              <w:ind w:left="434"/>
              <w:rPr>
                <w:b/>
                <w:sz w:val="18"/>
              </w:rPr>
            </w:pPr>
            <w:r>
              <w:rPr>
                <w:b/>
                <w:spacing w:val="-2"/>
                <w:sz w:val="18"/>
              </w:rPr>
              <w:t>Outcomes</w:t>
            </w:r>
          </w:p>
        </w:tc>
        <w:tc>
          <w:tcPr>
            <w:tcW w:w="862" w:type="dxa"/>
            <w:vMerge w:val="restart"/>
          </w:tcPr>
          <w:p w14:paraId="7A4C314F" w14:textId="77777777" w:rsidR="00E13D3F" w:rsidRDefault="00FB2D6A">
            <w:pPr>
              <w:pStyle w:val="TableParagraph"/>
              <w:spacing w:before="1" w:line="219" w:lineRule="exact"/>
              <w:ind w:right="27"/>
              <w:jc w:val="center"/>
              <w:rPr>
                <w:b/>
                <w:sz w:val="18"/>
              </w:rPr>
            </w:pPr>
            <w:r>
              <w:rPr>
                <w:b/>
                <w:spacing w:val="-4"/>
                <w:sz w:val="18"/>
              </w:rPr>
              <w:t>RCTs</w:t>
            </w:r>
          </w:p>
          <w:p w14:paraId="7A4C3150" w14:textId="77777777" w:rsidR="00E13D3F" w:rsidRDefault="00FB2D6A">
            <w:pPr>
              <w:pStyle w:val="TableParagraph"/>
              <w:ind w:left="101" w:right="91"/>
              <w:jc w:val="center"/>
              <w:rPr>
                <w:b/>
                <w:sz w:val="18"/>
              </w:rPr>
            </w:pPr>
            <w:r>
              <w:rPr>
                <w:b/>
                <w:spacing w:val="-2"/>
                <w:sz w:val="18"/>
              </w:rPr>
              <w:t>(number</w:t>
            </w:r>
            <w:r>
              <w:rPr>
                <w:b/>
                <w:sz w:val="18"/>
              </w:rPr>
              <w:t xml:space="preserve"> </w:t>
            </w:r>
            <w:r>
              <w:rPr>
                <w:b/>
                <w:spacing w:val="-6"/>
                <w:sz w:val="18"/>
              </w:rPr>
              <w:t>of</w:t>
            </w:r>
            <w:r>
              <w:rPr>
                <w:b/>
                <w:sz w:val="18"/>
              </w:rPr>
              <w:t xml:space="preserve"> </w:t>
            </w:r>
            <w:r>
              <w:rPr>
                <w:b/>
                <w:spacing w:val="-2"/>
                <w:sz w:val="18"/>
              </w:rPr>
              <w:t>people)</w:t>
            </w:r>
          </w:p>
        </w:tc>
        <w:tc>
          <w:tcPr>
            <w:tcW w:w="2458" w:type="dxa"/>
            <w:gridSpan w:val="2"/>
          </w:tcPr>
          <w:p w14:paraId="7A4C3151" w14:textId="77777777" w:rsidR="00E13D3F" w:rsidRDefault="00FB2D6A">
            <w:pPr>
              <w:pStyle w:val="TableParagraph"/>
              <w:spacing w:before="1"/>
              <w:ind w:left="600"/>
              <w:rPr>
                <w:b/>
                <w:sz w:val="18"/>
              </w:rPr>
            </w:pPr>
            <w:r>
              <w:rPr>
                <w:b/>
                <w:sz w:val="18"/>
              </w:rPr>
              <w:t>Absolute</w:t>
            </w:r>
            <w:r>
              <w:rPr>
                <w:b/>
                <w:spacing w:val="-5"/>
                <w:sz w:val="18"/>
              </w:rPr>
              <w:t xml:space="preserve"> </w:t>
            </w:r>
            <w:r>
              <w:rPr>
                <w:b/>
                <w:spacing w:val="-2"/>
                <w:sz w:val="18"/>
              </w:rPr>
              <w:t>effects</w:t>
            </w:r>
          </w:p>
        </w:tc>
        <w:tc>
          <w:tcPr>
            <w:tcW w:w="1200" w:type="dxa"/>
            <w:vMerge w:val="restart"/>
          </w:tcPr>
          <w:p w14:paraId="7A4C3152" w14:textId="77777777" w:rsidR="00E13D3F" w:rsidRDefault="00FB2D6A">
            <w:pPr>
              <w:pStyle w:val="TableParagraph"/>
              <w:spacing w:before="1"/>
              <w:ind w:left="230" w:right="300" w:firstLine="81"/>
              <w:jc w:val="center"/>
              <w:rPr>
                <w:b/>
                <w:sz w:val="18"/>
              </w:rPr>
            </w:pPr>
            <w:r>
              <w:rPr>
                <w:b/>
                <w:spacing w:val="-2"/>
                <w:sz w:val="18"/>
              </w:rPr>
              <w:t>Effect</w:t>
            </w:r>
            <w:r>
              <w:rPr>
                <w:b/>
                <w:sz w:val="18"/>
              </w:rPr>
              <w:t xml:space="preserve"> </w:t>
            </w:r>
            <w:r>
              <w:rPr>
                <w:b/>
                <w:spacing w:val="-2"/>
                <w:sz w:val="18"/>
              </w:rPr>
              <w:t>estimate</w:t>
            </w:r>
            <w:r>
              <w:rPr>
                <w:b/>
                <w:sz w:val="18"/>
              </w:rPr>
              <w:t xml:space="preserve"> (95% CI)</w:t>
            </w:r>
          </w:p>
        </w:tc>
        <w:tc>
          <w:tcPr>
            <w:tcW w:w="1107" w:type="dxa"/>
            <w:vMerge w:val="restart"/>
          </w:tcPr>
          <w:p w14:paraId="7A4C3153" w14:textId="77777777" w:rsidR="00E13D3F" w:rsidRDefault="00FB2D6A">
            <w:pPr>
              <w:pStyle w:val="TableParagraph"/>
              <w:spacing w:before="1"/>
              <w:ind w:left="180" w:right="94" w:hanging="70"/>
              <w:rPr>
                <w:b/>
                <w:sz w:val="18"/>
              </w:rPr>
            </w:pPr>
            <w:r>
              <w:rPr>
                <w:b/>
                <w:sz w:val="18"/>
              </w:rPr>
              <w:t>Certainty</w:t>
            </w:r>
            <w:r>
              <w:rPr>
                <w:b/>
                <w:spacing w:val="-11"/>
                <w:sz w:val="18"/>
              </w:rPr>
              <w:t xml:space="preserve"> </w:t>
            </w:r>
            <w:r>
              <w:rPr>
                <w:b/>
                <w:sz w:val="18"/>
              </w:rPr>
              <w:t xml:space="preserve">of </w:t>
            </w:r>
            <w:r>
              <w:rPr>
                <w:b/>
                <w:spacing w:val="-2"/>
                <w:sz w:val="18"/>
              </w:rPr>
              <w:t>Evidence</w:t>
            </w:r>
            <w:r>
              <w:rPr>
                <w:b/>
                <w:sz w:val="18"/>
              </w:rPr>
              <w:t xml:space="preserve"> </w:t>
            </w:r>
            <w:r>
              <w:rPr>
                <w:b/>
                <w:spacing w:val="-2"/>
                <w:sz w:val="18"/>
              </w:rPr>
              <w:t>GRADE**</w:t>
            </w:r>
          </w:p>
        </w:tc>
        <w:tc>
          <w:tcPr>
            <w:tcW w:w="1716" w:type="dxa"/>
            <w:vMerge w:val="restart"/>
          </w:tcPr>
          <w:p w14:paraId="7A4C3154" w14:textId="77777777" w:rsidR="00E13D3F" w:rsidRDefault="00FB2D6A">
            <w:pPr>
              <w:pStyle w:val="TableParagraph"/>
              <w:spacing w:before="1"/>
              <w:ind w:left="434"/>
              <w:rPr>
                <w:b/>
                <w:sz w:val="18"/>
              </w:rPr>
            </w:pPr>
            <w:r>
              <w:rPr>
                <w:b/>
                <w:spacing w:val="-2"/>
                <w:sz w:val="18"/>
              </w:rPr>
              <w:t>Comments</w:t>
            </w:r>
          </w:p>
        </w:tc>
      </w:tr>
      <w:tr w:rsidR="00E13D3F" w14:paraId="7A4C315D" w14:textId="77777777">
        <w:trPr>
          <w:trHeight w:val="738"/>
        </w:trPr>
        <w:tc>
          <w:tcPr>
            <w:tcW w:w="1675" w:type="dxa"/>
            <w:vMerge/>
            <w:tcBorders>
              <w:top w:val="nil"/>
            </w:tcBorders>
          </w:tcPr>
          <w:p w14:paraId="7A4C3156" w14:textId="77777777" w:rsidR="00E13D3F" w:rsidRDefault="00E13D3F">
            <w:pPr>
              <w:rPr>
                <w:sz w:val="2"/>
                <w:szCs w:val="2"/>
              </w:rPr>
            </w:pPr>
          </w:p>
        </w:tc>
        <w:tc>
          <w:tcPr>
            <w:tcW w:w="862" w:type="dxa"/>
            <w:vMerge/>
            <w:tcBorders>
              <w:top w:val="nil"/>
            </w:tcBorders>
          </w:tcPr>
          <w:p w14:paraId="7A4C3157" w14:textId="77777777" w:rsidR="00E13D3F" w:rsidRDefault="00E13D3F">
            <w:pPr>
              <w:rPr>
                <w:sz w:val="2"/>
                <w:szCs w:val="2"/>
              </w:rPr>
            </w:pPr>
          </w:p>
        </w:tc>
        <w:tc>
          <w:tcPr>
            <w:tcW w:w="1176" w:type="dxa"/>
            <w:shd w:val="clear" w:color="auto" w:fill="F1F1F1"/>
          </w:tcPr>
          <w:p w14:paraId="7A4C3158" w14:textId="77777777" w:rsidR="00E13D3F" w:rsidRDefault="00FB2D6A">
            <w:pPr>
              <w:pStyle w:val="TableParagraph"/>
              <w:spacing w:before="1"/>
              <w:ind w:left="420" w:right="144" w:hanging="267"/>
              <w:rPr>
                <w:b/>
                <w:sz w:val="18"/>
              </w:rPr>
            </w:pPr>
            <w:r>
              <w:rPr>
                <w:b/>
                <w:sz w:val="18"/>
              </w:rPr>
              <w:t>Weight</w:t>
            </w:r>
            <w:r>
              <w:rPr>
                <w:b/>
                <w:spacing w:val="-11"/>
                <w:sz w:val="18"/>
              </w:rPr>
              <w:t xml:space="preserve"> </w:t>
            </w:r>
            <w:r>
              <w:rPr>
                <w:b/>
                <w:sz w:val="18"/>
              </w:rPr>
              <w:t xml:space="preserve">loss </w:t>
            </w:r>
            <w:r>
              <w:rPr>
                <w:b/>
                <w:spacing w:val="-4"/>
                <w:sz w:val="18"/>
              </w:rPr>
              <w:t>diet</w:t>
            </w:r>
          </w:p>
        </w:tc>
        <w:tc>
          <w:tcPr>
            <w:tcW w:w="1282" w:type="dxa"/>
            <w:shd w:val="clear" w:color="auto" w:fill="F1F1F1"/>
          </w:tcPr>
          <w:p w14:paraId="7A4C3159" w14:textId="77777777" w:rsidR="00E13D3F" w:rsidRDefault="00FB2D6A">
            <w:pPr>
              <w:pStyle w:val="TableParagraph"/>
              <w:spacing w:before="1"/>
              <w:ind w:left="1" w:right="31"/>
              <w:jc w:val="center"/>
              <w:rPr>
                <w:b/>
                <w:sz w:val="18"/>
              </w:rPr>
            </w:pPr>
            <w:r>
              <w:rPr>
                <w:b/>
                <w:spacing w:val="-2"/>
                <w:sz w:val="18"/>
              </w:rPr>
              <w:t>Comparator</w:t>
            </w:r>
          </w:p>
        </w:tc>
        <w:tc>
          <w:tcPr>
            <w:tcW w:w="1200" w:type="dxa"/>
            <w:vMerge/>
            <w:tcBorders>
              <w:top w:val="nil"/>
            </w:tcBorders>
          </w:tcPr>
          <w:p w14:paraId="7A4C315A" w14:textId="77777777" w:rsidR="00E13D3F" w:rsidRDefault="00E13D3F">
            <w:pPr>
              <w:rPr>
                <w:sz w:val="2"/>
                <w:szCs w:val="2"/>
              </w:rPr>
            </w:pPr>
          </w:p>
        </w:tc>
        <w:tc>
          <w:tcPr>
            <w:tcW w:w="1107" w:type="dxa"/>
            <w:vMerge/>
            <w:tcBorders>
              <w:top w:val="nil"/>
            </w:tcBorders>
          </w:tcPr>
          <w:p w14:paraId="7A4C315B" w14:textId="77777777" w:rsidR="00E13D3F" w:rsidRDefault="00E13D3F">
            <w:pPr>
              <w:rPr>
                <w:sz w:val="2"/>
                <w:szCs w:val="2"/>
              </w:rPr>
            </w:pPr>
          </w:p>
        </w:tc>
        <w:tc>
          <w:tcPr>
            <w:tcW w:w="1716" w:type="dxa"/>
            <w:vMerge/>
            <w:tcBorders>
              <w:top w:val="nil"/>
            </w:tcBorders>
          </w:tcPr>
          <w:p w14:paraId="7A4C315C" w14:textId="77777777" w:rsidR="00E13D3F" w:rsidRDefault="00E13D3F">
            <w:pPr>
              <w:rPr>
                <w:sz w:val="2"/>
                <w:szCs w:val="2"/>
              </w:rPr>
            </w:pPr>
          </w:p>
        </w:tc>
      </w:tr>
      <w:tr w:rsidR="00E13D3F" w14:paraId="7A4C3165" w14:textId="77777777">
        <w:trPr>
          <w:trHeight w:val="549"/>
        </w:trPr>
        <w:tc>
          <w:tcPr>
            <w:tcW w:w="1675" w:type="dxa"/>
          </w:tcPr>
          <w:p w14:paraId="7A4C315E" w14:textId="77777777" w:rsidR="00E13D3F" w:rsidRDefault="00FB2D6A">
            <w:pPr>
              <w:pStyle w:val="TableParagraph"/>
              <w:spacing w:before="1"/>
              <w:ind w:left="107"/>
              <w:rPr>
                <w:b/>
                <w:sz w:val="18"/>
              </w:rPr>
            </w:pPr>
            <w:r>
              <w:rPr>
                <w:b/>
                <w:sz w:val="18"/>
              </w:rPr>
              <w:t>All-cause</w:t>
            </w:r>
            <w:r>
              <w:rPr>
                <w:b/>
                <w:spacing w:val="-5"/>
                <w:sz w:val="18"/>
              </w:rPr>
              <w:t xml:space="preserve"> </w:t>
            </w:r>
            <w:r>
              <w:rPr>
                <w:b/>
                <w:spacing w:val="-2"/>
                <w:sz w:val="18"/>
              </w:rPr>
              <w:t>mortality</w:t>
            </w:r>
          </w:p>
        </w:tc>
        <w:tc>
          <w:tcPr>
            <w:tcW w:w="862" w:type="dxa"/>
          </w:tcPr>
          <w:p w14:paraId="7A4C315F" w14:textId="77777777" w:rsidR="00E13D3F" w:rsidRDefault="00FB2D6A">
            <w:pPr>
              <w:pStyle w:val="TableParagraph"/>
              <w:spacing w:before="1"/>
              <w:ind w:right="27"/>
              <w:jc w:val="center"/>
              <w:rPr>
                <w:sz w:val="18"/>
              </w:rPr>
            </w:pPr>
            <w:r>
              <w:rPr>
                <w:sz w:val="18"/>
              </w:rPr>
              <w:t xml:space="preserve">3 </w:t>
            </w:r>
            <w:r>
              <w:rPr>
                <w:spacing w:val="-2"/>
                <w:sz w:val="18"/>
              </w:rPr>
              <w:t>(845)</w:t>
            </w:r>
          </w:p>
        </w:tc>
        <w:tc>
          <w:tcPr>
            <w:tcW w:w="1176" w:type="dxa"/>
          </w:tcPr>
          <w:p w14:paraId="7A4C3160" w14:textId="77777777" w:rsidR="00E13D3F" w:rsidRDefault="00FB2D6A">
            <w:pPr>
              <w:pStyle w:val="TableParagraph"/>
              <w:spacing w:before="1"/>
              <w:ind w:left="11" w:right="41"/>
              <w:jc w:val="center"/>
              <w:rPr>
                <w:sz w:val="18"/>
              </w:rPr>
            </w:pPr>
            <w:r>
              <w:rPr>
                <w:spacing w:val="-10"/>
                <w:sz w:val="18"/>
              </w:rPr>
              <w:t>0</w:t>
            </w:r>
          </w:p>
        </w:tc>
        <w:tc>
          <w:tcPr>
            <w:tcW w:w="1282" w:type="dxa"/>
          </w:tcPr>
          <w:p w14:paraId="7A4C3161" w14:textId="77777777" w:rsidR="00E13D3F" w:rsidRDefault="00FB2D6A">
            <w:pPr>
              <w:pStyle w:val="TableParagraph"/>
              <w:spacing w:before="1"/>
              <w:ind w:right="31"/>
              <w:jc w:val="center"/>
              <w:rPr>
                <w:sz w:val="18"/>
              </w:rPr>
            </w:pPr>
            <w:r>
              <w:rPr>
                <w:spacing w:val="-10"/>
                <w:sz w:val="18"/>
              </w:rPr>
              <w:t>0</w:t>
            </w:r>
          </w:p>
        </w:tc>
        <w:tc>
          <w:tcPr>
            <w:tcW w:w="1200" w:type="dxa"/>
          </w:tcPr>
          <w:p w14:paraId="7A4C3162" w14:textId="77777777" w:rsidR="00E13D3F" w:rsidRDefault="00FB2D6A">
            <w:pPr>
              <w:pStyle w:val="TableParagraph"/>
              <w:spacing w:before="1"/>
              <w:ind w:right="28"/>
              <w:jc w:val="center"/>
              <w:rPr>
                <w:sz w:val="18"/>
              </w:rPr>
            </w:pPr>
            <w:r>
              <w:rPr>
                <w:spacing w:val="-10"/>
                <w:sz w:val="18"/>
              </w:rPr>
              <w:t>-</w:t>
            </w:r>
          </w:p>
        </w:tc>
        <w:tc>
          <w:tcPr>
            <w:tcW w:w="1107" w:type="dxa"/>
          </w:tcPr>
          <w:p w14:paraId="7A4C3163" w14:textId="77777777" w:rsidR="00E13D3F" w:rsidRDefault="00FB2D6A">
            <w:pPr>
              <w:pStyle w:val="TableParagraph"/>
              <w:spacing w:before="1"/>
              <w:ind w:left="1" w:right="31"/>
              <w:jc w:val="center"/>
              <w:rPr>
                <w:sz w:val="18"/>
              </w:rPr>
            </w:pPr>
            <w:r>
              <w:rPr>
                <w:sz w:val="18"/>
              </w:rPr>
              <w:t>VERY</w:t>
            </w:r>
            <w:r>
              <w:rPr>
                <w:spacing w:val="-2"/>
                <w:sz w:val="18"/>
              </w:rPr>
              <w:t xml:space="preserve"> </w:t>
            </w:r>
            <w:r>
              <w:rPr>
                <w:spacing w:val="-5"/>
                <w:sz w:val="18"/>
              </w:rPr>
              <w:t>LOW</w:t>
            </w:r>
          </w:p>
        </w:tc>
        <w:tc>
          <w:tcPr>
            <w:tcW w:w="1716" w:type="dxa"/>
          </w:tcPr>
          <w:p w14:paraId="7A4C3164" w14:textId="77777777" w:rsidR="00E13D3F" w:rsidRDefault="00FB2D6A">
            <w:pPr>
              <w:pStyle w:val="TableParagraph"/>
              <w:spacing w:before="1"/>
              <w:ind w:left="108" w:right="372"/>
              <w:rPr>
                <w:sz w:val="18"/>
              </w:rPr>
            </w:pPr>
            <w:r>
              <w:rPr>
                <w:sz w:val="18"/>
              </w:rPr>
              <w:t>No</w:t>
            </w:r>
            <w:r>
              <w:rPr>
                <w:spacing w:val="-11"/>
                <w:sz w:val="18"/>
              </w:rPr>
              <w:t xml:space="preserve"> </w:t>
            </w:r>
            <w:r>
              <w:rPr>
                <w:sz w:val="18"/>
              </w:rPr>
              <w:t>deaths</w:t>
            </w:r>
            <w:r>
              <w:rPr>
                <w:spacing w:val="-10"/>
                <w:sz w:val="18"/>
              </w:rPr>
              <w:t xml:space="preserve"> </w:t>
            </w:r>
            <w:r>
              <w:rPr>
                <w:sz w:val="18"/>
              </w:rPr>
              <w:t>in</w:t>
            </w:r>
            <w:r>
              <w:rPr>
                <w:spacing w:val="-10"/>
                <w:sz w:val="18"/>
              </w:rPr>
              <w:t xml:space="preserve"> </w:t>
            </w:r>
            <w:r>
              <w:rPr>
                <w:sz w:val="18"/>
              </w:rPr>
              <w:t>any eligible</w:t>
            </w:r>
            <w:r>
              <w:rPr>
                <w:spacing w:val="-2"/>
                <w:sz w:val="18"/>
              </w:rPr>
              <w:t xml:space="preserve"> </w:t>
            </w:r>
            <w:r>
              <w:rPr>
                <w:sz w:val="18"/>
              </w:rPr>
              <w:t>studies</w:t>
            </w:r>
          </w:p>
        </w:tc>
      </w:tr>
      <w:tr w:rsidR="00E13D3F" w14:paraId="7A4C316D" w14:textId="77777777">
        <w:trPr>
          <w:trHeight w:val="234"/>
        </w:trPr>
        <w:tc>
          <w:tcPr>
            <w:tcW w:w="1675" w:type="dxa"/>
            <w:tcBorders>
              <w:bottom w:val="nil"/>
            </w:tcBorders>
            <w:shd w:val="clear" w:color="auto" w:fill="F1F1F1"/>
          </w:tcPr>
          <w:p w14:paraId="7A4C3166" w14:textId="77777777" w:rsidR="00E13D3F" w:rsidRDefault="00FB2D6A">
            <w:pPr>
              <w:pStyle w:val="TableParagraph"/>
              <w:spacing w:before="1" w:line="213" w:lineRule="exact"/>
              <w:ind w:left="107"/>
              <w:rPr>
                <w:b/>
                <w:sz w:val="18"/>
              </w:rPr>
            </w:pPr>
            <w:r>
              <w:rPr>
                <w:b/>
                <w:spacing w:val="-2"/>
                <w:sz w:val="18"/>
              </w:rPr>
              <w:t>Cardiovascular</w:t>
            </w:r>
          </w:p>
        </w:tc>
        <w:tc>
          <w:tcPr>
            <w:tcW w:w="862" w:type="dxa"/>
            <w:tcBorders>
              <w:bottom w:val="nil"/>
            </w:tcBorders>
            <w:shd w:val="clear" w:color="auto" w:fill="F1F1F1"/>
          </w:tcPr>
          <w:p w14:paraId="7A4C3167" w14:textId="77777777" w:rsidR="00E13D3F" w:rsidRDefault="00FB2D6A">
            <w:pPr>
              <w:pStyle w:val="TableParagraph"/>
              <w:spacing w:before="1" w:line="213" w:lineRule="exact"/>
              <w:ind w:right="27"/>
              <w:jc w:val="center"/>
              <w:rPr>
                <w:sz w:val="18"/>
              </w:rPr>
            </w:pPr>
            <w:r>
              <w:rPr>
                <w:sz w:val="18"/>
              </w:rPr>
              <w:t xml:space="preserve">1 </w:t>
            </w:r>
            <w:r>
              <w:rPr>
                <w:spacing w:val="-2"/>
                <w:sz w:val="18"/>
              </w:rPr>
              <w:t>(294)</w:t>
            </w:r>
          </w:p>
        </w:tc>
        <w:tc>
          <w:tcPr>
            <w:tcW w:w="1176" w:type="dxa"/>
            <w:tcBorders>
              <w:bottom w:val="nil"/>
            </w:tcBorders>
            <w:shd w:val="clear" w:color="auto" w:fill="F1F1F1"/>
          </w:tcPr>
          <w:p w14:paraId="7A4C3168" w14:textId="77777777" w:rsidR="00E13D3F" w:rsidRDefault="00FB2D6A">
            <w:pPr>
              <w:pStyle w:val="TableParagraph"/>
              <w:spacing w:before="1" w:line="213" w:lineRule="exact"/>
              <w:ind w:left="11" w:right="41"/>
              <w:jc w:val="center"/>
              <w:rPr>
                <w:sz w:val="18"/>
              </w:rPr>
            </w:pPr>
            <w:r>
              <w:rPr>
                <w:spacing w:val="-5"/>
                <w:sz w:val="18"/>
              </w:rPr>
              <w:t>21</w:t>
            </w:r>
          </w:p>
        </w:tc>
        <w:tc>
          <w:tcPr>
            <w:tcW w:w="1282" w:type="dxa"/>
            <w:tcBorders>
              <w:bottom w:val="nil"/>
            </w:tcBorders>
            <w:shd w:val="clear" w:color="auto" w:fill="F1F1F1"/>
          </w:tcPr>
          <w:p w14:paraId="7A4C3169" w14:textId="77777777" w:rsidR="00E13D3F" w:rsidRDefault="00FB2D6A">
            <w:pPr>
              <w:pStyle w:val="TableParagraph"/>
              <w:spacing w:before="1" w:line="213" w:lineRule="exact"/>
              <w:ind w:left="3" w:right="31"/>
              <w:jc w:val="center"/>
              <w:rPr>
                <w:sz w:val="18"/>
              </w:rPr>
            </w:pPr>
            <w:r>
              <w:rPr>
                <w:spacing w:val="-5"/>
                <w:sz w:val="18"/>
              </w:rPr>
              <w:t>57^</w:t>
            </w:r>
          </w:p>
        </w:tc>
        <w:tc>
          <w:tcPr>
            <w:tcW w:w="1200" w:type="dxa"/>
            <w:tcBorders>
              <w:bottom w:val="nil"/>
            </w:tcBorders>
            <w:shd w:val="clear" w:color="auto" w:fill="F1F1F1"/>
          </w:tcPr>
          <w:p w14:paraId="7A4C316A" w14:textId="77777777" w:rsidR="00E13D3F" w:rsidRDefault="00FB2D6A">
            <w:pPr>
              <w:pStyle w:val="TableParagraph"/>
              <w:spacing w:before="1" w:line="213" w:lineRule="exact"/>
              <w:ind w:left="2" w:right="28"/>
              <w:jc w:val="center"/>
              <w:rPr>
                <w:sz w:val="18"/>
              </w:rPr>
            </w:pPr>
            <w:r>
              <w:rPr>
                <w:sz w:val="18"/>
              </w:rPr>
              <w:t xml:space="preserve">HR </w:t>
            </w:r>
            <w:r>
              <w:rPr>
                <w:spacing w:val="-4"/>
                <w:sz w:val="18"/>
              </w:rPr>
              <w:t>0.70</w:t>
            </w:r>
          </w:p>
        </w:tc>
        <w:tc>
          <w:tcPr>
            <w:tcW w:w="1107" w:type="dxa"/>
            <w:tcBorders>
              <w:bottom w:val="nil"/>
            </w:tcBorders>
            <w:shd w:val="clear" w:color="auto" w:fill="F1F1F1"/>
          </w:tcPr>
          <w:p w14:paraId="7A4C316B" w14:textId="77777777" w:rsidR="00E13D3F" w:rsidRDefault="00FB2D6A">
            <w:pPr>
              <w:pStyle w:val="TableParagraph"/>
              <w:spacing w:before="1" w:line="213" w:lineRule="exact"/>
              <w:ind w:left="1" w:right="31"/>
              <w:jc w:val="center"/>
              <w:rPr>
                <w:sz w:val="18"/>
              </w:rPr>
            </w:pPr>
            <w:r>
              <w:rPr>
                <w:sz w:val="18"/>
              </w:rPr>
              <w:t>VERY</w:t>
            </w:r>
            <w:r>
              <w:rPr>
                <w:spacing w:val="-2"/>
                <w:sz w:val="18"/>
              </w:rPr>
              <w:t xml:space="preserve"> </w:t>
            </w:r>
            <w:r>
              <w:rPr>
                <w:spacing w:val="-5"/>
                <w:sz w:val="18"/>
              </w:rPr>
              <w:t>LOW</w:t>
            </w:r>
          </w:p>
        </w:tc>
        <w:tc>
          <w:tcPr>
            <w:tcW w:w="1716" w:type="dxa"/>
            <w:tcBorders>
              <w:bottom w:val="nil"/>
            </w:tcBorders>
            <w:shd w:val="clear" w:color="auto" w:fill="F1F1F1"/>
          </w:tcPr>
          <w:p w14:paraId="7A4C316C" w14:textId="77777777" w:rsidR="00E13D3F" w:rsidRDefault="00FB2D6A">
            <w:pPr>
              <w:pStyle w:val="TableParagraph"/>
              <w:spacing w:before="1" w:line="213" w:lineRule="exact"/>
              <w:ind w:left="108"/>
              <w:rPr>
                <w:sz w:val="18"/>
              </w:rPr>
            </w:pPr>
            <w:r>
              <w:rPr>
                <w:sz w:val="18"/>
              </w:rPr>
              <w:t>Total</w:t>
            </w:r>
            <w:r>
              <w:rPr>
                <w:spacing w:val="-1"/>
                <w:sz w:val="18"/>
              </w:rPr>
              <w:t xml:space="preserve"> </w:t>
            </w:r>
            <w:r>
              <w:rPr>
                <w:sz w:val="18"/>
              </w:rPr>
              <w:t xml:space="preserve">145 </w:t>
            </w:r>
            <w:r>
              <w:rPr>
                <w:spacing w:val="-5"/>
                <w:sz w:val="18"/>
              </w:rPr>
              <w:t>CVD</w:t>
            </w:r>
          </w:p>
        </w:tc>
      </w:tr>
      <w:tr w:rsidR="00E13D3F" w14:paraId="7A4C3175" w14:textId="77777777">
        <w:trPr>
          <w:trHeight w:val="222"/>
        </w:trPr>
        <w:tc>
          <w:tcPr>
            <w:tcW w:w="1675" w:type="dxa"/>
            <w:tcBorders>
              <w:top w:val="nil"/>
              <w:bottom w:val="nil"/>
            </w:tcBorders>
            <w:shd w:val="clear" w:color="auto" w:fill="F1F1F1"/>
          </w:tcPr>
          <w:p w14:paraId="7A4C316E" w14:textId="77777777" w:rsidR="00E13D3F" w:rsidRDefault="00FB2D6A">
            <w:pPr>
              <w:pStyle w:val="TableParagraph"/>
              <w:spacing w:line="202" w:lineRule="exact"/>
              <w:ind w:left="107"/>
              <w:rPr>
                <w:b/>
                <w:sz w:val="18"/>
              </w:rPr>
            </w:pPr>
            <w:r>
              <w:rPr>
                <w:b/>
                <w:spacing w:val="-2"/>
                <w:sz w:val="18"/>
              </w:rPr>
              <w:t>morbidity*</w:t>
            </w:r>
          </w:p>
        </w:tc>
        <w:tc>
          <w:tcPr>
            <w:tcW w:w="862" w:type="dxa"/>
            <w:tcBorders>
              <w:top w:val="nil"/>
              <w:bottom w:val="nil"/>
            </w:tcBorders>
            <w:shd w:val="clear" w:color="auto" w:fill="F1F1F1"/>
          </w:tcPr>
          <w:p w14:paraId="7A4C316F" w14:textId="77777777" w:rsidR="00E13D3F" w:rsidRDefault="00E13D3F">
            <w:pPr>
              <w:pStyle w:val="TableParagraph"/>
              <w:rPr>
                <w:rFonts w:ascii="Times New Roman"/>
                <w:sz w:val="14"/>
              </w:rPr>
            </w:pPr>
          </w:p>
        </w:tc>
        <w:tc>
          <w:tcPr>
            <w:tcW w:w="1176" w:type="dxa"/>
            <w:tcBorders>
              <w:top w:val="nil"/>
              <w:bottom w:val="nil"/>
            </w:tcBorders>
            <w:shd w:val="clear" w:color="auto" w:fill="F1F1F1"/>
          </w:tcPr>
          <w:p w14:paraId="7A4C3170" w14:textId="77777777" w:rsidR="00E13D3F" w:rsidRDefault="00E13D3F">
            <w:pPr>
              <w:pStyle w:val="TableParagraph"/>
              <w:rPr>
                <w:rFonts w:ascii="Times New Roman"/>
                <w:sz w:val="14"/>
              </w:rPr>
            </w:pPr>
          </w:p>
        </w:tc>
        <w:tc>
          <w:tcPr>
            <w:tcW w:w="1282" w:type="dxa"/>
            <w:tcBorders>
              <w:top w:val="nil"/>
              <w:bottom w:val="nil"/>
            </w:tcBorders>
            <w:shd w:val="clear" w:color="auto" w:fill="F1F1F1"/>
          </w:tcPr>
          <w:p w14:paraId="7A4C3171" w14:textId="77777777" w:rsidR="00E13D3F" w:rsidRDefault="00E13D3F">
            <w:pPr>
              <w:pStyle w:val="TableParagraph"/>
              <w:rPr>
                <w:rFonts w:ascii="Times New Roman"/>
                <w:sz w:val="14"/>
              </w:rPr>
            </w:pPr>
          </w:p>
        </w:tc>
        <w:tc>
          <w:tcPr>
            <w:tcW w:w="1200" w:type="dxa"/>
            <w:tcBorders>
              <w:top w:val="nil"/>
              <w:bottom w:val="nil"/>
            </w:tcBorders>
            <w:shd w:val="clear" w:color="auto" w:fill="F1F1F1"/>
          </w:tcPr>
          <w:p w14:paraId="7A4C3172" w14:textId="77777777" w:rsidR="00E13D3F" w:rsidRDefault="00FB2D6A">
            <w:pPr>
              <w:pStyle w:val="TableParagraph"/>
              <w:spacing w:line="180" w:lineRule="exact"/>
              <w:ind w:left="5" w:right="28"/>
              <w:jc w:val="center"/>
              <w:rPr>
                <w:sz w:val="16"/>
              </w:rPr>
            </w:pPr>
            <w:r>
              <w:rPr>
                <w:sz w:val="16"/>
              </w:rPr>
              <w:t>(0.57</w:t>
            </w:r>
            <w:r>
              <w:rPr>
                <w:spacing w:val="-2"/>
                <w:sz w:val="16"/>
              </w:rPr>
              <w:t xml:space="preserve"> </w:t>
            </w:r>
            <w:r>
              <w:rPr>
                <w:sz w:val="16"/>
              </w:rPr>
              <w:t>to</w:t>
            </w:r>
            <w:r>
              <w:rPr>
                <w:spacing w:val="-2"/>
                <w:sz w:val="16"/>
              </w:rPr>
              <w:t xml:space="preserve"> 0.87)</w:t>
            </w:r>
          </w:p>
        </w:tc>
        <w:tc>
          <w:tcPr>
            <w:tcW w:w="1107" w:type="dxa"/>
            <w:tcBorders>
              <w:top w:val="nil"/>
              <w:bottom w:val="nil"/>
            </w:tcBorders>
            <w:shd w:val="clear" w:color="auto" w:fill="F1F1F1"/>
          </w:tcPr>
          <w:p w14:paraId="7A4C3173" w14:textId="77777777" w:rsidR="00E13D3F" w:rsidRDefault="00E13D3F">
            <w:pPr>
              <w:pStyle w:val="TableParagraph"/>
              <w:rPr>
                <w:rFonts w:ascii="Times New Roman"/>
                <w:sz w:val="14"/>
              </w:rPr>
            </w:pPr>
          </w:p>
        </w:tc>
        <w:tc>
          <w:tcPr>
            <w:tcW w:w="1716" w:type="dxa"/>
            <w:tcBorders>
              <w:top w:val="nil"/>
              <w:bottom w:val="nil"/>
            </w:tcBorders>
            <w:shd w:val="clear" w:color="auto" w:fill="F1F1F1"/>
          </w:tcPr>
          <w:p w14:paraId="7A4C3174" w14:textId="77777777" w:rsidR="00E13D3F" w:rsidRDefault="00FB2D6A">
            <w:pPr>
              <w:pStyle w:val="TableParagraph"/>
              <w:spacing w:line="202" w:lineRule="exact"/>
              <w:ind w:left="108"/>
              <w:rPr>
                <w:sz w:val="18"/>
              </w:rPr>
            </w:pPr>
            <w:r>
              <w:rPr>
                <w:sz w:val="18"/>
              </w:rPr>
              <w:t>events</w:t>
            </w:r>
            <w:r>
              <w:rPr>
                <w:spacing w:val="-3"/>
                <w:sz w:val="18"/>
              </w:rPr>
              <w:t xml:space="preserve"> </w:t>
            </w:r>
            <w:r>
              <w:rPr>
                <w:sz w:val="18"/>
              </w:rPr>
              <w:t>in</w:t>
            </w:r>
            <w:r>
              <w:rPr>
                <w:spacing w:val="-3"/>
                <w:sz w:val="18"/>
              </w:rPr>
              <w:t xml:space="preserve"> </w:t>
            </w:r>
            <w:r>
              <w:rPr>
                <w:sz w:val="18"/>
              </w:rPr>
              <w:t>4</w:t>
            </w:r>
            <w:r>
              <w:rPr>
                <w:spacing w:val="-1"/>
                <w:sz w:val="18"/>
              </w:rPr>
              <w:t xml:space="preserve"> </w:t>
            </w:r>
            <w:r>
              <w:rPr>
                <w:spacing w:val="-5"/>
                <w:sz w:val="18"/>
              </w:rPr>
              <w:t>arm</w:t>
            </w:r>
          </w:p>
        </w:tc>
      </w:tr>
      <w:tr w:rsidR="00E13D3F" w14:paraId="7A4C317D" w14:textId="77777777">
        <w:trPr>
          <w:trHeight w:val="220"/>
        </w:trPr>
        <w:tc>
          <w:tcPr>
            <w:tcW w:w="1675" w:type="dxa"/>
            <w:tcBorders>
              <w:top w:val="nil"/>
              <w:bottom w:val="nil"/>
            </w:tcBorders>
            <w:shd w:val="clear" w:color="auto" w:fill="F1F1F1"/>
          </w:tcPr>
          <w:p w14:paraId="7A4C3176" w14:textId="77777777" w:rsidR="00E13D3F" w:rsidRDefault="00E13D3F">
            <w:pPr>
              <w:pStyle w:val="TableParagraph"/>
              <w:rPr>
                <w:rFonts w:ascii="Times New Roman"/>
                <w:sz w:val="14"/>
              </w:rPr>
            </w:pPr>
          </w:p>
        </w:tc>
        <w:tc>
          <w:tcPr>
            <w:tcW w:w="862" w:type="dxa"/>
            <w:tcBorders>
              <w:top w:val="nil"/>
              <w:bottom w:val="nil"/>
            </w:tcBorders>
            <w:shd w:val="clear" w:color="auto" w:fill="F1F1F1"/>
          </w:tcPr>
          <w:p w14:paraId="7A4C3177" w14:textId="77777777" w:rsidR="00E13D3F" w:rsidRDefault="00E13D3F">
            <w:pPr>
              <w:pStyle w:val="TableParagraph"/>
              <w:rPr>
                <w:rFonts w:ascii="Times New Roman"/>
                <w:sz w:val="14"/>
              </w:rPr>
            </w:pPr>
          </w:p>
        </w:tc>
        <w:tc>
          <w:tcPr>
            <w:tcW w:w="1176" w:type="dxa"/>
            <w:tcBorders>
              <w:top w:val="nil"/>
              <w:bottom w:val="nil"/>
            </w:tcBorders>
            <w:shd w:val="clear" w:color="auto" w:fill="F1F1F1"/>
          </w:tcPr>
          <w:p w14:paraId="7A4C3178" w14:textId="77777777" w:rsidR="00E13D3F" w:rsidRDefault="00E13D3F">
            <w:pPr>
              <w:pStyle w:val="TableParagraph"/>
              <w:rPr>
                <w:rFonts w:ascii="Times New Roman"/>
                <w:sz w:val="14"/>
              </w:rPr>
            </w:pPr>
          </w:p>
        </w:tc>
        <w:tc>
          <w:tcPr>
            <w:tcW w:w="1282" w:type="dxa"/>
            <w:tcBorders>
              <w:top w:val="nil"/>
              <w:bottom w:val="nil"/>
            </w:tcBorders>
            <w:shd w:val="clear" w:color="auto" w:fill="F1F1F1"/>
          </w:tcPr>
          <w:p w14:paraId="7A4C3179" w14:textId="77777777" w:rsidR="00E13D3F" w:rsidRDefault="00E13D3F">
            <w:pPr>
              <w:pStyle w:val="TableParagraph"/>
              <w:rPr>
                <w:rFonts w:ascii="Times New Roman"/>
                <w:sz w:val="14"/>
              </w:rPr>
            </w:pPr>
          </w:p>
        </w:tc>
        <w:tc>
          <w:tcPr>
            <w:tcW w:w="1200" w:type="dxa"/>
            <w:tcBorders>
              <w:top w:val="nil"/>
              <w:bottom w:val="nil"/>
            </w:tcBorders>
            <w:shd w:val="clear" w:color="auto" w:fill="F1F1F1"/>
          </w:tcPr>
          <w:p w14:paraId="7A4C317A" w14:textId="77777777" w:rsidR="00E13D3F" w:rsidRDefault="00E13D3F">
            <w:pPr>
              <w:pStyle w:val="TableParagraph"/>
              <w:rPr>
                <w:rFonts w:ascii="Times New Roman"/>
                <w:sz w:val="14"/>
              </w:rPr>
            </w:pPr>
          </w:p>
        </w:tc>
        <w:tc>
          <w:tcPr>
            <w:tcW w:w="1107" w:type="dxa"/>
            <w:tcBorders>
              <w:top w:val="nil"/>
              <w:bottom w:val="nil"/>
            </w:tcBorders>
            <w:shd w:val="clear" w:color="auto" w:fill="F1F1F1"/>
          </w:tcPr>
          <w:p w14:paraId="7A4C317B" w14:textId="77777777" w:rsidR="00E13D3F" w:rsidRDefault="00E13D3F">
            <w:pPr>
              <w:pStyle w:val="TableParagraph"/>
              <w:rPr>
                <w:rFonts w:ascii="Times New Roman"/>
                <w:sz w:val="14"/>
              </w:rPr>
            </w:pPr>
          </w:p>
        </w:tc>
        <w:tc>
          <w:tcPr>
            <w:tcW w:w="1716" w:type="dxa"/>
            <w:tcBorders>
              <w:top w:val="nil"/>
              <w:bottom w:val="nil"/>
            </w:tcBorders>
            <w:shd w:val="clear" w:color="auto" w:fill="F1F1F1"/>
          </w:tcPr>
          <w:p w14:paraId="7A4C317C" w14:textId="77777777" w:rsidR="00E13D3F" w:rsidRDefault="00FB2D6A">
            <w:pPr>
              <w:pStyle w:val="TableParagraph"/>
              <w:spacing w:line="201" w:lineRule="exact"/>
              <w:ind w:left="108"/>
              <w:rPr>
                <w:sz w:val="18"/>
              </w:rPr>
            </w:pPr>
            <w:r>
              <w:rPr>
                <w:sz w:val="18"/>
              </w:rPr>
              <w:t>trial,</w:t>
            </w:r>
            <w:r>
              <w:rPr>
                <w:spacing w:val="-2"/>
                <w:sz w:val="18"/>
              </w:rPr>
              <w:t xml:space="preserve"> </w:t>
            </w:r>
            <w:r>
              <w:rPr>
                <w:sz w:val="18"/>
              </w:rPr>
              <w:t>no</w:t>
            </w:r>
            <w:r>
              <w:rPr>
                <w:spacing w:val="-1"/>
                <w:sz w:val="18"/>
              </w:rPr>
              <w:t xml:space="preserve"> </w:t>
            </w:r>
            <w:r>
              <w:rPr>
                <w:spacing w:val="-2"/>
                <w:sz w:val="18"/>
              </w:rPr>
              <w:t>statistical</w:t>
            </w:r>
          </w:p>
        </w:tc>
      </w:tr>
      <w:tr w:rsidR="00E13D3F" w14:paraId="7A4C3185" w14:textId="77777777">
        <w:trPr>
          <w:trHeight w:val="219"/>
        </w:trPr>
        <w:tc>
          <w:tcPr>
            <w:tcW w:w="1675" w:type="dxa"/>
            <w:tcBorders>
              <w:top w:val="nil"/>
              <w:bottom w:val="nil"/>
            </w:tcBorders>
            <w:shd w:val="clear" w:color="auto" w:fill="F1F1F1"/>
          </w:tcPr>
          <w:p w14:paraId="7A4C317E" w14:textId="77777777" w:rsidR="00E13D3F" w:rsidRDefault="00E13D3F">
            <w:pPr>
              <w:pStyle w:val="TableParagraph"/>
              <w:rPr>
                <w:rFonts w:ascii="Times New Roman"/>
                <w:sz w:val="14"/>
              </w:rPr>
            </w:pPr>
          </w:p>
        </w:tc>
        <w:tc>
          <w:tcPr>
            <w:tcW w:w="862" w:type="dxa"/>
            <w:tcBorders>
              <w:top w:val="nil"/>
              <w:bottom w:val="nil"/>
            </w:tcBorders>
            <w:shd w:val="clear" w:color="auto" w:fill="F1F1F1"/>
          </w:tcPr>
          <w:p w14:paraId="7A4C317F" w14:textId="77777777" w:rsidR="00E13D3F" w:rsidRDefault="00E13D3F">
            <w:pPr>
              <w:pStyle w:val="TableParagraph"/>
              <w:rPr>
                <w:rFonts w:ascii="Times New Roman"/>
                <w:sz w:val="14"/>
              </w:rPr>
            </w:pPr>
          </w:p>
        </w:tc>
        <w:tc>
          <w:tcPr>
            <w:tcW w:w="1176" w:type="dxa"/>
            <w:tcBorders>
              <w:top w:val="nil"/>
              <w:bottom w:val="nil"/>
            </w:tcBorders>
            <w:shd w:val="clear" w:color="auto" w:fill="F1F1F1"/>
          </w:tcPr>
          <w:p w14:paraId="7A4C3180" w14:textId="77777777" w:rsidR="00E13D3F" w:rsidRDefault="00E13D3F">
            <w:pPr>
              <w:pStyle w:val="TableParagraph"/>
              <w:rPr>
                <w:rFonts w:ascii="Times New Roman"/>
                <w:sz w:val="14"/>
              </w:rPr>
            </w:pPr>
          </w:p>
        </w:tc>
        <w:tc>
          <w:tcPr>
            <w:tcW w:w="1282" w:type="dxa"/>
            <w:tcBorders>
              <w:top w:val="nil"/>
              <w:bottom w:val="nil"/>
            </w:tcBorders>
            <w:shd w:val="clear" w:color="auto" w:fill="F1F1F1"/>
          </w:tcPr>
          <w:p w14:paraId="7A4C3181" w14:textId="77777777" w:rsidR="00E13D3F" w:rsidRDefault="00E13D3F">
            <w:pPr>
              <w:pStyle w:val="TableParagraph"/>
              <w:rPr>
                <w:rFonts w:ascii="Times New Roman"/>
                <w:sz w:val="14"/>
              </w:rPr>
            </w:pPr>
          </w:p>
        </w:tc>
        <w:tc>
          <w:tcPr>
            <w:tcW w:w="1200" w:type="dxa"/>
            <w:tcBorders>
              <w:top w:val="nil"/>
              <w:bottom w:val="nil"/>
            </w:tcBorders>
            <w:shd w:val="clear" w:color="auto" w:fill="F1F1F1"/>
          </w:tcPr>
          <w:p w14:paraId="7A4C3182" w14:textId="77777777" w:rsidR="00E13D3F" w:rsidRDefault="00E13D3F">
            <w:pPr>
              <w:pStyle w:val="TableParagraph"/>
              <w:rPr>
                <w:rFonts w:ascii="Times New Roman"/>
                <w:sz w:val="14"/>
              </w:rPr>
            </w:pPr>
          </w:p>
        </w:tc>
        <w:tc>
          <w:tcPr>
            <w:tcW w:w="1107" w:type="dxa"/>
            <w:tcBorders>
              <w:top w:val="nil"/>
              <w:bottom w:val="nil"/>
            </w:tcBorders>
            <w:shd w:val="clear" w:color="auto" w:fill="F1F1F1"/>
          </w:tcPr>
          <w:p w14:paraId="7A4C3183" w14:textId="77777777" w:rsidR="00E13D3F" w:rsidRDefault="00E13D3F">
            <w:pPr>
              <w:pStyle w:val="TableParagraph"/>
              <w:rPr>
                <w:rFonts w:ascii="Times New Roman"/>
                <w:sz w:val="14"/>
              </w:rPr>
            </w:pPr>
          </w:p>
        </w:tc>
        <w:tc>
          <w:tcPr>
            <w:tcW w:w="1716" w:type="dxa"/>
            <w:tcBorders>
              <w:top w:val="nil"/>
              <w:bottom w:val="nil"/>
            </w:tcBorders>
            <w:shd w:val="clear" w:color="auto" w:fill="F1F1F1"/>
          </w:tcPr>
          <w:p w14:paraId="7A4C3184" w14:textId="77777777" w:rsidR="00E13D3F" w:rsidRDefault="00FB2D6A">
            <w:pPr>
              <w:pStyle w:val="TableParagraph"/>
              <w:spacing w:line="200" w:lineRule="exact"/>
              <w:ind w:left="108"/>
              <w:rPr>
                <w:sz w:val="18"/>
              </w:rPr>
            </w:pPr>
            <w:r>
              <w:rPr>
                <w:sz w:val="18"/>
              </w:rPr>
              <w:t>difference</w:t>
            </w:r>
            <w:r>
              <w:rPr>
                <w:spacing w:val="-6"/>
                <w:sz w:val="18"/>
              </w:rPr>
              <w:t xml:space="preserve"> </w:t>
            </w:r>
            <w:r>
              <w:rPr>
                <w:spacing w:val="-2"/>
                <w:sz w:val="18"/>
              </w:rPr>
              <w:t>between</w:t>
            </w:r>
          </w:p>
        </w:tc>
      </w:tr>
      <w:tr w:rsidR="00E13D3F" w14:paraId="7A4C318D" w14:textId="77777777">
        <w:trPr>
          <w:trHeight w:val="338"/>
        </w:trPr>
        <w:tc>
          <w:tcPr>
            <w:tcW w:w="1675" w:type="dxa"/>
            <w:tcBorders>
              <w:top w:val="nil"/>
            </w:tcBorders>
            <w:shd w:val="clear" w:color="auto" w:fill="F1F1F1"/>
          </w:tcPr>
          <w:p w14:paraId="7A4C3186" w14:textId="77777777" w:rsidR="00E13D3F" w:rsidRDefault="00E13D3F">
            <w:pPr>
              <w:pStyle w:val="TableParagraph"/>
              <w:rPr>
                <w:rFonts w:ascii="Times New Roman"/>
                <w:sz w:val="20"/>
              </w:rPr>
            </w:pPr>
          </w:p>
        </w:tc>
        <w:tc>
          <w:tcPr>
            <w:tcW w:w="862" w:type="dxa"/>
            <w:tcBorders>
              <w:top w:val="nil"/>
            </w:tcBorders>
            <w:shd w:val="clear" w:color="auto" w:fill="F1F1F1"/>
          </w:tcPr>
          <w:p w14:paraId="7A4C3187" w14:textId="77777777" w:rsidR="00E13D3F" w:rsidRDefault="00E13D3F">
            <w:pPr>
              <w:pStyle w:val="TableParagraph"/>
              <w:rPr>
                <w:rFonts w:ascii="Times New Roman"/>
                <w:sz w:val="20"/>
              </w:rPr>
            </w:pPr>
          </w:p>
        </w:tc>
        <w:tc>
          <w:tcPr>
            <w:tcW w:w="1176" w:type="dxa"/>
            <w:tcBorders>
              <w:top w:val="nil"/>
            </w:tcBorders>
            <w:shd w:val="clear" w:color="auto" w:fill="F1F1F1"/>
          </w:tcPr>
          <w:p w14:paraId="7A4C3188" w14:textId="77777777" w:rsidR="00E13D3F" w:rsidRDefault="00E13D3F">
            <w:pPr>
              <w:pStyle w:val="TableParagraph"/>
              <w:rPr>
                <w:rFonts w:ascii="Times New Roman"/>
                <w:sz w:val="20"/>
              </w:rPr>
            </w:pPr>
          </w:p>
        </w:tc>
        <w:tc>
          <w:tcPr>
            <w:tcW w:w="1282" w:type="dxa"/>
            <w:tcBorders>
              <w:top w:val="nil"/>
            </w:tcBorders>
            <w:shd w:val="clear" w:color="auto" w:fill="F1F1F1"/>
          </w:tcPr>
          <w:p w14:paraId="7A4C3189" w14:textId="77777777" w:rsidR="00E13D3F" w:rsidRDefault="00E13D3F">
            <w:pPr>
              <w:pStyle w:val="TableParagraph"/>
              <w:rPr>
                <w:rFonts w:ascii="Times New Roman"/>
                <w:sz w:val="20"/>
              </w:rPr>
            </w:pPr>
          </w:p>
        </w:tc>
        <w:tc>
          <w:tcPr>
            <w:tcW w:w="1200" w:type="dxa"/>
            <w:tcBorders>
              <w:top w:val="nil"/>
            </w:tcBorders>
            <w:shd w:val="clear" w:color="auto" w:fill="F1F1F1"/>
          </w:tcPr>
          <w:p w14:paraId="7A4C318A" w14:textId="77777777" w:rsidR="00E13D3F" w:rsidRDefault="00E13D3F">
            <w:pPr>
              <w:pStyle w:val="TableParagraph"/>
              <w:rPr>
                <w:rFonts w:ascii="Times New Roman"/>
                <w:sz w:val="20"/>
              </w:rPr>
            </w:pPr>
          </w:p>
        </w:tc>
        <w:tc>
          <w:tcPr>
            <w:tcW w:w="1107" w:type="dxa"/>
            <w:tcBorders>
              <w:top w:val="nil"/>
            </w:tcBorders>
            <w:shd w:val="clear" w:color="auto" w:fill="F1F1F1"/>
          </w:tcPr>
          <w:p w14:paraId="7A4C318B" w14:textId="77777777" w:rsidR="00E13D3F" w:rsidRDefault="00E13D3F">
            <w:pPr>
              <w:pStyle w:val="TableParagraph"/>
              <w:rPr>
                <w:rFonts w:ascii="Times New Roman"/>
                <w:sz w:val="20"/>
              </w:rPr>
            </w:pPr>
          </w:p>
        </w:tc>
        <w:tc>
          <w:tcPr>
            <w:tcW w:w="1716" w:type="dxa"/>
            <w:tcBorders>
              <w:top w:val="nil"/>
            </w:tcBorders>
            <w:shd w:val="clear" w:color="auto" w:fill="F1F1F1"/>
          </w:tcPr>
          <w:p w14:paraId="7A4C318C" w14:textId="77777777" w:rsidR="00E13D3F" w:rsidRDefault="00FB2D6A">
            <w:pPr>
              <w:pStyle w:val="TableParagraph"/>
              <w:spacing w:line="203" w:lineRule="exact"/>
              <w:ind w:left="108"/>
              <w:rPr>
                <w:sz w:val="18"/>
              </w:rPr>
            </w:pPr>
            <w:r>
              <w:rPr>
                <w:sz w:val="18"/>
              </w:rPr>
              <w:t>groups</w:t>
            </w:r>
            <w:r>
              <w:rPr>
                <w:spacing w:val="-4"/>
                <w:sz w:val="18"/>
              </w:rPr>
              <w:t xml:space="preserve"> </w:t>
            </w:r>
            <w:r>
              <w:rPr>
                <w:sz w:val="18"/>
              </w:rPr>
              <w:t>(p</w:t>
            </w:r>
            <w:r>
              <w:rPr>
                <w:spacing w:val="-2"/>
                <w:sz w:val="18"/>
              </w:rPr>
              <w:t xml:space="preserve"> </w:t>
            </w:r>
            <w:r>
              <w:rPr>
                <w:sz w:val="18"/>
              </w:rPr>
              <w:t>=0.35)</w:t>
            </w:r>
            <w:r>
              <w:rPr>
                <w:spacing w:val="-3"/>
                <w:sz w:val="18"/>
              </w:rPr>
              <w:t xml:space="preserve"> </w:t>
            </w:r>
            <w:r>
              <w:rPr>
                <w:spacing w:val="-5"/>
                <w:sz w:val="18"/>
              </w:rPr>
              <w:t>^^</w:t>
            </w:r>
          </w:p>
        </w:tc>
      </w:tr>
      <w:tr w:rsidR="00E13D3F" w14:paraId="7A4C3195" w14:textId="77777777">
        <w:trPr>
          <w:trHeight w:val="400"/>
        </w:trPr>
        <w:tc>
          <w:tcPr>
            <w:tcW w:w="1675" w:type="dxa"/>
          </w:tcPr>
          <w:p w14:paraId="7A4C318E" w14:textId="77777777" w:rsidR="00E13D3F" w:rsidRDefault="00FB2D6A">
            <w:pPr>
              <w:pStyle w:val="TableParagraph"/>
              <w:spacing w:before="1"/>
              <w:ind w:left="107"/>
              <w:rPr>
                <w:b/>
                <w:sz w:val="18"/>
              </w:rPr>
            </w:pPr>
            <w:r>
              <w:rPr>
                <w:b/>
                <w:sz w:val="18"/>
              </w:rPr>
              <w:t>Adverse</w:t>
            </w:r>
            <w:r>
              <w:rPr>
                <w:b/>
                <w:spacing w:val="-5"/>
                <w:sz w:val="18"/>
              </w:rPr>
              <w:t xml:space="preserve"> </w:t>
            </w:r>
            <w:r>
              <w:rPr>
                <w:b/>
                <w:spacing w:val="-2"/>
                <w:sz w:val="18"/>
              </w:rPr>
              <w:t>events</w:t>
            </w:r>
          </w:p>
        </w:tc>
        <w:tc>
          <w:tcPr>
            <w:tcW w:w="862" w:type="dxa"/>
          </w:tcPr>
          <w:p w14:paraId="7A4C318F" w14:textId="77777777" w:rsidR="00E13D3F" w:rsidRDefault="00FB2D6A">
            <w:pPr>
              <w:pStyle w:val="TableParagraph"/>
              <w:spacing w:before="1"/>
              <w:ind w:right="27"/>
              <w:jc w:val="center"/>
              <w:rPr>
                <w:sz w:val="18"/>
              </w:rPr>
            </w:pPr>
            <w:r>
              <w:rPr>
                <w:spacing w:val="-10"/>
                <w:sz w:val="18"/>
              </w:rPr>
              <w:t>-</w:t>
            </w:r>
          </w:p>
        </w:tc>
        <w:tc>
          <w:tcPr>
            <w:tcW w:w="1176" w:type="dxa"/>
          </w:tcPr>
          <w:p w14:paraId="7A4C3190" w14:textId="77777777" w:rsidR="00E13D3F" w:rsidRDefault="00FB2D6A">
            <w:pPr>
              <w:pStyle w:val="TableParagraph"/>
              <w:spacing w:before="1"/>
              <w:ind w:left="11" w:right="39"/>
              <w:jc w:val="center"/>
              <w:rPr>
                <w:sz w:val="18"/>
              </w:rPr>
            </w:pPr>
            <w:r>
              <w:rPr>
                <w:spacing w:val="-10"/>
                <w:sz w:val="18"/>
              </w:rPr>
              <w:t>-</w:t>
            </w:r>
          </w:p>
        </w:tc>
        <w:tc>
          <w:tcPr>
            <w:tcW w:w="1282" w:type="dxa"/>
          </w:tcPr>
          <w:p w14:paraId="7A4C3191" w14:textId="77777777" w:rsidR="00E13D3F" w:rsidRDefault="00FB2D6A">
            <w:pPr>
              <w:pStyle w:val="TableParagraph"/>
              <w:spacing w:before="1"/>
              <w:ind w:left="2" w:right="31"/>
              <w:jc w:val="center"/>
              <w:rPr>
                <w:sz w:val="18"/>
              </w:rPr>
            </w:pPr>
            <w:r>
              <w:rPr>
                <w:spacing w:val="-10"/>
                <w:sz w:val="18"/>
              </w:rPr>
              <w:t>-</w:t>
            </w:r>
          </w:p>
        </w:tc>
        <w:tc>
          <w:tcPr>
            <w:tcW w:w="1200" w:type="dxa"/>
          </w:tcPr>
          <w:p w14:paraId="7A4C3192" w14:textId="77777777" w:rsidR="00E13D3F" w:rsidRDefault="00FB2D6A">
            <w:pPr>
              <w:pStyle w:val="TableParagraph"/>
              <w:spacing w:before="1"/>
              <w:ind w:right="28"/>
              <w:jc w:val="center"/>
              <w:rPr>
                <w:sz w:val="18"/>
              </w:rPr>
            </w:pPr>
            <w:r>
              <w:rPr>
                <w:spacing w:val="-10"/>
                <w:sz w:val="18"/>
              </w:rPr>
              <w:t>-</w:t>
            </w:r>
          </w:p>
        </w:tc>
        <w:tc>
          <w:tcPr>
            <w:tcW w:w="1107" w:type="dxa"/>
          </w:tcPr>
          <w:p w14:paraId="7A4C3193" w14:textId="77777777" w:rsidR="00E13D3F" w:rsidRDefault="00FB2D6A">
            <w:pPr>
              <w:pStyle w:val="TableParagraph"/>
              <w:spacing w:before="1"/>
              <w:ind w:right="31"/>
              <w:jc w:val="center"/>
              <w:rPr>
                <w:sz w:val="18"/>
              </w:rPr>
            </w:pPr>
            <w:r>
              <w:rPr>
                <w:spacing w:val="-10"/>
                <w:sz w:val="18"/>
              </w:rPr>
              <w:t>-</w:t>
            </w:r>
          </w:p>
        </w:tc>
        <w:tc>
          <w:tcPr>
            <w:tcW w:w="1716" w:type="dxa"/>
          </w:tcPr>
          <w:p w14:paraId="7A4C3194" w14:textId="77777777" w:rsidR="00E13D3F" w:rsidRDefault="00FB2D6A">
            <w:pPr>
              <w:pStyle w:val="TableParagraph"/>
              <w:spacing w:before="1"/>
              <w:ind w:left="108"/>
              <w:rPr>
                <w:sz w:val="18"/>
              </w:rPr>
            </w:pPr>
            <w:r>
              <w:rPr>
                <w:sz w:val="18"/>
              </w:rPr>
              <w:t>No</w:t>
            </w:r>
            <w:r>
              <w:rPr>
                <w:spacing w:val="-2"/>
                <w:sz w:val="18"/>
              </w:rPr>
              <w:t xml:space="preserve"> </w:t>
            </w:r>
            <w:r>
              <w:rPr>
                <w:sz w:val="18"/>
              </w:rPr>
              <w:t>data</w:t>
            </w:r>
            <w:r>
              <w:rPr>
                <w:spacing w:val="-1"/>
                <w:sz w:val="18"/>
              </w:rPr>
              <w:t xml:space="preserve"> </w:t>
            </w:r>
            <w:r>
              <w:rPr>
                <w:spacing w:val="-2"/>
                <w:sz w:val="18"/>
              </w:rPr>
              <w:t>available</w:t>
            </w:r>
          </w:p>
        </w:tc>
      </w:tr>
      <w:tr w:rsidR="00E13D3F" w14:paraId="7A4C319D" w14:textId="77777777">
        <w:trPr>
          <w:trHeight w:val="234"/>
        </w:trPr>
        <w:tc>
          <w:tcPr>
            <w:tcW w:w="1675" w:type="dxa"/>
            <w:tcBorders>
              <w:bottom w:val="nil"/>
            </w:tcBorders>
            <w:shd w:val="clear" w:color="auto" w:fill="F1F1F1"/>
          </w:tcPr>
          <w:p w14:paraId="7A4C3196" w14:textId="77777777" w:rsidR="00E13D3F" w:rsidRDefault="00FB2D6A">
            <w:pPr>
              <w:pStyle w:val="TableParagraph"/>
              <w:spacing w:before="2" w:line="213" w:lineRule="exact"/>
              <w:ind w:left="107"/>
              <w:rPr>
                <w:b/>
                <w:sz w:val="18"/>
              </w:rPr>
            </w:pPr>
            <w:r>
              <w:rPr>
                <w:b/>
                <w:sz w:val="18"/>
              </w:rPr>
              <w:t>Changes</w:t>
            </w:r>
            <w:r>
              <w:rPr>
                <w:b/>
                <w:spacing w:val="-2"/>
                <w:sz w:val="18"/>
              </w:rPr>
              <w:t xml:space="preserve"> </w:t>
            </w:r>
            <w:r>
              <w:rPr>
                <w:b/>
                <w:sz w:val="18"/>
              </w:rPr>
              <w:t>in</w:t>
            </w:r>
            <w:r>
              <w:rPr>
                <w:b/>
                <w:spacing w:val="-2"/>
                <w:sz w:val="18"/>
              </w:rPr>
              <w:t xml:space="preserve"> </w:t>
            </w:r>
            <w:r>
              <w:rPr>
                <w:b/>
                <w:spacing w:val="-5"/>
                <w:sz w:val="18"/>
              </w:rPr>
              <w:t>SBP</w:t>
            </w:r>
          </w:p>
        </w:tc>
        <w:tc>
          <w:tcPr>
            <w:tcW w:w="862" w:type="dxa"/>
            <w:tcBorders>
              <w:bottom w:val="nil"/>
            </w:tcBorders>
            <w:shd w:val="clear" w:color="auto" w:fill="F1F1F1"/>
          </w:tcPr>
          <w:p w14:paraId="7A4C3197" w14:textId="77777777" w:rsidR="00E13D3F" w:rsidRDefault="00FB2D6A">
            <w:pPr>
              <w:pStyle w:val="TableParagraph"/>
              <w:spacing w:before="2" w:line="213" w:lineRule="exact"/>
              <w:ind w:right="27"/>
              <w:jc w:val="center"/>
              <w:rPr>
                <w:sz w:val="18"/>
              </w:rPr>
            </w:pPr>
            <w:r>
              <w:rPr>
                <w:sz w:val="18"/>
              </w:rPr>
              <w:t xml:space="preserve">3 </w:t>
            </w:r>
            <w:r>
              <w:rPr>
                <w:spacing w:val="-2"/>
                <w:sz w:val="18"/>
              </w:rPr>
              <w:t>(731)</w:t>
            </w:r>
          </w:p>
        </w:tc>
        <w:tc>
          <w:tcPr>
            <w:tcW w:w="1176" w:type="dxa"/>
            <w:tcBorders>
              <w:bottom w:val="nil"/>
            </w:tcBorders>
            <w:shd w:val="clear" w:color="auto" w:fill="F1F1F1"/>
          </w:tcPr>
          <w:p w14:paraId="7A4C3198" w14:textId="77777777" w:rsidR="00E13D3F" w:rsidRDefault="00FB2D6A">
            <w:pPr>
              <w:pStyle w:val="TableParagraph"/>
              <w:spacing w:before="2" w:line="213" w:lineRule="exact"/>
              <w:ind w:left="11" w:right="41"/>
              <w:jc w:val="center"/>
              <w:rPr>
                <w:sz w:val="18"/>
              </w:rPr>
            </w:pPr>
            <w:r>
              <w:rPr>
                <w:spacing w:val="-5"/>
                <w:sz w:val="18"/>
              </w:rPr>
              <w:t>NR</w:t>
            </w:r>
          </w:p>
        </w:tc>
        <w:tc>
          <w:tcPr>
            <w:tcW w:w="1282" w:type="dxa"/>
            <w:tcBorders>
              <w:bottom w:val="nil"/>
            </w:tcBorders>
            <w:shd w:val="clear" w:color="auto" w:fill="F1F1F1"/>
          </w:tcPr>
          <w:p w14:paraId="7A4C3199" w14:textId="77777777" w:rsidR="00E13D3F" w:rsidRDefault="00FB2D6A">
            <w:pPr>
              <w:pStyle w:val="TableParagraph"/>
              <w:spacing w:before="2" w:line="213" w:lineRule="exact"/>
              <w:ind w:left="1" w:right="31"/>
              <w:jc w:val="center"/>
              <w:rPr>
                <w:sz w:val="18"/>
              </w:rPr>
            </w:pPr>
            <w:r>
              <w:rPr>
                <w:spacing w:val="-5"/>
                <w:sz w:val="18"/>
              </w:rPr>
              <w:t>NR</w:t>
            </w:r>
          </w:p>
        </w:tc>
        <w:tc>
          <w:tcPr>
            <w:tcW w:w="1200" w:type="dxa"/>
            <w:tcBorders>
              <w:bottom w:val="nil"/>
            </w:tcBorders>
            <w:shd w:val="clear" w:color="auto" w:fill="F1F1F1"/>
          </w:tcPr>
          <w:p w14:paraId="7A4C319A" w14:textId="77777777" w:rsidR="00E13D3F" w:rsidRDefault="00FB2D6A">
            <w:pPr>
              <w:pStyle w:val="TableParagraph"/>
              <w:spacing w:before="2" w:line="213" w:lineRule="exact"/>
              <w:ind w:right="28"/>
              <w:jc w:val="center"/>
              <w:rPr>
                <w:sz w:val="18"/>
              </w:rPr>
            </w:pPr>
            <w:r>
              <w:rPr>
                <w:sz w:val="18"/>
              </w:rPr>
              <w:t>MD</w:t>
            </w:r>
            <w:r>
              <w:rPr>
                <w:spacing w:val="-2"/>
                <w:sz w:val="18"/>
              </w:rPr>
              <w:t xml:space="preserve"> </w:t>
            </w:r>
            <w:r>
              <w:rPr>
                <w:sz w:val="18"/>
              </w:rPr>
              <w:t>-</w:t>
            </w:r>
            <w:r>
              <w:rPr>
                <w:spacing w:val="-5"/>
                <w:sz w:val="18"/>
              </w:rPr>
              <w:t>4.5</w:t>
            </w:r>
          </w:p>
        </w:tc>
        <w:tc>
          <w:tcPr>
            <w:tcW w:w="1107" w:type="dxa"/>
            <w:tcBorders>
              <w:bottom w:val="nil"/>
            </w:tcBorders>
            <w:shd w:val="clear" w:color="auto" w:fill="F1F1F1"/>
          </w:tcPr>
          <w:p w14:paraId="7A4C319B" w14:textId="77777777" w:rsidR="00E13D3F" w:rsidRDefault="00FB2D6A">
            <w:pPr>
              <w:pStyle w:val="TableParagraph"/>
              <w:spacing w:before="2" w:line="213" w:lineRule="exact"/>
              <w:ind w:left="4" w:right="31"/>
              <w:jc w:val="center"/>
              <w:rPr>
                <w:sz w:val="18"/>
              </w:rPr>
            </w:pPr>
            <w:r>
              <w:rPr>
                <w:spacing w:val="-5"/>
                <w:sz w:val="18"/>
              </w:rPr>
              <w:t>LOW</w:t>
            </w:r>
          </w:p>
        </w:tc>
        <w:tc>
          <w:tcPr>
            <w:tcW w:w="1716" w:type="dxa"/>
            <w:tcBorders>
              <w:bottom w:val="nil"/>
            </w:tcBorders>
            <w:shd w:val="clear" w:color="auto" w:fill="F1F1F1"/>
          </w:tcPr>
          <w:p w14:paraId="7A4C319C" w14:textId="77777777" w:rsidR="00E13D3F" w:rsidRDefault="00FB2D6A">
            <w:pPr>
              <w:pStyle w:val="TableParagraph"/>
              <w:spacing w:before="2" w:line="213" w:lineRule="exact"/>
              <w:ind w:left="108"/>
              <w:rPr>
                <w:sz w:val="18"/>
              </w:rPr>
            </w:pPr>
            <w:r>
              <w:rPr>
                <w:sz w:val="18"/>
              </w:rPr>
              <w:t>Small,</w:t>
            </w:r>
            <w:r>
              <w:rPr>
                <w:spacing w:val="-3"/>
                <w:sz w:val="18"/>
              </w:rPr>
              <w:t xml:space="preserve"> </w:t>
            </w:r>
            <w:r>
              <w:rPr>
                <w:spacing w:val="-2"/>
                <w:sz w:val="18"/>
              </w:rPr>
              <w:t>statistically</w:t>
            </w:r>
          </w:p>
        </w:tc>
      </w:tr>
      <w:tr w:rsidR="00E13D3F" w14:paraId="7A4C31A5" w14:textId="77777777">
        <w:trPr>
          <w:trHeight w:val="326"/>
        </w:trPr>
        <w:tc>
          <w:tcPr>
            <w:tcW w:w="1675" w:type="dxa"/>
            <w:tcBorders>
              <w:top w:val="nil"/>
            </w:tcBorders>
            <w:shd w:val="clear" w:color="auto" w:fill="F1F1F1"/>
          </w:tcPr>
          <w:p w14:paraId="7A4C319E" w14:textId="77777777" w:rsidR="00E13D3F" w:rsidRDefault="00E13D3F">
            <w:pPr>
              <w:pStyle w:val="TableParagraph"/>
              <w:rPr>
                <w:rFonts w:ascii="Times New Roman"/>
                <w:sz w:val="20"/>
              </w:rPr>
            </w:pPr>
          </w:p>
        </w:tc>
        <w:tc>
          <w:tcPr>
            <w:tcW w:w="862" w:type="dxa"/>
            <w:tcBorders>
              <w:top w:val="nil"/>
            </w:tcBorders>
            <w:shd w:val="clear" w:color="auto" w:fill="F1F1F1"/>
          </w:tcPr>
          <w:p w14:paraId="7A4C319F" w14:textId="77777777" w:rsidR="00E13D3F" w:rsidRDefault="00E13D3F">
            <w:pPr>
              <w:pStyle w:val="TableParagraph"/>
              <w:rPr>
                <w:rFonts w:ascii="Times New Roman"/>
                <w:sz w:val="20"/>
              </w:rPr>
            </w:pPr>
          </w:p>
        </w:tc>
        <w:tc>
          <w:tcPr>
            <w:tcW w:w="1176" w:type="dxa"/>
            <w:tcBorders>
              <w:top w:val="nil"/>
            </w:tcBorders>
            <w:shd w:val="clear" w:color="auto" w:fill="F1F1F1"/>
          </w:tcPr>
          <w:p w14:paraId="7A4C31A0" w14:textId="77777777" w:rsidR="00E13D3F" w:rsidRDefault="00E13D3F">
            <w:pPr>
              <w:pStyle w:val="TableParagraph"/>
              <w:rPr>
                <w:rFonts w:ascii="Times New Roman"/>
                <w:sz w:val="20"/>
              </w:rPr>
            </w:pPr>
          </w:p>
        </w:tc>
        <w:tc>
          <w:tcPr>
            <w:tcW w:w="1282" w:type="dxa"/>
            <w:tcBorders>
              <w:top w:val="nil"/>
            </w:tcBorders>
            <w:shd w:val="clear" w:color="auto" w:fill="F1F1F1"/>
          </w:tcPr>
          <w:p w14:paraId="7A4C31A1" w14:textId="77777777" w:rsidR="00E13D3F" w:rsidRDefault="00E13D3F">
            <w:pPr>
              <w:pStyle w:val="TableParagraph"/>
              <w:rPr>
                <w:rFonts w:ascii="Times New Roman"/>
                <w:sz w:val="20"/>
              </w:rPr>
            </w:pPr>
          </w:p>
        </w:tc>
        <w:tc>
          <w:tcPr>
            <w:tcW w:w="1200" w:type="dxa"/>
            <w:tcBorders>
              <w:top w:val="nil"/>
            </w:tcBorders>
            <w:shd w:val="clear" w:color="auto" w:fill="F1F1F1"/>
          </w:tcPr>
          <w:p w14:paraId="7A4C31A2" w14:textId="77777777" w:rsidR="00E13D3F" w:rsidRDefault="00FB2D6A">
            <w:pPr>
              <w:pStyle w:val="TableParagraph"/>
              <w:spacing w:line="180" w:lineRule="exact"/>
              <w:ind w:left="5" w:right="28"/>
              <w:jc w:val="center"/>
              <w:rPr>
                <w:sz w:val="16"/>
              </w:rPr>
            </w:pPr>
            <w:r>
              <w:rPr>
                <w:sz w:val="16"/>
              </w:rPr>
              <w:t>(-7.2 to</w:t>
            </w:r>
            <w:r>
              <w:rPr>
                <w:spacing w:val="-2"/>
                <w:sz w:val="16"/>
              </w:rPr>
              <w:t xml:space="preserve"> </w:t>
            </w:r>
            <w:r>
              <w:rPr>
                <w:sz w:val="16"/>
              </w:rPr>
              <w:t>-</w:t>
            </w:r>
            <w:r>
              <w:rPr>
                <w:spacing w:val="-4"/>
                <w:sz w:val="16"/>
              </w:rPr>
              <w:t>1.5)</w:t>
            </w:r>
          </w:p>
        </w:tc>
        <w:tc>
          <w:tcPr>
            <w:tcW w:w="1107" w:type="dxa"/>
            <w:tcBorders>
              <w:top w:val="nil"/>
            </w:tcBorders>
            <w:shd w:val="clear" w:color="auto" w:fill="F1F1F1"/>
          </w:tcPr>
          <w:p w14:paraId="7A4C31A3" w14:textId="77777777" w:rsidR="00E13D3F" w:rsidRDefault="00E13D3F">
            <w:pPr>
              <w:pStyle w:val="TableParagraph"/>
              <w:rPr>
                <w:rFonts w:ascii="Times New Roman"/>
                <w:sz w:val="20"/>
              </w:rPr>
            </w:pPr>
          </w:p>
        </w:tc>
        <w:tc>
          <w:tcPr>
            <w:tcW w:w="1716" w:type="dxa"/>
            <w:tcBorders>
              <w:top w:val="nil"/>
            </w:tcBorders>
            <w:shd w:val="clear" w:color="auto" w:fill="F1F1F1"/>
          </w:tcPr>
          <w:p w14:paraId="7A4C31A4" w14:textId="77777777" w:rsidR="00E13D3F" w:rsidRDefault="00FB2D6A">
            <w:pPr>
              <w:pStyle w:val="TableParagraph"/>
              <w:spacing w:line="205" w:lineRule="exact"/>
              <w:ind w:left="108"/>
              <w:rPr>
                <w:sz w:val="18"/>
              </w:rPr>
            </w:pPr>
            <w:r>
              <w:rPr>
                <w:sz w:val="18"/>
              </w:rPr>
              <w:t>significant</w:t>
            </w:r>
            <w:r>
              <w:rPr>
                <w:spacing w:val="-6"/>
                <w:sz w:val="18"/>
              </w:rPr>
              <w:t xml:space="preserve"> </w:t>
            </w:r>
            <w:r>
              <w:rPr>
                <w:spacing w:val="-2"/>
                <w:sz w:val="18"/>
              </w:rPr>
              <w:t>change</w:t>
            </w:r>
          </w:p>
        </w:tc>
      </w:tr>
      <w:tr w:rsidR="00E13D3F" w14:paraId="7A4C31AD" w14:textId="77777777">
        <w:trPr>
          <w:trHeight w:val="234"/>
        </w:trPr>
        <w:tc>
          <w:tcPr>
            <w:tcW w:w="1675" w:type="dxa"/>
            <w:tcBorders>
              <w:bottom w:val="nil"/>
            </w:tcBorders>
          </w:tcPr>
          <w:p w14:paraId="7A4C31A6" w14:textId="77777777" w:rsidR="00E13D3F" w:rsidRDefault="00FB2D6A">
            <w:pPr>
              <w:pStyle w:val="TableParagraph"/>
              <w:spacing w:before="1" w:line="213" w:lineRule="exact"/>
              <w:ind w:left="107"/>
              <w:rPr>
                <w:b/>
                <w:sz w:val="18"/>
              </w:rPr>
            </w:pPr>
            <w:r>
              <w:rPr>
                <w:b/>
                <w:sz w:val="18"/>
              </w:rPr>
              <w:t>Changes</w:t>
            </w:r>
            <w:r>
              <w:rPr>
                <w:b/>
                <w:spacing w:val="-2"/>
                <w:sz w:val="18"/>
              </w:rPr>
              <w:t xml:space="preserve"> </w:t>
            </w:r>
            <w:r>
              <w:rPr>
                <w:b/>
                <w:sz w:val="18"/>
              </w:rPr>
              <w:t>in</w:t>
            </w:r>
            <w:r>
              <w:rPr>
                <w:b/>
                <w:spacing w:val="-2"/>
                <w:sz w:val="18"/>
              </w:rPr>
              <w:t xml:space="preserve"> </w:t>
            </w:r>
            <w:r>
              <w:rPr>
                <w:b/>
                <w:spacing w:val="-5"/>
                <w:sz w:val="18"/>
              </w:rPr>
              <w:t>DBP</w:t>
            </w:r>
          </w:p>
        </w:tc>
        <w:tc>
          <w:tcPr>
            <w:tcW w:w="862" w:type="dxa"/>
            <w:tcBorders>
              <w:bottom w:val="nil"/>
            </w:tcBorders>
          </w:tcPr>
          <w:p w14:paraId="7A4C31A7" w14:textId="77777777" w:rsidR="00E13D3F" w:rsidRDefault="00FB2D6A">
            <w:pPr>
              <w:pStyle w:val="TableParagraph"/>
              <w:spacing w:before="1" w:line="213" w:lineRule="exact"/>
              <w:ind w:right="27"/>
              <w:jc w:val="center"/>
              <w:rPr>
                <w:sz w:val="18"/>
              </w:rPr>
            </w:pPr>
            <w:r>
              <w:rPr>
                <w:sz w:val="18"/>
              </w:rPr>
              <w:t xml:space="preserve">3 </w:t>
            </w:r>
            <w:r>
              <w:rPr>
                <w:spacing w:val="-2"/>
                <w:sz w:val="18"/>
              </w:rPr>
              <w:t>(731)</w:t>
            </w:r>
          </w:p>
        </w:tc>
        <w:tc>
          <w:tcPr>
            <w:tcW w:w="1176" w:type="dxa"/>
            <w:tcBorders>
              <w:bottom w:val="nil"/>
            </w:tcBorders>
          </w:tcPr>
          <w:p w14:paraId="7A4C31A8" w14:textId="77777777" w:rsidR="00E13D3F" w:rsidRDefault="00FB2D6A">
            <w:pPr>
              <w:pStyle w:val="TableParagraph"/>
              <w:spacing w:before="1" w:line="213" w:lineRule="exact"/>
              <w:ind w:left="11" w:right="41"/>
              <w:jc w:val="center"/>
              <w:rPr>
                <w:sz w:val="18"/>
              </w:rPr>
            </w:pPr>
            <w:r>
              <w:rPr>
                <w:spacing w:val="-5"/>
                <w:sz w:val="18"/>
              </w:rPr>
              <w:t>NR</w:t>
            </w:r>
          </w:p>
        </w:tc>
        <w:tc>
          <w:tcPr>
            <w:tcW w:w="1282" w:type="dxa"/>
            <w:tcBorders>
              <w:bottom w:val="nil"/>
            </w:tcBorders>
          </w:tcPr>
          <w:p w14:paraId="7A4C31A9" w14:textId="77777777" w:rsidR="00E13D3F" w:rsidRDefault="00FB2D6A">
            <w:pPr>
              <w:pStyle w:val="TableParagraph"/>
              <w:spacing w:before="1" w:line="213" w:lineRule="exact"/>
              <w:ind w:left="1" w:right="31"/>
              <w:jc w:val="center"/>
              <w:rPr>
                <w:sz w:val="18"/>
              </w:rPr>
            </w:pPr>
            <w:r>
              <w:rPr>
                <w:spacing w:val="-5"/>
                <w:sz w:val="18"/>
              </w:rPr>
              <w:t>NR</w:t>
            </w:r>
          </w:p>
        </w:tc>
        <w:tc>
          <w:tcPr>
            <w:tcW w:w="1200" w:type="dxa"/>
            <w:tcBorders>
              <w:bottom w:val="nil"/>
            </w:tcBorders>
          </w:tcPr>
          <w:p w14:paraId="7A4C31AA" w14:textId="77777777" w:rsidR="00E13D3F" w:rsidRDefault="00FB2D6A">
            <w:pPr>
              <w:pStyle w:val="TableParagraph"/>
              <w:spacing w:before="1" w:line="213" w:lineRule="exact"/>
              <w:ind w:right="28"/>
              <w:jc w:val="center"/>
              <w:rPr>
                <w:sz w:val="18"/>
              </w:rPr>
            </w:pPr>
            <w:r>
              <w:rPr>
                <w:sz w:val="18"/>
              </w:rPr>
              <w:t>MD</w:t>
            </w:r>
            <w:r>
              <w:rPr>
                <w:spacing w:val="-2"/>
                <w:sz w:val="18"/>
              </w:rPr>
              <w:t xml:space="preserve"> </w:t>
            </w:r>
            <w:r>
              <w:rPr>
                <w:sz w:val="18"/>
              </w:rPr>
              <w:t>-</w:t>
            </w:r>
            <w:r>
              <w:rPr>
                <w:spacing w:val="-5"/>
                <w:sz w:val="18"/>
              </w:rPr>
              <w:t>3.2</w:t>
            </w:r>
          </w:p>
        </w:tc>
        <w:tc>
          <w:tcPr>
            <w:tcW w:w="1107" w:type="dxa"/>
            <w:tcBorders>
              <w:bottom w:val="nil"/>
            </w:tcBorders>
          </w:tcPr>
          <w:p w14:paraId="7A4C31AB" w14:textId="77777777" w:rsidR="00E13D3F" w:rsidRDefault="00FB2D6A">
            <w:pPr>
              <w:pStyle w:val="TableParagraph"/>
              <w:spacing w:before="1" w:line="213" w:lineRule="exact"/>
              <w:ind w:left="4" w:right="31"/>
              <w:jc w:val="center"/>
              <w:rPr>
                <w:sz w:val="18"/>
              </w:rPr>
            </w:pPr>
            <w:r>
              <w:rPr>
                <w:spacing w:val="-5"/>
                <w:sz w:val="18"/>
              </w:rPr>
              <w:t>LOW</w:t>
            </w:r>
          </w:p>
        </w:tc>
        <w:tc>
          <w:tcPr>
            <w:tcW w:w="1716" w:type="dxa"/>
            <w:tcBorders>
              <w:bottom w:val="nil"/>
            </w:tcBorders>
          </w:tcPr>
          <w:p w14:paraId="7A4C31AC" w14:textId="77777777" w:rsidR="00E13D3F" w:rsidRDefault="00FB2D6A">
            <w:pPr>
              <w:pStyle w:val="TableParagraph"/>
              <w:spacing w:before="1" w:line="213" w:lineRule="exact"/>
              <w:ind w:left="108"/>
              <w:rPr>
                <w:sz w:val="18"/>
              </w:rPr>
            </w:pPr>
            <w:r>
              <w:rPr>
                <w:sz w:val="18"/>
              </w:rPr>
              <w:t>Small,</w:t>
            </w:r>
            <w:r>
              <w:rPr>
                <w:spacing w:val="-3"/>
                <w:sz w:val="18"/>
              </w:rPr>
              <w:t xml:space="preserve"> </w:t>
            </w:r>
            <w:r>
              <w:rPr>
                <w:spacing w:val="-2"/>
                <w:sz w:val="18"/>
              </w:rPr>
              <w:t>statistically</w:t>
            </w:r>
          </w:p>
        </w:tc>
      </w:tr>
      <w:tr w:rsidR="00E13D3F" w14:paraId="7A4C31B5" w14:textId="77777777">
        <w:trPr>
          <w:trHeight w:val="302"/>
        </w:trPr>
        <w:tc>
          <w:tcPr>
            <w:tcW w:w="1675" w:type="dxa"/>
            <w:tcBorders>
              <w:top w:val="nil"/>
            </w:tcBorders>
          </w:tcPr>
          <w:p w14:paraId="7A4C31AE" w14:textId="77777777" w:rsidR="00E13D3F" w:rsidRDefault="00E13D3F">
            <w:pPr>
              <w:pStyle w:val="TableParagraph"/>
              <w:rPr>
                <w:rFonts w:ascii="Times New Roman"/>
                <w:sz w:val="20"/>
              </w:rPr>
            </w:pPr>
          </w:p>
        </w:tc>
        <w:tc>
          <w:tcPr>
            <w:tcW w:w="862" w:type="dxa"/>
            <w:tcBorders>
              <w:top w:val="nil"/>
            </w:tcBorders>
          </w:tcPr>
          <w:p w14:paraId="7A4C31AF" w14:textId="77777777" w:rsidR="00E13D3F" w:rsidRDefault="00E13D3F">
            <w:pPr>
              <w:pStyle w:val="TableParagraph"/>
              <w:rPr>
                <w:rFonts w:ascii="Times New Roman"/>
                <w:sz w:val="20"/>
              </w:rPr>
            </w:pPr>
          </w:p>
        </w:tc>
        <w:tc>
          <w:tcPr>
            <w:tcW w:w="1176" w:type="dxa"/>
            <w:tcBorders>
              <w:top w:val="nil"/>
            </w:tcBorders>
          </w:tcPr>
          <w:p w14:paraId="7A4C31B0" w14:textId="77777777" w:rsidR="00E13D3F" w:rsidRDefault="00E13D3F">
            <w:pPr>
              <w:pStyle w:val="TableParagraph"/>
              <w:rPr>
                <w:rFonts w:ascii="Times New Roman"/>
                <w:sz w:val="20"/>
              </w:rPr>
            </w:pPr>
          </w:p>
        </w:tc>
        <w:tc>
          <w:tcPr>
            <w:tcW w:w="1282" w:type="dxa"/>
            <w:tcBorders>
              <w:top w:val="nil"/>
            </w:tcBorders>
          </w:tcPr>
          <w:p w14:paraId="7A4C31B1" w14:textId="77777777" w:rsidR="00E13D3F" w:rsidRDefault="00E13D3F">
            <w:pPr>
              <w:pStyle w:val="TableParagraph"/>
              <w:rPr>
                <w:rFonts w:ascii="Times New Roman"/>
                <w:sz w:val="20"/>
              </w:rPr>
            </w:pPr>
          </w:p>
        </w:tc>
        <w:tc>
          <w:tcPr>
            <w:tcW w:w="1200" w:type="dxa"/>
            <w:tcBorders>
              <w:top w:val="nil"/>
            </w:tcBorders>
          </w:tcPr>
          <w:p w14:paraId="7A4C31B2" w14:textId="77777777" w:rsidR="00E13D3F" w:rsidRDefault="00FB2D6A">
            <w:pPr>
              <w:pStyle w:val="TableParagraph"/>
              <w:spacing w:line="180" w:lineRule="exact"/>
              <w:ind w:left="5" w:right="28"/>
              <w:jc w:val="center"/>
              <w:rPr>
                <w:sz w:val="16"/>
              </w:rPr>
            </w:pPr>
            <w:r>
              <w:rPr>
                <w:sz w:val="16"/>
              </w:rPr>
              <w:t>(-4.8 to</w:t>
            </w:r>
            <w:r>
              <w:rPr>
                <w:spacing w:val="-2"/>
                <w:sz w:val="16"/>
              </w:rPr>
              <w:t xml:space="preserve"> </w:t>
            </w:r>
            <w:r>
              <w:rPr>
                <w:sz w:val="16"/>
              </w:rPr>
              <w:t>-</w:t>
            </w:r>
            <w:r>
              <w:rPr>
                <w:spacing w:val="-4"/>
                <w:sz w:val="16"/>
              </w:rPr>
              <w:t>1.5)</w:t>
            </w:r>
          </w:p>
        </w:tc>
        <w:tc>
          <w:tcPr>
            <w:tcW w:w="1107" w:type="dxa"/>
            <w:tcBorders>
              <w:top w:val="nil"/>
            </w:tcBorders>
          </w:tcPr>
          <w:p w14:paraId="7A4C31B3" w14:textId="77777777" w:rsidR="00E13D3F" w:rsidRDefault="00E13D3F">
            <w:pPr>
              <w:pStyle w:val="TableParagraph"/>
              <w:rPr>
                <w:rFonts w:ascii="Times New Roman"/>
                <w:sz w:val="20"/>
              </w:rPr>
            </w:pPr>
          </w:p>
        </w:tc>
        <w:tc>
          <w:tcPr>
            <w:tcW w:w="1716" w:type="dxa"/>
            <w:tcBorders>
              <w:top w:val="nil"/>
            </w:tcBorders>
          </w:tcPr>
          <w:p w14:paraId="7A4C31B4" w14:textId="77777777" w:rsidR="00E13D3F" w:rsidRDefault="00FB2D6A">
            <w:pPr>
              <w:pStyle w:val="TableParagraph"/>
              <w:spacing w:line="205" w:lineRule="exact"/>
              <w:ind w:left="108"/>
              <w:rPr>
                <w:sz w:val="18"/>
              </w:rPr>
            </w:pPr>
            <w:r>
              <w:rPr>
                <w:sz w:val="18"/>
              </w:rPr>
              <w:t>significant</w:t>
            </w:r>
            <w:r>
              <w:rPr>
                <w:spacing w:val="-6"/>
                <w:sz w:val="18"/>
              </w:rPr>
              <w:t xml:space="preserve"> </w:t>
            </w:r>
            <w:r>
              <w:rPr>
                <w:spacing w:val="-2"/>
                <w:sz w:val="18"/>
              </w:rPr>
              <w:t>change</w:t>
            </w:r>
          </w:p>
        </w:tc>
      </w:tr>
      <w:tr w:rsidR="00E13D3F" w14:paraId="7A4C31BD" w14:textId="77777777">
        <w:trPr>
          <w:trHeight w:val="234"/>
        </w:trPr>
        <w:tc>
          <w:tcPr>
            <w:tcW w:w="1675" w:type="dxa"/>
            <w:tcBorders>
              <w:bottom w:val="nil"/>
            </w:tcBorders>
            <w:shd w:val="clear" w:color="auto" w:fill="F1F1F1"/>
          </w:tcPr>
          <w:p w14:paraId="7A4C31B6" w14:textId="77777777" w:rsidR="00E13D3F" w:rsidRDefault="00FB2D6A">
            <w:pPr>
              <w:pStyle w:val="TableParagraph"/>
              <w:spacing w:before="1" w:line="213" w:lineRule="exact"/>
              <w:ind w:left="107"/>
              <w:rPr>
                <w:b/>
                <w:sz w:val="18"/>
              </w:rPr>
            </w:pPr>
            <w:r>
              <w:rPr>
                <w:b/>
                <w:sz w:val="18"/>
              </w:rPr>
              <w:t>Changes</w:t>
            </w:r>
            <w:r>
              <w:rPr>
                <w:b/>
                <w:spacing w:val="-2"/>
                <w:sz w:val="18"/>
              </w:rPr>
              <w:t xml:space="preserve"> </w:t>
            </w:r>
            <w:r>
              <w:rPr>
                <w:b/>
                <w:sz w:val="18"/>
              </w:rPr>
              <w:t>in</w:t>
            </w:r>
            <w:r>
              <w:rPr>
                <w:b/>
                <w:spacing w:val="-2"/>
                <w:sz w:val="18"/>
              </w:rPr>
              <w:t xml:space="preserve"> </w:t>
            </w:r>
            <w:r>
              <w:rPr>
                <w:b/>
                <w:spacing w:val="-4"/>
                <w:sz w:val="18"/>
              </w:rPr>
              <w:t>body</w:t>
            </w:r>
          </w:p>
        </w:tc>
        <w:tc>
          <w:tcPr>
            <w:tcW w:w="862" w:type="dxa"/>
            <w:tcBorders>
              <w:bottom w:val="nil"/>
            </w:tcBorders>
            <w:shd w:val="clear" w:color="auto" w:fill="F1F1F1"/>
          </w:tcPr>
          <w:p w14:paraId="7A4C31B7" w14:textId="77777777" w:rsidR="00E13D3F" w:rsidRDefault="00FB2D6A">
            <w:pPr>
              <w:pStyle w:val="TableParagraph"/>
              <w:spacing w:before="1" w:line="213" w:lineRule="exact"/>
              <w:ind w:right="27"/>
              <w:jc w:val="center"/>
              <w:rPr>
                <w:sz w:val="18"/>
              </w:rPr>
            </w:pPr>
            <w:r>
              <w:rPr>
                <w:sz w:val="18"/>
              </w:rPr>
              <w:t xml:space="preserve">5 </w:t>
            </w:r>
            <w:r>
              <w:rPr>
                <w:spacing w:val="-2"/>
                <w:sz w:val="18"/>
              </w:rPr>
              <w:t>(880)</w:t>
            </w:r>
          </w:p>
        </w:tc>
        <w:tc>
          <w:tcPr>
            <w:tcW w:w="1176" w:type="dxa"/>
            <w:tcBorders>
              <w:bottom w:val="nil"/>
            </w:tcBorders>
            <w:shd w:val="clear" w:color="auto" w:fill="F1F1F1"/>
          </w:tcPr>
          <w:p w14:paraId="7A4C31B8" w14:textId="77777777" w:rsidR="00E13D3F" w:rsidRDefault="00FB2D6A">
            <w:pPr>
              <w:pStyle w:val="TableParagraph"/>
              <w:spacing w:before="1" w:line="213" w:lineRule="exact"/>
              <w:ind w:left="11" w:right="41"/>
              <w:jc w:val="center"/>
              <w:rPr>
                <w:sz w:val="18"/>
              </w:rPr>
            </w:pPr>
            <w:r>
              <w:rPr>
                <w:spacing w:val="-5"/>
                <w:sz w:val="18"/>
              </w:rPr>
              <w:t>NR</w:t>
            </w:r>
          </w:p>
        </w:tc>
        <w:tc>
          <w:tcPr>
            <w:tcW w:w="1282" w:type="dxa"/>
            <w:tcBorders>
              <w:bottom w:val="nil"/>
            </w:tcBorders>
            <w:shd w:val="clear" w:color="auto" w:fill="F1F1F1"/>
          </w:tcPr>
          <w:p w14:paraId="7A4C31B9" w14:textId="77777777" w:rsidR="00E13D3F" w:rsidRDefault="00FB2D6A">
            <w:pPr>
              <w:pStyle w:val="TableParagraph"/>
              <w:spacing w:before="1" w:line="213" w:lineRule="exact"/>
              <w:ind w:left="1" w:right="31"/>
              <w:jc w:val="center"/>
              <w:rPr>
                <w:sz w:val="18"/>
              </w:rPr>
            </w:pPr>
            <w:r>
              <w:rPr>
                <w:spacing w:val="-5"/>
                <w:sz w:val="18"/>
              </w:rPr>
              <w:t>NR</w:t>
            </w:r>
          </w:p>
        </w:tc>
        <w:tc>
          <w:tcPr>
            <w:tcW w:w="1200" w:type="dxa"/>
            <w:tcBorders>
              <w:bottom w:val="nil"/>
            </w:tcBorders>
            <w:shd w:val="clear" w:color="auto" w:fill="F1F1F1"/>
          </w:tcPr>
          <w:p w14:paraId="7A4C31BA" w14:textId="77777777" w:rsidR="00E13D3F" w:rsidRDefault="00FB2D6A">
            <w:pPr>
              <w:pStyle w:val="TableParagraph"/>
              <w:spacing w:before="1" w:line="213" w:lineRule="exact"/>
              <w:ind w:right="28"/>
              <w:jc w:val="center"/>
              <w:rPr>
                <w:sz w:val="18"/>
              </w:rPr>
            </w:pPr>
            <w:r>
              <w:rPr>
                <w:sz w:val="18"/>
              </w:rPr>
              <w:t>MD</w:t>
            </w:r>
            <w:r>
              <w:rPr>
                <w:spacing w:val="-2"/>
                <w:sz w:val="18"/>
              </w:rPr>
              <w:t xml:space="preserve"> </w:t>
            </w:r>
            <w:r>
              <w:rPr>
                <w:sz w:val="18"/>
              </w:rPr>
              <w:t>-</w:t>
            </w:r>
            <w:r>
              <w:rPr>
                <w:spacing w:val="-5"/>
                <w:sz w:val="18"/>
              </w:rPr>
              <w:t>4.0</w:t>
            </w:r>
          </w:p>
        </w:tc>
        <w:tc>
          <w:tcPr>
            <w:tcW w:w="1107" w:type="dxa"/>
            <w:tcBorders>
              <w:bottom w:val="nil"/>
            </w:tcBorders>
            <w:shd w:val="clear" w:color="auto" w:fill="F1F1F1"/>
          </w:tcPr>
          <w:p w14:paraId="7A4C31BB" w14:textId="77777777" w:rsidR="00E13D3F" w:rsidRDefault="00FB2D6A">
            <w:pPr>
              <w:pStyle w:val="TableParagraph"/>
              <w:spacing w:before="1" w:line="213" w:lineRule="exact"/>
              <w:ind w:left="3" w:right="31"/>
              <w:jc w:val="center"/>
              <w:rPr>
                <w:sz w:val="18"/>
              </w:rPr>
            </w:pPr>
            <w:r>
              <w:rPr>
                <w:spacing w:val="-2"/>
                <w:sz w:val="18"/>
              </w:rPr>
              <w:t>MODERATE</w:t>
            </w:r>
          </w:p>
        </w:tc>
        <w:tc>
          <w:tcPr>
            <w:tcW w:w="1716" w:type="dxa"/>
            <w:tcBorders>
              <w:bottom w:val="nil"/>
            </w:tcBorders>
            <w:shd w:val="clear" w:color="auto" w:fill="F1F1F1"/>
          </w:tcPr>
          <w:p w14:paraId="7A4C31BC" w14:textId="77777777" w:rsidR="00E13D3F" w:rsidRDefault="00FB2D6A">
            <w:pPr>
              <w:pStyle w:val="TableParagraph"/>
              <w:spacing w:before="1" w:line="213" w:lineRule="exact"/>
              <w:ind w:left="108"/>
              <w:rPr>
                <w:sz w:val="18"/>
              </w:rPr>
            </w:pPr>
            <w:r>
              <w:rPr>
                <w:sz w:val="18"/>
              </w:rPr>
              <w:t>Small,</w:t>
            </w:r>
            <w:r>
              <w:rPr>
                <w:spacing w:val="-3"/>
                <w:sz w:val="18"/>
              </w:rPr>
              <w:t xml:space="preserve"> </w:t>
            </w:r>
            <w:r>
              <w:rPr>
                <w:spacing w:val="-2"/>
                <w:sz w:val="18"/>
              </w:rPr>
              <w:t>statistically</w:t>
            </w:r>
          </w:p>
        </w:tc>
      </w:tr>
      <w:tr w:rsidR="00E13D3F" w14:paraId="7A4C31C5" w14:textId="77777777">
        <w:trPr>
          <w:trHeight w:val="283"/>
        </w:trPr>
        <w:tc>
          <w:tcPr>
            <w:tcW w:w="1675" w:type="dxa"/>
            <w:tcBorders>
              <w:top w:val="nil"/>
            </w:tcBorders>
            <w:shd w:val="clear" w:color="auto" w:fill="F1F1F1"/>
          </w:tcPr>
          <w:p w14:paraId="7A4C31BE" w14:textId="77777777" w:rsidR="00E13D3F" w:rsidRDefault="00FB2D6A">
            <w:pPr>
              <w:pStyle w:val="TableParagraph"/>
              <w:spacing w:line="207" w:lineRule="exact"/>
              <w:ind w:left="107"/>
              <w:rPr>
                <w:b/>
                <w:sz w:val="18"/>
              </w:rPr>
            </w:pPr>
            <w:r>
              <w:rPr>
                <w:b/>
                <w:spacing w:val="-2"/>
                <w:sz w:val="18"/>
              </w:rPr>
              <w:t>weight</w:t>
            </w:r>
          </w:p>
        </w:tc>
        <w:tc>
          <w:tcPr>
            <w:tcW w:w="862" w:type="dxa"/>
            <w:tcBorders>
              <w:top w:val="nil"/>
            </w:tcBorders>
            <w:shd w:val="clear" w:color="auto" w:fill="F1F1F1"/>
          </w:tcPr>
          <w:p w14:paraId="7A4C31BF" w14:textId="77777777" w:rsidR="00E13D3F" w:rsidRDefault="00E13D3F">
            <w:pPr>
              <w:pStyle w:val="TableParagraph"/>
              <w:rPr>
                <w:rFonts w:ascii="Times New Roman"/>
                <w:sz w:val="20"/>
              </w:rPr>
            </w:pPr>
          </w:p>
        </w:tc>
        <w:tc>
          <w:tcPr>
            <w:tcW w:w="1176" w:type="dxa"/>
            <w:tcBorders>
              <w:top w:val="nil"/>
            </w:tcBorders>
            <w:shd w:val="clear" w:color="auto" w:fill="F1F1F1"/>
          </w:tcPr>
          <w:p w14:paraId="7A4C31C0" w14:textId="77777777" w:rsidR="00E13D3F" w:rsidRDefault="00E13D3F">
            <w:pPr>
              <w:pStyle w:val="TableParagraph"/>
              <w:rPr>
                <w:rFonts w:ascii="Times New Roman"/>
                <w:sz w:val="20"/>
              </w:rPr>
            </w:pPr>
          </w:p>
        </w:tc>
        <w:tc>
          <w:tcPr>
            <w:tcW w:w="1282" w:type="dxa"/>
            <w:tcBorders>
              <w:top w:val="nil"/>
            </w:tcBorders>
            <w:shd w:val="clear" w:color="auto" w:fill="F1F1F1"/>
          </w:tcPr>
          <w:p w14:paraId="7A4C31C1" w14:textId="77777777" w:rsidR="00E13D3F" w:rsidRDefault="00E13D3F">
            <w:pPr>
              <w:pStyle w:val="TableParagraph"/>
              <w:rPr>
                <w:rFonts w:ascii="Times New Roman"/>
                <w:sz w:val="20"/>
              </w:rPr>
            </w:pPr>
          </w:p>
        </w:tc>
        <w:tc>
          <w:tcPr>
            <w:tcW w:w="1200" w:type="dxa"/>
            <w:tcBorders>
              <w:top w:val="nil"/>
            </w:tcBorders>
            <w:shd w:val="clear" w:color="auto" w:fill="F1F1F1"/>
          </w:tcPr>
          <w:p w14:paraId="7A4C31C2" w14:textId="77777777" w:rsidR="00E13D3F" w:rsidRDefault="00FB2D6A">
            <w:pPr>
              <w:pStyle w:val="TableParagraph"/>
              <w:spacing w:line="180" w:lineRule="exact"/>
              <w:ind w:left="5" w:right="28"/>
              <w:jc w:val="center"/>
              <w:rPr>
                <w:sz w:val="16"/>
              </w:rPr>
            </w:pPr>
            <w:r>
              <w:rPr>
                <w:sz w:val="16"/>
              </w:rPr>
              <w:t>(-4.8 to</w:t>
            </w:r>
            <w:r>
              <w:rPr>
                <w:spacing w:val="-2"/>
                <w:sz w:val="16"/>
              </w:rPr>
              <w:t xml:space="preserve"> </w:t>
            </w:r>
            <w:r>
              <w:rPr>
                <w:sz w:val="16"/>
              </w:rPr>
              <w:t>-</w:t>
            </w:r>
            <w:r>
              <w:rPr>
                <w:spacing w:val="-4"/>
                <w:sz w:val="16"/>
              </w:rPr>
              <w:t>3.2)</w:t>
            </w:r>
          </w:p>
        </w:tc>
        <w:tc>
          <w:tcPr>
            <w:tcW w:w="1107" w:type="dxa"/>
            <w:tcBorders>
              <w:top w:val="nil"/>
            </w:tcBorders>
            <w:shd w:val="clear" w:color="auto" w:fill="F1F1F1"/>
          </w:tcPr>
          <w:p w14:paraId="7A4C31C3" w14:textId="77777777" w:rsidR="00E13D3F" w:rsidRDefault="00E13D3F">
            <w:pPr>
              <w:pStyle w:val="TableParagraph"/>
              <w:rPr>
                <w:rFonts w:ascii="Times New Roman"/>
                <w:sz w:val="20"/>
              </w:rPr>
            </w:pPr>
          </w:p>
        </w:tc>
        <w:tc>
          <w:tcPr>
            <w:tcW w:w="1716" w:type="dxa"/>
            <w:tcBorders>
              <w:top w:val="nil"/>
            </w:tcBorders>
            <w:shd w:val="clear" w:color="auto" w:fill="F1F1F1"/>
          </w:tcPr>
          <w:p w14:paraId="7A4C31C4" w14:textId="77777777" w:rsidR="00E13D3F" w:rsidRDefault="00FB2D6A">
            <w:pPr>
              <w:pStyle w:val="TableParagraph"/>
              <w:spacing w:line="207" w:lineRule="exact"/>
              <w:ind w:left="108"/>
              <w:rPr>
                <w:sz w:val="18"/>
              </w:rPr>
            </w:pPr>
            <w:r>
              <w:rPr>
                <w:sz w:val="18"/>
              </w:rPr>
              <w:t>significant</w:t>
            </w:r>
            <w:r>
              <w:rPr>
                <w:spacing w:val="-6"/>
                <w:sz w:val="18"/>
              </w:rPr>
              <w:t xml:space="preserve"> </w:t>
            </w:r>
            <w:r>
              <w:rPr>
                <w:spacing w:val="-2"/>
                <w:sz w:val="18"/>
              </w:rPr>
              <w:t>change</w:t>
            </w:r>
          </w:p>
        </w:tc>
      </w:tr>
    </w:tbl>
    <w:p w14:paraId="7A4C31C6" w14:textId="77777777" w:rsidR="00E13D3F" w:rsidRDefault="00FB2D6A">
      <w:pPr>
        <w:spacing w:before="7"/>
        <w:ind w:left="1440" w:right="1137"/>
        <w:rPr>
          <w:sz w:val="18"/>
        </w:rPr>
      </w:pPr>
      <w:r>
        <w:rPr>
          <w:sz w:val="18"/>
        </w:rPr>
        <w:t>*Measured as a combined endpoint of necessity of reinstating anti-hypertensive therapy and severe cardiovascular complications</w:t>
      </w:r>
      <w:r>
        <w:rPr>
          <w:spacing w:val="-4"/>
          <w:sz w:val="18"/>
        </w:rPr>
        <w:t xml:space="preserve"> </w:t>
      </w:r>
      <w:r>
        <w:rPr>
          <w:sz w:val="18"/>
        </w:rPr>
        <w:t>at</w:t>
      </w:r>
      <w:r>
        <w:rPr>
          <w:spacing w:val="-3"/>
          <w:sz w:val="18"/>
        </w:rPr>
        <w:t xml:space="preserve"> </w:t>
      </w:r>
      <w:r>
        <w:rPr>
          <w:sz w:val="18"/>
        </w:rPr>
        <w:t>30</w:t>
      </w:r>
      <w:r>
        <w:rPr>
          <w:spacing w:val="-3"/>
          <w:sz w:val="18"/>
        </w:rPr>
        <w:t xml:space="preserve"> </w:t>
      </w:r>
      <w:r>
        <w:rPr>
          <w:sz w:val="18"/>
        </w:rPr>
        <w:t>months;</w:t>
      </w:r>
      <w:r>
        <w:rPr>
          <w:spacing w:val="-3"/>
          <w:sz w:val="18"/>
        </w:rPr>
        <w:t xml:space="preserve"> </w:t>
      </w:r>
      <w:r>
        <w:rPr>
          <w:sz w:val="18"/>
        </w:rPr>
        <w:t>**Downgraded</w:t>
      </w:r>
      <w:r>
        <w:rPr>
          <w:spacing w:val="-4"/>
          <w:sz w:val="18"/>
        </w:rPr>
        <w:t xml:space="preserve"> </w:t>
      </w:r>
      <w:r>
        <w:rPr>
          <w:sz w:val="18"/>
        </w:rPr>
        <w:t>for</w:t>
      </w:r>
      <w:r>
        <w:rPr>
          <w:spacing w:val="-3"/>
          <w:sz w:val="18"/>
        </w:rPr>
        <w:t xml:space="preserve"> </w:t>
      </w:r>
      <w:r>
        <w:rPr>
          <w:sz w:val="18"/>
        </w:rPr>
        <w:t>risk</w:t>
      </w:r>
      <w:r>
        <w:rPr>
          <w:spacing w:val="-3"/>
          <w:sz w:val="18"/>
        </w:rPr>
        <w:t xml:space="preserve"> </w:t>
      </w:r>
      <w:r>
        <w:rPr>
          <w:sz w:val="18"/>
        </w:rPr>
        <w:t>of</w:t>
      </w:r>
      <w:r>
        <w:rPr>
          <w:spacing w:val="-4"/>
          <w:sz w:val="18"/>
        </w:rPr>
        <w:t xml:space="preserve"> </w:t>
      </w:r>
      <w:r>
        <w:rPr>
          <w:sz w:val="18"/>
        </w:rPr>
        <w:t>bias</w:t>
      </w:r>
      <w:r>
        <w:rPr>
          <w:spacing w:val="-4"/>
          <w:sz w:val="18"/>
        </w:rPr>
        <w:t xml:space="preserve"> </w:t>
      </w:r>
      <w:r>
        <w:rPr>
          <w:sz w:val="18"/>
        </w:rPr>
        <w:t>and</w:t>
      </w:r>
      <w:r>
        <w:rPr>
          <w:spacing w:val="-2"/>
          <w:sz w:val="18"/>
        </w:rPr>
        <w:t xml:space="preserve"> </w:t>
      </w:r>
      <w:r>
        <w:rPr>
          <w:sz w:val="18"/>
        </w:rPr>
        <w:t>imprecision;</w:t>
      </w:r>
      <w:r>
        <w:rPr>
          <w:spacing w:val="-1"/>
          <w:sz w:val="18"/>
        </w:rPr>
        <w:t xml:space="preserve"> </w:t>
      </w:r>
      <w:r>
        <w:rPr>
          <w:sz w:val="18"/>
        </w:rPr>
        <w:t>^Comparator</w:t>
      </w:r>
      <w:r>
        <w:rPr>
          <w:spacing w:val="-3"/>
          <w:sz w:val="18"/>
        </w:rPr>
        <w:t xml:space="preserve"> </w:t>
      </w:r>
      <w:r>
        <w:rPr>
          <w:sz w:val="18"/>
        </w:rPr>
        <w:t>reported</w:t>
      </w:r>
      <w:r>
        <w:rPr>
          <w:spacing w:val="-2"/>
          <w:sz w:val="18"/>
        </w:rPr>
        <w:t xml:space="preserve"> </w:t>
      </w:r>
      <w:r>
        <w:rPr>
          <w:sz w:val="18"/>
        </w:rPr>
        <w:t>is</w:t>
      </w:r>
      <w:r>
        <w:rPr>
          <w:spacing w:val="-5"/>
          <w:sz w:val="18"/>
        </w:rPr>
        <w:t xml:space="preserve"> </w:t>
      </w:r>
      <w:r>
        <w:rPr>
          <w:sz w:val="18"/>
        </w:rPr>
        <w:t>usual</w:t>
      </w:r>
      <w:r>
        <w:rPr>
          <w:spacing w:val="-3"/>
          <w:sz w:val="18"/>
        </w:rPr>
        <w:t xml:space="preserve"> </w:t>
      </w:r>
      <w:r>
        <w:rPr>
          <w:sz w:val="18"/>
        </w:rPr>
        <w:t>care</w:t>
      </w:r>
      <w:r>
        <w:rPr>
          <w:spacing w:val="-4"/>
          <w:sz w:val="18"/>
        </w:rPr>
        <w:t xml:space="preserve"> </w:t>
      </w:r>
      <w:r>
        <w:rPr>
          <w:sz w:val="18"/>
        </w:rPr>
        <w:t>group.</w:t>
      </w:r>
    </w:p>
    <w:p w14:paraId="7A4C31C7" w14:textId="77777777" w:rsidR="00E13D3F" w:rsidRDefault="00FB2D6A">
      <w:pPr>
        <w:ind w:left="1440" w:right="1519"/>
        <w:rPr>
          <w:sz w:val="18"/>
        </w:rPr>
      </w:pPr>
      <w:r>
        <w:rPr>
          <w:sz w:val="18"/>
        </w:rPr>
        <w:t>^^Other interventions in this study include weight loss, weight loss + sodium, sodium, and usual care. No statistically significant</w:t>
      </w:r>
      <w:r>
        <w:rPr>
          <w:spacing w:val="-2"/>
          <w:sz w:val="18"/>
        </w:rPr>
        <w:t xml:space="preserve"> </w:t>
      </w:r>
      <w:r>
        <w:rPr>
          <w:sz w:val="18"/>
        </w:rPr>
        <w:t>difference</w:t>
      </w:r>
      <w:r>
        <w:rPr>
          <w:spacing w:val="-3"/>
          <w:sz w:val="18"/>
        </w:rPr>
        <w:t xml:space="preserve"> </w:t>
      </w:r>
      <w:r>
        <w:rPr>
          <w:sz w:val="18"/>
        </w:rPr>
        <w:t>when</w:t>
      </w:r>
      <w:r>
        <w:rPr>
          <w:spacing w:val="-3"/>
          <w:sz w:val="18"/>
        </w:rPr>
        <w:t xml:space="preserve"> </w:t>
      </w:r>
      <w:r>
        <w:rPr>
          <w:sz w:val="18"/>
        </w:rPr>
        <w:t>comparing</w:t>
      </w:r>
      <w:r>
        <w:rPr>
          <w:spacing w:val="-3"/>
          <w:sz w:val="18"/>
        </w:rPr>
        <w:t xml:space="preserve"> </w:t>
      </w:r>
      <w:r>
        <w:rPr>
          <w:sz w:val="18"/>
        </w:rPr>
        <w:t>interventions</w:t>
      </w:r>
      <w:r>
        <w:rPr>
          <w:spacing w:val="-1"/>
          <w:sz w:val="18"/>
        </w:rPr>
        <w:t xml:space="preserve"> </w:t>
      </w:r>
      <w:r>
        <w:rPr>
          <w:sz w:val="18"/>
        </w:rPr>
        <w:t>including</w:t>
      </w:r>
      <w:r>
        <w:rPr>
          <w:spacing w:val="-3"/>
          <w:sz w:val="18"/>
        </w:rPr>
        <w:t xml:space="preserve"> </w:t>
      </w:r>
      <w:r>
        <w:rPr>
          <w:sz w:val="18"/>
        </w:rPr>
        <w:t>or</w:t>
      </w:r>
      <w:r>
        <w:rPr>
          <w:spacing w:val="-2"/>
          <w:sz w:val="18"/>
        </w:rPr>
        <w:t xml:space="preserve"> </w:t>
      </w:r>
      <w:r>
        <w:rPr>
          <w:sz w:val="18"/>
        </w:rPr>
        <w:t>excluding</w:t>
      </w:r>
      <w:r>
        <w:rPr>
          <w:spacing w:val="-3"/>
          <w:sz w:val="18"/>
        </w:rPr>
        <w:t xml:space="preserve"> </w:t>
      </w:r>
      <w:r>
        <w:rPr>
          <w:sz w:val="18"/>
        </w:rPr>
        <w:t>a</w:t>
      </w:r>
      <w:r>
        <w:rPr>
          <w:spacing w:val="-3"/>
          <w:sz w:val="18"/>
        </w:rPr>
        <w:t xml:space="preserve"> </w:t>
      </w:r>
      <w:r>
        <w:rPr>
          <w:sz w:val="18"/>
        </w:rPr>
        <w:t>weight</w:t>
      </w:r>
      <w:r>
        <w:rPr>
          <w:spacing w:val="-2"/>
          <w:sz w:val="18"/>
        </w:rPr>
        <w:t xml:space="preserve"> </w:t>
      </w:r>
      <w:r>
        <w:rPr>
          <w:sz w:val="18"/>
        </w:rPr>
        <w:t>loss</w:t>
      </w:r>
      <w:r>
        <w:rPr>
          <w:spacing w:val="-3"/>
          <w:sz w:val="18"/>
        </w:rPr>
        <w:t xml:space="preserve"> </w:t>
      </w:r>
      <w:r>
        <w:rPr>
          <w:sz w:val="18"/>
        </w:rPr>
        <w:t>component.</w:t>
      </w:r>
      <w:r>
        <w:rPr>
          <w:spacing w:val="40"/>
          <w:sz w:val="18"/>
        </w:rPr>
        <w:t xml:space="preserve"> </w:t>
      </w:r>
      <w:r>
        <w:rPr>
          <w:sz w:val="18"/>
        </w:rPr>
        <w:t>HR</w:t>
      </w:r>
      <w:r>
        <w:rPr>
          <w:spacing w:val="-2"/>
          <w:sz w:val="18"/>
        </w:rPr>
        <w:t xml:space="preserve"> </w:t>
      </w:r>
      <w:r>
        <w:rPr>
          <w:sz w:val="18"/>
        </w:rPr>
        <w:t>=</w:t>
      </w:r>
      <w:r>
        <w:rPr>
          <w:spacing w:val="-3"/>
          <w:sz w:val="18"/>
        </w:rPr>
        <w:t xml:space="preserve"> </w:t>
      </w:r>
      <w:r>
        <w:rPr>
          <w:sz w:val="18"/>
        </w:rPr>
        <w:t>hazard</w:t>
      </w:r>
      <w:r>
        <w:rPr>
          <w:spacing w:val="-4"/>
          <w:sz w:val="18"/>
        </w:rPr>
        <w:t xml:space="preserve"> </w:t>
      </w:r>
      <w:r>
        <w:rPr>
          <w:sz w:val="18"/>
        </w:rPr>
        <w:t>ratio; MD = mean difference</w:t>
      </w:r>
    </w:p>
    <w:p w14:paraId="7A4C31C8" w14:textId="77777777" w:rsidR="00E13D3F" w:rsidRDefault="00E13D3F">
      <w:pPr>
        <w:pStyle w:val="BodyText"/>
        <w:spacing w:before="41"/>
        <w:ind w:left="0"/>
        <w:rPr>
          <w:sz w:val="18"/>
        </w:rPr>
      </w:pPr>
    </w:p>
    <w:p w14:paraId="7A4C31C9" w14:textId="77777777" w:rsidR="00E13D3F" w:rsidRDefault="00FB2D6A">
      <w:pPr>
        <w:pStyle w:val="Heading2"/>
      </w:pPr>
      <w:r>
        <w:rPr>
          <w:color w:val="2E5395"/>
        </w:rPr>
        <w:t>Starting</w:t>
      </w:r>
      <w:r>
        <w:rPr>
          <w:color w:val="2E5395"/>
          <w:spacing w:val="-8"/>
        </w:rPr>
        <w:t xml:space="preserve"> </w:t>
      </w:r>
      <w:r>
        <w:rPr>
          <w:color w:val="2E5395"/>
        </w:rPr>
        <w:t>and</w:t>
      </w:r>
      <w:r>
        <w:rPr>
          <w:color w:val="2E5395"/>
          <w:spacing w:val="-8"/>
        </w:rPr>
        <w:t xml:space="preserve"> </w:t>
      </w:r>
      <w:r>
        <w:rPr>
          <w:color w:val="2E5395"/>
        </w:rPr>
        <w:t>Stopping</w:t>
      </w:r>
      <w:r>
        <w:rPr>
          <w:color w:val="2E5395"/>
          <w:spacing w:val="-8"/>
        </w:rPr>
        <w:t xml:space="preserve"> </w:t>
      </w:r>
      <w:r>
        <w:rPr>
          <w:color w:val="2E5395"/>
          <w:spacing w:val="-4"/>
        </w:rPr>
        <w:t>Ages</w:t>
      </w:r>
    </w:p>
    <w:p w14:paraId="7A4C31CA" w14:textId="77777777" w:rsidR="00E13D3F" w:rsidRDefault="00FB2D6A">
      <w:pPr>
        <w:pStyle w:val="BodyText"/>
        <w:spacing w:before="23" w:line="276" w:lineRule="auto"/>
        <w:ind w:right="1462"/>
      </w:pPr>
      <w:r>
        <w:t>Obesity and overweight affect Australians of all ages. In 2017-18 25% of Australian children and adolescents aged 2-17 years of age were overweight (~16%) or obese (~9%) (10). Sixty-seven</w:t>
      </w:r>
      <w:r>
        <w:rPr>
          <w:spacing w:val="-4"/>
        </w:rPr>
        <w:t xml:space="preserve"> </w:t>
      </w:r>
      <w:r>
        <w:t>percent</w:t>
      </w:r>
      <w:r>
        <w:rPr>
          <w:spacing w:val="-2"/>
        </w:rPr>
        <w:t xml:space="preserve"> </w:t>
      </w:r>
      <w:r>
        <w:t>(67%)</w:t>
      </w:r>
      <w:r>
        <w:rPr>
          <w:spacing w:val="-4"/>
        </w:rPr>
        <w:t xml:space="preserve"> </w:t>
      </w:r>
      <w:r>
        <w:t>of</w:t>
      </w:r>
      <w:r>
        <w:rPr>
          <w:spacing w:val="-2"/>
        </w:rPr>
        <w:t xml:space="preserve"> </w:t>
      </w:r>
      <w:r>
        <w:t>Australians</w:t>
      </w:r>
      <w:r>
        <w:rPr>
          <w:spacing w:val="-3"/>
        </w:rPr>
        <w:t xml:space="preserve"> </w:t>
      </w:r>
      <w:r>
        <w:t>aged</w:t>
      </w:r>
      <w:r>
        <w:rPr>
          <w:spacing w:val="-2"/>
        </w:rPr>
        <w:t xml:space="preserve"> </w:t>
      </w:r>
      <w:r>
        <w:t>18</w:t>
      </w:r>
      <w:r>
        <w:rPr>
          <w:spacing w:val="-2"/>
        </w:rPr>
        <w:t xml:space="preserve"> </w:t>
      </w:r>
      <w:r>
        <w:t>years</w:t>
      </w:r>
      <w:r>
        <w:rPr>
          <w:spacing w:val="-7"/>
        </w:rPr>
        <w:t xml:space="preserve"> </w:t>
      </w:r>
      <w:r>
        <w:t>or</w:t>
      </w:r>
      <w:r>
        <w:rPr>
          <w:spacing w:val="-2"/>
        </w:rPr>
        <w:t xml:space="preserve"> </w:t>
      </w:r>
      <w:r>
        <w:t>over</w:t>
      </w:r>
      <w:r>
        <w:rPr>
          <w:spacing w:val="-5"/>
        </w:rPr>
        <w:t xml:space="preserve"> </w:t>
      </w:r>
      <w:r>
        <w:t>were</w:t>
      </w:r>
      <w:r>
        <w:rPr>
          <w:spacing w:val="-2"/>
        </w:rPr>
        <w:t xml:space="preserve"> </w:t>
      </w:r>
      <w:r>
        <w:t>obese</w:t>
      </w:r>
      <w:r>
        <w:rPr>
          <w:spacing w:val="-4"/>
        </w:rPr>
        <w:t xml:space="preserve"> </w:t>
      </w:r>
      <w:r>
        <w:t>or overweight</w:t>
      </w:r>
      <w:r>
        <w:rPr>
          <w:spacing w:val="-2"/>
        </w:rPr>
        <w:t xml:space="preserve"> </w:t>
      </w:r>
      <w:r>
        <w:t>in</w:t>
      </w:r>
      <w:r>
        <w:rPr>
          <w:spacing w:val="-4"/>
        </w:rPr>
        <w:t xml:space="preserve"> </w:t>
      </w:r>
      <w:r>
        <w:t>2017-18, equating to 12.5 million adults (10). Across age groups for men, the proportion who were</w:t>
      </w:r>
      <w:r>
        <w:rPr>
          <w:spacing w:val="-1"/>
        </w:rPr>
        <w:t xml:space="preserve"> </w:t>
      </w:r>
      <w:r>
        <w:t>overweight or obese increased with age</w:t>
      </w:r>
      <w:r>
        <w:rPr>
          <w:spacing w:val="-1"/>
        </w:rPr>
        <w:t xml:space="preserve"> </w:t>
      </w:r>
      <w:r>
        <w:t>from 52% in those aged 18-24 years</w:t>
      </w:r>
      <w:r>
        <w:rPr>
          <w:spacing w:val="-1"/>
        </w:rPr>
        <w:t xml:space="preserve"> </w:t>
      </w:r>
      <w:r>
        <w:t>to</w:t>
      </w:r>
      <w:r>
        <w:rPr>
          <w:spacing w:val="-1"/>
        </w:rPr>
        <w:t xml:space="preserve"> </w:t>
      </w:r>
      <w:r>
        <w:t>83% in those aged 45-75 then decreased to 65% in men aged 85 years and over. For women, the proportion overweight or obese increased</w:t>
      </w:r>
      <w:r>
        <w:rPr>
          <w:spacing w:val="-1"/>
        </w:rPr>
        <w:t xml:space="preserve"> </w:t>
      </w:r>
      <w:r>
        <w:t>with</w:t>
      </w:r>
      <w:r>
        <w:rPr>
          <w:spacing w:val="-1"/>
        </w:rPr>
        <w:t xml:space="preserve"> </w:t>
      </w:r>
      <w:r>
        <w:t>age from 40% in</w:t>
      </w:r>
      <w:r>
        <w:rPr>
          <w:spacing w:val="-1"/>
        </w:rPr>
        <w:t xml:space="preserve"> </w:t>
      </w:r>
      <w:r>
        <w:t>those aged 18-24</w:t>
      </w:r>
      <w:r>
        <w:rPr>
          <w:spacing w:val="-1"/>
        </w:rPr>
        <w:t xml:space="preserve"> </w:t>
      </w:r>
      <w:r>
        <w:t>to</w:t>
      </w:r>
      <w:r>
        <w:rPr>
          <w:spacing w:val="-1"/>
        </w:rPr>
        <w:t xml:space="preserve"> </w:t>
      </w:r>
      <w:r>
        <w:t>73%</w:t>
      </w:r>
      <w:r>
        <w:rPr>
          <w:spacing w:val="-1"/>
        </w:rPr>
        <w:t xml:space="preserve"> </w:t>
      </w:r>
      <w:r>
        <w:t>of women aged 65-74 then decreased to 61% in women aged 85 and older (11). (Figure 8.1) The proportion of adults with a waist circumference associated with a substantially increased risk of chronic conditions was higher in women (46%) than men (36%) with risk increasing with age (peaking at 57% of men aged 65-74 and 65% of women aged 75-84).</w:t>
      </w:r>
    </w:p>
    <w:p w14:paraId="7A4C31CB" w14:textId="77777777" w:rsidR="00E13D3F" w:rsidRDefault="00E13D3F">
      <w:pPr>
        <w:pStyle w:val="BodyText"/>
        <w:spacing w:line="276" w:lineRule="auto"/>
        <w:sectPr w:rsidR="00E13D3F">
          <w:pgSz w:w="11910" w:h="16840"/>
          <w:pgMar w:top="1380" w:right="0" w:bottom="1200" w:left="0" w:header="0" w:footer="1000" w:gutter="0"/>
          <w:cols w:space="720"/>
        </w:sectPr>
      </w:pPr>
    </w:p>
    <w:p w14:paraId="7A4C31CC" w14:textId="77777777" w:rsidR="00E13D3F" w:rsidRDefault="00FB2D6A">
      <w:pPr>
        <w:ind w:left="2026"/>
        <w:rPr>
          <w:sz w:val="20"/>
        </w:rPr>
      </w:pPr>
      <w:r>
        <w:rPr>
          <w:noProof/>
          <w:sz w:val="20"/>
        </w:rPr>
        <w:lastRenderedPageBreak/>
        <w:drawing>
          <wp:inline distT="0" distB="0" distL="0" distR="0" wp14:anchorId="7A4C3C48" wp14:editId="7A4C3C49">
            <wp:extent cx="5022794" cy="3154679"/>
            <wp:effectExtent l="0" t="0" r="0" b="0"/>
            <wp:docPr id="54" name="Image 54" descr="Char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descr="Chart  Description automatically generated"/>
                    <pic:cNvPicPr/>
                  </pic:nvPicPr>
                  <pic:blipFill>
                    <a:blip r:embed="rId39" cstate="print"/>
                    <a:stretch>
                      <a:fillRect/>
                    </a:stretch>
                  </pic:blipFill>
                  <pic:spPr>
                    <a:xfrm>
                      <a:off x="0" y="0"/>
                      <a:ext cx="5022794" cy="3154679"/>
                    </a:xfrm>
                    <a:prstGeom prst="rect">
                      <a:avLst/>
                    </a:prstGeom>
                  </pic:spPr>
                </pic:pic>
              </a:graphicData>
            </a:graphic>
          </wp:inline>
        </w:drawing>
      </w:r>
    </w:p>
    <w:p w14:paraId="7A4C31CD" w14:textId="77777777" w:rsidR="00E13D3F" w:rsidRDefault="00FB2D6A">
      <w:pPr>
        <w:spacing w:before="131"/>
        <w:ind w:left="5307" w:right="1450" w:hanging="3858"/>
        <w:rPr>
          <w:sz w:val="21"/>
        </w:rPr>
      </w:pPr>
      <w:r>
        <w:rPr>
          <w:b/>
          <w:sz w:val="21"/>
        </w:rPr>
        <w:t>Figure</w:t>
      </w:r>
      <w:r>
        <w:rPr>
          <w:b/>
          <w:spacing w:val="-4"/>
          <w:sz w:val="21"/>
        </w:rPr>
        <w:t xml:space="preserve"> </w:t>
      </w:r>
      <w:r>
        <w:rPr>
          <w:b/>
          <w:sz w:val="21"/>
        </w:rPr>
        <w:t>8.1.</w:t>
      </w:r>
      <w:r>
        <w:rPr>
          <w:b/>
          <w:spacing w:val="-2"/>
          <w:sz w:val="21"/>
        </w:rPr>
        <w:t xml:space="preserve"> </w:t>
      </w:r>
      <w:r>
        <w:rPr>
          <w:sz w:val="21"/>
        </w:rPr>
        <w:t>Proportion</w:t>
      </w:r>
      <w:r>
        <w:rPr>
          <w:spacing w:val="-1"/>
          <w:sz w:val="21"/>
        </w:rPr>
        <w:t xml:space="preserve"> </w:t>
      </w:r>
      <w:r>
        <w:rPr>
          <w:sz w:val="21"/>
        </w:rPr>
        <w:t>of</w:t>
      </w:r>
      <w:r>
        <w:rPr>
          <w:spacing w:val="-1"/>
          <w:sz w:val="21"/>
        </w:rPr>
        <w:t xml:space="preserve"> </w:t>
      </w:r>
      <w:r>
        <w:rPr>
          <w:sz w:val="21"/>
        </w:rPr>
        <w:t>overweight</w:t>
      </w:r>
      <w:r>
        <w:rPr>
          <w:spacing w:val="-3"/>
          <w:sz w:val="21"/>
        </w:rPr>
        <w:t xml:space="preserve"> </w:t>
      </w:r>
      <w:r>
        <w:rPr>
          <w:sz w:val="21"/>
        </w:rPr>
        <w:t>and</w:t>
      </w:r>
      <w:r>
        <w:rPr>
          <w:spacing w:val="-2"/>
          <w:sz w:val="21"/>
        </w:rPr>
        <w:t xml:space="preserve"> </w:t>
      </w:r>
      <w:r>
        <w:rPr>
          <w:sz w:val="21"/>
        </w:rPr>
        <w:t>obese</w:t>
      </w:r>
      <w:r>
        <w:rPr>
          <w:spacing w:val="-4"/>
          <w:sz w:val="21"/>
        </w:rPr>
        <w:t xml:space="preserve"> </w:t>
      </w:r>
      <w:r>
        <w:rPr>
          <w:sz w:val="21"/>
        </w:rPr>
        <w:t>Australians</w:t>
      </w:r>
      <w:r>
        <w:rPr>
          <w:spacing w:val="-2"/>
          <w:sz w:val="21"/>
        </w:rPr>
        <w:t xml:space="preserve"> </w:t>
      </w:r>
      <w:r>
        <w:rPr>
          <w:sz w:val="21"/>
        </w:rPr>
        <w:t>aged</w:t>
      </w:r>
      <w:r>
        <w:rPr>
          <w:spacing w:val="-1"/>
          <w:sz w:val="21"/>
        </w:rPr>
        <w:t xml:space="preserve"> </w:t>
      </w:r>
      <w:r>
        <w:rPr>
          <w:sz w:val="21"/>
        </w:rPr>
        <w:t>18</w:t>
      </w:r>
      <w:r>
        <w:rPr>
          <w:spacing w:val="-1"/>
          <w:sz w:val="21"/>
        </w:rPr>
        <w:t xml:space="preserve"> </w:t>
      </w:r>
      <w:r>
        <w:rPr>
          <w:sz w:val="21"/>
        </w:rPr>
        <w:t>and</w:t>
      </w:r>
      <w:r>
        <w:rPr>
          <w:spacing w:val="-5"/>
          <w:sz w:val="21"/>
        </w:rPr>
        <w:t xml:space="preserve"> </w:t>
      </w:r>
      <w:r>
        <w:rPr>
          <w:sz w:val="21"/>
        </w:rPr>
        <w:t>over</w:t>
      </w:r>
      <w:r>
        <w:rPr>
          <w:spacing w:val="-1"/>
          <w:sz w:val="21"/>
        </w:rPr>
        <w:t xml:space="preserve"> </w:t>
      </w:r>
      <w:r>
        <w:rPr>
          <w:sz w:val="21"/>
        </w:rPr>
        <w:t>by</w:t>
      </w:r>
      <w:r>
        <w:rPr>
          <w:spacing w:val="-3"/>
          <w:sz w:val="21"/>
        </w:rPr>
        <w:t xml:space="preserve"> </w:t>
      </w:r>
      <w:r>
        <w:rPr>
          <w:sz w:val="21"/>
        </w:rPr>
        <w:t>age</w:t>
      </w:r>
      <w:r>
        <w:rPr>
          <w:spacing w:val="-3"/>
          <w:sz w:val="21"/>
        </w:rPr>
        <w:t xml:space="preserve"> </w:t>
      </w:r>
      <w:r>
        <w:rPr>
          <w:sz w:val="21"/>
        </w:rPr>
        <w:t>group</w:t>
      </w:r>
      <w:r>
        <w:rPr>
          <w:spacing w:val="-2"/>
          <w:sz w:val="21"/>
        </w:rPr>
        <w:t xml:space="preserve"> </w:t>
      </w:r>
      <w:r>
        <w:rPr>
          <w:sz w:val="21"/>
        </w:rPr>
        <w:t>and</w:t>
      </w:r>
      <w:r>
        <w:rPr>
          <w:spacing w:val="-2"/>
          <w:sz w:val="21"/>
        </w:rPr>
        <w:t xml:space="preserve"> </w:t>
      </w:r>
      <w:r>
        <w:rPr>
          <w:sz w:val="21"/>
        </w:rPr>
        <w:t>sex,</w:t>
      </w:r>
      <w:r>
        <w:rPr>
          <w:spacing w:val="-3"/>
          <w:sz w:val="21"/>
        </w:rPr>
        <w:t xml:space="preserve"> </w:t>
      </w:r>
      <w:r>
        <w:rPr>
          <w:sz w:val="21"/>
        </w:rPr>
        <w:t>2017-18 (ABS, 2018)</w:t>
      </w:r>
    </w:p>
    <w:p w14:paraId="7A4C31CE" w14:textId="77777777" w:rsidR="00E13D3F" w:rsidRDefault="00E13D3F">
      <w:pPr>
        <w:pStyle w:val="BodyText"/>
        <w:spacing w:before="40"/>
        <w:ind w:left="0"/>
        <w:rPr>
          <w:sz w:val="21"/>
        </w:rPr>
      </w:pPr>
    </w:p>
    <w:p w14:paraId="7A4C31CF" w14:textId="77777777" w:rsidR="00E13D3F" w:rsidRDefault="00FB2D6A">
      <w:pPr>
        <w:pStyle w:val="Heading2"/>
      </w:pPr>
      <w:r>
        <w:rPr>
          <w:color w:val="2E5395"/>
        </w:rPr>
        <w:t>Interval</w:t>
      </w:r>
      <w:r>
        <w:rPr>
          <w:color w:val="2E5395"/>
          <w:spacing w:val="-6"/>
        </w:rPr>
        <w:t xml:space="preserve"> </w:t>
      </w:r>
      <w:r>
        <w:rPr>
          <w:color w:val="2E5395"/>
        </w:rPr>
        <w:t>for</w:t>
      </w:r>
      <w:r>
        <w:rPr>
          <w:color w:val="2E5395"/>
          <w:spacing w:val="-8"/>
        </w:rPr>
        <w:t xml:space="preserve"> </w:t>
      </w:r>
      <w:r>
        <w:rPr>
          <w:color w:val="2E5395"/>
          <w:spacing w:val="-2"/>
        </w:rPr>
        <w:t>Assessment</w:t>
      </w:r>
    </w:p>
    <w:p w14:paraId="7A4C31D0" w14:textId="77777777" w:rsidR="00E13D3F" w:rsidRDefault="00FB2D6A">
      <w:pPr>
        <w:pStyle w:val="BodyText"/>
        <w:spacing w:before="24" w:line="276" w:lineRule="auto"/>
        <w:ind w:right="1450"/>
      </w:pPr>
      <w:r>
        <w:t>The Red book recommends the BMI and waist circumference of all adults and weight and height</w:t>
      </w:r>
      <w:r>
        <w:rPr>
          <w:spacing w:val="-1"/>
        </w:rPr>
        <w:t xml:space="preserve"> </w:t>
      </w:r>
      <w:r>
        <w:t>(using</w:t>
      </w:r>
      <w:r>
        <w:rPr>
          <w:spacing w:val="-2"/>
        </w:rPr>
        <w:t xml:space="preserve"> </w:t>
      </w:r>
      <w:r>
        <w:t>age-specific</w:t>
      </w:r>
      <w:r>
        <w:rPr>
          <w:spacing w:val="-2"/>
        </w:rPr>
        <w:t xml:space="preserve"> </w:t>
      </w:r>
      <w:r>
        <w:t>BMI</w:t>
      </w:r>
      <w:r>
        <w:rPr>
          <w:spacing w:val="-2"/>
        </w:rPr>
        <w:t xml:space="preserve"> </w:t>
      </w:r>
      <w:r>
        <w:t>charts)</w:t>
      </w:r>
      <w:r>
        <w:rPr>
          <w:spacing w:val="-5"/>
        </w:rPr>
        <w:t xml:space="preserve"> </w:t>
      </w:r>
      <w:r>
        <w:t>of</w:t>
      </w:r>
      <w:r>
        <w:rPr>
          <w:spacing w:val="-1"/>
        </w:rPr>
        <w:t xml:space="preserve"> </w:t>
      </w:r>
      <w:r>
        <w:t>all</w:t>
      </w:r>
      <w:r>
        <w:rPr>
          <w:spacing w:val="-2"/>
        </w:rPr>
        <w:t xml:space="preserve"> </w:t>
      </w:r>
      <w:r>
        <w:t>adolescents</w:t>
      </w:r>
      <w:r>
        <w:rPr>
          <w:spacing w:val="-1"/>
        </w:rPr>
        <w:t xml:space="preserve"> </w:t>
      </w:r>
      <w:r>
        <w:t>to</w:t>
      </w:r>
      <w:r>
        <w:rPr>
          <w:spacing w:val="-3"/>
        </w:rPr>
        <w:t xml:space="preserve"> </w:t>
      </w:r>
      <w:r>
        <w:t>be</w:t>
      </w:r>
      <w:r>
        <w:rPr>
          <w:spacing w:val="-1"/>
        </w:rPr>
        <w:t xml:space="preserve"> </w:t>
      </w:r>
      <w:r>
        <w:t>assessed</w:t>
      </w:r>
      <w:r>
        <w:rPr>
          <w:spacing w:val="-3"/>
        </w:rPr>
        <w:t xml:space="preserve"> </w:t>
      </w:r>
      <w:r>
        <w:t>every</w:t>
      </w:r>
      <w:r>
        <w:rPr>
          <w:spacing w:val="-2"/>
        </w:rPr>
        <w:t xml:space="preserve"> </w:t>
      </w:r>
      <w:r>
        <w:t>two</w:t>
      </w:r>
      <w:r>
        <w:rPr>
          <w:spacing w:val="-1"/>
        </w:rPr>
        <w:t xml:space="preserve"> </w:t>
      </w:r>
      <w:r>
        <w:t>years.</w:t>
      </w:r>
      <w:r>
        <w:rPr>
          <w:spacing w:val="-5"/>
        </w:rPr>
        <w:t xml:space="preserve"> </w:t>
      </w:r>
      <w:r>
        <w:t>The weight and height (using age-specific BMI charts) of children &gt;2 years of age and growth monitoring (using WHO growth charts) of children aged &lt;2 should be assessed at times of child health surveillance or immunisation (6).</w:t>
      </w:r>
    </w:p>
    <w:p w14:paraId="7A4C31D1" w14:textId="77777777" w:rsidR="00E13D3F" w:rsidRDefault="00FB2D6A">
      <w:pPr>
        <w:pStyle w:val="BodyText"/>
        <w:spacing w:line="276" w:lineRule="auto"/>
        <w:ind w:right="1450"/>
      </w:pPr>
      <w:r>
        <w:t>In groups at increased risk of obesity-related complications (Aboriginal and Torres Strait Islander peoples and people from the Pacific Islands and patients with existing diabetes or cardiovascular</w:t>
      </w:r>
      <w:r>
        <w:rPr>
          <w:spacing w:val="-4"/>
        </w:rPr>
        <w:t xml:space="preserve"> </w:t>
      </w:r>
      <w:r>
        <w:t>disease,</w:t>
      </w:r>
      <w:r>
        <w:rPr>
          <w:spacing w:val="-5"/>
        </w:rPr>
        <w:t xml:space="preserve"> </w:t>
      </w:r>
      <w:r>
        <w:t>stroke,</w:t>
      </w:r>
      <w:r>
        <w:rPr>
          <w:spacing w:val="-2"/>
        </w:rPr>
        <w:t xml:space="preserve"> </w:t>
      </w:r>
      <w:r>
        <w:t>gout,</w:t>
      </w:r>
      <w:r>
        <w:rPr>
          <w:spacing w:val="-5"/>
        </w:rPr>
        <w:t xml:space="preserve"> </w:t>
      </w:r>
      <w:r>
        <w:t>or</w:t>
      </w:r>
      <w:r>
        <w:rPr>
          <w:spacing w:val="-4"/>
        </w:rPr>
        <w:t xml:space="preserve"> </w:t>
      </w:r>
      <w:r>
        <w:t>liver</w:t>
      </w:r>
      <w:r>
        <w:rPr>
          <w:spacing w:val="-5"/>
        </w:rPr>
        <w:t xml:space="preserve"> </w:t>
      </w:r>
      <w:r>
        <w:t>disease),</w:t>
      </w:r>
      <w:r>
        <w:rPr>
          <w:spacing w:val="-3"/>
        </w:rPr>
        <w:t xml:space="preserve"> </w:t>
      </w:r>
      <w:r>
        <w:t>BMI</w:t>
      </w:r>
      <w:r>
        <w:rPr>
          <w:spacing w:val="-3"/>
        </w:rPr>
        <w:t xml:space="preserve"> </w:t>
      </w:r>
      <w:r>
        <w:t>and</w:t>
      </w:r>
      <w:r>
        <w:rPr>
          <w:spacing w:val="-2"/>
        </w:rPr>
        <w:t xml:space="preserve"> </w:t>
      </w:r>
      <w:r>
        <w:t>waist</w:t>
      </w:r>
      <w:r>
        <w:rPr>
          <w:spacing w:val="-2"/>
        </w:rPr>
        <w:t xml:space="preserve"> </w:t>
      </w:r>
      <w:r>
        <w:t>circumference</w:t>
      </w:r>
      <w:r>
        <w:rPr>
          <w:spacing w:val="-2"/>
        </w:rPr>
        <w:t xml:space="preserve"> </w:t>
      </w:r>
      <w:r>
        <w:t>in</w:t>
      </w:r>
      <w:r>
        <w:rPr>
          <w:spacing w:val="-2"/>
        </w:rPr>
        <w:t xml:space="preserve"> </w:t>
      </w:r>
      <w:r>
        <w:t>adults should be assessed every 12 months. In adults and children who are overweight or obese, assessment should be conducted every six months (6).</w:t>
      </w:r>
    </w:p>
    <w:p w14:paraId="7A4C31D2" w14:textId="77777777" w:rsidR="00E13D3F" w:rsidRDefault="00E13D3F">
      <w:pPr>
        <w:pStyle w:val="BodyText"/>
        <w:spacing w:before="115"/>
        <w:ind w:left="0"/>
      </w:pPr>
    </w:p>
    <w:p w14:paraId="7A4C31D3" w14:textId="77777777" w:rsidR="00E13D3F" w:rsidRDefault="00FB2D6A">
      <w:pPr>
        <w:pStyle w:val="Heading2"/>
        <w:spacing w:before="1"/>
      </w:pPr>
      <w:r>
        <w:rPr>
          <w:color w:val="2E5395"/>
          <w:spacing w:val="-2"/>
        </w:rPr>
        <w:t>Subpopulations</w:t>
      </w:r>
    </w:p>
    <w:p w14:paraId="7A4C31D4" w14:textId="77777777" w:rsidR="00E13D3F" w:rsidRDefault="00FB2D6A">
      <w:pPr>
        <w:pStyle w:val="BodyText"/>
        <w:spacing w:before="23" w:line="276" w:lineRule="auto"/>
        <w:ind w:right="1450"/>
      </w:pPr>
      <w:r>
        <w:t>Overweight and obesity rates differ across socioeconomic and remoteness areas. Lower rates</w:t>
      </w:r>
      <w:r>
        <w:rPr>
          <w:spacing w:val="-4"/>
        </w:rPr>
        <w:t xml:space="preserve"> </w:t>
      </w:r>
      <w:r>
        <w:t>of</w:t>
      </w:r>
      <w:r>
        <w:rPr>
          <w:spacing w:val="-2"/>
        </w:rPr>
        <w:t xml:space="preserve"> </w:t>
      </w:r>
      <w:r>
        <w:t>overweight</w:t>
      </w:r>
      <w:r>
        <w:rPr>
          <w:spacing w:val="-1"/>
        </w:rPr>
        <w:t xml:space="preserve"> </w:t>
      </w:r>
      <w:r>
        <w:t>and</w:t>
      </w:r>
      <w:r>
        <w:rPr>
          <w:spacing w:val="-3"/>
        </w:rPr>
        <w:t xml:space="preserve"> </w:t>
      </w:r>
      <w:r>
        <w:t>obesity</w:t>
      </w:r>
      <w:r>
        <w:rPr>
          <w:spacing w:val="-5"/>
        </w:rPr>
        <w:t xml:space="preserve"> </w:t>
      </w:r>
      <w:r>
        <w:t>are</w:t>
      </w:r>
      <w:r>
        <w:rPr>
          <w:spacing w:val="-3"/>
        </w:rPr>
        <w:t xml:space="preserve"> </w:t>
      </w:r>
      <w:r>
        <w:t>found</w:t>
      </w:r>
      <w:r>
        <w:rPr>
          <w:spacing w:val="-3"/>
        </w:rPr>
        <w:t xml:space="preserve"> </w:t>
      </w:r>
      <w:r>
        <w:t>in</w:t>
      </w:r>
      <w:r>
        <w:rPr>
          <w:spacing w:val="-3"/>
        </w:rPr>
        <w:t xml:space="preserve"> </w:t>
      </w:r>
      <w:r>
        <w:t>major</w:t>
      </w:r>
      <w:r>
        <w:rPr>
          <w:spacing w:val="-1"/>
        </w:rPr>
        <w:t xml:space="preserve"> </w:t>
      </w:r>
      <w:r>
        <w:t>cities</w:t>
      </w:r>
      <w:r>
        <w:rPr>
          <w:spacing w:val="-4"/>
        </w:rPr>
        <w:t xml:space="preserve"> </w:t>
      </w:r>
      <w:r>
        <w:t>as</w:t>
      </w:r>
      <w:r>
        <w:rPr>
          <w:spacing w:val="-2"/>
        </w:rPr>
        <w:t xml:space="preserve"> </w:t>
      </w:r>
      <w:r>
        <w:t>opposed</w:t>
      </w:r>
      <w:r>
        <w:rPr>
          <w:spacing w:val="-3"/>
        </w:rPr>
        <w:t xml:space="preserve"> </w:t>
      </w:r>
      <w:r>
        <w:t>to</w:t>
      </w:r>
      <w:r>
        <w:rPr>
          <w:spacing w:val="-4"/>
        </w:rPr>
        <w:t xml:space="preserve"> </w:t>
      </w:r>
      <w:r>
        <w:t>regional</w:t>
      </w:r>
      <w:r>
        <w:rPr>
          <w:spacing w:val="-1"/>
        </w:rPr>
        <w:t xml:space="preserve"> </w:t>
      </w:r>
      <w:r>
        <w:t>and</w:t>
      </w:r>
      <w:r>
        <w:rPr>
          <w:spacing w:val="-3"/>
        </w:rPr>
        <w:t xml:space="preserve"> </w:t>
      </w:r>
      <w:r>
        <w:t>remote areas, and highest rates of overweight and obesity are seen in lowest socioeconomic areas compared to highest socioeconomic areas (12). Prevalence of overweight and obesity is higher in indigenous children, adolescents, and adults than non-indigenous counterparts.</w:t>
      </w:r>
    </w:p>
    <w:p w14:paraId="7A4C31D5" w14:textId="77777777" w:rsidR="00E13D3F" w:rsidRDefault="00FB2D6A">
      <w:pPr>
        <w:pStyle w:val="BodyText"/>
        <w:spacing w:before="1" w:line="276" w:lineRule="auto"/>
        <w:ind w:right="1519"/>
      </w:pPr>
      <w:r>
        <w:t>Thirty-eight</w:t>
      </w:r>
      <w:r>
        <w:rPr>
          <w:spacing w:val="-2"/>
        </w:rPr>
        <w:t xml:space="preserve"> </w:t>
      </w:r>
      <w:r>
        <w:t>(38%)</w:t>
      </w:r>
      <w:r>
        <w:rPr>
          <w:spacing w:val="-4"/>
        </w:rPr>
        <w:t xml:space="preserve"> </w:t>
      </w:r>
      <w:r>
        <w:t>of</w:t>
      </w:r>
      <w:r>
        <w:rPr>
          <w:spacing w:val="-2"/>
        </w:rPr>
        <w:t xml:space="preserve"> </w:t>
      </w:r>
      <w:r>
        <w:t>Aboriginal</w:t>
      </w:r>
      <w:r>
        <w:rPr>
          <w:spacing w:val="-2"/>
        </w:rPr>
        <w:t xml:space="preserve"> </w:t>
      </w:r>
      <w:r>
        <w:t>and</w:t>
      </w:r>
      <w:r>
        <w:rPr>
          <w:spacing w:val="-4"/>
        </w:rPr>
        <w:t xml:space="preserve"> </w:t>
      </w:r>
      <w:r>
        <w:t>Torres</w:t>
      </w:r>
      <w:r>
        <w:rPr>
          <w:spacing w:val="-3"/>
        </w:rPr>
        <w:t xml:space="preserve"> </w:t>
      </w:r>
      <w:r>
        <w:t>Strait</w:t>
      </w:r>
      <w:r>
        <w:rPr>
          <w:spacing w:val="-3"/>
        </w:rPr>
        <w:t xml:space="preserve"> </w:t>
      </w:r>
      <w:r>
        <w:t>Islander</w:t>
      </w:r>
      <w:r>
        <w:rPr>
          <w:spacing w:val="-4"/>
        </w:rPr>
        <w:t xml:space="preserve"> </w:t>
      </w:r>
      <w:r>
        <w:t>children</w:t>
      </w:r>
      <w:r>
        <w:rPr>
          <w:spacing w:val="-4"/>
        </w:rPr>
        <w:t xml:space="preserve"> </w:t>
      </w:r>
      <w:r>
        <w:t>and</w:t>
      </w:r>
      <w:r>
        <w:rPr>
          <w:spacing w:val="-2"/>
        </w:rPr>
        <w:t xml:space="preserve"> </w:t>
      </w:r>
      <w:r>
        <w:t>adolescents</w:t>
      </w:r>
      <w:r>
        <w:rPr>
          <w:spacing w:val="-3"/>
        </w:rPr>
        <w:t xml:space="preserve"> </w:t>
      </w:r>
      <w:r>
        <w:t>aged</w:t>
      </w:r>
      <w:r>
        <w:rPr>
          <w:spacing w:val="-4"/>
        </w:rPr>
        <w:t xml:space="preserve"> </w:t>
      </w:r>
      <w:r>
        <w:t>2-17 and 74% of Aboriginal and Torres Strait Islander adults aged 18 years and over were overweight or obese in 2018-19 (12).</w:t>
      </w:r>
    </w:p>
    <w:p w14:paraId="7A4C31D6" w14:textId="77777777" w:rsidR="00E13D3F" w:rsidRDefault="00E13D3F">
      <w:pPr>
        <w:pStyle w:val="BodyText"/>
        <w:spacing w:line="276" w:lineRule="auto"/>
        <w:sectPr w:rsidR="00E13D3F">
          <w:pgSz w:w="11910" w:h="16840"/>
          <w:pgMar w:top="1540" w:right="0" w:bottom="1200" w:left="0" w:header="0" w:footer="1000" w:gutter="0"/>
          <w:cols w:space="720"/>
        </w:sectPr>
      </w:pPr>
    </w:p>
    <w:p w14:paraId="7A4C31D7" w14:textId="77777777" w:rsidR="00E13D3F" w:rsidRDefault="00FB2D6A">
      <w:pPr>
        <w:pStyle w:val="Heading2"/>
        <w:spacing w:before="21"/>
      </w:pPr>
      <w:r>
        <w:rPr>
          <w:color w:val="2E5395"/>
          <w:spacing w:val="-2"/>
        </w:rPr>
        <w:lastRenderedPageBreak/>
        <w:t>Conclusion</w:t>
      </w:r>
    </w:p>
    <w:p w14:paraId="7A4C31D8" w14:textId="77777777" w:rsidR="00E13D3F" w:rsidRDefault="00FB2D6A">
      <w:pPr>
        <w:pStyle w:val="BodyText"/>
        <w:spacing w:before="26" w:line="276" w:lineRule="auto"/>
        <w:ind w:right="1450"/>
      </w:pPr>
      <w:r>
        <w:t xml:space="preserve">Direct evidence of the effect of screening for overweight and obesity is limited to a single </w:t>
      </w:r>
      <w:proofErr w:type="spellStart"/>
      <w:r>
        <w:t>randomised</w:t>
      </w:r>
      <w:proofErr w:type="spellEnd"/>
      <w:r>
        <w:t xml:space="preserve"> trial of </w:t>
      </w:r>
      <w:proofErr w:type="spellStart"/>
      <w:r>
        <w:t>behavioural</w:t>
      </w:r>
      <w:proofErr w:type="spellEnd"/>
      <w:r>
        <w:t xml:space="preserve"> interventions for adults attending primary care who are found to be obese. In this trial a brief intervention led to weight loss and was acceptable to patients. Linked evidence has found that </w:t>
      </w:r>
      <w:proofErr w:type="spellStart"/>
      <w:r>
        <w:t>behavioural</w:t>
      </w:r>
      <w:proofErr w:type="spellEnd"/>
      <w:r>
        <w:t xml:space="preserve"> interventions to manage overweight and obesity in adults in primary care reduce weight, BMI, and waist circumference (moderate certainty evidence), and that weight reducing</w:t>
      </w:r>
      <w:r>
        <w:rPr>
          <w:spacing w:val="-1"/>
        </w:rPr>
        <w:t xml:space="preserve"> </w:t>
      </w:r>
      <w:r>
        <w:t>diets for people with hypertension reduce</w:t>
      </w:r>
      <w:r>
        <w:rPr>
          <w:spacing w:val="-6"/>
        </w:rPr>
        <w:t xml:space="preserve"> </w:t>
      </w:r>
      <w:r>
        <w:t>cardiovascular</w:t>
      </w:r>
      <w:r>
        <w:rPr>
          <w:spacing w:val="-4"/>
        </w:rPr>
        <w:t xml:space="preserve"> </w:t>
      </w:r>
      <w:r>
        <w:t>morbidity</w:t>
      </w:r>
      <w:r>
        <w:rPr>
          <w:spacing w:val="-4"/>
        </w:rPr>
        <w:t xml:space="preserve"> </w:t>
      </w:r>
      <w:r>
        <w:t>(very</w:t>
      </w:r>
      <w:r>
        <w:rPr>
          <w:spacing w:val="-4"/>
        </w:rPr>
        <w:t xml:space="preserve"> </w:t>
      </w:r>
      <w:r>
        <w:t>low</w:t>
      </w:r>
      <w:r>
        <w:rPr>
          <w:spacing w:val="-4"/>
        </w:rPr>
        <w:t xml:space="preserve"> </w:t>
      </w:r>
      <w:r>
        <w:t>certainty</w:t>
      </w:r>
      <w:r>
        <w:rPr>
          <w:spacing w:val="-4"/>
        </w:rPr>
        <w:t xml:space="preserve"> </w:t>
      </w:r>
      <w:r>
        <w:t>evidence),</w:t>
      </w:r>
      <w:r>
        <w:rPr>
          <w:spacing w:val="-4"/>
        </w:rPr>
        <w:t xml:space="preserve"> </w:t>
      </w:r>
      <w:r>
        <w:t>blood</w:t>
      </w:r>
      <w:r>
        <w:rPr>
          <w:spacing w:val="-5"/>
        </w:rPr>
        <w:t xml:space="preserve"> </w:t>
      </w:r>
      <w:r>
        <w:t>pressure</w:t>
      </w:r>
      <w:r>
        <w:rPr>
          <w:spacing w:val="-4"/>
        </w:rPr>
        <w:t xml:space="preserve"> </w:t>
      </w:r>
      <w:r>
        <w:t>(low</w:t>
      </w:r>
      <w:r>
        <w:rPr>
          <w:spacing w:val="-4"/>
        </w:rPr>
        <w:t xml:space="preserve"> </w:t>
      </w:r>
      <w:r>
        <w:t>certainty evidence) and body weight (moderate certainty evidence).</w:t>
      </w:r>
    </w:p>
    <w:p w14:paraId="7A4C31D9" w14:textId="77777777" w:rsidR="00E13D3F" w:rsidRDefault="00E13D3F">
      <w:pPr>
        <w:pStyle w:val="BodyText"/>
        <w:spacing w:before="84"/>
        <w:ind w:left="0"/>
      </w:pPr>
    </w:p>
    <w:p w14:paraId="7A4C31DA" w14:textId="77777777" w:rsidR="00E13D3F" w:rsidRDefault="00FB2D6A">
      <w:pPr>
        <w:pStyle w:val="Heading2"/>
      </w:pPr>
      <w:r>
        <w:rPr>
          <w:color w:val="2E5395"/>
          <w:spacing w:val="-2"/>
        </w:rPr>
        <w:t>References</w:t>
      </w:r>
    </w:p>
    <w:p w14:paraId="7A4C31DB" w14:textId="77777777" w:rsidR="00E13D3F" w:rsidRDefault="00FB2D6A" w:rsidP="00990D2B">
      <w:pPr>
        <w:pStyle w:val="ListParagraph"/>
        <w:numPr>
          <w:ilvl w:val="0"/>
          <w:numId w:val="27"/>
        </w:numPr>
        <w:tabs>
          <w:tab w:val="left" w:pos="1800"/>
        </w:tabs>
        <w:spacing w:before="27" w:line="273" w:lineRule="auto"/>
        <w:ind w:right="1605"/>
      </w:pPr>
      <w:r>
        <w:t xml:space="preserve">Prospective Studies Collaboration, Whitlock, G., Lewington, S., </w:t>
      </w:r>
      <w:proofErr w:type="spellStart"/>
      <w:r>
        <w:t>Sherliker</w:t>
      </w:r>
      <w:proofErr w:type="spellEnd"/>
      <w:r>
        <w:t>, P., Clarke, R., Emberson,</w:t>
      </w:r>
      <w:r>
        <w:rPr>
          <w:spacing w:val="-2"/>
        </w:rPr>
        <w:t xml:space="preserve"> </w:t>
      </w:r>
      <w:r>
        <w:t>J.,</w:t>
      </w:r>
      <w:r>
        <w:rPr>
          <w:spacing w:val="-2"/>
        </w:rPr>
        <w:t xml:space="preserve"> </w:t>
      </w:r>
      <w:r>
        <w:t>Halsey,</w:t>
      </w:r>
      <w:r>
        <w:rPr>
          <w:spacing w:val="-4"/>
        </w:rPr>
        <w:t xml:space="preserve"> </w:t>
      </w:r>
      <w:r>
        <w:t>J.,</w:t>
      </w:r>
      <w:r>
        <w:rPr>
          <w:spacing w:val="-2"/>
        </w:rPr>
        <w:t xml:space="preserve"> </w:t>
      </w:r>
      <w:r>
        <w:t>Qizilbash,</w:t>
      </w:r>
      <w:r>
        <w:rPr>
          <w:spacing w:val="-2"/>
        </w:rPr>
        <w:t xml:space="preserve"> </w:t>
      </w:r>
      <w:r>
        <w:t>N.,</w:t>
      </w:r>
      <w:r>
        <w:rPr>
          <w:spacing w:val="-2"/>
        </w:rPr>
        <w:t xml:space="preserve"> </w:t>
      </w:r>
      <w:r>
        <w:t>Collins,</w:t>
      </w:r>
      <w:r>
        <w:rPr>
          <w:spacing w:val="-3"/>
        </w:rPr>
        <w:t xml:space="preserve"> </w:t>
      </w:r>
      <w:r>
        <w:t>R.,</w:t>
      </w:r>
      <w:r>
        <w:rPr>
          <w:spacing w:val="-2"/>
        </w:rPr>
        <w:t xml:space="preserve"> </w:t>
      </w:r>
      <w:r>
        <w:t>&amp;</w:t>
      </w:r>
      <w:r>
        <w:rPr>
          <w:spacing w:val="-3"/>
        </w:rPr>
        <w:t xml:space="preserve"> </w:t>
      </w:r>
      <w:r>
        <w:t>Peto,</w:t>
      </w:r>
      <w:r>
        <w:rPr>
          <w:spacing w:val="-2"/>
        </w:rPr>
        <w:t xml:space="preserve"> </w:t>
      </w:r>
      <w:r>
        <w:t>R.</w:t>
      </w:r>
      <w:r>
        <w:rPr>
          <w:spacing w:val="-3"/>
        </w:rPr>
        <w:t xml:space="preserve"> </w:t>
      </w:r>
      <w:r>
        <w:t>(2009).</w:t>
      </w:r>
      <w:r>
        <w:rPr>
          <w:spacing w:val="-2"/>
        </w:rPr>
        <w:t xml:space="preserve"> </w:t>
      </w:r>
      <w:r>
        <w:t>Body-mass</w:t>
      </w:r>
      <w:r>
        <w:rPr>
          <w:spacing w:val="-4"/>
        </w:rPr>
        <w:t xml:space="preserve"> </w:t>
      </w:r>
      <w:r>
        <w:t>index</w:t>
      </w:r>
      <w:r>
        <w:rPr>
          <w:spacing w:val="-2"/>
        </w:rPr>
        <w:t xml:space="preserve"> </w:t>
      </w:r>
      <w:r>
        <w:t>and</w:t>
      </w:r>
      <w:r>
        <w:rPr>
          <w:spacing w:val="-3"/>
        </w:rPr>
        <w:t xml:space="preserve"> </w:t>
      </w:r>
      <w:r>
        <w:t xml:space="preserve">cause-specific mortality in 900 000 adults: collaborative analyses of 57 prospective studies. </w:t>
      </w:r>
      <w:r>
        <w:rPr>
          <w:i/>
        </w:rPr>
        <w:t>Lancet (London, England)</w:t>
      </w:r>
      <w:r>
        <w:t xml:space="preserve">, </w:t>
      </w:r>
      <w:r>
        <w:rPr>
          <w:i/>
        </w:rPr>
        <w:t>373</w:t>
      </w:r>
      <w:r>
        <w:t xml:space="preserve">(9669), 1083–1096. </w:t>
      </w:r>
      <w:hyperlink r:id="rId40">
        <w:r w:rsidR="00E13D3F">
          <w:rPr>
            <w:u w:val="single"/>
          </w:rPr>
          <w:t>https://doi.org/10.1016/S0140-6736(09)60318-4</w:t>
        </w:r>
      </w:hyperlink>
    </w:p>
    <w:p w14:paraId="7A4C31DC" w14:textId="77777777" w:rsidR="00E13D3F" w:rsidRDefault="00FB2D6A" w:rsidP="00990D2B">
      <w:pPr>
        <w:pStyle w:val="ListParagraph"/>
        <w:numPr>
          <w:ilvl w:val="0"/>
          <w:numId w:val="27"/>
        </w:numPr>
        <w:tabs>
          <w:tab w:val="left" w:pos="1800"/>
        </w:tabs>
        <w:spacing w:before="6" w:line="276" w:lineRule="auto"/>
        <w:ind w:right="1757"/>
      </w:pPr>
      <w:r>
        <w:t>Aune,</w:t>
      </w:r>
      <w:r>
        <w:rPr>
          <w:spacing w:val="-1"/>
        </w:rPr>
        <w:t xml:space="preserve"> </w:t>
      </w:r>
      <w:r>
        <w:t>D.,</w:t>
      </w:r>
      <w:r>
        <w:rPr>
          <w:spacing w:val="-1"/>
        </w:rPr>
        <w:t xml:space="preserve"> </w:t>
      </w:r>
      <w:r>
        <w:t>Sen,</w:t>
      </w:r>
      <w:r>
        <w:rPr>
          <w:spacing w:val="-1"/>
        </w:rPr>
        <w:t xml:space="preserve"> </w:t>
      </w:r>
      <w:r>
        <w:t>A.,</w:t>
      </w:r>
      <w:r>
        <w:rPr>
          <w:spacing w:val="-3"/>
        </w:rPr>
        <w:t xml:space="preserve"> </w:t>
      </w:r>
      <w:r>
        <w:t>Prasad,</w:t>
      </w:r>
      <w:r>
        <w:rPr>
          <w:spacing w:val="-3"/>
        </w:rPr>
        <w:t xml:space="preserve"> </w:t>
      </w:r>
      <w:r>
        <w:t>M.,</w:t>
      </w:r>
      <w:r>
        <w:rPr>
          <w:spacing w:val="-1"/>
        </w:rPr>
        <w:t xml:space="preserve"> </w:t>
      </w:r>
      <w:r>
        <w:t>Norat,</w:t>
      </w:r>
      <w:r>
        <w:rPr>
          <w:spacing w:val="-3"/>
        </w:rPr>
        <w:t xml:space="preserve"> </w:t>
      </w:r>
      <w:r>
        <w:t>T.,</w:t>
      </w:r>
      <w:r>
        <w:rPr>
          <w:spacing w:val="-1"/>
        </w:rPr>
        <w:t xml:space="preserve"> </w:t>
      </w:r>
      <w:r>
        <w:t>Janszky,</w:t>
      </w:r>
      <w:r>
        <w:rPr>
          <w:spacing w:val="-4"/>
        </w:rPr>
        <w:t xml:space="preserve"> </w:t>
      </w:r>
      <w:r>
        <w:t>I.,</w:t>
      </w:r>
      <w:r>
        <w:rPr>
          <w:spacing w:val="-1"/>
        </w:rPr>
        <w:t xml:space="preserve"> </w:t>
      </w:r>
      <w:r>
        <w:t>Tonstad,</w:t>
      </w:r>
      <w:r>
        <w:rPr>
          <w:spacing w:val="-1"/>
        </w:rPr>
        <w:t xml:space="preserve"> </w:t>
      </w:r>
      <w:r>
        <w:t>S.,</w:t>
      </w:r>
      <w:r>
        <w:rPr>
          <w:spacing w:val="-1"/>
        </w:rPr>
        <w:t xml:space="preserve"> </w:t>
      </w:r>
      <w:r>
        <w:t>Romundstad,</w:t>
      </w:r>
      <w:r>
        <w:rPr>
          <w:spacing w:val="-4"/>
        </w:rPr>
        <w:t xml:space="preserve"> </w:t>
      </w:r>
      <w:r>
        <w:t>P.,</w:t>
      </w:r>
      <w:r>
        <w:rPr>
          <w:spacing w:val="-6"/>
        </w:rPr>
        <w:t xml:space="preserve"> </w:t>
      </w:r>
      <w:r>
        <w:t xml:space="preserve">&amp; </w:t>
      </w:r>
      <w:proofErr w:type="spellStart"/>
      <w:r>
        <w:t>Vatten</w:t>
      </w:r>
      <w:proofErr w:type="spellEnd"/>
      <w:r>
        <w:t>,</w:t>
      </w:r>
      <w:r>
        <w:rPr>
          <w:spacing w:val="-1"/>
        </w:rPr>
        <w:t xml:space="preserve"> </w:t>
      </w:r>
      <w:r>
        <w:t>L.</w:t>
      </w:r>
      <w:r>
        <w:rPr>
          <w:spacing w:val="-4"/>
        </w:rPr>
        <w:t xml:space="preserve"> </w:t>
      </w:r>
      <w:r>
        <w:t xml:space="preserve">J. (2016). BMI and </w:t>
      </w:r>
      <w:proofErr w:type="spellStart"/>
      <w:r>
        <w:t>all cause</w:t>
      </w:r>
      <w:proofErr w:type="spellEnd"/>
      <w:r>
        <w:t xml:space="preserve"> mortality: systematic review and non-linear dose-response meta-analysis of 230 cohort studies with 3.74 million deaths among 30.3 million participants. </w:t>
      </w:r>
      <w:r>
        <w:rPr>
          <w:i/>
        </w:rPr>
        <w:t>BMJ (Clinical research ed.)</w:t>
      </w:r>
      <w:r>
        <w:t xml:space="preserve">, </w:t>
      </w:r>
      <w:r>
        <w:rPr>
          <w:i/>
        </w:rPr>
        <w:t>353</w:t>
      </w:r>
      <w:r>
        <w:t xml:space="preserve">, i2156. </w:t>
      </w:r>
      <w:hyperlink r:id="rId41">
        <w:r w:rsidR="00E13D3F">
          <w:rPr>
            <w:u w:val="single"/>
          </w:rPr>
          <w:t>https://doi.org/10.1136/bmj.i2156</w:t>
        </w:r>
      </w:hyperlink>
    </w:p>
    <w:p w14:paraId="7A4C31DD" w14:textId="77777777" w:rsidR="00E13D3F" w:rsidRDefault="00FB2D6A" w:rsidP="00990D2B">
      <w:pPr>
        <w:pStyle w:val="ListParagraph"/>
        <w:numPr>
          <w:ilvl w:val="0"/>
          <w:numId w:val="27"/>
        </w:numPr>
        <w:tabs>
          <w:tab w:val="left" w:pos="1800"/>
        </w:tabs>
        <w:spacing w:line="276" w:lineRule="auto"/>
        <w:ind w:right="1696"/>
      </w:pPr>
      <w:r>
        <w:t>Nguyen, N. T., Magno, C. P., Lane, K. T., Hinojosa, M. W., &amp; Lane, J. S. (2008). Association of hypertension,</w:t>
      </w:r>
      <w:r>
        <w:rPr>
          <w:spacing w:val="-3"/>
        </w:rPr>
        <w:t xml:space="preserve"> </w:t>
      </w:r>
      <w:r>
        <w:t>diabetes,</w:t>
      </w:r>
      <w:r>
        <w:rPr>
          <w:spacing w:val="-3"/>
        </w:rPr>
        <w:t xml:space="preserve"> </w:t>
      </w:r>
      <w:r>
        <w:t>dyslipidemia,</w:t>
      </w:r>
      <w:r>
        <w:rPr>
          <w:spacing w:val="-3"/>
        </w:rPr>
        <w:t xml:space="preserve"> </w:t>
      </w:r>
      <w:r>
        <w:t>and</w:t>
      </w:r>
      <w:r>
        <w:rPr>
          <w:spacing w:val="-6"/>
        </w:rPr>
        <w:t xml:space="preserve"> </w:t>
      </w:r>
      <w:r>
        <w:t>metabolic</w:t>
      </w:r>
      <w:r>
        <w:rPr>
          <w:spacing w:val="-3"/>
        </w:rPr>
        <w:t xml:space="preserve"> </w:t>
      </w:r>
      <w:r>
        <w:t>syndrome</w:t>
      </w:r>
      <w:r>
        <w:rPr>
          <w:spacing w:val="-5"/>
        </w:rPr>
        <w:t xml:space="preserve"> </w:t>
      </w:r>
      <w:r>
        <w:t>with</w:t>
      </w:r>
      <w:r>
        <w:rPr>
          <w:spacing w:val="-5"/>
        </w:rPr>
        <w:t xml:space="preserve"> </w:t>
      </w:r>
      <w:r>
        <w:t>obesity:</w:t>
      </w:r>
      <w:r>
        <w:rPr>
          <w:spacing w:val="-5"/>
        </w:rPr>
        <w:t xml:space="preserve"> </w:t>
      </w:r>
      <w:r>
        <w:t>findings</w:t>
      </w:r>
      <w:r>
        <w:rPr>
          <w:spacing w:val="-3"/>
        </w:rPr>
        <w:t xml:space="preserve"> </w:t>
      </w:r>
      <w:r>
        <w:t>from</w:t>
      </w:r>
      <w:r>
        <w:rPr>
          <w:spacing w:val="-2"/>
        </w:rPr>
        <w:t xml:space="preserve"> </w:t>
      </w:r>
      <w:r>
        <w:t xml:space="preserve">the National Health and Nutrition Examination Survey, 1999 to 2004. </w:t>
      </w:r>
      <w:r>
        <w:rPr>
          <w:i/>
        </w:rPr>
        <w:t>Journal of the American College of Surgeons</w:t>
      </w:r>
      <w:r>
        <w:t xml:space="preserve">, </w:t>
      </w:r>
      <w:r>
        <w:rPr>
          <w:i/>
        </w:rPr>
        <w:t>207</w:t>
      </w:r>
      <w:r>
        <w:t xml:space="preserve">(6), 928–934. </w:t>
      </w:r>
      <w:hyperlink r:id="rId42">
        <w:r w:rsidR="00E13D3F">
          <w:t>https://doi.org/10.1016/j.jamcollsurg.2008.08.022</w:t>
        </w:r>
      </w:hyperlink>
    </w:p>
    <w:p w14:paraId="7A4C31DE" w14:textId="77777777" w:rsidR="00E13D3F" w:rsidRDefault="00FB2D6A" w:rsidP="00990D2B">
      <w:pPr>
        <w:pStyle w:val="ListParagraph"/>
        <w:numPr>
          <w:ilvl w:val="0"/>
          <w:numId w:val="27"/>
        </w:numPr>
        <w:tabs>
          <w:tab w:val="left" w:pos="1799"/>
        </w:tabs>
        <w:spacing w:line="295" w:lineRule="exact"/>
        <w:ind w:left="1799" w:hanging="359"/>
      </w:pPr>
      <w:r>
        <w:t>Field,</w:t>
      </w:r>
      <w:r>
        <w:rPr>
          <w:spacing w:val="-3"/>
        </w:rPr>
        <w:t xml:space="preserve"> </w:t>
      </w:r>
      <w:r>
        <w:t>A.</w:t>
      </w:r>
      <w:r>
        <w:rPr>
          <w:spacing w:val="-2"/>
        </w:rPr>
        <w:t xml:space="preserve"> </w:t>
      </w:r>
      <w:r>
        <w:t>E.,</w:t>
      </w:r>
      <w:r>
        <w:rPr>
          <w:spacing w:val="-2"/>
        </w:rPr>
        <w:t xml:space="preserve"> </w:t>
      </w:r>
      <w:r>
        <w:t>Coakley,</w:t>
      </w:r>
      <w:r>
        <w:rPr>
          <w:spacing w:val="-4"/>
        </w:rPr>
        <w:t xml:space="preserve"> </w:t>
      </w:r>
      <w:r>
        <w:t>E.</w:t>
      </w:r>
      <w:r>
        <w:rPr>
          <w:spacing w:val="-2"/>
        </w:rPr>
        <w:t xml:space="preserve"> </w:t>
      </w:r>
      <w:r>
        <w:t>H.,</w:t>
      </w:r>
      <w:r>
        <w:rPr>
          <w:spacing w:val="-4"/>
        </w:rPr>
        <w:t xml:space="preserve"> </w:t>
      </w:r>
      <w:r>
        <w:t>Must,</w:t>
      </w:r>
      <w:r>
        <w:rPr>
          <w:spacing w:val="-1"/>
        </w:rPr>
        <w:t xml:space="preserve"> </w:t>
      </w:r>
      <w:r>
        <w:t>A.,</w:t>
      </w:r>
      <w:r>
        <w:rPr>
          <w:spacing w:val="-5"/>
        </w:rPr>
        <w:t xml:space="preserve"> </w:t>
      </w:r>
      <w:proofErr w:type="spellStart"/>
      <w:r>
        <w:t>Spadano</w:t>
      </w:r>
      <w:proofErr w:type="spellEnd"/>
      <w:r>
        <w:t>,</w:t>
      </w:r>
      <w:r>
        <w:rPr>
          <w:spacing w:val="-2"/>
        </w:rPr>
        <w:t xml:space="preserve"> </w:t>
      </w:r>
      <w:r>
        <w:t>J.</w:t>
      </w:r>
      <w:r>
        <w:rPr>
          <w:spacing w:val="-3"/>
        </w:rPr>
        <w:t xml:space="preserve"> </w:t>
      </w:r>
      <w:r>
        <w:t>L.,</w:t>
      </w:r>
      <w:r>
        <w:rPr>
          <w:spacing w:val="-3"/>
        </w:rPr>
        <w:t xml:space="preserve"> </w:t>
      </w:r>
      <w:r>
        <w:t>Laird,</w:t>
      </w:r>
      <w:r>
        <w:rPr>
          <w:spacing w:val="-2"/>
        </w:rPr>
        <w:t xml:space="preserve"> </w:t>
      </w:r>
      <w:r>
        <w:t>N.,</w:t>
      </w:r>
      <w:r>
        <w:rPr>
          <w:spacing w:val="-2"/>
        </w:rPr>
        <w:t xml:space="preserve"> </w:t>
      </w:r>
      <w:r>
        <w:t>Dietz,</w:t>
      </w:r>
      <w:r>
        <w:rPr>
          <w:spacing w:val="-2"/>
        </w:rPr>
        <w:t xml:space="preserve"> </w:t>
      </w:r>
      <w:r>
        <w:t>W.</w:t>
      </w:r>
      <w:r>
        <w:rPr>
          <w:spacing w:val="-2"/>
        </w:rPr>
        <w:t xml:space="preserve"> </w:t>
      </w:r>
      <w:r>
        <w:t>H.,</w:t>
      </w:r>
      <w:r>
        <w:rPr>
          <w:spacing w:val="-5"/>
        </w:rPr>
        <w:t xml:space="preserve"> </w:t>
      </w:r>
      <w:r>
        <w:t>Rimm,</w:t>
      </w:r>
      <w:r>
        <w:rPr>
          <w:spacing w:val="-7"/>
        </w:rPr>
        <w:t xml:space="preserve"> </w:t>
      </w:r>
      <w:r>
        <w:t>E.,</w:t>
      </w:r>
      <w:r>
        <w:rPr>
          <w:spacing w:val="-2"/>
        </w:rPr>
        <w:t xml:space="preserve"> </w:t>
      </w:r>
      <w:r>
        <w:t>&amp;</w:t>
      </w:r>
      <w:r>
        <w:rPr>
          <w:spacing w:val="-2"/>
        </w:rPr>
        <w:t xml:space="preserve"> </w:t>
      </w:r>
      <w:r>
        <w:t>Colditz,</w:t>
      </w:r>
      <w:r>
        <w:rPr>
          <w:spacing w:val="-2"/>
        </w:rPr>
        <w:t xml:space="preserve"> </w:t>
      </w:r>
      <w:r>
        <w:rPr>
          <w:spacing w:val="-5"/>
        </w:rPr>
        <w:t>G.</w:t>
      </w:r>
    </w:p>
    <w:p w14:paraId="7A4C31DF" w14:textId="77777777" w:rsidR="00E13D3F" w:rsidRDefault="00FB2D6A" w:rsidP="00990D2B">
      <w:pPr>
        <w:pStyle w:val="ListParagraph"/>
        <w:numPr>
          <w:ilvl w:val="1"/>
          <w:numId w:val="27"/>
        </w:numPr>
        <w:tabs>
          <w:tab w:val="left" w:pos="2030"/>
        </w:tabs>
        <w:spacing w:before="34" w:line="276" w:lineRule="auto"/>
        <w:ind w:left="1800" w:right="1535" w:firstLine="0"/>
      </w:pPr>
      <w:r>
        <w:t>(2001).</w:t>
      </w:r>
      <w:r>
        <w:rPr>
          <w:spacing w:val="-2"/>
        </w:rPr>
        <w:t xml:space="preserve"> </w:t>
      </w:r>
      <w:r>
        <w:t>Impact</w:t>
      </w:r>
      <w:r>
        <w:rPr>
          <w:spacing w:val="-4"/>
        </w:rPr>
        <w:t xml:space="preserve"> </w:t>
      </w:r>
      <w:r>
        <w:t>of</w:t>
      </w:r>
      <w:r>
        <w:rPr>
          <w:spacing w:val="-4"/>
        </w:rPr>
        <w:t xml:space="preserve"> </w:t>
      </w:r>
      <w:r>
        <w:t>overweight</w:t>
      </w:r>
      <w:r>
        <w:rPr>
          <w:spacing w:val="-2"/>
        </w:rPr>
        <w:t xml:space="preserve"> </w:t>
      </w:r>
      <w:r>
        <w:t>on</w:t>
      </w:r>
      <w:r>
        <w:rPr>
          <w:spacing w:val="-5"/>
        </w:rPr>
        <w:t xml:space="preserve"> </w:t>
      </w:r>
      <w:r>
        <w:t>the</w:t>
      </w:r>
      <w:r>
        <w:rPr>
          <w:spacing w:val="-2"/>
        </w:rPr>
        <w:t xml:space="preserve"> </w:t>
      </w:r>
      <w:r>
        <w:t>risk</w:t>
      </w:r>
      <w:r>
        <w:rPr>
          <w:spacing w:val="-4"/>
        </w:rPr>
        <w:t xml:space="preserve"> </w:t>
      </w:r>
      <w:r>
        <w:t>of</w:t>
      </w:r>
      <w:r>
        <w:rPr>
          <w:spacing w:val="-2"/>
        </w:rPr>
        <w:t xml:space="preserve"> </w:t>
      </w:r>
      <w:r>
        <w:t>developing</w:t>
      </w:r>
      <w:r>
        <w:rPr>
          <w:spacing w:val="-3"/>
        </w:rPr>
        <w:t xml:space="preserve"> </w:t>
      </w:r>
      <w:r>
        <w:t>common</w:t>
      </w:r>
      <w:r>
        <w:rPr>
          <w:spacing w:val="-3"/>
        </w:rPr>
        <w:t xml:space="preserve"> </w:t>
      </w:r>
      <w:r>
        <w:t>chronic</w:t>
      </w:r>
      <w:r>
        <w:rPr>
          <w:spacing w:val="-2"/>
        </w:rPr>
        <w:t xml:space="preserve"> </w:t>
      </w:r>
      <w:r>
        <w:t>diseases</w:t>
      </w:r>
      <w:r>
        <w:rPr>
          <w:spacing w:val="-1"/>
        </w:rPr>
        <w:t xml:space="preserve"> </w:t>
      </w:r>
      <w:r>
        <w:t>during</w:t>
      </w:r>
      <w:r>
        <w:rPr>
          <w:spacing w:val="-3"/>
        </w:rPr>
        <w:t xml:space="preserve"> </w:t>
      </w:r>
      <w:r>
        <w:t>a</w:t>
      </w:r>
      <w:r>
        <w:rPr>
          <w:spacing w:val="-2"/>
        </w:rPr>
        <w:t xml:space="preserve"> </w:t>
      </w:r>
      <w:r>
        <w:t xml:space="preserve">10-year period. </w:t>
      </w:r>
      <w:r>
        <w:rPr>
          <w:i/>
        </w:rPr>
        <w:t>Archives of internal medicine</w:t>
      </w:r>
      <w:r>
        <w:t xml:space="preserve">, </w:t>
      </w:r>
      <w:r>
        <w:rPr>
          <w:i/>
        </w:rPr>
        <w:t>161</w:t>
      </w:r>
      <w:r>
        <w:t xml:space="preserve">(13), 1581–1586. </w:t>
      </w:r>
      <w:hyperlink r:id="rId43">
        <w:r w:rsidR="00E13D3F">
          <w:rPr>
            <w:spacing w:val="-2"/>
            <w:u w:val="single"/>
          </w:rPr>
          <w:t>https://doi.org/10.1001/archinte.161.13.1581</w:t>
        </w:r>
      </w:hyperlink>
    </w:p>
    <w:p w14:paraId="7A4C31E0" w14:textId="77777777" w:rsidR="00E13D3F" w:rsidRDefault="00FB2D6A" w:rsidP="00990D2B">
      <w:pPr>
        <w:pStyle w:val="ListParagraph"/>
        <w:numPr>
          <w:ilvl w:val="0"/>
          <w:numId w:val="27"/>
        </w:numPr>
        <w:tabs>
          <w:tab w:val="left" w:pos="1800"/>
        </w:tabs>
        <w:spacing w:before="1" w:line="271" w:lineRule="auto"/>
        <w:ind w:right="1502"/>
      </w:pPr>
      <w:r>
        <w:t>GBD</w:t>
      </w:r>
      <w:r>
        <w:rPr>
          <w:spacing w:val="-4"/>
        </w:rPr>
        <w:t xml:space="preserve"> </w:t>
      </w:r>
      <w:r>
        <w:t>2015</w:t>
      </w:r>
      <w:r>
        <w:rPr>
          <w:spacing w:val="-4"/>
        </w:rPr>
        <w:t xml:space="preserve"> </w:t>
      </w:r>
      <w:r>
        <w:t>Obesity</w:t>
      </w:r>
      <w:r>
        <w:rPr>
          <w:spacing w:val="-1"/>
        </w:rPr>
        <w:t xml:space="preserve"> </w:t>
      </w:r>
      <w:r>
        <w:t>Collaborators,</w:t>
      </w:r>
      <w:r>
        <w:rPr>
          <w:spacing w:val="-5"/>
        </w:rPr>
        <w:t xml:space="preserve"> </w:t>
      </w:r>
      <w:r>
        <w:t>Afshin,</w:t>
      </w:r>
      <w:r>
        <w:rPr>
          <w:spacing w:val="-2"/>
        </w:rPr>
        <w:t xml:space="preserve"> </w:t>
      </w:r>
      <w:r>
        <w:t>A.,</w:t>
      </w:r>
      <w:r>
        <w:rPr>
          <w:spacing w:val="-2"/>
        </w:rPr>
        <w:t xml:space="preserve"> </w:t>
      </w:r>
      <w:proofErr w:type="spellStart"/>
      <w:r>
        <w:t>Forouzanfar</w:t>
      </w:r>
      <w:proofErr w:type="spellEnd"/>
      <w:r>
        <w:t>,</w:t>
      </w:r>
      <w:r>
        <w:rPr>
          <w:spacing w:val="-2"/>
        </w:rPr>
        <w:t xml:space="preserve"> </w:t>
      </w:r>
      <w:r>
        <w:t>M.</w:t>
      </w:r>
      <w:r>
        <w:rPr>
          <w:spacing w:val="-2"/>
        </w:rPr>
        <w:t xml:space="preserve"> </w:t>
      </w:r>
      <w:r>
        <w:t>H.,</w:t>
      </w:r>
      <w:r>
        <w:rPr>
          <w:spacing w:val="-5"/>
        </w:rPr>
        <w:t xml:space="preserve"> </w:t>
      </w:r>
      <w:r>
        <w:t>Reitsma,</w:t>
      </w:r>
      <w:r>
        <w:rPr>
          <w:spacing w:val="-5"/>
        </w:rPr>
        <w:t xml:space="preserve"> </w:t>
      </w:r>
      <w:r>
        <w:t>M.</w:t>
      </w:r>
      <w:r>
        <w:rPr>
          <w:spacing w:val="-5"/>
        </w:rPr>
        <w:t xml:space="preserve"> </w:t>
      </w:r>
      <w:r>
        <w:t>B.,</w:t>
      </w:r>
      <w:r>
        <w:rPr>
          <w:spacing w:val="-2"/>
        </w:rPr>
        <w:t xml:space="preserve"> </w:t>
      </w:r>
      <w:r>
        <w:t>Sur,</w:t>
      </w:r>
      <w:r>
        <w:rPr>
          <w:spacing w:val="-2"/>
        </w:rPr>
        <w:t xml:space="preserve"> </w:t>
      </w:r>
      <w:r>
        <w:t>P.,</w:t>
      </w:r>
      <w:r>
        <w:rPr>
          <w:spacing w:val="-2"/>
        </w:rPr>
        <w:t xml:space="preserve"> </w:t>
      </w:r>
      <w:r>
        <w:t>Estep,</w:t>
      </w:r>
      <w:r>
        <w:rPr>
          <w:spacing w:val="-4"/>
        </w:rPr>
        <w:t xml:space="preserve"> </w:t>
      </w:r>
      <w:r>
        <w:t>K., Lee, A., Marczak, L., Mokdad, A. H., Moradi-</w:t>
      </w:r>
      <w:proofErr w:type="spellStart"/>
      <w:r>
        <w:t>Lakeh</w:t>
      </w:r>
      <w:proofErr w:type="spellEnd"/>
      <w:r>
        <w:t xml:space="preserve">, M., </w:t>
      </w:r>
      <w:proofErr w:type="spellStart"/>
      <w:r>
        <w:t>Naghavi</w:t>
      </w:r>
      <w:proofErr w:type="spellEnd"/>
      <w:r>
        <w:t>, M., Salama, J. S., Vos, T., Abate,</w:t>
      </w:r>
    </w:p>
    <w:p w14:paraId="7A4C31E1" w14:textId="77777777" w:rsidR="00E13D3F" w:rsidRDefault="00FB2D6A">
      <w:pPr>
        <w:spacing w:before="7" w:line="276" w:lineRule="auto"/>
        <w:ind w:left="1800" w:right="1450"/>
      </w:pPr>
      <w:r>
        <w:t>K.</w:t>
      </w:r>
      <w:r>
        <w:rPr>
          <w:spacing w:val="-1"/>
        </w:rPr>
        <w:t xml:space="preserve"> </w:t>
      </w:r>
      <w:r>
        <w:t>H.,</w:t>
      </w:r>
      <w:r>
        <w:rPr>
          <w:spacing w:val="-1"/>
        </w:rPr>
        <w:t xml:space="preserve"> </w:t>
      </w:r>
      <w:proofErr w:type="spellStart"/>
      <w:r>
        <w:t>Abbafati</w:t>
      </w:r>
      <w:proofErr w:type="spellEnd"/>
      <w:r>
        <w:t>,</w:t>
      </w:r>
      <w:r>
        <w:rPr>
          <w:spacing w:val="-1"/>
        </w:rPr>
        <w:t xml:space="preserve"> </w:t>
      </w:r>
      <w:r>
        <w:t>C.,</w:t>
      </w:r>
      <w:r>
        <w:rPr>
          <w:spacing w:val="-4"/>
        </w:rPr>
        <w:t xml:space="preserve"> </w:t>
      </w:r>
      <w:r>
        <w:t>Ahmed,</w:t>
      </w:r>
      <w:r>
        <w:rPr>
          <w:spacing w:val="-6"/>
        </w:rPr>
        <w:t xml:space="preserve"> </w:t>
      </w:r>
      <w:r>
        <w:t>M.</w:t>
      </w:r>
      <w:r>
        <w:rPr>
          <w:spacing w:val="-1"/>
        </w:rPr>
        <w:t xml:space="preserve"> </w:t>
      </w:r>
      <w:r>
        <w:t>B.,</w:t>
      </w:r>
      <w:r>
        <w:rPr>
          <w:spacing w:val="-1"/>
        </w:rPr>
        <w:t xml:space="preserve"> </w:t>
      </w:r>
      <w:r>
        <w:t>Al-Aly,</w:t>
      </w:r>
      <w:r>
        <w:rPr>
          <w:spacing w:val="-1"/>
        </w:rPr>
        <w:t xml:space="preserve"> </w:t>
      </w:r>
      <w:r>
        <w:t>Z.,</w:t>
      </w:r>
      <w:r>
        <w:rPr>
          <w:spacing w:val="-1"/>
        </w:rPr>
        <w:t xml:space="preserve"> </w:t>
      </w:r>
      <w:proofErr w:type="spellStart"/>
      <w:r>
        <w:t>Alkerwi</w:t>
      </w:r>
      <w:proofErr w:type="spellEnd"/>
      <w:r>
        <w:t>,</w:t>
      </w:r>
      <w:r>
        <w:rPr>
          <w:spacing w:val="-4"/>
        </w:rPr>
        <w:t xml:space="preserve"> </w:t>
      </w:r>
      <w:r>
        <w:t>A.,</w:t>
      </w:r>
      <w:r>
        <w:rPr>
          <w:spacing w:val="-1"/>
        </w:rPr>
        <w:t xml:space="preserve"> </w:t>
      </w:r>
      <w:r>
        <w:t>Al-</w:t>
      </w:r>
      <w:proofErr w:type="spellStart"/>
      <w:r>
        <w:t>Raddadi</w:t>
      </w:r>
      <w:proofErr w:type="spellEnd"/>
      <w:r>
        <w:t>,</w:t>
      </w:r>
      <w:r>
        <w:rPr>
          <w:spacing w:val="-1"/>
        </w:rPr>
        <w:t xml:space="preserve"> </w:t>
      </w:r>
      <w:r>
        <w:t>R.,</w:t>
      </w:r>
      <w:r>
        <w:rPr>
          <w:spacing w:val="-1"/>
        </w:rPr>
        <w:t xml:space="preserve"> </w:t>
      </w:r>
      <w:r>
        <w:t>Amare,</w:t>
      </w:r>
      <w:r>
        <w:rPr>
          <w:spacing w:val="-4"/>
        </w:rPr>
        <w:t xml:space="preserve"> </w:t>
      </w:r>
      <w:r>
        <w:t>A.</w:t>
      </w:r>
      <w:r>
        <w:rPr>
          <w:spacing w:val="-4"/>
        </w:rPr>
        <w:t xml:space="preserve"> </w:t>
      </w:r>
      <w:r>
        <w:t>T.,</w:t>
      </w:r>
      <w:r>
        <w:rPr>
          <w:spacing w:val="-1"/>
        </w:rPr>
        <w:t xml:space="preserve"> </w:t>
      </w:r>
      <w:r>
        <w:t>…</w:t>
      </w:r>
      <w:r>
        <w:rPr>
          <w:spacing w:val="-1"/>
        </w:rPr>
        <w:t xml:space="preserve"> </w:t>
      </w:r>
      <w:r>
        <w:t>Murray,</w:t>
      </w:r>
      <w:r>
        <w:rPr>
          <w:spacing w:val="-1"/>
        </w:rPr>
        <w:t xml:space="preserve"> </w:t>
      </w:r>
      <w:r>
        <w:t xml:space="preserve">C. (2017). Health Effects of Overweight and Obesity in 195 Countries over 25 Years. </w:t>
      </w:r>
      <w:r>
        <w:rPr>
          <w:i/>
        </w:rPr>
        <w:t>The New England journal of medicine</w:t>
      </w:r>
      <w:r>
        <w:t xml:space="preserve">, </w:t>
      </w:r>
      <w:r>
        <w:rPr>
          <w:i/>
        </w:rPr>
        <w:t>377</w:t>
      </w:r>
      <w:r>
        <w:t xml:space="preserve">(1), 13–27. </w:t>
      </w:r>
      <w:hyperlink r:id="rId44">
        <w:r w:rsidR="00E13D3F">
          <w:rPr>
            <w:u w:val="single"/>
          </w:rPr>
          <w:t>https://doi.org/10.1056/NEJMoa1614362</w:t>
        </w:r>
      </w:hyperlink>
    </w:p>
    <w:p w14:paraId="7A4C31E2" w14:textId="77777777" w:rsidR="00E13D3F" w:rsidRDefault="00FB2D6A" w:rsidP="00990D2B">
      <w:pPr>
        <w:pStyle w:val="ListParagraph"/>
        <w:numPr>
          <w:ilvl w:val="0"/>
          <w:numId w:val="27"/>
        </w:numPr>
        <w:tabs>
          <w:tab w:val="left" w:pos="1799"/>
        </w:tabs>
        <w:spacing w:before="1"/>
        <w:ind w:left="1799" w:hanging="359"/>
      </w:pPr>
      <w:r>
        <w:t>The</w:t>
      </w:r>
      <w:r>
        <w:rPr>
          <w:spacing w:val="-7"/>
        </w:rPr>
        <w:t xml:space="preserve"> </w:t>
      </w:r>
      <w:r>
        <w:t>Royal</w:t>
      </w:r>
      <w:r>
        <w:rPr>
          <w:spacing w:val="-7"/>
        </w:rPr>
        <w:t xml:space="preserve"> </w:t>
      </w:r>
      <w:r>
        <w:t>Australian</w:t>
      </w:r>
      <w:r>
        <w:rPr>
          <w:spacing w:val="-5"/>
        </w:rPr>
        <w:t xml:space="preserve"> </w:t>
      </w:r>
      <w:r>
        <w:t>College</w:t>
      </w:r>
      <w:r>
        <w:rPr>
          <w:spacing w:val="-4"/>
        </w:rPr>
        <w:t xml:space="preserve"> </w:t>
      </w:r>
      <w:r>
        <w:t>of</w:t>
      </w:r>
      <w:r>
        <w:rPr>
          <w:spacing w:val="-7"/>
        </w:rPr>
        <w:t xml:space="preserve"> </w:t>
      </w:r>
      <w:r>
        <w:t>General</w:t>
      </w:r>
      <w:r>
        <w:rPr>
          <w:spacing w:val="-4"/>
        </w:rPr>
        <w:t xml:space="preserve"> </w:t>
      </w:r>
      <w:r>
        <w:t>Practitioners.</w:t>
      </w:r>
      <w:r>
        <w:rPr>
          <w:spacing w:val="-7"/>
        </w:rPr>
        <w:t xml:space="preserve"> </w:t>
      </w:r>
      <w:r>
        <w:t>Guidelines</w:t>
      </w:r>
      <w:r>
        <w:rPr>
          <w:spacing w:val="-3"/>
        </w:rPr>
        <w:t xml:space="preserve"> </w:t>
      </w:r>
      <w:r>
        <w:t>for</w:t>
      </w:r>
      <w:r>
        <w:rPr>
          <w:spacing w:val="-7"/>
        </w:rPr>
        <w:t xml:space="preserve"> </w:t>
      </w:r>
      <w:r>
        <w:t>preventive</w:t>
      </w:r>
      <w:r>
        <w:rPr>
          <w:spacing w:val="-4"/>
        </w:rPr>
        <w:t xml:space="preserve"> </w:t>
      </w:r>
      <w:r>
        <w:t>activities</w:t>
      </w:r>
      <w:r>
        <w:rPr>
          <w:spacing w:val="-3"/>
        </w:rPr>
        <w:t xml:space="preserve"> </w:t>
      </w:r>
      <w:r>
        <w:rPr>
          <w:spacing w:val="-5"/>
        </w:rPr>
        <w:t>in</w:t>
      </w:r>
    </w:p>
    <w:p w14:paraId="7A4C31E3" w14:textId="77777777" w:rsidR="00E13D3F" w:rsidRDefault="00FB2D6A">
      <w:pPr>
        <w:spacing w:before="39"/>
        <w:ind w:left="1800"/>
      </w:pPr>
      <w:r>
        <w:t>general</w:t>
      </w:r>
      <w:r>
        <w:rPr>
          <w:spacing w:val="-4"/>
        </w:rPr>
        <w:t xml:space="preserve"> </w:t>
      </w:r>
      <w:r>
        <w:t>practice.</w:t>
      </w:r>
      <w:r>
        <w:rPr>
          <w:spacing w:val="-6"/>
        </w:rPr>
        <w:t xml:space="preserve"> </w:t>
      </w:r>
      <w:r>
        <w:t>9th</w:t>
      </w:r>
      <w:r>
        <w:rPr>
          <w:spacing w:val="-3"/>
        </w:rPr>
        <w:t xml:space="preserve"> </w:t>
      </w:r>
      <w:proofErr w:type="spellStart"/>
      <w:r>
        <w:t>edn</w:t>
      </w:r>
      <w:proofErr w:type="spellEnd"/>
      <w:r>
        <w:t>,</w:t>
      </w:r>
      <w:r>
        <w:rPr>
          <w:spacing w:val="-4"/>
        </w:rPr>
        <w:t xml:space="preserve"> </w:t>
      </w:r>
      <w:r>
        <w:t>updated.</w:t>
      </w:r>
      <w:r>
        <w:rPr>
          <w:spacing w:val="-3"/>
        </w:rPr>
        <w:t xml:space="preserve"> </w:t>
      </w:r>
      <w:r>
        <w:t>East</w:t>
      </w:r>
      <w:r>
        <w:rPr>
          <w:spacing w:val="-6"/>
        </w:rPr>
        <w:t xml:space="preserve"> </w:t>
      </w:r>
      <w:r>
        <w:t>Melbourne,</w:t>
      </w:r>
      <w:r>
        <w:rPr>
          <w:spacing w:val="-3"/>
        </w:rPr>
        <w:t xml:space="preserve"> </w:t>
      </w:r>
      <w:r>
        <w:t>VIC:</w:t>
      </w:r>
      <w:r>
        <w:rPr>
          <w:spacing w:val="-4"/>
        </w:rPr>
        <w:t xml:space="preserve"> </w:t>
      </w:r>
      <w:r>
        <w:t>RACGP,</w:t>
      </w:r>
      <w:r>
        <w:rPr>
          <w:spacing w:val="-5"/>
        </w:rPr>
        <w:t xml:space="preserve"> </w:t>
      </w:r>
      <w:r>
        <w:rPr>
          <w:spacing w:val="-2"/>
        </w:rPr>
        <w:t>2021.</w:t>
      </w:r>
    </w:p>
    <w:p w14:paraId="7A4C31E4" w14:textId="77777777" w:rsidR="00E13D3F" w:rsidRDefault="00FB2D6A" w:rsidP="00990D2B">
      <w:pPr>
        <w:pStyle w:val="ListParagraph"/>
        <w:numPr>
          <w:ilvl w:val="0"/>
          <w:numId w:val="27"/>
        </w:numPr>
        <w:tabs>
          <w:tab w:val="left" w:pos="1800"/>
        </w:tabs>
        <w:spacing w:before="42" w:line="273" w:lineRule="auto"/>
        <w:ind w:right="1535"/>
      </w:pPr>
      <w:r>
        <w:rPr>
          <w:color w:val="202020"/>
        </w:rPr>
        <w:t xml:space="preserve">Brauer, P., </w:t>
      </w:r>
      <w:proofErr w:type="spellStart"/>
      <w:r>
        <w:rPr>
          <w:color w:val="202020"/>
        </w:rPr>
        <w:t>Gorber</w:t>
      </w:r>
      <w:proofErr w:type="spellEnd"/>
      <w:r>
        <w:rPr>
          <w:color w:val="202020"/>
        </w:rPr>
        <w:t>, S. C., Shaw, E., Singh, H., Bell, N., Shane, A., Jaramillo, A., Tonelli, M., &amp; Canadian Task Force on Preventive Health Care (2015). Recommendations for prevention of weight</w:t>
      </w:r>
      <w:r>
        <w:rPr>
          <w:color w:val="202020"/>
          <w:spacing w:val="-2"/>
        </w:rPr>
        <w:t xml:space="preserve"> </w:t>
      </w:r>
      <w:r>
        <w:rPr>
          <w:color w:val="202020"/>
        </w:rPr>
        <w:t>gain</w:t>
      </w:r>
      <w:r>
        <w:rPr>
          <w:color w:val="202020"/>
          <w:spacing w:val="-4"/>
        </w:rPr>
        <w:t xml:space="preserve"> </w:t>
      </w:r>
      <w:r>
        <w:rPr>
          <w:color w:val="202020"/>
        </w:rPr>
        <w:t>and</w:t>
      </w:r>
      <w:r>
        <w:rPr>
          <w:color w:val="202020"/>
          <w:spacing w:val="-4"/>
        </w:rPr>
        <w:t xml:space="preserve"> </w:t>
      </w:r>
      <w:r>
        <w:rPr>
          <w:color w:val="202020"/>
        </w:rPr>
        <w:t>use</w:t>
      </w:r>
      <w:r>
        <w:rPr>
          <w:color w:val="202020"/>
          <w:spacing w:val="-4"/>
        </w:rPr>
        <w:t xml:space="preserve"> </w:t>
      </w:r>
      <w:r>
        <w:rPr>
          <w:color w:val="202020"/>
        </w:rPr>
        <w:t>of</w:t>
      </w:r>
      <w:r>
        <w:rPr>
          <w:color w:val="202020"/>
          <w:spacing w:val="-5"/>
        </w:rPr>
        <w:t xml:space="preserve"> </w:t>
      </w:r>
      <w:proofErr w:type="spellStart"/>
      <w:r>
        <w:rPr>
          <w:color w:val="202020"/>
        </w:rPr>
        <w:t>behavioural</w:t>
      </w:r>
      <w:proofErr w:type="spellEnd"/>
      <w:r>
        <w:rPr>
          <w:color w:val="202020"/>
          <w:spacing w:val="-5"/>
        </w:rPr>
        <w:t xml:space="preserve"> </w:t>
      </w:r>
      <w:r>
        <w:rPr>
          <w:color w:val="202020"/>
        </w:rPr>
        <w:t>and</w:t>
      </w:r>
      <w:r>
        <w:rPr>
          <w:color w:val="202020"/>
          <w:spacing w:val="-3"/>
        </w:rPr>
        <w:t xml:space="preserve"> </w:t>
      </w:r>
      <w:r>
        <w:rPr>
          <w:color w:val="202020"/>
        </w:rPr>
        <w:t>pharmacologic</w:t>
      </w:r>
      <w:r>
        <w:rPr>
          <w:color w:val="202020"/>
          <w:spacing w:val="-2"/>
        </w:rPr>
        <w:t xml:space="preserve"> </w:t>
      </w:r>
      <w:r>
        <w:rPr>
          <w:color w:val="202020"/>
        </w:rPr>
        <w:t>interventions</w:t>
      </w:r>
      <w:r>
        <w:rPr>
          <w:color w:val="202020"/>
          <w:spacing w:val="-2"/>
        </w:rPr>
        <w:t xml:space="preserve"> </w:t>
      </w:r>
      <w:r>
        <w:rPr>
          <w:color w:val="202020"/>
        </w:rPr>
        <w:t>to</w:t>
      </w:r>
      <w:r>
        <w:rPr>
          <w:color w:val="202020"/>
          <w:spacing w:val="-3"/>
        </w:rPr>
        <w:t xml:space="preserve"> </w:t>
      </w:r>
      <w:r>
        <w:rPr>
          <w:color w:val="202020"/>
        </w:rPr>
        <w:t>manage</w:t>
      </w:r>
      <w:r>
        <w:rPr>
          <w:color w:val="202020"/>
          <w:spacing w:val="-6"/>
        </w:rPr>
        <w:t xml:space="preserve"> </w:t>
      </w:r>
      <w:r>
        <w:rPr>
          <w:color w:val="202020"/>
        </w:rPr>
        <w:t>overweight</w:t>
      </w:r>
      <w:r>
        <w:rPr>
          <w:color w:val="202020"/>
          <w:spacing w:val="-2"/>
        </w:rPr>
        <w:t xml:space="preserve"> </w:t>
      </w:r>
      <w:r>
        <w:rPr>
          <w:color w:val="202020"/>
        </w:rPr>
        <w:t xml:space="preserve">and obesity in adults in primary care. </w:t>
      </w:r>
      <w:r>
        <w:rPr>
          <w:i/>
          <w:color w:val="202020"/>
        </w:rPr>
        <w:t xml:space="preserve">CMAJ : Canadian Medical Association journal = journal de </w:t>
      </w:r>
      <w:proofErr w:type="spellStart"/>
      <w:r>
        <w:rPr>
          <w:i/>
          <w:color w:val="202020"/>
        </w:rPr>
        <w:t>l'Association</w:t>
      </w:r>
      <w:proofErr w:type="spellEnd"/>
      <w:r>
        <w:rPr>
          <w:i/>
          <w:color w:val="202020"/>
        </w:rPr>
        <w:t xml:space="preserve"> </w:t>
      </w:r>
      <w:proofErr w:type="spellStart"/>
      <w:r>
        <w:rPr>
          <w:i/>
          <w:color w:val="202020"/>
        </w:rPr>
        <w:t>medicale</w:t>
      </w:r>
      <w:proofErr w:type="spellEnd"/>
      <w:r>
        <w:rPr>
          <w:i/>
          <w:color w:val="202020"/>
        </w:rPr>
        <w:t xml:space="preserve"> canadienne</w:t>
      </w:r>
      <w:r>
        <w:rPr>
          <w:color w:val="202020"/>
        </w:rPr>
        <w:t xml:space="preserve">, </w:t>
      </w:r>
      <w:r>
        <w:rPr>
          <w:i/>
          <w:color w:val="202020"/>
        </w:rPr>
        <w:t>187</w:t>
      </w:r>
      <w:r>
        <w:rPr>
          <w:color w:val="202020"/>
        </w:rPr>
        <w:t xml:space="preserve">(3), 184–195. </w:t>
      </w:r>
      <w:hyperlink r:id="rId45">
        <w:r w:rsidR="00E13D3F">
          <w:rPr>
            <w:color w:val="0000FF"/>
            <w:u w:val="single" w:color="0000FF"/>
          </w:rPr>
          <w:t>https://doi.org/10.1503/cmaj.140887</w:t>
        </w:r>
      </w:hyperlink>
    </w:p>
    <w:p w14:paraId="7A4C31E5" w14:textId="77777777" w:rsidR="00E13D3F" w:rsidRDefault="00FB2D6A" w:rsidP="00990D2B">
      <w:pPr>
        <w:pStyle w:val="ListParagraph"/>
        <w:numPr>
          <w:ilvl w:val="0"/>
          <w:numId w:val="27"/>
        </w:numPr>
        <w:tabs>
          <w:tab w:val="left" w:pos="1799"/>
        </w:tabs>
        <w:spacing w:before="10"/>
        <w:ind w:left="1799" w:hanging="359"/>
      </w:pPr>
      <w:r>
        <w:rPr>
          <w:color w:val="202020"/>
        </w:rPr>
        <w:t>Aveyard,</w:t>
      </w:r>
      <w:r>
        <w:rPr>
          <w:color w:val="202020"/>
          <w:spacing w:val="-5"/>
        </w:rPr>
        <w:t xml:space="preserve"> </w:t>
      </w:r>
      <w:r>
        <w:rPr>
          <w:color w:val="202020"/>
        </w:rPr>
        <w:t>P.,</w:t>
      </w:r>
      <w:r>
        <w:rPr>
          <w:color w:val="202020"/>
          <w:spacing w:val="-6"/>
        </w:rPr>
        <w:t xml:space="preserve"> </w:t>
      </w:r>
      <w:r>
        <w:rPr>
          <w:color w:val="202020"/>
        </w:rPr>
        <w:t>Lewis,</w:t>
      </w:r>
      <w:r>
        <w:rPr>
          <w:color w:val="202020"/>
          <w:spacing w:val="-6"/>
        </w:rPr>
        <w:t xml:space="preserve"> </w:t>
      </w:r>
      <w:r>
        <w:rPr>
          <w:color w:val="202020"/>
        </w:rPr>
        <w:t>A.,</w:t>
      </w:r>
      <w:r>
        <w:rPr>
          <w:color w:val="202020"/>
          <w:spacing w:val="-2"/>
        </w:rPr>
        <w:t xml:space="preserve"> </w:t>
      </w:r>
      <w:proofErr w:type="spellStart"/>
      <w:r>
        <w:rPr>
          <w:color w:val="202020"/>
        </w:rPr>
        <w:t>Tearne</w:t>
      </w:r>
      <w:proofErr w:type="spellEnd"/>
      <w:r>
        <w:rPr>
          <w:color w:val="202020"/>
        </w:rPr>
        <w:t>,</w:t>
      </w:r>
      <w:r>
        <w:rPr>
          <w:color w:val="202020"/>
          <w:spacing w:val="-3"/>
        </w:rPr>
        <w:t xml:space="preserve"> </w:t>
      </w:r>
      <w:r>
        <w:rPr>
          <w:color w:val="202020"/>
        </w:rPr>
        <w:t>S.,</w:t>
      </w:r>
      <w:r>
        <w:rPr>
          <w:color w:val="202020"/>
          <w:spacing w:val="-3"/>
        </w:rPr>
        <w:t xml:space="preserve"> </w:t>
      </w:r>
      <w:r>
        <w:rPr>
          <w:color w:val="202020"/>
        </w:rPr>
        <w:t>Hood,</w:t>
      </w:r>
      <w:r>
        <w:rPr>
          <w:color w:val="202020"/>
          <w:spacing w:val="-5"/>
        </w:rPr>
        <w:t xml:space="preserve"> </w:t>
      </w:r>
      <w:r>
        <w:rPr>
          <w:color w:val="202020"/>
        </w:rPr>
        <w:t>K.,</w:t>
      </w:r>
      <w:r>
        <w:rPr>
          <w:color w:val="202020"/>
          <w:spacing w:val="-2"/>
        </w:rPr>
        <w:t xml:space="preserve"> </w:t>
      </w:r>
      <w:r>
        <w:rPr>
          <w:color w:val="202020"/>
        </w:rPr>
        <w:t>Christian-Brown,</w:t>
      </w:r>
      <w:r>
        <w:rPr>
          <w:color w:val="202020"/>
          <w:spacing w:val="-3"/>
        </w:rPr>
        <w:t xml:space="preserve"> </w:t>
      </w:r>
      <w:r>
        <w:rPr>
          <w:color w:val="202020"/>
        </w:rPr>
        <w:t>A.,</w:t>
      </w:r>
      <w:r>
        <w:rPr>
          <w:color w:val="202020"/>
          <w:spacing w:val="-6"/>
        </w:rPr>
        <w:t xml:space="preserve"> </w:t>
      </w:r>
      <w:r>
        <w:rPr>
          <w:color w:val="202020"/>
        </w:rPr>
        <w:t>Adab,</w:t>
      </w:r>
      <w:r>
        <w:rPr>
          <w:color w:val="202020"/>
          <w:spacing w:val="-3"/>
        </w:rPr>
        <w:t xml:space="preserve"> </w:t>
      </w:r>
      <w:r>
        <w:rPr>
          <w:color w:val="202020"/>
        </w:rPr>
        <w:t>P.,</w:t>
      </w:r>
      <w:r>
        <w:rPr>
          <w:color w:val="202020"/>
          <w:spacing w:val="-5"/>
        </w:rPr>
        <w:t xml:space="preserve"> </w:t>
      </w:r>
      <w:r>
        <w:rPr>
          <w:color w:val="202020"/>
        </w:rPr>
        <w:t>Begh,</w:t>
      </w:r>
      <w:r>
        <w:rPr>
          <w:color w:val="202020"/>
          <w:spacing w:val="-3"/>
        </w:rPr>
        <w:t xml:space="preserve"> </w:t>
      </w:r>
      <w:r>
        <w:rPr>
          <w:color w:val="202020"/>
        </w:rPr>
        <w:t>R.,</w:t>
      </w:r>
      <w:r>
        <w:rPr>
          <w:color w:val="202020"/>
          <w:spacing w:val="-3"/>
        </w:rPr>
        <w:t xml:space="preserve"> </w:t>
      </w:r>
      <w:r>
        <w:rPr>
          <w:color w:val="202020"/>
        </w:rPr>
        <w:t>Jolly,</w:t>
      </w:r>
      <w:r>
        <w:rPr>
          <w:color w:val="202020"/>
          <w:spacing w:val="-5"/>
        </w:rPr>
        <w:t xml:space="preserve"> K.,</w:t>
      </w:r>
    </w:p>
    <w:p w14:paraId="7A4C31E6" w14:textId="77777777" w:rsidR="00E13D3F" w:rsidRDefault="00FB2D6A">
      <w:pPr>
        <w:spacing w:before="38"/>
        <w:ind w:left="1800"/>
      </w:pPr>
      <w:r>
        <w:rPr>
          <w:color w:val="202020"/>
        </w:rPr>
        <w:t>Daley,</w:t>
      </w:r>
      <w:r>
        <w:rPr>
          <w:color w:val="202020"/>
          <w:spacing w:val="-4"/>
        </w:rPr>
        <w:t xml:space="preserve"> </w:t>
      </w:r>
      <w:r>
        <w:rPr>
          <w:color w:val="202020"/>
        </w:rPr>
        <w:t>A.,</w:t>
      </w:r>
      <w:r>
        <w:rPr>
          <w:color w:val="202020"/>
          <w:spacing w:val="-2"/>
        </w:rPr>
        <w:t xml:space="preserve"> </w:t>
      </w:r>
      <w:r>
        <w:rPr>
          <w:color w:val="202020"/>
        </w:rPr>
        <w:t>Farley,</w:t>
      </w:r>
      <w:r>
        <w:rPr>
          <w:color w:val="202020"/>
          <w:spacing w:val="-1"/>
        </w:rPr>
        <w:t xml:space="preserve"> </w:t>
      </w:r>
      <w:r>
        <w:rPr>
          <w:color w:val="202020"/>
        </w:rPr>
        <w:t>A.,</w:t>
      </w:r>
      <w:r>
        <w:rPr>
          <w:color w:val="202020"/>
          <w:spacing w:val="-5"/>
        </w:rPr>
        <w:t xml:space="preserve"> </w:t>
      </w:r>
      <w:r>
        <w:rPr>
          <w:color w:val="202020"/>
        </w:rPr>
        <w:t>Lycett,</w:t>
      </w:r>
      <w:r>
        <w:rPr>
          <w:color w:val="202020"/>
          <w:spacing w:val="-4"/>
        </w:rPr>
        <w:t xml:space="preserve"> </w:t>
      </w:r>
      <w:r>
        <w:rPr>
          <w:color w:val="202020"/>
        </w:rPr>
        <w:t>D.,</w:t>
      </w:r>
      <w:r>
        <w:rPr>
          <w:color w:val="202020"/>
          <w:spacing w:val="-2"/>
        </w:rPr>
        <w:t xml:space="preserve"> </w:t>
      </w:r>
      <w:r>
        <w:rPr>
          <w:color w:val="202020"/>
        </w:rPr>
        <w:t>Nickless,</w:t>
      </w:r>
      <w:r>
        <w:rPr>
          <w:color w:val="202020"/>
          <w:spacing w:val="-4"/>
        </w:rPr>
        <w:t xml:space="preserve"> </w:t>
      </w:r>
      <w:r>
        <w:rPr>
          <w:color w:val="202020"/>
        </w:rPr>
        <w:t>A.,</w:t>
      </w:r>
      <w:r>
        <w:rPr>
          <w:color w:val="202020"/>
          <w:spacing w:val="-1"/>
        </w:rPr>
        <w:t xml:space="preserve"> </w:t>
      </w:r>
      <w:r>
        <w:rPr>
          <w:color w:val="202020"/>
        </w:rPr>
        <w:t>Yu,</w:t>
      </w:r>
      <w:r>
        <w:rPr>
          <w:color w:val="202020"/>
          <w:spacing w:val="-4"/>
        </w:rPr>
        <w:t xml:space="preserve"> </w:t>
      </w:r>
      <w:r>
        <w:rPr>
          <w:color w:val="202020"/>
        </w:rPr>
        <w:t>L.</w:t>
      </w:r>
      <w:r>
        <w:rPr>
          <w:color w:val="202020"/>
          <w:spacing w:val="-4"/>
        </w:rPr>
        <w:t xml:space="preserve"> </w:t>
      </w:r>
      <w:r>
        <w:rPr>
          <w:color w:val="202020"/>
        </w:rPr>
        <w:t>M.,</w:t>
      </w:r>
      <w:r>
        <w:rPr>
          <w:color w:val="202020"/>
          <w:spacing w:val="-2"/>
        </w:rPr>
        <w:t xml:space="preserve"> </w:t>
      </w:r>
      <w:proofErr w:type="spellStart"/>
      <w:r>
        <w:rPr>
          <w:color w:val="202020"/>
        </w:rPr>
        <w:t>Retat</w:t>
      </w:r>
      <w:proofErr w:type="spellEnd"/>
      <w:r>
        <w:rPr>
          <w:color w:val="202020"/>
        </w:rPr>
        <w:t>,</w:t>
      </w:r>
      <w:r>
        <w:rPr>
          <w:color w:val="202020"/>
          <w:spacing w:val="-3"/>
        </w:rPr>
        <w:t xml:space="preserve"> </w:t>
      </w:r>
      <w:r>
        <w:rPr>
          <w:color w:val="202020"/>
        </w:rPr>
        <w:t>L.,</w:t>
      </w:r>
      <w:r>
        <w:rPr>
          <w:color w:val="202020"/>
          <w:spacing w:val="-5"/>
        </w:rPr>
        <w:t xml:space="preserve"> </w:t>
      </w:r>
      <w:r>
        <w:rPr>
          <w:color w:val="202020"/>
        </w:rPr>
        <w:t>Webber,</w:t>
      </w:r>
      <w:r>
        <w:rPr>
          <w:color w:val="202020"/>
          <w:spacing w:val="-4"/>
        </w:rPr>
        <w:t xml:space="preserve"> </w:t>
      </w:r>
      <w:r>
        <w:rPr>
          <w:color w:val="202020"/>
        </w:rPr>
        <w:t>L.,</w:t>
      </w:r>
      <w:r>
        <w:rPr>
          <w:color w:val="202020"/>
          <w:spacing w:val="-4"/>
        </w:rPr>
        <w:t xml:space="preserve"> </w:t>
      </w:r>
      <w:proofErr w:type="spellStart"/>
      <w:r>
        <w:rPr>
          <w:color w:val="202020"/>
        </w:rPr>
        <w:t>Pimpin</w:t>
      </w:r>
      <w:proofErr w:type="spellEnd"/>
      <w:r>
        <w:rPr>
          <w:color w:val="202020"/>
        </w:rPr>
        <w:t>,</w:t>
      </w:r>
      <w:r>
        <w:rPr>
          <w:color w:val="202020"/>
          <w:spacing w:val="-2"/>
        </w:rPr>
        <w:t xml:space="preserve"> </w:t>
      </w:r>
      <w:r>
        <w:rPr>
          <w:color w:val="202020"/>
        </w:rPr>
        <w:t>L.,</w:t>
      </w:r>
      <w:r>
        <w:rPr>
          <w:color w:val="202020"/>
          <w:spacing w:val="-4"/>
        </w:rPr>
        <w:t xml:space="preserve"> </w:t>
      </w:r>
      <w:r>
        <w:rPr>
          <w:color w:val="202020"/>
        </w:rPr>
        <w:t>&amp;</w:t>
      </w:r>
      <w:r>
        <w:rPr>
          <w:color w:val="202020"/>
          <w:spacing w:val="-1"/>
        </w:rPr>
        <w:t xml:space="preserve"> </w:t>
      </w:r>
      <w:r>
        <w:rPr>
          <w:color w:val="202020"/>
        </w:rPr>
        <w:t>Jebb,</w:t>
      </w:r>
      <w:r>
        <w:rPr>
          <w:color w:val="202020"/>
          <w:spacing w:val="-1"/>
        </w:rPr>
        <w:t xml:space="preserve"> </w:t>
      </w:r>
      <w:r>
        <w:rPr>
          <w:color w:val="202020"/>
          <w:spacing w:val="-5"/>
        </w:rPr>
        <w:t>S.</w:t>
      </w:r>
    </w:p>
    <w:p w14:paraId="7A4C31E7" w14:textId="77777777" w:rsidR="00E13D3F" w:rsidRDefault="00FB2D6A" w:rsidP="00990D2B">
      <w:pPr>
        <w:pStyle w:val="ListParagraph"/>
        <w:numPr>
          <w:ilvl w:val="1"/>
          <w:numId w:val="27"/>
        </w:numPr>
        <w:tabs>
          <w:tab w:val="left" w:pos="2030"/>
        </w:tabs>
        <w:spacing w:before="41"/>
        <w:ind w:left="2030" w:hanging="230"/>
        <w:rPr>
          <w:color w:val="202020"/>
        </w:rPr>
      </w:pPr>
      <w:r>
        <w:rPr>
          <w:color w:val="202020"/>
        </w:rPr>
        <w:t>(2016).</w:t>
      </w:r>
      <w:r>
        <w:rPr>
          <w:color w:val="202020"/>
          <w:spacing w:val="-3"/>
        </w:rPr>
        <w:t xml:space="preserve"> </w:t>
      </w:r>
      <w:r>
        <w:rPr>
          <w:color w:val="202020"/>
        </w:rPr>
        <w:t>Screening</w:t>
      </w:r>
      <w:r>
        <w:rPr>
          <w:color w:val="202020"/>
          <w:spacing w:val="-4"/>
        </w:rPr>
        <w:t xml:space="preserve"> </w:t>
      </w:r>
      <w:r>
        <w:rPr>
          <w:color w:val="202020"/>
        </w:rPr>
        <w:t>and</w:t>
      </w:r>
      <w:r>
        <w:rPr>
          <w:color w:val="202020"/>
          <w:spacing w:val="-5"/>
        </w:rPr>
        <w:t xml:space="preserve"> </w:t>
      </w:r>
      <w:r>
        <w:rPr>
          <w:color w:val="202020"/>
        </w:rPr>
        <w:t>brief</w:t>
      </w:r>
      <w:r>
        <w:rPr>
          <w:color w:val="202020"/>
          <w:spacing w:val="-3"/>
        </w:rPr>
        <w:t xml:space="preserve"> </w:t>
      </w:r>
      <w:r>
        <w:rPr>
          <w:color w:val="202020"/>
        </w:rPr>
        <w:t>intervention</w:t>
      </w:r>
      <w:r>
        <w:rPr>
          <w:color w:val="202020"/>
          <w:spacing w:val="-3"/>
        </w:rPr>
        <w:t xml:space="preserve"> </w:t>
      </w:r>
      <w:r>
        <w:rPr>
          <w:color w:val="202020"/>
        </w:rPr>
        <w:t>for</w:t>
      </w:r>
      <w:r>
        <w:rPr>
          <w:color w:val="202020"/>
          <w:spacing w:val="-5"/>
        </w:rPr>
        <w:t xml:space="preserve"> </w:t>
      </w:r>
      <w:r>
        <w:rPr>
          <w:color w:val="202020"/>
        </w:rPr>
        <w:t>obesity</w:t>
      </w:r>
      <w:r>
        <w:rPr>
          <w:color w:val="202020"/>
          <w:spacing w:val="-5"/>
        </w:rPr>
        <w:t xml:space="preserve"> </w:t>
      </w:r>
      <w:r>
        <w:rPr>
          <w:color w:val="202020"/>
        </w:rPr>
        <w:t>in</w:t>
      </w:r>
      <w:r>
        <w:rPr>
          <w:color w:val="202020"/>
          <w:spacing w:val="-4"/>
        </w:rPr>
        <w:t xml:space="preserve"> </w:t>
      </w:r>
      <w:r>
        <w:rPr>
          <w:color w:val="202020"/>
        </w:rPr>
        <w:t>primary</w:t>
      </w:r>
      <w:r>
        <w:rPr>
          <w:color w:val="202020"/>
          <w:spacing w:val="-5"/>
        </w:rPr>
        <w:t xml:space="preserve"> </w:t>
      </w:r>
      <w:r>
        <w:rPr>
          <w:color w:val="202020"/>
        </w:rPr>
        <w:t>care:</w:t>
      </w:r>
      <w:r>
        <w:rPr>
          <w:color w:val="202020"/>
          <w:spacing w:val="-3"/>
        </w:rPr>
        <w:t xml:space="preserve"> </w:t>
      </w:r>
      <w:r>
        <w:rPr>
          <w:color w:val="202020"/>
        </w:rPr>
        <w:t>a</w:t>
      </w:r>
      <w:r>
        <w:rPr>
          <w:color w:val="202020"/>
          <w:spacing w:val="-3"/>
        </w:rPr>
        <w:t xml:space="preserve"> </w:t>
      </w:r>
      <w:r>
        <w:rPr>
          <w:color w:val="202020"/>
        </w:rPr>
        <w:t>parallel,</w:t>
      </w:r>
      <w:r>
        <w:rPr>
          <w:color w:val="202020"/>
          <w:spacing w:val="-4"/>
        </w:rPr>
        <w:t xml:space="preserve"> </w:t>
      </w:r>
      <w:r>
        <w:rPr>
          <w:color w:val="202020"/>
        </w:rPr>
        <w:t>two-</w:t>
      </w:r>
      <w:r>
        <w:rPr>
          <w:color w:val="202020"/>
          <w:spacing w:val="-4"/>
        </w:rPr>
        <w:t>arm,</w:t>
      </w:r>
    </w:p>
    <w:p w14:paraId="7A4C31E8" w14:textId="77777777" w:rsidR="00E13D3F" w:rsidRDefault="00E13D3F">
      <w:pPr>
        <w:pStyle w:val="ListParagraph"/>
        <w:sectPr w:rsidR="00E13D3F">
          <w:pgSz w:w="11910" w:h="16840"/>
          <w:pgMar w:top="1400" w:right="0" w:bottom="1200" w:left="0" w:header="0" w:footer="1000" w:gutter="0"/>
          <w:cols w:space="720"/>
        </w:sectPr>
      </w:pPr>
    </w:p>
    <w:p w14:paraId="7A4C31E9" w14:textId="77777777" w:rsidR="00E13D3F" w:rsidRDefault="00FB2D6A">
      <w:pPr>
        <w:spacing w:before="41" w:line="276" w:lineRule="auto"/>
        <w:ind w:left="1800" w:right="3971"/>
        <w:jc w:val="both"/>
      </w:pPr>
      <w:proofErr w:type="spellStart"/>
      <w:r>
        <w:rPr>
          <w:color w:val="202020"/>
        </w:rPr>
        <w:lastRenderedPageBreak/>
        <w:t>randomised</w:t>
      </w:r>
      <w:proofErr w:type="spellEnd"/>
      <w:r>
        <w:rPr>
          <w:color w:val="202020"/>
          <w:spacing w:val="-5"/>
        </w:rPr>
        <w:t xml:space="preserve"> </w:t>
      </w:r>
      <w:r>
        <w:rPr>
          <w:color w:val="202020"/>
        </w:rPr>
        <w:t>trial.</w:t>
      </w:r>
      <w:r>
        <w:rPr>
          <w:color w:val="202020"/>
          <w:spacing w:val="-7"/>
        </w:rPr>
        <w:t xml:space="preserve"> </w:t>
      </w:r>
      <w:r>
        <w:rPr>
          <w:i/>
          <w:color w:val="202020"/>
        </w:rPr>
        <w:t>Lancet</w:t>
      </w:r>
      <w:r>
        <w:rPr>
          <w:i/>
          <w:color w:val="202020"/>
          <w:spacing w:val="-5"/>
        </w:rPr>
        <w:t xml:space="preserve"> </w:t>
      </w:r>
      <w:r>
        <w:rPr>
          <w:i/>
          <w:color w:val="202020"/>
        </w:rPr>
        <w:t>(London,</w:t>
      </w:r>
      <w:r>
        <w:rPr>
          <w:i/>
          <w:color w:val="202020"/>
          <w:spacing w:val="-5"/>
        </w:rPr>
        <w:t xml:space="preserve"> </w:t>
      </w:r>
      <w:r>
        <w:rPr>
          <w:i/>
          <w:color w:val="202020"/>
        </w:rPr>
        <w:t>England)</w:t>
      </w:r>
      <w:r>
        <w:rPr>
          <w:color w:val="202020"/>
        </w:rPr>
        <w:t>,</w:t>
      </w:r>
      <w:r>
        <w:rPr>
          <w:color w:val="202020"/>
          <w:spacing w:val="-5"/>
        </w:rPr>
        <w:t xml:space="preserve"> </w:t>
      </w:r>
      <w:r>
        <w:rPr>
          <w:i/>
          <w:color w:val="202020"/>
        </w:rPr>
        <w:t>388</w:t>
      </w:r>
      <w:r>
        <w:rPr>
          <w:color w:val="202020"/>
        </w:rPr>
        <w:t>(10059),</w:t>
      </w:r>
      <w:r>
        <w:rPr>
          <w:color w:val="202020"/>
          <w:spacing w:val="-7"/>
        </w:rPr>
        <w:t xml:space="preserve"> </w:t>
      </w:r>
      <w:r>
        <w:rPr>
          <w:color w:val="202020"/>
        </w:rPr>
        <w:t xml:space="preserve">2492–2500. </w:t>
      </w:r>
      <w:hyperlink r:id="rId46">
        <w:r w:rsidR="00E13D3F">
          <w:rPr>
            <w:color w:val="0000FF"/>
            <w:spacing w:val="-2"/>
            <w:u w:val="single" w:color="0000FF"/>
          </w:rPr>
          <w:t>https://doi.org/10.1016/S0140-6736(16)31893-1</w:t>
        </w:r>
      </w:hyperlink>
    </w:p>
    <w:p w14:paraId="7A4C31EA" w14:textId="77777777" w:rsidR="00E13D3F" w:rsidRDefault="00FB2D6A" w:rsidP="00990D2B">
      <w:pPr>
        <w:pStyle w:val="ListParagraph"/>
        <w:numPr>
          <w:ilvl w:val="0"/>
          <w:numId w:val="27"/>
        </w:numPr>
        <w:tabs>
          <w:tab w:val="left" w:pos="1800"/>
        </w:tabs>
        <w:spacing w:line="273" w:lineRule="auto"/>
        <w:ind w:right="2043"/>
        <w:jc w:val="both"/>
      </w:pPr>
      <w:proofErr w:type="spellStart"/>
      <w:r>
        <w:t>Semlitsch</w:t>
      </w:r>
      <w:proofErr w:type="spellEnd"/>
      <w:r>
        <w:t xml:space="preserve"> T, Krenn C, Jeitler K, Berghold A, Horvath K, </w:t>
      </w:r>
      <w:proofErr w:type="spellStart"/>
      <w:r>
        <w:t>Siebenhofer</w:t>
      </w:r>
      <w:proofErr w:type="spellEnd"/>
      <w:r>
        <w:rPr>
          <w:spacing w:val="-1"/>
        </w:rPr>
        <w:t xml:space="preserve"> </w:t>
      </w:r>
      <w:r>
        <w:t>A. Long-term effects of weight-reducing</w:t>
      </w:r>
      <w:r>
        <w:rPr>
          <w:spacing w:val="-4"/>
        </w:rPr>
        <w:t xml:space="preserve"> </w:t>
      </w:r>
      <w:r>
        <w:t>diets</w:t>
      </w:r>
      <w:r>
        <w:rPr>
          <w:spacing w:val="-3"/>
        </w:rPr>
        <w:t xml:space="preserve"> </w:t>
      </w:r>
      <w:r>
        <w:t>in</w:t>
      </w:r>
      <w:r>
        <w:rPr>
          <w:spacing w:val="-3"/>
        </w:rPr>
        <w:t xml:space="preserve"> </w:t>
      </w:r>
      <w:r>
        <w:t>people</w:t>
      </w:r>
      <w:r>
        <w:rPr>
          <w:spacing w:val="-5"/>
        </w:rPr>
        <w:t xml:space="preserve"> </w:t>
      </w:r>
      <w:r>
        <w:t>with</w:t>
      </w:r>
      <w:r>
        <w:rPr>
          <w:spacing w:val="-3"/>
        </w:rPr>
        <w:t xml:space="preserve"> </w:t>
      </w:r>
      <w:r>
        <w:t>hypertension.</w:t>
      </w:r>
      <w:r>
        <w:rPr>
          <w:spacing w:val="-3"/>
        </w:rPr>
        <w:t xml:space="preserve"> </w:t>
      </w:r>
      <w:r>
        <w:t>Cochrane</w:t>
      </w:r>
      <w:r>
        <w:rPr>
          <w:spacing w:val="-3"/>
        </w:rPr>
        <w:t xml:space="preserve"> </w:t>
      </w:r>
      <w:r>
        <w:t>Database</w:t>
      </w:r>
      <w:r>
        <w:rPr>
          <w:spacing w:val="-3"/>
        </w:rPr>
        <w:t xml:space="preserve"> </w:t>
      </w:r>
      <w:r>
        <w:t>Syst</w:t>
      </w:r>
      <w:r>
        <w:rPr>
          <w:spacing w:val="-5"/>
        </w:rPr>
        <w:t xml:space="preserve"> </w:t>
      </w:r>
      <w:r>
        <w:t>Rev.</w:t>
      </w:r>
      <w:r>
        <w:rPr>
          <w:spacing w:val="-6"/>
        </w:rPr>
        <w:t xml:space="preserve"> </w:t>
      </w:r>
      <w:r>
        <w:t>2021</w:t>
      </w:r>
      <w:r>
        <w:rPr>
          <w:spacing w:val="-3"/>
        </w:rPr>
        <w:t xml:space="preserve"> </w:t>
      </w:r>
      <w:r>
        <w:t xml:space="preserve">Feb 8;2(2):CD008274. </w:t>
      </w:r>
      <w:proofErr w:type="spellStart"/>
      <w:r>
        <w:t>doi</w:t>
      </w:r>
      <w:proofErr w:type="spellEnd"/>
      <w:r>
        <w:t>: 10.1002/14651858.CD008274.pub4. PMID: 33555049.</w:t>
      </w:r>
    </w:p>
    <w:p w14:paraId="7A4C31EB" w14:textId="77777777" w:rsidR="00E13D3F" w:rsidRDefault="00FB2D6A" w:rsidP="00990D2B">
      <w:pPr>
        <w:pStyle w:val="ListParagraph"/>
        <w:numPr>
          <w:ilvl w:val="0"/>
          <w:numId w:val="27"/>
        </w:numPr>
        <w:tabs>
          <w:tab w:val="left" w:pos="1800"/>
        </w:tabs>
        <w:spacing w:before="5" w:line="271" w:lineRule="auto"/>
        <w:ind w:right="2017"/>
        <w:jc w:val="both"/>
      </w:pPr>
      <w:r>
        <w:t>Australian</w:t>
      </w:r>
      <w:r>
        <w:rPr>
          <w:spacing w:val="-3"/>
        </w:rPr>
        <w:t xml:space="preserve"> </w:t>
      </w:r>
      <w:r>
        <w:t>Institute</w:t>
      </w:r>
      <w:r>
        <w:rPr>
          <w:spacing w:val="-4"/>
        </w:rPr>
        <w:t xml:space="preserve"> </w:t>
      </w:r>
      <w:r>
        <w:t>of</w:t>
      </w:r>
      <w:r>
        <w:rPr>
          <w:spacing w:val="-5"/>
        </w:rPr>
        <w:t xml:space="preserve"> </w:t>
      </w:r>
      <w:r>
        <w:t>Health</w:t>
      </w:r>
      <w:r>
        <w:rPr>
          <w:spacing w:val="-2"/>
        </w:rPr>
        <w:t xml:space="preserve"> </w:t>
      </w:r>
      <w:r>
        <w:t>and</w:t>
      </w:r>
      <w:r>
        <w:rPr>
          <w:spacing w:val="-3"/>
        </w:rPr>
        <w:t xml:space="preserve"> </w:t>
      </w:r>
      <w:r>
        <w:t>Welfare</w:t>
      </w:r>
      <w:r>
        <w:rPr>
          <w:spacing w:val="-4"/>
        </w:rPr>
        <w:t xml:space="preserve"> </w:t>
      </w:r>
      <w:r>
        <w:t>2020.</w:t>
      </w:r>
      <w:r>
        <w:rPr>
          <w:spacing w:val="-5"/>
        </w:rPr>
        <w:t xml:space="preserve"> </w:t>
      </w:r>
      <w:r>
        <w:t>Overweight</w:t>
      </w:r>
      <w:r>
        <w:rPr>
          <w:spacing w:val="-2"/>
        </w:rPr>
        <w:t xml:space="preserve"> </w:t>
      </w:r>
      <w:r>
        <w:t>and</w:t>
      </w:r>
      <w:r>
        <w:rPr>
          <w:spacing w:val="-5"/>
        </w:rPr>
        <w:t xml:space="preserve"> </w:t>
      </w:r>
      <w:r>
        <w:t>obesity</w:t>
      </w:r>
      <w:r>
        <w:rPr>
          <w:spacing w:val="-2"/>
        </w:rPr>
        <w:t xml:space="preserve"> </w:t>
      </w:r>
      <w:r>
        <w:t>among</w:t>
      </w:r>
      <w:r>
        <w:rPr>
          <w:spacing w:val="-5"/>
        </w:rPr>
        <w:t xml:space="preserve"> </w:t>
      </w:r>
      <w:r>
        <w:t>Australian children and adolescents. Cat. no. PHE 274. Canberra: AIHW.</w:t>
      </w:r>
    </w:p>
    <w:p w14:paraId="7A4C31EC" w14:textId="77777777" w:rsidR="00E13D3F" w:rsidRDefault="00FB2D6A" w:rsidP="00990D2B">
      <w:pPr>
        <w:pStyle w:val="ListParagraph"/>
        <w:numPr>
          <w:ilvl w:val="0"/>
          <w:numId w:val="27"/>
        </w:numPr>
        <w:tabs>
          <w:tab w:val="left" w:pos="1799"/>
        </w:tabs>
        <w:spacing w:before="8"/>
        <w:ind w:left="1799" w:hanging="359"/>
        <w:jc w:val="both"/>
      </w:pPr>
      <w:r>
        <w:t>ABS</w:t>
      </w:r>
      <w:r>
        <w:rPr>
          <w:spacing w:val="-6"/>
        </w:rPr>
        <w:t xml:space="preserve"> </w:t>
      </w:r>
      <w:r>
        <w:t>2018.</w:t>
      </w:r>
      <w:r>
        <w:rPr>
          <w:spacing w:val="-6"/>
        </w:rPr>
        <w:t xml:space="preserve"> </w:t>
      </w:r>
      <w:r>
        <w:t>Body</w:t>
      </w:r>
      <w:r>
        <w:rPr>
          <w:spacing w:val="-6"/>
        </w:rPr>
        <w:t xml:space="preserve"> </w:t>
      </w:r>
      <w:r>
        <w:t>Mass</w:t>
      </w:r>
      <w:r>
        <w:rPr>
          <w:spacing w:val="-3"/>
        </w:rPr>
        <w:t xml:space="preserve"> </w:t>
      </w:r>
      <w:r>
        <w:t>Index,</w:t>
      </w:r>
      <w:r>
        <w:rPr>
          <w:spacing w:val="-4"/>
        </w:rPr>
        <w:t xml:space="preserve"> </w:t>
      </w:r>
      <w:r>
        <w:t>waist</w:t>
      </w:r>
      <w:r>
        <w:rPr>
          <w:spacing w:val="-4"/>
        </w:rPr>
        <w:t xml:space="preserve"> </w:t>
      </w:r>
      <w:r>
        <w:t>circumference,</w:t>
      </w:r>
      <w:r>
        <w:rPr>
          <w:spacing w:val="-6"/>
        </w:rPr>
        <w:t xml:space="preserve"> </w:t>
      </w:r>
      <w:r>
        <w:t>height</w:t>
      </w:r>
      <w:r>
        <w:rPr>
          <w:spacing w:val="-3"/>
        </w:rPr>
        <w:t xml:space="preserve"> </w:t>
      </w:r>
      <w:r>
        <w:t>and</w:t>
      </w:r>
      <w:r>
        <w:rPr>
          <w:spacing w:val="-5"/>
        </w:rPr>
        <w:t xml:space="preserve"> </w:t>
      </w:r>
      <w:r>
        <w:t>weight -</w:t>
      </w:r>
      <w:r>
        <w:rPr>
          <w:spacing w:val="-7"/>
        </w:rPr>
        <w:t xml:space="preserve"> </w:t>
      </w:r>
      <w:r>
        <w:t>Australia</w:t>
      </w:r>
      <w:r>
        <w:rPr>
          <w:spacing w:val="-3"/>
        </w:rPr>
        <w:t xml:space="preserve"> </w:t>
      </w:r>
      <w:r>
        <w:rPr>
          <w:spacing w:val="-2"/>
        </w:rPr>
        <w:t>[Data</w:t>
      </w:r>
    </w:p>
    <w:p w14:paraId="7A4C31ED" w14:textId="77777777" w:rsidR="00E13D3F" w:rsidRDefault="00FB2D6A">
      <w:pPr>
        <w:spacing w:before="39"/>
        <w:ind w:left="1800"/>
      </w:pPr>
      <w:r>
        <w:t>cube].</w:t>
      </w:r>
      <w:r>
        <w:rPr>
          <w:spacing w:val="-7"/>
        </w:rPr>
        <w:t xml:space="preserve"> </w:t>
      </w:r>
      <w:hyperlink r:id="rId47">
        <w:r w:rsidR="00E13D3F">
          <w:rPr>
            <w:u w:val="single"/>
          </w:rPr>
          <w:t>National</w:t>
        </w:r>
        <w:r w:rsidR="00E13D3F">
          <w:rPr>
            <w:spacing w:val="-4"/>
            <w:u w:val="single"/>
          </w:rPr>
          <w:t xml:space="preserve"> </w:t>
        </w:r>
        <w:r w:rsidR="00E13D3F">
          <w:rPr>
            <w:u w:val="single"/>
          </w:rPr>
          <w:t>Health</w:t>
        </w:r>
        <w:r w:rsidR="00E13D3F">
          <w:rPr>
            <w:spacing w:val="-4"/>
            <w:u w:val="single"/>
          </w:rPr>
          <w:t xml:space="preserve"> </w:t>
        </w:r>
        <w:r w:rsidR="00E13D3F">
          <w:rPr>
            <w:u w:val="single"/>
          </w:rPr>
          <w:t>Survey:</w:t>
        </w:r>
        <w:r w:rsidR="00E13D3F">
          <w:rPr>
            <w:spacing w:val="-6"/>
            <w:u w:val="single"/>
          </w:rPr>
          <w:t xml:space="preserve"> </w:t>
        </w:r>
        <w:r w:rsidR="00E13D3F">
          <w:rPr>
            <w:u w:val="single"/>
          </w:rPr>
          <w:t>First</w:t>
        </w:r>
        <w:r w:rsidR="00E13D3F">
          <w:rPr>
            <w:spacing w:val="-3"/>
            <w:u w:val="single"/>
          </w:rPr>
          <w:t xml:space="preserve"> </w:t>
        </w:r>
        <w:r w:rsidR="00E13D3F">
          <w:rPr>
            <w:u w:val="single"/>
          </w:rPr>
          <w:t>results,</w:t>
        </w:r>
        <w:r w:rsidR="00E13D3F">
          <w:rPr>
            <w:spacing w:val="-6"/>
            <w:u w:val="single"/>
          </w:rPr>
          <w:t xml:space="preserve"> </w:t>
        </w:r>
        <w:r w:rsidR="00E13D3F">
          <w:rPr>
            <w:u w:val="single"/>
          </w:rPr>
          <w:t>2017–18</w:t>
        </w:r>
      </w:hyperlink>
      <w:r>
        <w:t>.</w:t>
      </w:r>
      <w:r>
        <w:rPr>
          <w:spacing w:val="-6"/>
        </w:rPr>
        <w:t xml:space="preserve"> </w:t>
      </w:r>
      <w:r>
        <w:t>Canberra:</w:t>
      </w:r>
      <w:r>
        <w:rPr>
          <w:spacing w:val="-4"/>
        </w:rPr>
        <w:t xml:space="preserve"> </w:t>
      </w:r>
      <w:r>
        <w:t>ABS.</w:t>
      </w:r>
      <w:r>
        <w:rPr>
          <w:spacing w:val="-5"/>
        </w:rPr>
        <w:t xml:space="preserve"> </w:t>
      </w:r>
      <w:r>
        <w:t>Viewed</w:t>
      </w:r>
      <w:r>
        <w:rPr>
          <w:spacing w:val="-6"/>
        </w:rPr>
        <w:t xml:space="preserve"> </w:t>
      </w:r>
      <w:r>
        <w:t>25</w:t>
      </w:r>
      <w:r>
        <w:rPr>
          <w:spacing w:val="-6"/>
        </w:rPr>
        <w:t xml:space="preserve"> </w:t>
      </w:r>
      <w:r>
        <w:t>August</w:t>
      </w:r>
      <w:r>
        <w:rPr>
          <w:spacing w:val="-3"/>
        </w:rPr>
        <w:t xml:space="preserve"> </w:t>
      </w:r>
      <w:r>
        <w:rPr>
          <w:spacing w:val="-2"/>
        </w:rPr>
        <w:t>2022.</w:t>
      </w:r>
    </w:p>
    <w:p w14:paraId="7A4C31EE" w14:textId="77777777" w:rsidR="00E13D3F" w:rsidRDefault="00FB2D6A" w:rsidP="00990D2B">
      <w:pPr>
        <w:pStyle w:val="ListParagraph"/>
        <w:numPr>
          <w:ilvl w:val="0"/>
          <w:numId w:val="27"/>
        </w:numPr>
        <w:tabs>
          <w:tab w:val="left" w:pos="1800"/>
        </w:tabs>
        <w:spacing w:before="42" w:line="271" w:lineRule="auto"/>
        <w:ind w:right="1780"/>
      </w:pPr>
      <w:r>
        <w:t>ABS</w:t>
      </w:r>
      <w:r>
        <w:rPr>
          <w:spacing w:val="-2"/>
        </w:rPr>
        <w:t xml:space="preserve"> </w:t>
      </w:r>
      <w:r>
        <w:t>2019.</w:t>
      </w:r>
      <w:r>
        <w:rPr>
          <w:spacing w:val="40"/>
        </w:rPr>
        <w:t xml:space="preserve"> </w:t>
      </w:r>
      <w:r>
        <w:rPr>
          <w:i/>
        </w:rPr>
        <w:t>National</w:t>
      </w:r>
      <w:r>
        <w:rPr>
          <w:i/>
          <w:spacing w:val="-2"/>
        </w:rPr>
        <w:t xml:space="preserve"> </w:t>
      </w:r>
      <w:r>
        <w:rPr>
          <w:i/>
        </w:rPr>
        <w:t>Health</w:t>
      </w:r>
      <w:r>
        <w:rPr>
          <w:i/>
          <w:spacing w:val="-5"/>
        </w:rPr>
        <w:t xml:space="preserve"> </w:t>
      </w:r>
      <w:r>
        <w:rPr>
          <w:i/>
        </w:rPr>
        <w:t>Survey</w:t>
      </w:r>
      <w:r>
        <w:rPr>
          <w:i/>
          <w:spacing w:val="-2"/>
        </w:rPr>
        <w:t xml:space="preserve"> </w:t>
      </w:r>
      <w:r>
        <w:rPr>
          <w:i/>
        </w:rPr>
        <w:t>2017–18</w:t>
      </w:r>
      <w:r>
        <w:t>,</w:t>
      </w:r>
      <w:r>
        <w:rPr>
          <w:spacing w:val="-2"/>
        </w:rPr>
        <w:t xml:space="preserve"> </w:t>
      </w:r>
      <w:proofErr w:type="spellStart"/>
      <w:r>
        <w:t>customised</w:t>
      </w:r>
      <w:proofErr w:type="spellEnd"/>
      <w:r>
        <w:rPr>
          <w:spacing w:val="-2"/>
        </w:rPr>
        <w:t xml:space="preserve"> </w:t>
      </w:r>
      <w:r>
        <w:t>report,</w:t>
      </w:r>
      <w:r>
        <w:rPr>
          <w:spacing w:val="-2"/>
        </w:rPr>
        <w:t xml:space="preserve"> </w:t>
      </w:r>
      <w:r>
        <w:t>ABS,</w:t>
      </w:r>
      <w:r>
        <w:rPr>
          <w:spacing w:val="-5"/>
        </w:rPr>
        <w:t xml:space="preserve"> </w:t>
      </w:r>
      <w:r>
        <w:t>Australian</w:t>
      </w:r>
      <w:r>
        <w:rPr>
          <w:spacing w:val="-5"/>
        </w:rPr>
        <w:t xml:space="preserve"> </w:t>
      </w:r>
      <w:r>
        <w:t>Government. Viewed 25 August 2022.</w:t>
      </w:r>
    </w:p>
    <w:p w14:paraId="7A4C31EF" w14:textId="77777777" w:rsidR="00E13D3F" w:rsidRDefault="00E13D3F">
      <w:pPr>
        <w:pStyle w:val="ListParagraph"/>
        <w:spacing w:line="271" w:lineRule="auto"/>
        <w:sectPr w:rsidR="00E13D3F">
          <w:pgSz w:w="11910" w:h="16840"/>
          <w:pgMar w:top="1380" w:right="0" w:bottom="1200" w:left="0" w:header="0" w:footer="1000" w:gutter="0"/>
          <w:cols w:space="720"/>
        </w:sectPr>
      </w:pPr>
    </w:p>
    <w:p w14:paraId="7A4C31F0" w14:textId="77777777" w:rsidR="00E13D3F" w:rsidRDefault="00FB2D6A" w:rsidP="00990D2B">
      <w:pPr>
        <w:pStyle w:val="Heading1"/>
        <w:numPr>
          <w:ilvl w:val="0"/>
          <w:numId w:val="53"/>
        </w:numPr>
        <w:tabs>
          <w:tab w:val="left" w:pos="1678"/>
        </w:tabs>
        <w:ind w:left="1678" w:hanging="238"/>
        <w:rPr>
          <w:color w:val="2E5395"/>
          <w:u w:color="2E5395"/>
        </w:rPr>
      </w:pPr>
      <w:r>
        <w:rPr>
          <w:color w:val="2E5395"/>
          <w:spacing w:val="-5"/>
          <w:u w:color="2E5395"/>
        </w:rPr>
        <w:lastRenderedPageBreak/>
        <w:t xml:space="preserve"> </w:t>
      </w:r>
      <w:r>
        <w:rPr>
          <w:color w:val="2E5395"/>
          <w:u w:color="2E5395"/>
        </w:rPr>
        <w:t>The</w:t>
      </w:r>
      <w:r>
        <w:rPr>
          <w:color w:val="2E5395"/>
          <w:spacing w:val="-6"/>
          <w:u w:color="2E5395"/>
        </w:rPr>
        <w:t xml:space="preserve"> </w:t>
      </w:r>
      <w:r>
        <w:rPr>
          <w:color w:val="2E5395"/>
          <w:u w:color="2E5395"/>
        </w:rPr>
        <w:t>Health</w:t>
      </w:r>
      <w:r>
        <w:rPr>
          <w:color w:val="2E5395"/>
          <w:spacing w:val="-9"/>
          <w:u w:color="2E5395"/>
        </w:rPr>
        <w:t xml:space="preserve"> </w:t>
      </w:r>
      <w:r>
        <w:rPr>
          <w:color w:val="2E5395"/>
          <w:u w:color="2E5395"/>
        </w:rPr>
        <w:t>Assessment</w:t>
      </w:r>
      <w:r>
        <w:rPr>
          <w:color w:val="2E5395"/>
          <w:spacing w:val="-6"/>
          <w:u w:color="2E5395"/>
        </w:rPr>
        <w:t xml:space="preserve"> </w:t>
      </w:r>
      <w:r>
        <w:rPr>
          <w:color w:val="2E5395"/>
          <w:u w:color="2E5395"/>
        </w:rPr>
        <w:t>component:</w:t>
      </w:r>
      <w:r>
        <w:rPr>
          <w:color w:val="2E5395"/>
          <w:spacing w:val="-7"/>
          <w:u w:color="2E5395"/>
        </w:rPr>
        <w:t xml:space="preserve"> </w:t>
      </w:r>
      <w:r>
        <w:rPr>
          <w:color w:val="2E5395"/>
          <w:u w:color="2E5395"/>
        </w:rPr>
        <w:t>Falls</w:t>
      </w:r>
      <w:r>
        <w:rPr>
          <w:color w:val="2E5395"/>
          <w:spacing w:val="-8"/>
          <w:u w:color="2E5395"/>
        </w:rPr>
        <w:t xml:space="preserve"> </w:t>
      </w:r>
      <w:r>
        <w:rPr>
          <w:color w:val="2E5395"/>
          <w:spacing w:val="-4"/>
          <w:u w:color="2E5395"/>
        </w:rPr>
        <w:t>risk</w:t>
      </w:r>
    </w:p>
    <w:p w14:paraId="7A4C31F1" w14:textId="77777777" w:rsidR="00E13D3F" w:rsidRDefault="00FB2D6A">
      <w:pPr>
        <w:pStyle w:val="Heading2"/>
        <w:spacing w:before="72"/>
      </w:pPr>
      <w:r>
        <w:rPr>
          <w:color w:val="2E5395"/>
        </w:rPr>
        <w:t>Background</w:t>
      </w:r>
      <w:r>
        <w:rPr>
          <w:color w:val="2E5395"/>
          <w:spacing w:val="-11"/>
        </w:rPr>
        <w:t xml:space="preserve"> </w:t>
      </w:r>
      <w:r>
        <w:rPr>
          <w:color w:val="2E5395"/>
        </w:rPr>
        <w:t>and</w:t>
      </w:r>
      <w:r>
        <w:rPr>
          <w:color w:val="2E5395"/>
          <w:spacing w:val="-10"/>
        </w:rPr>
        <w:t xml:space="preserve"> </w:t>
      </w:r>
      <w:r>
        <w:rPr>
          <w:color w:val="2E5395"/>
          <w:spacing w:val="-2"/>
        </w:rPr>
        <w:t>Description</w:t>
      </w:r>
    </w:p>
    <w:p w14:paraId="7A4C31F2" w14:textId="77777777" w:rsidR="00E13D3F" w:rsidRDefault="00FB2D6A">
      <w:pPr>
        <w:pStyle w:val="BodyText"/>
        <w:spacing w:before="23" w:line="276" w:lineRule="auto"/>
        <w:ind w:right="1581"/>
      </w:pPr>
      <w:r>
        <w:t xml:space="preserve">In Australia in 2019-2020, over half (59%) of all fall-related </w:t>
      </w:r>
      <w:proofErr w:type="spellStart"/>
      <w:r>
        <w:t>hospitalisations</w:t>
      </w:r>
      <w:proofErr w:type="spellEnd"/>
      <w:r>
        <w:t xml:space="preserve"> and 94% of all fall-related deaths occurred in older people aged 65+ years, with larger representation of women (1). As one</w:t>
      </w:r>
      <w:r>
        <w:rPr>
          <w:spacing w:val="-1"/>
        </w:rPr>
        <w:t xml:space="preserve"> </w:t>
      </w:r>
      <w:r>
        <w:t>in 3 adults</w:t>
      </w:r>
      <w:r>
        <w:rPr>
          <w:spacing w:val="-1"/>
        </w:rPr>
        <w:t xml:space="preserve"> </w:t>
      </w:r>
      <w:r>
        <w:t>in this age</w:t>
      </w:r>
      <w:r>
        <w:rPr>
          <w:spacing w:val="-1"/>
        </w:rPr>
        <w:t xml:space="preserve"> </w:t>
      </w:r>
      <w:r>
        <w:t>group report a</w:t>
      </w:r>
      <w:r>
        <w:rPr>
          <w:spacing w:val="-1"/>
        </w:rPr>
        <w:t xml:space="preserve"> </w:t>
      </w:r>
      <w:r>
        <w:t>fall in the</w:t>
      </w:r>
      <w:r>
        <w:rPr>
          <w:spacing w:val="-1"/>
        </w:rPr>
        <w:t xml:space="preserve"> </w:t>
      </w:r>
      <w:r>
        <w:t>past year, assessment of falls risk in primary care or residential aged care is recommended as a combined measure designed</w:t>
      </w:r>
      <w:r>
        <w:rPr>
          <w:spacing w:val="-4"/>
        </w:rPr>
        <w:t xml:space="preserve"> </w:t>
      </w:r>
      <w:r>
        <w:t>for</w:t>
      </w:r>
      <w:r>
        <w:rPr>
          <w:spacing w:val="-4"/>
        </w:rPr>
        <w:t xml:space="preserve"> </w:t>
      </w:r>
      <w:r>
        <w:t>the</w:t>
      </w:r>
      <w:r>
        <w:rPr>
          <w:spacing w:val="-2"/>
        </w:rPr>
        <w:t xml:space="preserve"> </w:t>
      </w:r>
      <w:r>
        <w:t>patient’s</w:t>
      </w:r>
      <w:r>
        <w:rPr>
          <w:spacing w:val="-3"/>
        </w:rPr>
        <w:t xml:space="preserve"> </w:t>
      </w:r>
      <w:r>
        <w:t>usual</w:t>
      </w:r>
      <w:r>
        <w:rPr>
          <w:spacing w:val="-4"/>
        </w:rPr>
        <w:t xml:space="preserve"> </w:t>
      </w:r>
      <w:r>
        <w:t>doctor</w:t>
      </w:r>
      <w:r>
        <w:rPr>
          <w:spacing w:val="-2"/>
        </w:rPr>
        <w:t xml:space="preserve"> </w:t>
      </w:r>
      <w:r>
        <w:t>(or</w:t>
      </w:r>
      <w:r>
        <w:rPr>
          <w:spacing w:val="-4"/>
        </w:rPr>
        <w:t xml:space="preserve"> </w:t>
      </w:r>
      <w:r>
        <w:t>other</w:t>
      </w:r>
      <w:r>
        <w:rPr>
          <w:spacing w:val="-6"/>
        </w:rPr>
        <w:t xml:space="preserve"> </w:t>
      </w:r>
      <w:r>
        <w:t>nominated</w:t>
      </w:r>
      <w:r>
        <w:rPr>
          <w:spacing w:val="-2"/>
        </w:rPr>
        <w:t xml:space="preserve"> </w:t>
      </w:r>
      <w:r>
        <w:t>health</w:t>
      </w:r>
      <w:r>
        <w:rPr>
          <w:spacing w:val="-4"/>
        </w:rPr>
        <w:t xml:space="preserve"> </w:t>
      </w:r>
      <w:r>
        <w:t>professional)</w:t>
      </w:r>
      <w:r>
        <w:rPr>
          <w:spacing w:val="-4"/>
        </w:rPr>
        <w:t xml:space="preserve"> </w:t>
      </w:r>
      <w:r>
        <w:t>to</w:t>
      </w:r>
      <w:r>
        <w:rPr>
          <w:spacing w:val="-3"/>
        </w:rPr>
        <w:t xml:space="preserve"> </w:t>
      </w:r>
      <w:r>
        <w:t>identify falls history and (physical/mental/ cognitive/social/environmental) risk factors so a preventive intervention and care plan can be formulated (2). Clinical practice guidelines strongly recommend a risk stratification assessment that uses a short questionnaire but restrict mobility testing for those deemed at higher risk of falls.</w:t>
      </w:r>
      <w:r>
        <w:rPr>
          <w:spacing w:val="-7"/>
        </w:rPr>
        <w:t xml:space="preserve"> </w:t>
      </w:r>
      <w:r>
        <w:t>This review aims to</w:t>
      </w:r>
    </w:p>
    <w:p w14:paraId="7A4C31F3" w14:textId="77777777" w:rsidR="00E13D3F" w:rsidRDefault="00FB2D6A">
      <w:pPr>
        <w:pStyle w:val="BodyText"/>
        <w:spacing w:line="278" w:lineRule="auto"/>
        <w:ind w:right="1137"/>
      </w:pPr>
      <w:r>
        <w:t>determine</w:t>
      </w:r>
      <w:r>
        <w:rPr>
          <w:spacing w:val="-5"/>
        </w:rPr>
        <w:t xml:space="preserve"> </w:t>
      </w:r>
      <w:r>
        <w:t>the</w:t>
      </w:r>
      <w:r>
        <w:rPr>
          <w:spacing w:val="-4"/>
        </w:rPr>
        <w:t xml:space="preserve"> </w:t>
      </w:r>
      <w:r>
        <w:t>effectiveness</w:t>
      </w:r>
      <w:r>
        <w:rPr>
          <w:spacing w:val="-3"/>
        </w:rPr>
        <w:t xml:space="preserve"> </w:t>
      </w:r>
      <w:r>
        <w:t>of</w:t>
      </w:r>
      <w:r>
        <w:rPr>
          <w:spacing w:val="-4"/>
        </w:rPr>
        <w:t xml:space="preserve"> </w:t>
      </w:r>
      <w:r>
        <w:t>those</w:t>
      </w:r>
      <w:r>
        <w:rPr>
          <w:spacing w:val="-4"/>
        </w:rPr>
        <w:t xml:space="preserve"> </w:t>
      </w:r>
      <w:r>
        <w:t>falls</w:t>
      </w:r>
      <w:r>
        <w:rPr>
          <w:spacing w:val="-3"/>
        </w:rPr>
        <w:t xml:space="preserve"> </w:t>
      </w:r>
      <w:r>
        <w:t>risk</w:t>
      </w:r>
      <w:r>
        <w:rPr>
          <w:spacing w:val="-4"/>
        </w:rPr>
        <w:t xml:space="preserve"> </w:t>
      </w:r>
      <w:r>
        <w:t>assessments</w:t>
      </w:r>
      <w:r>
        <w:rPr>
          <w:spacing w:val="-5"/>
        </w:rPr>
        <w:t xml:space="preserve"> </w:t>
      </w:r>
      <w:r>
        <w:t>─ with</w:t>
      </w:r>
      <w:r>
        <w:rPr>
          <w:spacing w:val="-2"/>
        </w:rPr>
        <w:t xml:space="preserve"> </w:t>
      </w:r>
      <w:r>
        <w:t>or</w:t>
      </w:r>
      <w:r>
        <w:rPr>
          <w:spacing w:val="-4"/>
        </w:rPr>
        <w:t xml:space="preserve"> </w:t>
      </w:r>
      <w:r>
        <w:t>without</w:t>
      </w:r>
      <w:r>
        <w:rPr>
          <w:spacing w:val="-4"/>
        </w:rPr>
        <w:t xml:space="preserve"> </w:t>
      </w:r>
      <w:r>
        <w:t>subsequent intervention ─ in preventing single or repeat falls and fractures.</w:t>
      </w:r>
    </w:p>
    <w:p w14:paraId="7A4C31F4" w14:textId="77777777" w:rsidR="00E13D3F" w:rsidRDefault="00E13D3F">
      <w:pPr>
        <w:pStyle w:val="BodyText"/>
        <w:spacing w:before="81"/>
        <w:ind w:left="0"/>
      </w:pPr>
    </w:p>
    <w:p w14:paraId="7A4C31F5" w14:textId="77777777" w:rsidR="00E13D3F" w:rsidRDefault="00FB2D6A">
      <w:pPr>
        <w:pStyle w:val="Heading2"/>
      </w:pPr>
      <w:r>
        <w:rPr>
          <w:color w:val="2E5395"/>
        </w:rPr>
        <w:t>Evidence</w:t>
      </w:r>
      <w:r>
        <w:rPr>
          <w:color w:val="2E5395"/>
          <w:spacing w:val="-9"/>
        </w:rPr>
        <w:t xml:space="preserve"> </w:t>
      </w:r>
      <w:r>
        <w:rPr>
          <w:color w:val="2E5395"/>
        </w:rPr>
        <w:t>of</w:t>
      </w:r>
      <w:r>
        <w:rPr>
          <w:color w:val="2E5395"/>
          <w:spacing w:val="-10"/>
        </w:rPr>
        <w:t xml:space="preserve"> </w:t>
      </w:r>
      <w:r>
        <w:rPr>
          <w:color w:val="2E5395"/>
          <w:spacing w:val="-2"/>
        </w:rPr>
        <w:t>Effectiveness</w:t>
      </w:r>
    </w:p>
    <w:p w14:paraId="7A4C31F6" w14:textId="77777777" w:rsidR="00E13D3F" w:rsidRDefault="00FB2D6A">
      <w:pPr>
        <w:pStyle w:val="BodyText"/>
        <w:spacing w:before="23" w:line="276" w:lineRule="auto"/>
        <w:ind w:right="1450"/>
      </w:pPr>
      <w:r>
        <w:t>We</w:t>
      </w:r>
      <w:r>
        <w:rPr>
          <w:spacing w:val="-2"/>
        </w:rPr>
        <w:t xml:space="preserve"> </w:t>
      </w:r>
      <w:r>
        <w:t>found</w:t>
      </w:r>
      <w:r>
        <w:rPr>
          <w:spacing w:val="-2"/>
        </w:rPr>
        <w:t xml:space="preserve"> </w:t>
      </w:r>
      <w:r>
        <w:t>a</w:t>
      </w:r>
      <w:r>
        <w:rPr>
          <w:spacing w:val="-5"/>
        </w:rPr>
        <w:t xml:space="preserve"> </w:t>
      </w:r>
      <w:r>
        <w:t>2021</w:t>
      </w:r>
      <w:r>
        <w:rPr>
          <w:spacing w:val="-2"/>
        </w:rPr>
        <w:t xml:space="preserve"> </w:t>
      </w:r>
      <w:r>
        <w:t>systematic</w:t>
      </w:r>
      <w:r>
        <w:rPr>
          <w:spacing w:val="-3"/>
        </w:rPr>
        <w:t xml:space="preserve"> </w:t>
      </w:r>
      <w:r>
        <w:t>review</w:t>
      </w:r>
      <w:r>
        <w:rPr>
          <w:spacing w:val="-2"/>
        </w:rPr>
        <w:t xml:space="preserve"> </w:t>
      </w:r>
      <w:r>
        <w:t>(SR)</w:t>
      </w:r>
      <w:r>
        <w:rPr>
          <w:spacing w:val="-4"/>
        </w:rPr>
        <w:t xml:space="preserve"> </w:t>
      </w:r>
      <w:r>
        <w:t>and</w:t>
      </w:r>
      <w:r>
        <w:rPr>
          <w:spacing w:val="-4"/>
        </w:rPr>
        <w:t xml:space="preserve"> </w:t>
      </w:r>
      <w:r>
        <w:t>two</w:t>
      </w:r>
      <w:r>
        <w:rPr>
          <w:spacing w:val="-7"/>
        </w:rPr>
        <w:t xml:space="preserve"> </w:t>
      </w:r>
      <w:r>
        <w:t>RCTs</w:t>
      </w:r>
      <w:r>
        <w:rPr>
          <w:spacing w:val="-2"/>
        </w:rPr>
        <w:t xml:space="preserve"> </w:t>
      </w:r>
      <w:r>
        <w:t>published</w:t>
      </w:r>
      <w:r>
        <w:rPr>
          <w:spacing w:val="-4"/>
        </w:rPr>
        <w:t xml:space="preserve"> </w:t>
      </w:r>
      <w:r>
        <w:t>after</w:t>
      </w:r>
      <w:r>
        <w:rPr>
          <w:spacing w:val="-4"/>
        </w:rPr>
        <w:t xml:space="preserve"> </w:t>
      </w:r>
      <w:r>
        <w:t>completion</w:t>
      </w:r>
      <w:r>
        <w:rPr>
          <w:spacing w:val="-4"/>
        </w:rPr>
        <w:t xml:space="preserve"> </w:t>
      </w:r>
      <w:r>
        <w:t>of</w:t>
      </w:r>
      <w:r>
        <w:rPr>
          <w:spacing w:val="-4"/>
        </w:rPr>
        <w:t xml:space="preserve"> </w:t>
      </w:r>
      <w:r>
        <w:t>the</w:t>
      </w:r>
      <w:r>
        <w:rPr>
          <w:spacing w:val="-2"/>
        </w:rPr>
        <w:t xml:space="preserve"> </w:t>
      </w:r>
      <w:r>
        <w:t>SR search. Combined findings of these three publications were consistent and corroborated some from an earlier</w:t>
      </w:r>
      <w:r>
        <w:rPr>
          <w:spacing w:val="-1"/>
        </w:rPr>
        <w:t xml:space="preserve"> </w:t>
      </w:r>
      <w:r>
        <w:t>(2018) review of the</w:t>
      </w:r>
      <w:r>
        <w:rPr>
          <w:spacing w:val="-1"/>
        </w:rPr>
        <w:t xml:space="preserve"> </w:t>
      </w:r>
      <w:r>
        <w:t>US Preventive</w:t>
      </w:r>
      <w:r>
        <w:rPr>
          <w:spacing w:val="-1"/>
        </w:rPr>
        <w:t xml:space="preserve"> </w:t>
      </w:r>
      <w:r>
        <w:t>Services</w:t>
      </w:r>
      <w:r>
        <w:rPr>
          <w:spacing w:val="-1"/>
        </w:rPr>
        <w:t xml:space="preserve"> </w:t>
      </w:r>
      <w:r>
        <w:t xml:space="preserve">taskforce, as </w:t>
      </w:r>
      <w:proofErr w:type="spellStart"/>
      <w:r>
        <w:t>summarised</w:t>
      </w:r>
      <w:proofErr w:type="spellEnd"/>
      <w:r>
        <w:t xml:space="preserve"> below (Table 9.1).</w:t>
      </w:r>
    </w:p>
    <w:p w14:paraId="7A4C31F7" w14:textId="77777777" w:rsidR="00E13D3F" w:rsidRDefault="00FB2D6A">
      <w:pPr>
        <w:pStyle w:val="BodyText"/>
        <w:spacing w:line="276" w:lineRule="auto"/>
        <w:ind w:right="1450"/>
      </w:pPr>
      <w:r>
        <w:rPr>
          <w:b/>
        </w:rPr>
        <w:t>Indirect evidence</w:t>
      </w:r>
      <w:r>
        <w:t xml:space="preserve">: </w:t>
      </w:r>
      <w:proofErr w:type="spellStart"/>
      <w:r>
        <w:t>Dautzenberg’s</w:t>
      </w:r>
      <w:proofErr w:type="spellEnd"/>
      <w:r>
        <w:t xml:space="preserve"> et al., 2021 (AMSTAR rating 8) was the key systematic review</w:t>
      </w:r>
      <w:r>
        <w:rPr>
          <w:spacing w:val="-4"/>
        </w:rPr>
        <w:t xml:space="preserve"> </w:t>
      </w:r>
      <w:r>
        <w:t>of</w:t>
      </w:r>
      <w:r>
        <w:rPr>
          <w:spacing w:val="-4"/>
        </w:rPr>
        <w:t xml:space="preserve"> </w:t>
      </w:r>
      <w:r>
        <w:t>trials</w:t>
      </w:r>
      <w:r>
        <w:rPr>
          <w:spacing w:val="-5"/>
        </w:rPr>
        <w:t xml:space="preserve"> </w:t>
      </w:r>
      <w:r>
        <w:t>published</w:t>
      </w:r>
      <w:r>
        <w:rPr>
          <w:spacing w:val="-2"/>
        </w:rPr>
        <w:t xml:space="preserve"> </w:t>
      </w:r>
      <w:r>
        <w:t>up</w:t>
      </w:r>
      <w:r>
        <w:rPr>
          <w:spacing w:val="-4"/>
        </w:rPr>
        <w:t xml:space="preserve"> </w:t>
      </w:r>
      <w:r>
        <w:t>to</w:t>
      </w:r>
      <w:r>
        <w:rPr>
          <w:spacing w:val="-4"/>
        </w:rPr>
        <w:t xml:space="preserve"> </w:t>
      </w:r>
      <w:r>
        <w:t>2019</w:t>
      </w:r>
      <w:r>
        <w:rPr>
          <w:spacing w:val="-2"/>
        </w:rPr>
        <w:t xml:space="preserve"> </w:t>
      </w:r>
      <w:r>
        <w:t>with network</w:t>
      </w:r>
      <w:r>
        <w:rPr>
          <w:spacing w:val="-4"/>
        </w:rPr>
        <w:t xml:space="preserve"> </w:t>
      </w:r>
      <w:r>
        <w:t>meta-analysis</w:t>
      </w:r>
      <w:r>
        <w:rPr>
          <w:spacing w:val="-3"/>
        </w:rPr>
        <w:t xml:space="preserve"> </w:t>
      </w:r>
      <w:r>
        <w:t>(a</w:t>
      </w:r>
      <w:r>
        <w:rPr>
          <w:spacing w:val="-4"/>
        </w:rPr>
        <w:t xml:space="preserve"> </w:t>
      </w:r>
      <w:r>
        <w:t>statistical</w:t>
      </w:r>
      <w:r>
        <w:rPr>
          <w:spacing w:val="-2"/>
        </w:rPr>
        <w:t xml:space="preserve"> </w:t>
      </w:r>
      <w:r>
        <w:t>technique</w:t>
      </w:r>
      <w:r>
        <w:rPr>
          <w:spacing w:val="-5"/>
        </w:rPr>
        <w:t xml:space="preserve"> </w:t>
      </w:r>
      <w:r>
        <w:t xml:space="preserve">to separate out the independent effects of individual components in a multicomponent intervention) (3). They identified 220 </w:t>
      </w:r>
      <w:proofErr w:type="spellStart"/>
      <w:r>
        <w:t>randomised</w:t>
      </w:r>
      <w:proofErr w:type="spellEnd"/>
      <w:r>
        <w:t xml:space="preserve"> controlled trials of falls prevention initiatives targeting 98,388 older (&gt;65 years, 69% &gt;75 years) community dwelling adults.</w:t>
      </w:r>
    </w:p>
    <w:p w14:paraId="7A4C31F8" w14:textId="77777777" w:rsidR="00E13D3F" w:rsidRDefault="00FB2D6A">
      <w:pPr>
        <w:pStyle w:val="BodyText"/>
        <w:spacing w:line="276" w:lineRule="auto"/>
        <w:ind w:right="1450"/>
      </w:pPr>
      <w:r>
        <w:t>One in</w:t>
      </w:r>
      <w:r>
        <w:rPr>
          <w:spacing w:val="-1"/>
        </w:rPr>
        <w:t xml:space="preserve"> </w:t>
      </w:r>
      <w:r>
        <w:t>five</w:t>
      </w:r>
      <w:r>
        <w:rPr>
          <w:spacing w:val="-2"/>
        </w:rPr>
        <w:t xml:space="preserve"> </w:t>
      </w:r>
      <w:r>
        <w:t>studies</w:t>
      </w:r>
      <w:r>
        <w:rPr>
          <w:spacing w:val="-2"/>
        </w:rPr>
        <w:t xml:space="preserve"> </w:t>
      </w:r>
      <w:r>
        <w:t>had</w:t>
      </w:r>
      <w:r>
        <w:rPr>
          <w:spacing w:val="-1"/>
        </w:rPr>
        <w:t xml:space="preserve"> </w:t>
      </w:r>
      <w:r>
        <w:t>follow-up</w:t>
      </w:r>
      <w:r>
        <w:rPr>
          <w:spacing w:val="-1"/>
        </w:rPr>
        <w:t xml:space="preserve"> </w:t>
      </w:r>
      <w:r>
        <w:t>periods</w:t>
      </w:r>
      <w:r>
        <w:rPr>
          <w:spacing w:val="-2"/>
        </w:rPr>
        <w:t xml:space="preserve"> </w:t>
      </w:r>
      <w:r>
        <w:t>of</w:t>
      </w:r>
      <w:r>
        <w:rPr>
          <w:spacing w:val="-1"/>
        </w:rPr>
        <w:t xml:space="preserve"> </w:t>
      </w:r>
      <w:r>
        <w:t>&gt;12</w:t>
      </w:r>
      <w:r>
        <w:rPr>
          <w:spacing w:val="-1"/>
        </w:rPr>
        <w:t xml:space="preserve"> </w:t>
      </w:r>
      <w:r>
        <w:t>months.</w:t>
      </w:r>
      <w:r>
        <w:rPr>
          <w:spacing w:val="-1"/>
        </w:rPr>
        <w:t xml:space="preserve"> </w:t>
      </w:r>
      <w:r>
        <w:t>Overall,</w:t>
      </w:r>
      <w:r>
        <w:rPr>
          <w:spacing w:val="-2"/>
        </w:rPr>
        <w:t xml:space="preserve"> </w:t>
      </w:r>
      <w:r>
        <w:t>basic</w:t>
      </w:r>
      <w:r>
        <w:rPr>
          <w:spacing w:val="-3"/>
        </w:rPr>
        <w:t xml:space="preserve"> </w:t>
      </w:r>
      <w:r>
        <w:t>falls risk</w:t>
      </w:r>
      <w:r>
        <w:rPr>
          <w:spacing w:val="-1"/>
        </w:rPr>
        <w:t xml:space="preserve"> </w:t>
      </w:r>
      <w:r>
        <w:t>assessment (named</w:t>
      </w:r>
      <w:r>
        <w:rPr>
          <w:spacing w:val="-3"/>
        </w:rPr>
        <w:t xml:space="preserve"> </w:t>
      </w:r>
      <w:r>
        <w:t>“brisk”</w:t>
      </w:r>
      <w:r>
        <w:rPr>
          <w:spacing w:val="-2"/>
        </w:rPr>
        <w:t xml:space="preserve"> </w:t>
      </w:r>
      <w:r>
        <w:t>in</w:t>
      </w:r>
      <w:r>
        <w:rPr>
          <w:spacing w:val="-2"/>
        </w:rPr>
        <w:t xml:space="preserve"> </w:t>
      </w:r>
      <w:r>
        <w:t>Table</w:t>
      </w:r>
      <w:r>
        <w:rPr>
          <w:spacing w:val="-6"/>
        </w:rPr>
        <w:t xml:space="preserve"> </w:t>
      </w:r>
      <w:r>
        <w:t>9.1)</w:t>
      </w:r>
      <w:r>
        <w:rPr>
          <w:spacing w:val="-3"/>
        </w:rPr>
        <w:t xml:space="preserve"> </w:t>
      </w:r>
      <w:r>
        <w:t>either</w:t>
      </w:r>
      <w:r>
        <w:rPr>
          <w:spacing w:val="-3"/>
        </w:rPr>
        <w:t xml:space="preserve"> </w:t>
      </w:r>
      <w:r>
        <w:t>alone</w:t>
      </w:r>
      <w:r>
        <w:rPr>
          <w:spacing w:val="-2"/>
        </w:rPr>
        <w:t xml:space="preserve"> </w:t>
      </w:r>
      <w:r>
        <w:t>or</w:t>
      </w:r>
      <w:r>
        <w:rPr>
          <w:spacing w:val="-3"/>
        </w:rPr>
        <w:t xml:space="preserve"> </w:t>
      </w:r>
      <w:r>
        <w:t>in</w:t>
      </w:r>
      <w:r>
        <w:rPr>
          <w:spacing w:val="-3"/>
        </w:rPr>
        <w:t xml:space="preserve"> </w:t>
      </w:r>
      <w:r>
        <w:t>combination</w:t>
      </w:r>
      <w:r>
        <w:rPr>
          <w:spacing w:val="-3"/>
        </w:rPr>
        <w:t xml:space="preserve"> </w:t>
      </w:r>
      <w:r>
        <w:t>with</w:t>
      </w:r>
      <w:r>
        <w:rPr>
          <w:spacing w:val="-3"/>
        </w:rPr>
        <w:t xml:space="preserve"> </w:t>
      </w:r>
      <w:r>
        <w:t>other</w:t>
      </w:r>
      <w:r>
        <w:rPr>
          <w:spacing w:val="-3"/>
        </w:rPr>
        <w:t xml:space="preserve"> </w:t>
      </w:r>
      <w:r>
        <w:t>strategies,</w:t>
      </w:r>
      <w:r>
        <w:rPr>
          <w:spacing w:val="-4"/>
        </w:rPr>
        <w:t xml:space="preserve"> </w:t>
      </w:r>
      <w:r>
        <w:t>except</w:t>
      </w:r>
      <w:r>
        <w:rPr>
          <w:spacing w:val="-3"/>
        </w:rPr>
        <w:t xml:space="preserve"> </w:t>
      </w:r>
      <w:r>
        <w:t>for exercise, did not significantly reduce the fall rates, fracture rates or the number of fall-related fractures.</w:t>
      </w:r>
      <w:r>
        <w:rPr>
          <w:spacing w:val="40"/>
        </w:rPr>
        <w:t xml:space="preserve"> </w:t>
      </w:r>
      <w:r>
        <w:t>Exercise alone without falls risk assessment was found to be more effective in reducing the three outcomes of interest.</w:t>
      </w:r>
    </w:p>
    <w:p w14:paraId="7A4C31F9" w14:textId="77777777" w:rsidR="00E13D3F" w:rsidRDefault="00FB2D6A">
      <w:pPr>
        <w:pStyle w:val="BodyText"/>
        <w:spacing w:line="276" w:lineRule="auto"/>
        <w:ind w:right="1450"/>
      </w:pPr>
      <w:r>
        <w:rPr>
          <w:b/>
        </w:rPr>
        <w:t>Indirect evidence</w:t>
      </w:r>
      <w:r>
        <w:t>: The US Preventive Services Taskforce (USPST) 2018 was an update from the 2010 work investigating effectiveness of [mostly] multifactorial falls prevention interventions of 6-36 months follow-up covering 62 identified trials including 35,058 individuals (4). The outcomes of interest were falls including minor or major fall-related injuries</w:t>
      </w:r>
      <w:r>
        <w:rPr>
          <w:spacing w:val="-3"/>
        </w:rPr>
        <w:t xml:space="preserve"> </w:t>
      </w:r>
      <w:r>
        <w:t>among</w:t>
      </w:r>
      <w:r>
        <w:rPr>
          <w:spacing w:val="-1"/>
        </w:rPr>
        <w:t xml:space="preserve"> </w:t>
      </w:r>
      <w:r>
        <w:t>adults</w:t>
      </w:r>
      <w:r>
        <w:rPr>
          <w:spacing w:val="-1"/>
        </w:rPr>
        <w:t xml:space="preserve"> </w:t>
      </w:r>
      <w:r>
        <w:t>&gt;65 years</w:t>
      </w:r>
      <w:r>
        <w:rPr>
          <w:spacing w:val="-1"/>
        </w:rPr>
        <w:t xml:space="preserve"> </w:t>
      </w:r>
      <w:r>
        <w:t>at average risk</w:t>
      </w:r>
      <w:r>
        <w:rPr>
          <w:spacing w:val="-2"/>
        </w:rPr>
        <w:t xml:space="preserve"> </w:t>
      </w:r>
      <w:r>
        <w:t>and</w:t>
      </w:r>
      <w:r>
        <w:rPr>
          <w:spacing w:val="-2"/>
        </w:rPr>
        <w:t xml:space="preserve"> </w:t>
      </w:r>
      <w:r>
        <w:t>high</w:t>
      </w:r>
      <w:r>
        <w:rPr>
          <w:spacing w:val="-2"/>
        </w:rPr>
        <w:t xml:space="preserve"> </w:t>
      </w:r>
      <w:r>
        <w:t>risk.</w:t>
      </w:r>
      <w:r>
        <w:rPr>
          <w:spacing w:val="-2"/>
        </w:rPr>
        <w:t xml:space="preserve"> </w:t>
      </w:r>
      <w:r>
        <w:t>While</w:t>
      </w:r>
      <w:r>
        <w:rPr>
          <w:spacing w:val="-3"/>
        </w:rPr>
        <w:t xml:space="preserve"> </w:t>
      </w:r>
      <w:r>
        <w:t>there</w:t>
      </w:r>
      <w:r>
        <w:rPr>
          <w:spacing w:val="-5"/>
        </w:rPr>
        <w:t xml:space="preserve"> </w:t>
      </w:r>
      <w:r>
        <w:t>was</w:t>
      </w:r>
      <w:r>
        <w:rPr>
          <w:spacing w:val="-1"/>
        </w:rPr>
        <w:t xml:space="preserve"> </w:t>
      </w:r>
      <w:r>
        <w:t>some</w:t>
      </w:r>
      <w:r>
        <w:rPr>
          <w:spacing w:val="-3"/>
        </w:rPr>
        <w:t xml:space="preserve"> </w:t>
      </w:r>
      <w:r>
        <w:t xml:space="preserve">overlap with </w:t>
      </w:r>
      <w:proofErr w:type="spellStart"/>
      <w:r>
        <w:t>Dautzenberg</w:t>
      </w:r>
      <w:proofErr w:type="spellEnd"/>
      <w:r>
        <w:t xml:space="preserve"> 2021 in included studies, the findings from multifactorial interventions including risk assessment indicate that, particularly those including exercise, lead to a 21% reduction in incident falls with wide variation in effect sizes across studies (RR 0.79, 95% CI 0.68</w:t>
      </w:r>
      <w:r>
        <w:rPr>
          <w:spacing w:val="-4"/>
        </w:rPr>
        <w:t xml:space="preserve"> </w:t>
      </w:r>
      <w:r>
        <w:t>to</w:t>
      </w:r>
      <w:r>
        <w:rPr>
          <w:spacing w:val="-4"/>
        </w:rPr>
        <w:t xml:space="preserve"> </w:t>
      </w:r>
      <w:r>
        <w:t>0.91;</w:t>
      </w:r>
      <w:r>
        <w:rPr>
          <w:spacing w:val="-3"/>
        </w:rPr>
        <w:t xml:space="preserve"> </w:t>
      </w:r>
      <w:r>
        <w:t>17</w:t>
      </w:r>
      <w:r>
        <w:rPr>
          <w:spacing w:val="-4"/>
        </w:rPr>
        <w:t xml:space="preserve"> </w:t>
      </w:r>
      <w:r>
        <w:t>trials).</w:t>
      </w:r>
      <w:r>
        <w:rPr>
          <w:spacing w:val="-4"/>
        </w:rPr>
        <w:t xml:space="preserve"> </w:t>
      </w:r>
      <w:r>
        <w:t>However,</w:t>
      </w:r>
      <w:r>
        <w:rPr>
          <w:spacing w:val="-5"/>
        </w:rPr>
        <w:t xml:space="preserve"> </w:t>
      </w:r>
      <w:r>
        <w:t>no</w:t>
      </w:r>
      <w:r>
        <w:rPr>
          <w:spacing w:val="-5"/>
        </w:rPr>
        <w:t xml:space="preserve"> </w:t>
      </w:r>
      <w:r>
        <w:t>statistically</w:t>
      </w:r>
      <w:r>
        <w:rPr>
          <w:spacing w:val="-3"/>
        </w:rPr>
        <w:t xml:space="preserve"> </w:t>
      </w:r>
      <w:r>
        <w:t>significant</w:t>
      </w:r>
      <w:r>
        <w:rPr>
          <w:spacing w:val="-2"/>
        </w:rPr>
        <w:t xml:space="preserve"> </w:t>
      </w:r>
      <w:r>
        <w:t>effect</w:t>
      </w:r>
      <w:r>
        <w:rPr>
          <w:spacing w:val="-4"/>
        </w:rPr>
        <w:t xml:space="preserve"> </w:t>
      </w:r>
      <w:r>
        <w:t>was</w:t>
      </w:r>
      <w:r>
        <w:rPr>
          <w:spacing w:val="-3"/>
        </w:rPr>
        <w:t xml:space="preserve"> </w:t>
      </w:r>
      <w:r>
        <w:t>observed on</w:t>
      </w:r>
      <w:r>
        <w:rPr>
          <w:spacing w:val="-4"/>
        </w:rPr>
        <w:t xml:space="preserve"> </w:t>
      </w:r>
      <w:r>
        <w:t>numbers of people experiencing a fall or fall-related fractures (24 trials, estimated 5% reduction but the effect ranged from 11% reduction to a 1% increase).</w:t>
      </w:r>
    </w:p>
    <w:p w14:paraId="7A4C31FA" w14:textId="77777777" w:rsidR="00E13D3F" w:rsidRDefault="00E13D3F">
      <w:pPr>
        <w:pStyle w:val="BodyText"/>
        <w:spacing w:line="276" w:lineRule="auto"/>
        <w:sectPr w:rsidR="00E13D3F">
          <w:pgSz w:w="11910" w:h="16840"/>
          <w:pgMar w:top="1400" w:right="0" w:bottom="1200" w:left="0" w:header="0" w:footer="1000" w:gutter="0"/>
          <w:cols w:space="720"/>
        </w:sectPr>
      </w:pPr>
    </w:p>
    <w:p w14:paraId="7A4C31FB" w14:textId="77777777" w:rsidR="00E13D3F" w:rsidRDefault="00FB2D6A">
      <w:pPr>
        <w:pStyle w:val="BodyText"/>
        <w:spacing w:before="41" w:line="276" w:lineRule="auto"/>
        <w:ind w:right="1672"/>
      </w:pPr>
      <w:r>
        <w:rPr>
          <w:b/>
        </w:rPr>
        <w:lastRenderedPageBreak/>
        <w:t>Direct</w:t>
      </w:r>
      <w:r>
        <w:rPr>
          <w:b/>
          <w:spacing w:val="-4"/>
        </w:rPr>
        <w:t xml:space="preserve"> </w:t>
      </w:r>
      <w:r>
        <w:rPr>
          <w:b/>
        </w:rPr>
        <w:t>Evidence</w:t>
      </w:r>
      <w:r>
        <w:t>:</w:t>
      </w:r>
      <w:r>
        <w:rPr>
          <w:spacing w:val="-4"/>
        </w:rPr>
        <w:t xml:space="preserve"> </w:t>
      </w:r>
      <w:r>
        <w:t>Subsequent</w:t>
      </w:r>
      <w:r>
        <w:rPr>
          <w:spacing w:val="-4"/>
        </w:rPr>
        <w:t xml:space="preserve"> </w:t>
      </w:r>
      <w:r>
        <w:t>to</w:t>
      </w:r>
      <w:r>
        <w:rPr>
          <w:spacing w:val="-4"/>
        </w:rPr>
        <w:t xml:space="preserve"> </w:t>
      </w:r>
      <w:r>
        <w:t>both</w:t>
      </w:r>
      <w:r>
        <w:rPr>
          <w:spacing w:val="-5"/>
        </w:rPr>
        <w:t xml:space="preserve"> </w:t>
      </w:r>
      <w:r>
        <w:t>these</w:t>
      </w:r>
      <w:r>
        <w:rPr>
          <w:spacing w:val="-2"/>
        </w:rPr>
        <w:t xml:space="preserve"> </w:t>
      </w:r>
      <w:r>
        <w:t>reviews,</w:t>
      </w:r>
      <w:r>
        <w:rPr>
          <w:spacing w:val="-3"/>
        </w:rPr>
        <w:t xml:space="preserve"> </w:t>
      </w:r>
      <w:r>
        <w:t>two</w:t>
      </w:r>
      <w:r>
        <w:rPr>
          <w:spacing w:val="-4"/>
        </w:rPr>
        <w:t xml:space="preserve"> </w:t>
      </w:r>
      <w:r>
        <w:t>large</w:t>
      </w:r>
      <w:r>
        <w:rPr>
          <w:spacing w:val="-2"/>
        </w:rPr>
        <w:t xml:space="preserve"> </w:t>
      </w:r>
      <w:r>
        <w:t>cluster-randomized</w:t>
      </w:r>
      <w:r>
        <w:rPr>
          <w:spacing w:val="-4"/>
        </w:rPr>
        <w:t xml:space="preserve"> </w:t>
      </w:r>
      <w:r>
        <w:t>trials have assessed the impact of falls risk assessment</w:t>
      </w:r>
    </w:p>
    <w:p w14:paraId="7A4C31FC" w14:textId="77777777" w:rsidR="00E13D3F" w:rsidRDefault="00FB2D6A">
      <w:pPr>
        <w:pStyle w:val="BodyText"/>
        <w:spacing w:before="1" w:line="276" w:lineRule="auto"/>
        <w:ind w:right="1519"/>
      </w:pPr>
      <w:r>
        <w:t>Lamb et al., 2020 was a three-arm cluster RCT conducted on 9,803 community-dwelling older</w:t>
      </w:r>
      <w:r>
        <w:rPr>
          <w:spacing w:val="-3"/>
        </w:rPr>
        <w:t xml:space="preserve"> </w:t>
      </w:r>
      <w:r>
        <w:t>people</w:t>
      </w:r>
      <w:r>
        <w:rPr>
          <w:spacing w:val="-4"/>
        </w:rPr>
        <w:t xml:space="preserve"> </w:t>
      </w:r>
      <w:r>
        <w:t>(aged</w:t>
      </w:r>
      <w:r>
        <w:rPr>
          <w:spacing w:val="-3"/>
        </w:rPr>
        <w:t xml:space="preserve"> </w:t>
      </w:r>
      <w:r>
        <w:t>&gt;70</w:t>
      </w:r>
      <w:r>
        <w:rPr>
          <w:spacing w:val="-3"/>
        </w:rPr>
        <w:t xml:space="preserve"> </w:t>
      </w:r>
      <w:r>
        <w:t>years)</w:t>
      </w:r>
      <w:r>
        <w:rPr>
          <w:spacing w:val="-3"/>
        </w:rPr>
        <w:t xml:space="preserve"> </w:t>
      </w:r>
      <w:r>
        <w:t>with</w:t>
      </w:r>
      <w:r>
        <w:rPr>
          <w:spacing w:val="-3"/>
        </w:rPr>
        <w:t xml:space="preserve"> </w:t>
      </w:r>
      <w:r>
        <w:t>or</w:t>
      </w:r>
      <w:r>
        <w:rPr>
          <w:spacing w:val="-3"/>
        </w:rPr>
        <w:t xml:space="preserve"> </w:t>
      </w:r>
      <w:r>
        <w:t>without</w:t>
      </w:r>
      <w:r>
        <w:rPr>
          <w:spacing w:val="-3"/>
        </w:rPr>
        <w:t xml:space="preserve"> </w:t>
      </w:r>
      <w:r>
        <w:t>history</w:t>
      </w:r>
      <w:r>
        <w:rPr>
          <w:spacing w:val="-2"/>
        </w:rPr>
        <w:t xml:space="preserve"> </w:t>
      </w:r>
      <w:r>
        <w:t>of</w:t>
      </w:r>
      <w:r>
        <w:rPr>
          <w:spacing w:val="-3"/>
        </w:rPr>
        <w:t xml:space="preserve"> </w:t>
      </w:r>
      <w:r>
        <w:t>falls</w:t>
      </w:r>
      <w:r>
        <w:rPr>
          <w:spacing w:val="-2"/>
        </w:rPr>
        <w:t xml:space="preserve"> </w:t>
      </w:r>
      <w:r>
        <w:t>attending</w:t>
      </w:r>
      <w:r>
        <w:rPr>
          <w:spacing w:val="-2"/>
        </w:rPr>
        <w:t xml:space="preserve"> </w:t>
      </w:r>
      <w:r>
        <w:t>63</w:t>
      </w:r>
      <w:r>
        <w:rPr>
          <w:spacing w:val="-3"/>
        </w:rPr>
        <w:t xml:space="preserve"> </w:t>
      </w:r>
      <w:r>
        <w:t>general</w:t>
      </w:r>
      <w:r>
        <w:rPr>
          <w:spacing w:val="-4"/>
        </w:rPr>
        <w:t xml:space="preserve"> </w:t>
      </w:r>
      <w:r>
        <w:t>practices in England (5). They compared the effectiveness of (a) Mailed booklet on falls prevention advice on falls prevention alone (no risk screening), (b) mailed falls risk assessment questionnaire + targeted exercises + mailed advice, and (c) mailed falls risk assessment questionnaire + multifactorial falls prevention in addition to mailed advice. No reduction in falls (39% in all groups) or fractures at 18 months was achieved with either risk screening combined with exercise or multifactorial falls prevention intervention, so the effect was deemed equivalent to mailed advice booklet alone without falls risk screening.</w:t>
      </w:r>
    </w:p>
    <w:p w14:paraId="7A4C31FD" w14:textId="77777777" w:rsidR="00E13D3F" w:rsidRDefault="00E13D3F">
      <w:pPr>
        <w:pStyle w:val="BodyText"/>
        <w:spacing w:before="45"/>
        <w:ind w:left="0"/>
      </w:pPr>
    </w:p>
    <w:p w14:paraId="7A4C31FE" w14:textId="77777777" w:rsidR="00E13D3F" w:rsidRDefault="00FB2D6A">
      <w:pPr>
        <w:pStyle w:val="BodyText"/>
        <w:spacing w:line="276" w:lineRule="auto"/>
        <w:ind w:right="1477"/>
      </w:pPr>
      <w:r>
        <w:t>Bhasin</w:t>
      </w:r>
      <w:r>
        <w:rPr>
          <w:spacing w:val="-2"/>
        </w:rPr>
        <w:t xml:space="preserve"> </w:t>
      </w:r>
      <w:r>
        <w:t>et</w:t>
      </w:r>
      <w:r>
        <w:rPr>
          <w:spacing w:val="-2"/>
        </w:rPr>
        <w:t xml:space="preserve"> </w:t>
      </w:r>
      <w:r>
        <w:t>al.,</w:t>
      </w:r>
      <w:r>
        <w:rPr>
          <w:spacing w:val="-4"/>
        </w:rPr>
        <w:t xml:space="preserve"> </w:t>
      </w:r>
      <w:r>
        <w:t>2020</w:t>
      </w:r>
      <w:r>
        <w:rPr>
          <w:spacing w:val="-2"/>
        </w:rPr>
        <w:t xml:space="preserve"> </w:t>
      </w:r>
      <w:r>
        <w:t>et</w:t>
      </w:r>
      <w:r>
        <w:rPr>
          <w:spacing w:val="-2"/>
        </w:rPr>
        <w:t xml:space="preserve"> </w:t>
      </w:r>
      <w:r>
        <w:t>al.</w:t>
      </w:r>
      <w:r>
        <w:rPr>
          <w:spacing w:val="-4"/>
        </w:rPr>
        <w:t xml:space="preserve"> </w:t>
      </w:r>
      <w:r>
        <w:t>conducted</w:t>
      </w:r>
      <w:r>
        <w:rPr>
          <w:spacing w:val="-4"/>
        </w:rPr>
        <w:t xml:space="preserve"> </w:t>
      </w:r>
      <w:r>
        <w:t>a</w:t>
      </w:r>
      <w:r>
        <w:rPr>
          <w:spacing w:val="-4"/>
        </w:rPr>
        <w:t xml:space="preserve"> </w:t>
      </w:r>
      <w:r>
        <w:t>pragmatic</w:t>
      </w:r>
      <w:r>
        <w:rPr>
          <w:spacing w:val="-4"/>
        </w:rPr>
        <w:t xml:space="preserve"> </w:t>
      </w:r>
      <w:r>
        <w:t>cluster</w:t>
      </w:r>
      <w:r>
        <w:rPr>
          <w:spacing w:val="-4"/>
        </w:rPr>
        <w:t xml:space="preserve"> </w:t>
      </w:r>
      <w:proofErr w:type="spellStart"/>
      <w:r>
        <w:t>randomised</w:t>
      </w:r>
      <w:proofErr w:type="spellEnd"/>
      <w:r>
        <w:rPr>
          <w:spacing w:val="-4"/>
        </w:rPr>
        <w:t xml:space="preserve"> </w:t>
      </w:r>
      <w:r>
        <w:t>trial</w:t>
      </w:r>
      <w:r>
        <w:rPr>
          <w:spacing w:val="-4"/>
        </w:rPr>
        <w:t xml:space="preserve"> </w:t>
      </w:r>
      <w:r>
        <w:t>of</w:t>
      </w:r>
      <w:r>
        <w:rPr>
          <w:spacing w:val="-4"/>
        </w:rPr>
        <w:t xml:space="preserve"> </w:t>
      </w:r>
      <w:r>
        <w:t>multifactorial</w:t>
      </w:r>
      <w:r>
        <w:rPr>
          <w:spacing w:val="-2"/>
        </w:rPr>
        <w:t xml:space="preserve"> </w:t>
      </w:r>
      <w:r>
        <w:t xml:space="preserve">risk assessment followed by </w:t>
      </w:r>
      <w:proofErr w:type="spellStart"/>
      <w:r>
        <w:t>individualised</w:t>
      </w:r>
      <w:proofErr w:type="spellEnd"/>
      <w:r>
        <w:t xml:space="preserve"> management plans and compared to enhanced usual care (pamphlet) (6). The sample was 5,451 community-dwelling adults aged 70+ years registered to 86 general practices deemed at high risk of falls due to history of falls or fear</w:t>
      </w:r>
      <w:r>
        <w:rPr>
          <w:spacing w:val="40"/>
        </w:rPr>
        <w:t xml:space="preserve"> </w:t>
      </w:r>
      <w:r>
        <w:t>of falling associated with poor walking balance. Risk assessment took the form of a self-administered postal questionnaire, with only people at risk of falls invited to participate in an intervention delivered by</w:t>
      </w:r>
      <w:r>
        <w:rPr>
          <w:spacing w:val="-1"/>
        </w:rPr>
        <w:t xml:space="preserve"> </w:t>
      </w:r>
      <w:r>
        <w:t>nurses. Falls risk</w:t>
      </w:r>
      <w:r>
        <w:rPr>
          <w:spacing w:val="-1"/>
        </w:rPr>
        <w:t xml:space="preserve"> </w:t>
      </w:r>
      <w:r>
        <w:t>factors were re-assessed by</w:t>
      </w:r>
      <w:r>
        <w:rPr>
          <w:spacing w:val="-1"/>
        </w:rPr>
        <w:t xml:space="preserve"> </w:t>
      </w:r>
      <w:r>
        <w:t>the nurses as part of the intervention. The intervention did not lead to a significant reduction of verified serious fall injuries than the control group over the 44-month follow-up.</w:t>
      </w:r>
    </w:p>
    <w:p w14:paraId="7A4C31FF" w14:textId="77777777" w:rsidR="00E13D3F" w:rsidRDefault="00E13D3F">
      <w:pPr>
        <w:pStyle w:val="BodyText"/>
        <w:spacing w:before="83"/>
        <w:ind w:left="0"/>
      </w:pPr>
    </w:p>
    <w:p w14:paraId="7A4C3200" w14:textId="77777777" w:rsidR="00E13D3F" w:rsidRDefault="00FB2D6A">
      <w:pPr>
        <w:pStyle w:val="Heading2"/>
      </w:pPr>
      <w:r>
        <w:rPr>
          <w:color w:val="2E5395"/>
        </w:rPr>
        <w:t>Starting</w:t>
      </w:r>
      <w:r>
        <w:rPr>
          <w:color w:val="2E5395"/>
          <w:spacing w:val="-8"/>
        </w:rPr>
        <w:t xml:space="preserve"> </w:t>
      </w:r>
      <w:r>
        <w:rPr>
          <w:color w:val="2E5395"/>
        </w:rPr>
        <w:t>and</w:t>
      </w:r>
      <w:r>
        <w:rPr>
          <w:color w:val="2E5395"/>
          <w:spacing w:val="-8"/>
        </w:rPr>
        <w:t xml:space="preserve"> </w:t>
      </w:r>
      <w:r>
        <w:rPr>
          <w:color w:val="2E5395"/>
        </w:rPr>
        <w:t>Stopping</w:t>
      </w:r>
      <w:r>
        <w:rPr>
          <w:color w:val="2E5395"/>
          <w:spacing w:val="-8"/>
        </w:rPr>
        <w:t xml:space="preserve"> </w:t>
      </w:r>
      <w:r>
        <w:rPr>
          <w:color w:val="2E5395"/>
          <w:spacing w:val="-4"/>
        </w:rPr>
        <w:t>Ages</w:t>
      </w:r>
    </w:p>
    <w:p w14:paraId="7A4C3201" w14:textId="77777777" w:rsidR="00E13D3F" w:rsidRDefault="00FB2D6A">
      <w:pPr>
        <w:pStyle w:val="BodyText"/>
        <w:spacing w:before="26" w:line="292" w:lineRule="auto"/>
        <w:ind w:right="1804"/>
        <w:jc w:val="both"/>
        <w:rPr>
          <w:rFonts w:ascii="Calibri Light"/>
          <w:sz w:val="26"/>
        </w:rPr>
      </w:pPr>
      <w:r>
        <w:t>No</w:t>
      </w:r>
      <w:r>
        <w:rPr>
          <w:spacing w:val="-1"/>
        </w:rPr>
        <w:t xml:space="preserve"> </w:t>
      </w:r>
      <w:r>
        <w:t>articles</w:t>
      </w:r>
      <w:r>
        <w:rPr>
          <w:spacing w:val="-2"/>
        </w:rPr>
        <w:t xml:space="preserve"> </w:t>
      </w:r>
      <w:r>
        <w:t>addressed</w:t>
      </w:r>
      <w:r>
        <w:rPr>
          <w:spacing w:val="-3"/>
        </w:rPr>
        <w:t xml:space="preserve"> </w:t>
      </w:r>
      <w:r>
        <w:t>this</w:t>
      </w:r>
      <w:r>
        <w:rPr>
          <w:spacing w:val="-2"/>
        </w:rPr>
        <w:t xml:space="preserve"> </w:t>
      </w:r>
      <w:r>
        <w:t>clinical</w:t>
      </w:r>
      <w:r>
        <w:rPr>
          <w:spacing w:val="-1"/>
        </w:rPr>
        <w:t xml:space="preserve"> </w:t>
      </w:r>
      <w:r>
        <w:t>question,</w:t>
      </w:r>
      <w:r>
        <w:rPr>
          <w:spacing w:val="-4"/>
        </w:rPr>
        <w:t xml:space="preserve"> </w:t>
      </w:r>
      <w:r>
        <w:t>but</w:t>
      </w:r>
      <w:r>
        <w:rPr>
          <w:spacing w:val="-3"/>
        </w:rPr>
        <w:t xml:space="preserve"> </w:t>
      </w:r>
      <w:r>
        <w:t>the</w:t>
      </w:r>
      <w:r>
        <w:rPr>
          <w:spacing w:val="-1"/>
        </w:rPr>
        <w:t xml:space="preserve"> </w:t>
      </w:r>
      <w:r>
        <w:t>two</w:t>
      </w:r>
      <w:r>
        <w:rPr>
          <w:spacing w:val="-1"/>
        </w:rPr>
        <w:t xml:space="preserve"> </w:t>
      </w:r>
      <w:r>
        <w:t>large</w:t>
      </w:r>
      <w:r>
        <w:rPr>
          <w:spacing w:val="-3"/>
        </w:rPr>
        <w:t xml:space="preserve"> </w:t>
      </w:r>
      <w:r>
        <w:t>trials</w:t>
      </w:r>
      <w:r>
        <w:rPr>
          <w:spacing w:val="-4"/>
        </w:rPr>
        <w:t xml:space="preserve"> </w:t>
      </w:r>
      <w:r>
        <w:t>were</w:t>
      </w:r>
      <w:r>
        <w:rPr>
          <w:spacing w:val="-4"/>
        </w:rPr>
        <w:t xml:space="preserve"> </w:t>
      </w:r>
      <w:r>
        <w:t>both</w:t>
      </w:r>
      <w:r>
        <w:rPr>
          <w:spacing w:val="-3"/>
        </w:rPr>
        <w:t xml:space="preserve"> </w:t>
      </w:r>
      <w:r>
        <w:t>in</w:t>
      </w:r>
      <w:r>
        <w:rPr>
          <w:spacing w:val="-3"/>
        </w:rPr>
        <w:t xml:space="preserve"> </w:t>
      </w:r>
      <w:r>
        <w:t>adults</w:t>
      </w:r>
      <w:r>
        <w:rPr>
          <w:spacing w:val="-2"/>
        </w:rPr>
        <w:t xml:space="preserve"> </w:t>
      </w:r>
      <w:r>
        <w:t>in the</w:t>
      </w:r>
      <w:r>
        <w:rPr>
          <w:spacing w:val="-3"/>
        </w:rPr>
        <w:t xml:space="preserve"> </w:t>
      </w:r>
      <w:r>
        <w:t>community</w:t>
      </w:r>
      <w:r>
        <w:rPr>
          <w:spacing w:val="-4"/>
        </w:rPr>
        <w:t xml:space="preserve"> </w:t>
      </w:r>
      <w:r>
        <w:t>over</w:t>
      </w:r>
      <w:r>
        <w:rPr>
          <w:spacing w:val="-3"/>
        </w:rPr>
        <w:t xml:space="preserve"> </w:t>
      </w:r>
      <w:r>
        <w:t>75 years</w:t>
      </w:r>
      <w:r>
        <w:rPr>
          <w:spacing w:val="-1"/>
        </w:rPr>
        <w:t xml:space="preserve"> </w:t>
      </w:r>
      <w:r>
        <w:t>of</w:t>
      </w:r>
      <w:r>
        <w:rPr>
          <w:spacing w:val="-2"/>
        </w:rPr>
        <w:t xml:space="preserve"> </w:t>
      </w:r>
      <w:r>
        <w:t>age,</w:t>
      </w:r>
      <w:r>
        <w:rPr>
          <w:spacing w:val="-3"/>
        </w:rPr>
        <w:t xml:space="preserve"> </w:t>
      </w:r>
      <w:r>
        <w:t>as</w:t>
      </w:r>
      <w:r>
        <w:rPr>
          <w:spacing w:val="-1"/>
        </w:rPr>
        <w:t xml:space="preserve"> </w:t>
      </w:r>
      <w:r>
        <w:t>the</w:t>
      </w:r>
      <w:r>
        <w:rPr>
          <w:spacing w:val="-3"/>
        </w:rPr>
        <w:t xml:space="preserve"> </w:t>
      </w:r>
      <w:r>
        <w:t>risk</w:t>
      </w:r>
      <w:r>
        <w:rPr>
          <w:spacing w:val="-2"/>
        </w:rPr>
        <w:t xml:space="preserve"> </w:t>
      </w:r>
      <w:r>
        <w:t>of</w:t>
      </w:r>
      <w:r>
        <w:rPr>
          <w:spacing w:val="-2"/>
        </w:rPr>
        <w:t xml:space="preserve"> </w:t>
      </w:r>
      <w:r>
        <w:t>consequential</w:t>
      </w:r>
      <w:r>
        <w:rPr>
          <w:spacing w:val="-3"/>
        </w:rPr>
        <w:t xml:space="preserve"> </w:t>
      </w:r>
      <w:r>
        <w:t>falls</w:t>
      </w:r>
      <w:r>
        <w:rPr>
          <w:spacing w:val="-3"/>
        </w:rPr>
        <w:t xml:space="preserve"> </w:t>
      </w:r>
      <w:r>
        <w:t>increases</w:t>
      </w:r>
      <w:r>
        <w:rPr>
          <w:spacing w:val="-1"/>
        </w:rPr>
        <w:t xml:space="preserve"> </w:t>
      </w:r>
      <w:r>
        <w:t>with</w:t>
      </w:r>
      <w:r>
        <w:rPr>
          <w:spacing w:val="-2"/>
        </w:rPr>
        <w:t xml:space="preserve"> </w:t>
      </w:r>
      <w:r>
        <w:t xml:space="preserve">age. </w:t>
      </w:r>
      <w:r>
        <w:rPr>
          <w:rFonts w:ascii="Calibri Light"/>
          <w:color w:val="2E5395"/>
          <w:sz w:val="26"/>
        </w:rPr>
        <w:t>Interval for Assessment</w:t>
      </w:r>
    </w:p>
    <w:p w14:paraId="7A4C3202" w14:textId="77777777" w:rsidR="00E13D3F" w:rsidRDefault="00FB2D6A">
      <w:pPr>
        <w:pStyle w:val="BodyText"/>
        <w:spacing w:line="247" w:lineRule="exact"/>
        <w:jc w:val="both"/>
      </w:pPr>
      <w:r>
        <w:t>A</w:t>
      </w:r>
      <w:r>
        <w:rPr>
          <w:spacing w:val="-4"/>
        </w:rPr>
        <w:t xml:space="preserve"> </w:t>
      </w:r>
      <w:r>
        <w:t>recent</w:t>
      </w:r>
      <w:r>
        <w:rPr>
          <w:spacing w:val="-2"/>
        </w:rPr>
        <w:t xml:space="preserve"> </w:t>
      </w:r>
      <w:r>
        <w:t>Canadian</w:t>
      </w:r>
      <w:r>
        <w:rPr>
          <w:spacing w:val="-2"/>
        </w:rPr>
        <w:t xml:space="preserve"> </w:t>
      </w:r>
      <w:r>
        <w:t>cohort</w:t>
      </w:r>
      <w:r>
        <w:rPr>
          <w:spacing w:val="-2"/>
        </w:rPr>
        <w:t xml:space="preserve"> </w:t>
      </w:r>
      <w:r>
        <w:t>study</w:t>
      </w:r>
      <w:r>
        <w:rPr>
          <w:spacing w:val="-6"/>
        </w:rPr>
        <w:t xml:space="preserve"> </w:t>
      </w:r>
      <w:r>
        <w:t>of</w:t>
      </w:r>
      <w:r>
        <w:rPr>
          <w:spacing w:val="-3"/>
        </w:rPr>
        <w:t xml:space="preserve"> </w:t>
      </w:r>
      <w:r>
        <w:t>571</w:t>
      </w:r>
      <w:r>
        <w:rPr>
          <w:spacing w:val="-4"/>
        </w:rPr>
        <w:t xml:space="preserve"> </w:t>
      </w:r>
      <w:r>
        <w:t>older</w:t>
      </w:r>
      <w:r>
        <w:rPr>
          <w:spacing w:val="-2"/>
        </w:rPr>
        <w:t xml:space="preserve"> </w:t>
      </w:r>
      <w:r>
        <w:t>adults</w:t>
      </w:r>
      <w:r>
        <w:rPr>
          <w:spacing w:val="-3"/>
        </w:rPr>
        <w:t xml:space="preserve"> </w:t>
      </w:r>
      <w:r>
        <w:t>(&gt;75</w:t>
      </w:r>
      <w:r>
        <w:rPr>
          <w:spacing w:val="-4"/>
        </w:rPr>
        <w:t xml:space="preserve"> </w:t>
      </w:r>
      <w:r>
        <w:t>years)</w:t>
      </w:r>
      <w:r>
        <w:rPr>
          <w:spacing w:val="-4"/>
        </w:rPr>
        <w:t xml:space="preserve"> </w:t>
      </w:r>
      <w:r>
        <w:t>with</w:t>
      </w:r>
      <w:r>
        <w:rPr>
          <w:spacing w:val="-4"/>
        </w:rPr>
        <w:t xml:space="preserve"> </w:t>
      </w:r>
      <w:r>
        <w:t>chronic</w:t>
      </w:r>
      <w:r>
        <w:rPr>
          <w:spacing w:val="-3"/>
        </w:rPr>
        <w:t xml:space="preserve"> </w:t>
      </w:r>
      <w:r>
        <w:t>conditions</w:t>
      </w:r>
      <w:r>
        <w:rPr>
          <w:spacing w:val="-4"/>
        </w:rPr>
        <w:t xml:space="preserve"> </w:t>
      </w:r>
      <w:r>
        <w:rPr>
          <w:spacing w:val="-5"/>
        </w:rPr>
        <w:t>in</w:t>
      </w:r>
    </w:p>
    <w:p w14:paraId="7A4C3203" w14:textId="77777777" w:rsidR="00E13D3F" w:rsidRDefault="00FB2D6A">
      <w:pPr>
        <w:pStyle w:val="BodyText"/>
        <w:spacing w:before="43" w:line="276" w:lineRule="auto"/>
        <w:ind w:right="1450"/>
      </w:pPr>
      <w:r>
        <w:t>primary</w:t>
      </w:r>
      <w:r>
        <w:rPr>
          <w:spacing w:val="-3"/>
        </w:rPr>
        <w:t xml:space="preserve"> </w:t>
      </w:r>
      <w:r>
        <w:t>care</w:t>
      </w:r>
      <w:r>
        <w:rPr>
          <w:spacing w:val="-4"/>
        </w:rPr>
        <w:t xml:space="preserve"> </w:t>
      </w:r>
      <w:r>
        <w:t>(7)</w:t>
      </w:r>
      <w:r>
        <w:rPr>
          <w:spacing w:val="-4"/>
        </w:rPr>
        <w:t xml:space="preserve"> </w:t>
      </w:r>
      <w:r>
        <w:t>examined</w:t>
      </w:r>
      <w:r>
        <w:rPr>
          <w:spacing w:val="-2"/>
        </w:rPr>
        <w:t xml:space="preserve"> </w:t>
      </w:r>
      <w:r>
        <w:t>the</w:t>
      </w:r>
      <w:r>
        <w:rPr>
          <w:spacing w:val="-4"/>
        </w:rPr>
        <w:t xml:space="preserve"> </w:t>
      </w:r>
      <w:r>
        <w:t>potential gain</w:t>
      </w:r>
      <w:r>
        <w:rPr>
          <w:spacing w:val="-4"/>
        </w:rPr>
        <w:t xml:space="preserve"> </w:t>
      </w:r>
      <w:r>
        <w:t>from</w:t>
      </w:r>
      <w:r>
        <w:rPr>
          <w:spacing w:val="-5"/>
        </w:rPr>
        <w:t xml:space="preserve"> </w:t>
      </w:r>
      <w:r>
        <w:t>frailty</w:t>
      </w:r>
      <w:r>
        <w:rPr>
          <w:spacing w:val="-3"/>
        </w:rPr>
        <w:t xml:space="preserve"> </w:t>
      </w:r>
      <w:r>
        <w:t>screening</w:t>
      </w:r>
      <w:r>
        <w:rPr>
          <w:spacing w:val="-5"/>
        </w:rPr>
        <w:t xml:space="preserve"> </w:t>
      </w:r>
      <w:r>
        <w:t>with</w:t>
      </w:r>
      <w:r>
        <w:rPr>
          <w:spacing w:val="-2"/>
        </w:rPr>
        <w:t xml:space="preserve"> </w:t>
      </w:r>
      <w:r>
        <w:t>gait</w:t>
      </w:r>
      <w:r>
        <w:rPr>
          <w:spacing w:val="-2"/>
        </w:rPr>
        <w:t xml:space="preserve"> </w:t>
      </w:r>
      <w:r>
        <w:t>speed</w:t>
      </w:r>
      <w:r>
        <w:rPr>
          <w:spacing w:val="-4"/>
        </w:rPr>
        <w:t xml:space="preserve"> </w:t>
      </w:r>
      <w:r>
        <w:t>and</w:t>
      </w:r>
      <w:r>
        <w:rPr>
          <w:spacing w:val="-2"/>
        </w:rPr>
        <w:t xml:space="preserve"> </w:t>
      </w:r>
      <w:r>
        <w:t>grip strength</w:t>
      </w:r>
      <w:r>
        <w:rPr>
          <w:spacing w:val="-4"/>
        </w:rPr>
        <w:t xml:space="preserve"> </w:t>
      </w:r>
      <w:r>
        <w:t>done</w:t>
      </w:r>
      <w:r>
        <w:rPr>
          <w:spacing w:val="-2"/>
        </w:rPr>
        <w:t xml:space="preserve"> </w:t>
      </w:r>
      <w:r>
        <w:t>annually</w:t>
      </w:r>
      <w:r>
        <w:rPr>
          <w:spacing w:val="-3"/>
        </w:rPr>
        <w:t xml:space="preserve"> </w:t>
      </w:r>
      <w:r>
        <w:t>compared</w:t>
      </w:r>
      <w:r>
        <w:rPr>
          <w:spacing w:val="-4"/>
        </w:rPr>
        <w:t xml:space="preserve"> </w:t>
      </w:r>
      <w:r>
        <w:t>with</w:t>
      </w:r>
      <w:r>
        <w:rPr>
          <w:spacing w:val="-2"/>
        </w:rPr>
        <w:t xml:space="preserve"> </w:t>
      </w:r>
      <w:r>
        <w:t>screening</w:t>
      </w:r>
      <w:r>
        <w:rPr>
          <w:spacing w:val="-7"/>
        </w:rPr>
        <w:t xml:space="preserve"> </w:t>
      </w:r>
      <w:r>
        <w:t>every</w:t>
      </w:r>
      <w:r>
        <w:rPr>
          <w:spacing w:val="-3"/>
        </w:rPr>
        <w:t xml:space="preserve"> </w:t>
      </w:r>
      <w:r>
        <w:t>2</w:t>
      </w:r>
      <w:r>
        <w:rPr>
          <w:spacing w:val="-2"/>
        </w:rPr>
        <w:t xml:space="preserve"> </w:t>
      </w:r>
      <w:r>
        <w:t>years.</w:t>
      </w:r>
      <w:r>
        <w:rPr>
          <w:spacing w:val="-6"/>
        </w:rPr>
        <w:t xml:space="preserve"> </w:t>
      </w:r>
      <w:r>
        <w:t>They</w:t>
      </w:r>
      <w:r>
        <w:rPr>
          <w:spacing w:val="-5"/>
        </w:rPr>
        <w:t xml:space="preserve"> </w:t>
      </w:r>
      <w:r>
        <w:t>found</w:t>
      </w:r>
      <w:r>
        <w:rPr>
          <w:spacing w:val="-2"/>
        </w:rPr>
        <w:t xml:space="preserve"> </w:t>
      </w:r>
      <w:r>
        <w:t>small</w:t>
      </w:r>
      <w:r>
        <w:rPr>
          <w:spacing w:val="-5"/>
        </w:rPr>
        <w:t xml:space="preserve"> </w:t>
      </w:r>
      <w:r>
        <w:t>benefit</w:t>
      </w:r>
      <w:r>
        <w:rPr>
          <w:spacing w:val="-2"/>
        </w:rPr>
        <w:t xml:space="preserve"> </w:t>
      </w:r>
      <w:r>
        <w:t>in annual screening given that 40% of patients were at low-risk of deteriorating at the subsequent annual assessment (i.e., only 5.7% of low-risk participants had frailty at the second</w:t>
      </w:r>
      <w:r>
        <w:rPr>
          <w:spacing w:val="-2"/>
        </w:rPr>
        <w:t xml:space="preserve"> </w:t>
      </w:r>
      <w:r>
        <w:t>assessment).</w:t>
      </w:r>
      <w:r>
        <w:rPr>
          <w:spacing w:val="-4"/>
        </w:rPr>
        <w:t xml:space="preserve"> </w:t>
      </w:r>
      <w:r>
        <w:t>They</w:t>
      </w:r>
      <w:r>
        <w:rPr>
          <w:spacing w:val="-3"/>
        </w:rPr>
        <w:t xml:space="preserve"> </w:t>
      </w:r>
      <w:r>
        <w:t>recommended</w:t>
      </w:r>
      <w:r>
        <w:rPr>
          <w:spacing w:val="-2"/>
        </w:rPr>
        <w:t xml:space="preserve"> </w:t>
      </w:r>
      <w:r>
        <w:t>to</w:t>
      </w:r>
      <w:r>
        <w:rPr>
          <w:spacing w:val="-2"/>
        </w:rPr>
        <w:t xml:space="preserve"> </w:t>
      </w:r>
      <w:r>
        <w:t>reduce</w:t>
      </w:r>
      <w:r>
        <w:rPr>
          <w:spacing w:val="-2"/>
        </w:rPr>
        <w:t xml:space="preserve"> </w:t>
      </w:r>
      <w:r>
        <w:t>the</w:t>
      </w:r>
      <w:r>
        <w:rPr>
          <w:spacing w:val="-2"/>
        </w:rPr>
        <w:t xml:space="preserve"> </w:t>
      </w:r>
      <w:r>
        <w:t>frequency</w:t>
      </w:r>
      <w:r>
        <w:rPr>
          <w:spacing w:val="-3"/>
        </w:rPr>
        <w:t xml:space="preserve"> </w:t>
      </w:r>
      <w:r>
        <w:t>of</w:t>
      </w:r>
      <w:r>
        <w:rPr>
          <w:spacing w:val="-4"/>
        </w:rPr>
        <w:t xml:space="preserve"> </w:t>
      </w:r>
      <w:r>
        <w:t>frailty</w:t>
      </w:r>
      <w:r>
        <w:rPr>
          <w:spacing w:val="-3"/>
        </w:rPr>
        <w:t xml:space="preserve"> </w:t>
      </w:r>
      <w:r>
        <w:t>risk</w:t>
      </w:r>
      <w:r>
        <w:rPr>
          <w:spacing w:val="-4"/>
        </w:rPr>
        <w:t xml:space="preserve"> </w:t>
      </w:r>
      <w:r>
        <w:t>assessment to biennially, since the</w:t>
      </w:r>
      <w:r>
        <w:rPr>
          <w:spacing w:val="-1"/>
        </w:rPr>
        <w:t xml:space="preserve"> </w:t>
      </w:r>
      <w:r>
        <w:t>frailty at subsequent assessment was</w:t>
      </w:r>
      <w:r>
        <w:rPr>
          <w:spacing w:val="-1"/>
        </w:rPr>
        <w:t xml:space="preserve"> </w:t>
      </w:r>
      <w:r>
        <w:t>&lt;1% for people in the high fall risk categories.</w:t>
      </w:r>
    </w:p>
    <w:p w14:paraId="7A4C3204" w14:textId="77777777" w:rsidR="00E13D3F" w:rsidRDefault="00FB2D6A">
      <w:pPr>
        <w:pStyle w:val="Heading2"/>
        <w:spacing w:before="42"/>
      </w:pPr>
      <w:r>
        <w:rPr>
          <w:color w:val="2E5395"/>
          <w:spacing w:val="-2"/>
        </w:rPr>
        <w:t>Subpopulations</w:t>
      </w:r>
    </w:p>
    <w:p w14:paraId="7A4C3205" w14:textId="77777777" w:rsidR="00E13D3F" w:rsidRDefault="00FB2D6A">
      <w:pPr>
        <w:pStyle w:val="BodyText"/>
        <w:spacing w:before="23"/>
      </w:pPr>
      <w:r>
        <w:t>All</w:t>
      </w:r>
      <w:r>
        <w:rPr>
          <w:spacing w:val="-4"/>
        </w:rPr>
        <w:t xml:space="preserve"> </w:t>
      </w:r>
      <w:r>
        <w:t>studies</w:t>
      </w:r>
      <w:r>
        <w:rPr>
          <w:spacing w:val="-4"/>
        </w:rPr>
        <w:t xml:space="preserve"> </w:t>
      </w:r>
      <w:r>
        <w:t>had</w:t>
      </w:r>
      <w:r>
        <w:rPr>
          <w:spacing w:val="-4"/>
        </w:rPr>
        <w:t xml:space="preserve"> </w:t>
      </w:r>
      <w:r>
        <w:t>over</w:t>
      </w:r>
      <w:r>
        <w:rPr>
          <w:spacing w:val="-4"/>
        </w:rPr>
        <w:t xml:space="preserve"> </w:t>
      </w:r>
      <w:r>
        <w:t>50%</w:t>
      </w:r>
      <w:r>
        <w:rPr>
          <w:spacing w:val="-3"/>
        </w:rPr>
        <w:t xml:space="preserve"> </w:t>
      </w:r>
      <w:r>
        <w:t>female</w:t>
      </w:r>
      <w:r>
        <w:rPr>
          <w:spacing w:val="-4"/>
        </w:rPr>
        <w:t xml:space="preserve"> </w:t>
      </w:r>
      <w:r>
        <w:t>participants,</w:t>
      </w:r>
      <w:r>
        <w:rPr>
          <w:spacing w:val="-5"/>
        </w:rPr>
        <w:t xml:space="preserve"> </w:t>
      </w:r>
      <w:r>
        <w:t>with</w:t>
      </w:r>
      <w:r>
        <w:rPr>
          <w:spacing w:val="-3"/>
        </w:rPr>
        <w:t xml:space="preserve"> </w:t>
      </w:r>
      <w:r>
        <w:t>some</w:t>
      </w:r>
      <w:r>
        <w:rPr>
          <w:spacing w:val="-1"/>
        </w:rPr>
        <w:t xml:space="preserve"> </w:t>
      </w:r>
      <w:r>
        <w:t>in</w:t>
      </w:r>
      <w:r>
        <w:rPr>
          <w:spacing w:val="-4"/>
        </w:rPr>
        <w:t xml:space="preserve"> </w:t>
      </w:r>
      <w:proofErr w:type="spellStart"/>
      <w:r>
        <w:t>Dautzenberg’s</w:t>
      </w:r>
      <w:proofErr w:type="spellEnd"/>
      <w:r>
        <w:rPr>
          <w:spacing w:val="-3"/>
        </w:rPr>
        <w:t xml:space="preserve"> </w:t>
      </w:r>
      <w:r>
        <w:t xml:space="preserve">review </w:t>
      </w:r>
      <w:r>
        <w:rPr>
          <w:spacing w:val="-2"/>
        </w:rPr>
        <w:t>including</w:t>
      </w:r>
    </w:p>
    <w:p w14:paraId="7A4C3206" w14:textId="77777777" w:rsidR="00E13D3F" w:rsidRDefault="00FB2D6A">
      <w:pPr>
        <w:pStyle w:val="BodyText"/>
        <w:spacing w:before="24"/>
        <w:jc w:val="both"/>
      </w:pPr>
      <w:r>
        <w:t>only</w:t>
      </w:r>
      <w:r>
        <w:rPr>
          <w:spacing w:val="-5"/>
        </w:rPr>
        <w:t xml:space="preserve"> </w:t>
      </w:r>
      <w:r>
        <w:t>women,</w:t>
      </w:r>
      <w:r>
        <w:rPr>
          <w:spacing w:val="-2"/>
        </w:rPr>
        <w:t xml:space="preserve"> </w:t>
      </w:r>
      <w:r>
        <w:t>hence</w:t>
      </w:r>
      <w:r>
        <w:rPr>
          <w:spacing w:val="-3"/>
        </w:rPr>
        <w:t xml:space="preserve"> </w:t>
      </w:r>
      <w:r>
        <w:t>no</w:t>
      </w:r>
      <w:r>
        <w:rPr>
          <w:spacing w:val="-4"/>
        </w:rPr>
        <w:t xml:space="preserve"> </w:t>
      </w:r>
      <w:r>
        <w:t>gender</w:t>
      </w:r>
      <w:r>
        <w:rPr>
          <w:spacing w:val="-2"/>
        </w:rPr>
        <w:t xml:space="preserve"> </w:t>
      </w:r>
      <w:r>
        <w:t>sub-group</w:t>
      </w:r>
      <w:r>
        <w:rPr>
          <w:spacing w:val="-3"/>
        </w:rPr>
        <w:t xml:space="preserve"> </w:t>
      </w:r>
      <w:r>
        <w:t>analysis</w:t>
      </w:r>
      <w:r>
        <w:rPr>
          <w:spacing w:val="-4"/>
        </w:rPr>
        <w:t xml:space="preserve"> </w:t>
      </w:r>
      <w:r>
        <w:t>was</w:t>
      </w:r>
      <w:r>
        <w:rPr>
          <w:spacing w:val="-2"/>
        </w:rPr>
        <w:t xml:space="preserve"> reported.</w:t>
      </w:r>
    </w:p>
    <w:p w14:paraId="7A4C3207" w14:textId="77777777" w:rsidR="00E13D3F" w:rsidRDefault="00E13D3F">
      <w:pPr>
        <w:pStyle w:val="BodyText"/>
        <w:jc w:val="both"/>
        <w:sectPr w:rsidR="00E13D3F">
          <w:pgSz w:w="11910" w:h="16840"/>
          <w:pgMar w:top="1380" w:right="0" w:bottom="1200" w:left="0" w:header="0" w:footer="1000" w:gutter="0"/>
          <w:cols w:space="720"/>
        </w:sectPr>
      </w:pPr>
    </w:p>
    <w:p w14:paraId="7A4C3208" w14:textId="77777777" w:rsidR="00E13D3F" w:rsidRDefault="00FB2D6A">
      <w:pPr>
        <w:spacing w:before="41"/>
        <w:ind w:left="1440"/>
      </w:pPr>
      <w:r>
        <w:rPr>
          <w:b/>
        </w:rPr>
        <w:lastRenderedPageBreak/>
        <w:t>Table</w:t>
      </w:r>
      <w:r>
        <w:rPr>
          <w:b/>
          <w:spacing w:val="-7"/>
        </w:rPr>
        <w:t xml:space="preserve"> </w:t>
      </w:r>
      <w:r>
        <w:rPr>
          <w:b/>
        </w:rPr>
        <w:t>9.1.</w:t>
      </w:r>
      <w:r>
        <w:rPr>
          <w:b/>
          <w:spacing w:val="-3"/>
        </w:rPr>
        <w:t xml:space="preserve"> </w:t>
      </w:r>
      <w:r>
        <w:t>Summary</w:t>
      </w:r>
      <w:r>
        <w:rPr>
          <w:spacing w:val="-8"/>
        </w:rPr>
        <w:t xml:space="preserve"> </w:t>
      </w:r>
      <w:r>
        <w:t>of</w:t>
      </w:r>
      <w:r>
        <w:rPr>
          <w:spacing w:val="-5"/>
        </w:rPr>
        <w:t xml:space="preserve"> </w:t>
      </w:r>
      <w:r>
        <w:t>findings</w:t>
      </w:r>
      <w:r>
        <w:rPr>
          <w:spacing w:val="-5"/>
        </w:rPr>
        <w:t xml:space="preserve"> </w:t>
      </w:r>
      <w:r>
        <w:t>table</w:t>
      </w:r>
      <w:r>
        <w:rPr>
          <w:spacing w:val="-6"/>
        </w:rPr>
        <w:t xml:space="preserve"> </w:t>
      </w:r>
      <w:r>
        <w:t>in</w:t>
      </w:r>
      <w:r>
        <w:rPr>
          <w:spacing w:val="-5"/>
        </w:rPr>
        <w:t xml:space="preserve"> </w:t>
      </w:r>
      <w:r>
        <w:t>descending</w:t>
      </w:r>
      <w:r>
        <w:rPr>
          <w:spacing w:val="-6"/>
        </w:rPr>
        <w:t xml:space="preserve"> </w:t>
      </w:r>
      <w:r>
        <w:t>chronological</w:t>
      </w:r>
      <w:r>
        <w:rPr>
          <w:spacing w:val="-8"/>
        </w:rPr>
        <w:t xml:space="preserve"> </w:t>
      </w:r>
      <w:r>
        <w:rPr>
          <w:spacing w:val="-2"/>
        </w:rPr>
        <w:t>order</w:t>
      </w:r>
    </w:p>
    <w:tbl>
      <w:tblPr>
        <w:tblW w:w="0" w:type="auto"/>
        <w:tblInd w:w="101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1553"/>
        <w:gridCol w:w="1438"/>
        <w:gridCol w:w="4383"/>
        <w:gridCol w:w="2554"/>
      </w:tblGrid>
      <w:tr w:rsidR="00E13D3F" w14:paraId="7A4C320E" w14:textId="77777777">
        <w:trPr>
          <w:trHeight w:val="489"/>
        </w:trPr>
        <w:tc>
          <w:tcPr>
            <w:tcW w:w="1553" w:type="dxa"/>
          </w:tcPr>
          <w:p w14:paraId="7A4C3209" w14:textId="77777777" w:rsidR="00E13D3F" w:rsidRDefault="00FB2D6A">
            <w:pPr>
              <w:pStyle w:val="TableParagraph"/>
              <w:spacing w:line="240" w:lineRule="atLeast"/>
              <w:ind w:left="107" w:right="197"/>
              <w:rPr>
                <w:b/>
                <w:sz w:val="20"/>
              </w:rPr>
            </w:pPr>
            <w:r>
              <w:rPr>
                <w:b/>
                <w:sz w:val="20"/>
              </w:rPr>
              <w:t>Author/Year</w:t>
            </w:r>
            <w:r>
              <w:rPr>
                <w:b/>
                <w:spacing w:val="-12"/>
                <w:sz w:val="20"/>
              </w:rPr>
              <w:t xml:space="preserve"> </w:t>
            </w:r>
            <w:r>
              <w:rPr>
                <w:b/>
                <w:sz w:val="20"/>
              </w:rPr>
              <w:t>&amp; Study Design</w:t>
            </w:r>
          </w:p>
        </w:tc>
        <w:tc>
          <w:tcPr>
            <w:tcW w:w="1438" w:type="dxa"/>
          </w:tcPr>
          <w:p w14:paraId="7A4C320A" w14:textId="77777777" w:rsidR="00E13D3F" w:rsidRDefault="00FB2D6A">
            <w:pPr>
              <w:pStyle w:val="TableParagraph"/>
              <w:spacing w:line="240" w:lineRule="atLeast"/>
              <w:ind w:left="108" w:firstLine="45"/>
              <w:rPr>
                <w:b/>
                <w:sz w:val="20"/>
              </w:rPr>
            </w:pPr>
            <w:r>
              <w:rPr>
                <w:b/>
                <w:spacing w:val="-2"/>
                <w:sz w:val="20"/>
              </w:rPr>
              <w:t>Outcome description</w:t>
            </w:r>
          </w:p>
        </w:tc>
        <w:tc>
          <w:tcPr>
            <w:tcW w:w="4383" w:type="dxa"/>
          </w:tcPr>
          <w:p w14:paraId="7A4C320B" w14:textId="77777777" w:rsidR="00E13D3F" w:rsidRDefault="00FB2D6A">
            <w:pPr>
              <w:pStyle w:val="TableParagraph"/>
              <w:spacing w:before="1"/>
              <w:ind w:left="108"/>
              <w:rPr>
                <w:b/>
                <w:sz w:val="20"/>
              </w:rPr>
            </w:pPr>
            <w:r>
              <w:rPr>
                <w:b/>
                <w:sz w:val="20"/>
              </w:rPr>
              <w:t>Effect</w:t>
            </w:r>
            <w:r>
              <w:rPr>
                <w:b/>
                <w:spacing w:val="-7"/>
                <w:sz w:val="20"/>
              </w:rPr>
              <w:t xml:space="preserve"> </w:t>
            </w:r>
            <w:r>
              <w:rPr>
                <w:b/>
                <w:spacing w:val="-2"/>
                <w:sz w:val="20"/>
              </w:rPr>
              <w:t>details</w:t>
            </w:r>
          </w:p>
          <w:p w14:paraId="7A4C320C" w14:textId="77777777" w:rsidR="00E13D3F" w:rsidRDefault="00FB2D6A">
            <w:pPr>
              <w:pStyle w:val="TableParagraph"/>
              <w:spacing w:before="1" w:line="223" w:lineRule="exact"/>
              <w:ind w:left="108"/>
              <w:rPr>
                <w:b/>
                <w:sz w:val="20"/>
              </w:rPr>
            </w:pPr>
            <w:r>
              <w:rPr>
                <w:b/>
                <w:sz w:val="20"/>
              </w:rPr>
              <w:t>Risk</w:t>
            </w:r>
            <w:r>
              <w:rPr>
                <w:b/>
                <w:spacing w:val="-5"/>
                <w:sz w:val="20"/>
              </w:rPr>
              <w:t xml:space="preserve"> </w:t>
            </w:r>
            <w:r>
              <w:rPr>
                <w:b/>
                <w:sz w:val="20"/>
              </w:rPr>
              <w:t>Ratio</w:t>
            </w:r>
            <w:r>
              <w:rPr>
                <w:b/>
                <w:spacing w:val="-4"/>
                <w:sz w:val="20"/>
              </w:rPr>
              <w:t xml:space="preserve"> </w:t>
            </w:r>
            <w:r>
              <w:rPr>
                <w:b/>
                <w:spacing w:val="-2"/>
                <w:sz w:val="20"/>
              </w:rPr>
              <w:t>(95%CI)</w:t>
            </w:r>
          </w:p>
        </w:tc>
        <w:tc>
          <w:tcPr>
            <w:tcW w:w="2554" w:type="dxa"/>
          </w:tcPr>
          <w:p w14:paraId="7A4C320D" w14:textId="77777777" w:rsidR="00E13D3F" w:rsidRDefault="00FB2D6A">
            <w:pPr>
              <w:pStyle w:val="TableParagraph"/>
              <w:spacing w:before="123"/>
              <w:ind w:left="108"/>
              <w:rPr>
                <w:b/>
                <w:sz w:val="20"/>
              </w:rPr>
            </w:pPr>
            <w:r>
              <w:rPr>
                <w:b/>
                <w:spacing w:val="-2"/>
                <w:sz w:val="20"/>
              </w:rPr>
              <w:t>Conclusions</w:t>
            </w:r>
          </w:p>
        </w:tc>
      </w:tr>
      <w:tr w:rsidR="00E13D3F" w14:paraId="7A4C3218" w14:textId="77777777">
        <w:trPr>
          <w:trHeight w:val="1993"/>
        </w:trPr>
        <w:tc>
          <w:tcPr>
            <w:tcW w:w="1553" w:type="dxa"/>
            <w:vMerge w:val="restart"/>
            <w:shd w:val="clear" w:color="auto" w:fill="F1F1F1"/>
          </w:tcPr>
          <w:p w14:paraId="7A4C320F" w14:textId="77777777" w:rsidR="00E13D3F" w:rsidRDefault="00FB2D6A">
            <w:pPr>
              <w:pStyle w:val="TableParagraph"/>
              <w:spacing w:before="243"/>
              <w:ind w:left="107"/>
              <w:rPr>
                <w:b/>
                <w:sz w:val="20"/>
              </w:rPr>
            </w:pPr>
            <w:proofErr w:type="spellStart"/>
            <w:r>
              <w:rPr>
                <w:b/>
                <w:spacing w:val="-2"/>
                <w:sz w:val="20"/>
              </w:rPr>
              <w:t>Dautzenberg’s</w:t>
            </w:r>
            <w:proofErr w:type="spellEnd"/>
          </w:p>
          <w:p w14:paraId="7A4C3210" w14:textId="77777777" w:rsidR="00E13D3F" w:rsidRDefault="00FB2D6A">
            <w:pPr>
              <w:pStyle w:val="TableParagraph"/>
              <w:spacing w:before="1"/>
              <w:ind w:left="107"/>
              <w:rPr>
                <w:b/>
                <w:sz w:val="20"/>
              </w:rPr>
            </w:pPr>
            <w:r>
              <w:rPr>
                <w:b/>
                <w:spacing w:val="-4"/>
                <w:sz w:val="20"/>
              </w:rPr>
              <w:t>2021</w:t>
            </w:r>
          </w:p>
          <w:p w14:paraId="7A4C3211" w14:textId="77777777" w:rsidR="00E13D3F" w:rsidRDefault="00FB2D6A">
            <w:pPr>
              <w:pStyle w:val="TableParagraph"/>
              <w:spacing w:before="1"/>
              <w:ind w:left="107" w:right="533"/>
              <w:rPr>
                <w:b/>
                <w:sz w:val="20"/>
              </w:rPr>
            </w:pPr>
            <w:r>
              <w:rPr>
                <w:b/>
                <w:spacing w:val="-2"/>
                <w:sz w:val="20"/>
              </w:rPr>
              <w:t>Systematic review</w:t>
            </w:r>
          </w:p>
        </w:tc>
        <w:tc>
          <w:tcPr>
            <w:tcW w:w="1438" w:type="dxa"/>
            <w:shd w:val="clear" w:color="auto" w:fill="F1F1F1"/>
          </w:tcPr>
          <w:p w14:paraId="7A4C3212" w14:textId="77777777" w:rsidR="00E13D3F" w:rsidRDefault="00FB2D6A">
            <w:pPr>
              <w:pStyle w:val="TableParagraph"/>
              <w:spacing w:line="243" w:lineRule="exact"/>
              <w:ind w:left="108"/>
              <w:rPr>
                <w:b/>
                <w:sz w:val="20"/>
              </w:rPr>
            </w:pPr>
            <w:r>
              <w:rPr>
                <w:b/>
                <w:sz w:val="20"/>
              </w:rPr>
              <w:t>Falls</w:t>
            </w:r>
            <w:r>
              <w:rPr>
                <w:b/>
                <w:spacing w:val="-6"/>
                <w:sz w:val="20"/>
              </w:rPr>
              <w:t xml:space="preserve"> </w:t>
            </w:r>
            <w:r>
              <w:rPr>
                <w:b/>
                <w:spacing w:val="-2"/>
                <w:sz w:val="20"/>
              </w:rPr>
              <w:t>rates</w:t>
            </w:r>
          </w:p>
        </w:tc>
        <w:tc>
          <w:tcPr>
            <w:tcW w:w="4383" w:type="dxa"/>
            <w:shd w:val="clear" w:color="auto" w:fill="F1F1F1"/>
          </w:tcPr>
          <w:p w14:paraId="7A4C3213" w14:textId="77777777" w:rsidR="00E13D3F" w:rsidRDefault="00FB2D6A" w:rsidP="00990D2B">
            <w:pPr>
              <w:pStyle w:val="TableParagraph"/>
              <w:numPr>
                <w:ilvl w:val="0"/>
                <w:numId w:val="26"/>
              </w:numPr>
              <w:tabs>
                <w:tab w:val="left" w:pos="468"/>
              </w:tabs>
              <w:ind w:right="148"/>
              <w:rPr>
                <w:sz w:val="20"/>
              </w:rPr>
            </w:pPr>
            <w:r>
              <w:rPr>
                <w:sz w:val="20"/>
              </w:rPr>
              <w:t>Basic falls risk (</w:t>
            </w:r>
            <w:r>
              <w:rPr>
                <w:i/>
                <w:sz w:val="20"/>
              </w:rPr>
              <w:t xml:space="preserve">brisk) </w:t>
            </w:r>
            <w:r>
              <w:rPr>
                <w:sz w:val="20"/>
              </w:rPr>
              <w:t>assessment alone vs usual</w:t>
            </w:r>
            <w:r>
              <w:rPr>
                <w:spacing w:val="-5"/>
                <w:sz w:val="20"/>
              </w:rPr>
              <w:t xml:space="preserve"> </w:t>
            </w:r>
            <w:r>
              <w:rPr>
                <w:sz w:val="20"/>
              </w:rPr>
              <w:t>care</w:t>
            </w:r>
            <w:r>
              <w:rPr>
                <w:spacing w:val="-6"/>
                <w:sz w:val="20"/>
              </w:rPr>
              <w:t xml:space="preserve"> </w:t>
            </w:r>
            <w:r>
              <w:rPr>
                <w:sz w:val="20"/>
              </w:rPr>
              <w:t>as</w:t>
            </w:r>
            <w:r>
              <w:rPr>
                <w:spacing w:val="-5"/>
                <w:sz w:val="20"/>
              </w:rPr>
              <w:t xml:space="preserve"> </w:t>
            </w:r>
            <w:r>
              <w:rPr>
                <w:sz w:val="20"/>
              </w:rPr>
              <w:t>primary</w:t>
            </w:r>
            <w:r>
              <w:rPr>
                <w:spacing w:val="-5"/>
                <w:sz w:val="20"/>
              </w:rPr>
              <w:t xml:space="preserve"> </w:t>
            </w:r>
            <w:r>
              <w:rPr>
                <w:sz w:val="20"/>
              </w:rPr>
              <w:t>result:</w:t>
            </w:r>
            <w:r>
              <w:rPr>
                <w:spacing w:val="-6"/>
                <w:sz w:val="20"/>
              </w:rPr>
              <w:t xml:space="preserve"> </w:t>
            </w:r>
            <w:r>
              <w:rPr>
                <w:sz w:val="20"/>
              </w:rPr>
              <w:t>0.88</w:t>
            </w:r>
            <w:r>
              <w:rPr>
                <w:spacing w:val="-6"/>
                <w:sz w:val="20"/>
              </w:rPr>
              <w:t xml:space="preserve"> </w:t>
            </w:r>
            <w:r>
              <w:rPr>
                <w:sz w:val="20"/>
              </w:rPr>
              <w:t>(0.71</w:t>
            </w:r>
            <w:r>
              <w:rPr>
                <w:spacing w:val="-2"/>
                <w:sz w:val="20"/>
              </w:rPr>
              <w:t xml:space="preserve"> </w:t>
            </w:r>
            <w:r>
              <w:rPr>
                <w:sz w:val="20"/>
              </w:rPr>
              <w:t>–</w:t>
            </w:r>
            <w:r>
              <w:rPr>
                <w:spacing w:val="-6"/>
                <w:sz w:val="20"/>
              </w:rPr>
              <w:t xml:space="preserve"> </w:t>
            </w:r>
            <w:r>
              <w:rPr>
                <w:sz w:val="20"/>
              </w:rPr>
              <w:t>1.09)</w:t>
            </w:r>
          </w:p>
          <w:p w14:paraId="7A4C3214" w14:textId="77777777" w:rsidR="00E13D3F" w:rsidRDefault="00FB2D6A" w:rsidP="00990D2B">
            <w:pPr>
              <w:pStyle w:val="TableParagraph"/>
              <w:numPr>
                <w:ilvl w:val="0"/>
                <w:numId w:val="26"/>
              </w:numPr>
              <w:tabs>
                <w:tab w:val="left" w:pos="468"/>
              </w:tabs>
              <w:ind w:right="248"/>
              <w:rPr>
                <w:sz w:val="20"/>
              </w:rPr>
            </w:pPr>
            <w:r>
              <w:rPr>
                <w:sz w:val="20"/>
              </w:rPr>
              <w:t>independent brisk effect as part of multicomponent</w:t>
            </w:r>
            <w:r>
              <w:rPr>
                <w:spacing w:val="-9"/>
                <w:sz w:val="20"/>
              </w:rPr>
              <w:t xml:space="preserve"> </w:t>
            </w:r>
            <w:r>
              <w:rPr>
                <w:sz w:val="20"/>
              </w:rPr>
              <w:t>intervention</w:t>
            </w:r>
            <w:r>
              <w:rPr>
                <w:spacing w:val="-7"/>
                <w:sz w:val="20"/>
              </w:rPr>
              <w:t xml:space="preserve"> </w:t>
            </w:r>
            <w:r>
              <w:rPr>
                <w:sz w:val="20"/>
              </w:rPr>
              <w:t>vs.</w:t>
            </w:r>
            <w:r>
              <w:rPr>
                <w:spacing w:val="-9"/>
                <w:sz w:val="20"/>
              </w:rPr>
              <w:t xml:space="preserve"> </w:t>
            </w:r>
            <w:r>
              <w:rPr>
                <w:sz w:val="20"/>
              </w:rPr>
              <w:t>usual</w:t>
            </w:r>
            <w:r>
              <w:rPr>
                <w:spacing w:val="-9"/>
                <w:sz w:val="20"/>
              </w:rPr>
              <w:t xml:space="preserve"> </w:t>
            </w:r>
            <w:r>
              <w:rPr>
                <w:sz w:val="20"/>
              </w:rPr>
              <w:t>care</w:t>
            </w:r>
            <w:r>
              <w:rPr>
                <w:spacing w:val="-5"/>
                <w:sz w:val="20"/>
              </w:rPr>
              <w:t xml:space="preserve"> </w:t>
            </w:r>
            <w:r>
              <w:rPr>
                <w:sz w:val="20"/>
              </w:rPr>
              <w:t>- NMA result RR 0.99 (0.90 – 1.09)</w:t>
            </w:r>
          </w:p>
          <w:p w14:paraId="7A4C3215" w14:textId="77777777" w:rsidR="00E13D3F" w:rsidRDefault="00FB2D6A" w:rsidP="00990D2B">
            <w:pPr>
              <w:pStyle w:val="TableParagraph"/>
              <w:numPr>
                <w:ilvl w:val="0"/>
                <w:numId w:val="26"/>
              </w:numPr>
              <w:tabs>
                <w:tab w:val="left" w:pos="468"/>
              </w:tabs>
              <w:ind w:right="104"/>
              <w:rPr>
                <w:sz w:val="20"/>
              </w:rPr>
            </w:pPr>
            <w:r>
              <w:rPr>
                <w:sz w:val="20"/>
              </w:rPr>
              <w:t>Range</w:t>
            </w:r>
            <w:r>
              <w:rPr>
                <w:spacing w:val="-9"/>
                <w:sz w:val="20"/>
              </w:rPr>
              <w:t xml:space="preserve"> </w:t>
            </w:r>
            <w:r>
              <w:rPr>
                <w:sz w:val="20"/>
              </w:rPr>
              <w:t>of</w:t>
            </w:r>
            <w:r>
              <w:rPr>
                <w:spacing w:val="-7"/>
                <w:sz w:val="20"/>
              </w:rPr>
              <w:t xml:space="preserve"> </w:t>
            </w:r>
            <w:r>
              <w:rPr>
                <w:i/>
                <w:sz w:val="20"/>
              </w:rPr>
              <w:t>brisk</w:t>
            </w:r>
            <w:r>
              <w:rPr>
                <w:i/>
                <w:spacing w:val="-6"/>
                <w:sz w:val="20"/>
              </w:rPr>
              <w:t xml:space="preserve"> </w:t>
            </w:r>
            <w:r>
              <w:rPr>
                <w:sz w:val="20"/>
              </w:rPr>
              <w:t>effects</w:t>
            </w:r>
            <w:r>
              <w:rPr>
                <w:spacing w:val="-6"/>
                <w:sz w:val="20"/>
              </w:rPr>
              <w:t xml:space="preserve"> </w:t>
            </w:r>
            <w:r>
              <w:rPr>
                <w:sz w:val="20"/>
              </w:rPr>
              <w:t>from</w:t>
            </w:r>
            <w:r>
              <w:rPr>
                <w:spacing w:val="-8"/>
                <w:sz w:val="20"/>
              </w:rPr>
              <w:t xml:space="preserve"> </w:t>
            </w:r>
            <w:r>
              <w:rPr>
                <w:sz w:val="20"/>
              </w:rPr>
              <w:t>various</w:t>
            </w:r>
            <w:r>
              <w:rPr>
                <w:spacing w:val="-7"/>
                <w:sz w:val="20"/>
              </w:rPr>
              <w:t xml:space="preserve"> </w:t>
            </w:r>
            <w:r>
              <w:rPr>
                <w:sz w:val="20"/>
              </w:rPr>
              <w:t xml:space="preserve">component </w:t>
            </w:r>
            <w:r>
              <w:rPr>
                <w:spacing w:val="-2"/>
                <w:sz w:val="20"/>
              </w:rPr>
              <w:t>combinations:</w:t>
            </w:r>
          </w:p>
          <w:p w14:paraId="7A4C3216" w14:textId="77777777" w:rsidR="00E13D3F" w:rsidRDefault="00FB2D6A" w:rsidP="00990D2B">
            <w:pPr>
              <w:pStyle w:val="TableParagraph"/>
              <w:numPr>
                <w:ilvl w:val="0"/>
                <w:numId w:val="26"/>
              </w:numPr>
              <w:tabs>
                <w:tab w:val="left" w:pos="468"/>
              </w:tabs>
              <w:spacing w:line="234" w:lineRule="exact"/>
              <w:rPr>
                <w:sz w:val="20"/>
              </w:rPr>
            </w:pPr>
            <w:r>
              <w:rPr>
                <w:sz w:val="20"/>
              </w:rPr>
              <w:t>RR</w:t>
            </w:r>
            <w:r>
              <w:rPr>
                <w:spacing w:val="-3"/>
                <w:sz w:val="20"/>
              </w:rPr>
              <w:t xml:space="preserve"> </w:t>
            </w:r>
            <w:r>
              <w:rPr>
                <w:b/>
                <w:sz w:val="20"/>
              </w:rPr>
              <w:t>0.42</w:t>
            </w:r>
            <w:r>
              <w:rPr>
                <w:b/>
                <w:spacing w:val="-4"/>
                <w:sz w:val="20"/>
              </w:rPr>
              <w:t xml:space="preserve"> </w:t>
            </w:r>
            <w:r>
              <w:rPr>
                <w:b/>
                <w:sz w:val="20"/>
              </w:rPr>
              <w:t>(0.30</w:t>
            </w:r>
            <w:r>
              <w:rPr>
                <w:b/>
                <w:spacing w:val="-3"/>
                <w:sz w:val="20"/>
              </w:rPr>
              <w:t xml:space="preserve"> </w:t>
            </w:r>
            <w:r>
              <w:rPr>
                <w:b/>
                <w:sz w:val="20"/>
              </w:rPr>
              <w:t>–</w:t>
            </w:r>
            <w:r>
              <w:rPr>
                <w:b/>
                <w:spacing w:val="-2"/>
                <w:sz w:val="20"/>
              </w:rPr>
              <w:t xml:space="preserve"> </w:t>
            </w:r>
            <w:r>
              <w:rPr>
                <w:b/>
                <w:sz w:val="20"/>
              </w:rPr>
              <w:t>0.58)</w:t>
            </w:r>
            <w:r>
              <w:rPr>
                <w:b/>
                <w:spacing w:val="-3"/>
                <w:sz w:val="20"/>
              </w:rPr>
              <w:t xml:space="preserve"> </w:t>
            </w:r>
            <w:r>
              <w:rPr>
                <w:sz w:val="20"/>
              </w:rPr>
              <w:t>to</w:t>
            </w:r>
            <w:r>
              <w:rPr>
                <w:spacing w:val="-2"/>
                <w:sz w:val="20"/>
              </w:rPr>
              <w:t xml:space="preserve"> </w:t>
            </w:r>
            <w:r>
              <w:rPr>
                <w:sz w:val="20"/>
              </w:rPr>
              <w:t>0.96</w:t>
            </w:r>
            <w:r>
              <w:rPr>
                <w:spacing w:val="-4"/>
                <w:sz w:val="20"/>
              </w:rPr>
              <w:t xml:space="preserve"> </w:t>
            </w:r>
            <w:r>
              <w:rPr>
                <w:sz w:val="20"/>
              </w:rPr>
              <w:t>(0.80</w:t>
            </w:r>
            <w:r>
              <w:rPr>
                <w:spacing w:val="-1"/>
                <w:sz w:val="20"/>
              </w:rPr>
              <w:t xml:space="preserve"> </w:t>
            </w:r>
            <w:r>
              <w:rPr>
                <w:sz w:val="20"/>
              </w:rPr>
              <w:t>–</w:t>
            </w:r>
            <w:r>
              <w:rPr>
                <w:spacing w:val="-4"/>
                <w:sz w:val="20"/>
              </w:rPr>
              <w:t xml:space="preserve"> 1.16)</w:t>
            </w:r>
          </w:p>
        </w:tc>
        <w:tc>
          <w:tcPr>
            <w:tcW w:w="2554" w:type="dxa"/>
            <w:shd w:val="clear" w:color="auto" w:fill="F1F1F1"/>
          </w:tcPr>
          <w:p w14:paraId="7A4C3217" w14:textId="77777777" w:rsidR="00E13D3F" w:rsidRDefault="00FB2D6A">
            <w:pPr>
              <w:pStyle w:val="TableParagraph"/>
              <w:ind w:left="108"/>
              <w:rPr>
                <w:sz w:val="20"/>
              </w:rPr>
            </w:pPr>
            <w:r>
              <w:rPr>
                <w:sz w:val="20"/>
              </w:rPr>
              <w:t>The independent effect of basic falls risk assessment is no better than its effect as part of a multicomponent intervention.</w:t>
            </w:r>
            <w:r>
              <w:rPr>
                <w:spacing w:val="-12"/>
                <w:sz w:val="20"/>
              </w:rPr>
              <w:t xml:space="preserve"> </w:t>
            </w:r>
            <w:r>
              <w:rPr>
                <w:sz w:val="20"/>
              </w:rPr>
              <w:t>Neither</w:t>
            </w:r>
            <w:r>
              <w:rPr>
                <w:spacing w:val="-11"/>
                <w:sz w:val="20"/>
              </w:rPr>
              <w:t xml:space="preserve"> </w:t>
            </w:r>
            <w:r>
              <w:rPr>
                <w:sz w:val="20"/>
              </w:rPr>
              <w:t>reduce falls rates significantly.</w:t>
            </w:r>
          </w:p>
        </w:tc>
      </w:tr>
      <w:tr w:rsidR="00E13D3F" w14:paraId="7A4C3220" w14:textId="77777777">
        <w:trPr>
          <w:trHeight w:val="1742"/>
        </w:trPr>
        <w:tc>
          <w:tcPr>
            <w:tcW w:w="1553" w:type="dxa"/>
            <w:vMerge/>
            <w:tcBorders>
              <w:top w:val="nil"/>
            </w:tcBorders>
            <w:shd w:val="clear" w:color="auto" w:fill="F1F1F1"/>
          </w:tcPr>
          <w:p w14:paraId="7A4C3219" w14:textId="77777777" w:rsidR="00E13D3F" w:rsidRDefault="00E13D3F">
            <w:pPr>
              <w:rPr>
                <w:sz w:val="2"/>
                <w:szCs w:val="2"/>
              </w:rPr>
            </w:pPr>
          </w:p>
        </w:tc>
        <w:tc>
          <w:tcPr>
            <w:tcW w:w="1438" w:type="dxa"/>
          </w:tcPr>
          <w:p w14:paraId="7A4C321A" w14:textId="77777777" w:rsidR="00E13D3F" w:rsidRDefault="00FB2D6A">
            <w:pPr>
              <w:pStyle w:val="TableParagraph"/>
              <w:spacing w:before="1"/>
              <w:ind w:left="108"/>
              <w:rPr>
                <w:b/>
                <w:sz w:val="20"/>
              </w:rPr>
            </w:pPr>
            <w:r>
              <w:rPr>
                <w:b/>
                <w:sz w:val="20"/>
              </w:rPr>
              <w:t>Fracture</w:t>
            </w:r>
            <w:r>
              <w:rPr>
                <w:b/>
                <w:spacing w:val="-8"/>
                <w:sz w:val="20"/>
              </w:rPr>
              <w:t xml:space="preserve"> </w:t>
            </w:r>
            <w:r>
              <w:rPr>
                <w:b/>
                <w:spacing w:val="-2"/>
                <w:sz w:val="20"/>
              </w:rPr>
              <w:t>rates</w:t>
            </w:r>
          </w:p>
        </w:tc>
        <w:tc>
          <w:tcPr>
            <w:tcW w:w="4383" w:type="dxa"/>
          </w:tcPr>
          <w:p w14:paraId="7A4C321B" w14:textId="77777777" w:rsidR="00E13D3F" w:rsidRDefault="00FB2D6A" w:rsidP="00990D2B">
            <w:pPr>
              <w:pStyle w:val="TableParagraph"/>
              <w:numPr>
                <w:ilvl w:val="0"/>
                <w:numId w:val="25"/>
              </w:numPr>
              <w:tabs>
                <w:tab w:val="left" w:pos="468"/>
              </w:tabs>
              <w:ind w:right="120"/>
              <w:rPr>
                <w:sz w:val="20"/>
              </w:rPr>
            </w:pPr>
            <w:r>
              <w:rPr>
                <w:sz w:val="20"/>
              </w:rPr>
              <w:t>No</w:t>
            </w:r>
            <w:r>
              <w:rPr>
                <w:spacing w:val="-6"/>
                <w:sz w:val="20"/>
              </w:rPr>
              <w:t xml:space="preserve"> </w:t>
            </w:r>
            <w:r>
              <w:rPr>
                <w:sz w:val="20"/>
              </w:rPr>
              <w:t>studies</w:t>
            </w:r>
            <w:r>
              <w:rPr>
                <w:spacing w:val="-6"/>
                <w:sz w:val="20"/>
              </w:rPr>
              <w:t xml:space="preserve"> </w:t>
            </w:r>
            <w:r>
              <w:rPr>
                <w:sz w:val="20"/>
              </w:rPr>
              <w:t>comparing</w:t>
            </w:r>
            <w:r>
              <w:rPr>
                <w:spacing w:val="-4"/>
                <w:sz w:val="20"/>
              </w:rPr>
              <w:t xml:space="preserve"> </w:t>
            </w:r>
            <w:r>
              <w:rPr>
                <w:i/>
                <w:sz w:val="20"/>
              </w:rPr>
              <w:t>brisk</w:t>
            </w:r>
            <w:r>
              <w:rPr>
                <w:i/>
                <w:spacing w:val="-5"/>
                <w:sz w:val="20"/>
              </w:rPr>
              <w:t xml:space="preserve"> </w:t>
            </w:r>
            <w:r>
              <w:rPr>
                <w:sz w:val="20"/>
              </w:rPr>
              <w:t>alone</w:t>
            </w:r>
            <w:r>
              <w:rPr>
                <w:spacing w:val="-7"/>
                <w:sz w:val="20"/>
              </w:rPr>
              <w:t xml:space="preserve"> </w:t>
            </w:r>
            <w:r>
              <w:rPr>
                <w:sz w:val="20"/>
              </w:rPr>
              <w:t>vs</w:t>
            </w:r>
            <w:r>
              <w:rPr>
                <w:spacing w:val="-6"/>
                <w:sz w:val="20"/>
              </w:rPr>
              <w:t xml:space="preserve"> </w:t>
            </w:r>
            <w:r>
              <w:rPr>
                <w:sz w:val="20"/>
              </w:rPr>
              <w:t>usual</w:t>
            </w:r>
            <w:r>
              <w:rPr>
                <w:spacing w:val="-6"/>
                <w:sz w:val="20"/>
              </w:rPr>
              <w:t xml:space="preserve"> </w:t>
            </w:r>
            <w:r>
              <w:rPr>
                <w:sz w:val="20"/>
              </w:rPr>
              <w:t>care reported this outcome</w:t>
            </w:r>
          </w:p>
          <w:p w14:paraId="7A4C321C" w14:textId="77777777" w:rsidR="00E13D3F" w:rsidRDefault="00FB2D6A" w:rsidP="00990D2B">
            <w:pPr>
              <w:pStyle w:val="TableParagraph"/>
              <w:numPr>
                <w:ilvl w:val="0"/>
                <w:numId w:val="25"/>
              </w:numPr>
              <w:tabs>
                <w:tab w:val="left" w:pos="468"/>
              </w:tabs>
              <w:ind w:right="573"/>
              <w:rPr>
                <w:sz w:val="20"/>
              </w:rPr>
            </w:pPr>
            <w:r>
              <w:rPr>
                <w:sz w:val="20"/>
              </w:rPr>
              <w:t>Basic</w:t>
            </w:r>
            <w:r>
              <w:rPr>
                <w:spacing w:val="-8"/>
                <w:sz w:val="20"/>
              </w:rPr>
              <w:t xml:space="preserve"> </w:t>
            </w:r>
            <w:r>
              <w:rPr>
                <w:sz w:val="20"/>
              </w:rPr>
              <w:t>falls</w:t>
            </w:r>
            <w:r>
              <w:rPr>
                <w:spacing w:val="-7"/>
                <w:sz w:val="20"/>
              </w:rPr>
              <w:t xml:space="preserve"> </w:t>
            </w:r>
            <w:r>
              <w:rPr>
                <w:sz w:val="20"/>
              </w:rPr>
              <w:t>risk</w:t>
            </w:r>
            <w:r>
              <w:rPr>
                <w:spacing w:val="-7"/>
                <w:sz w:val="20"/>
              </w:rPr>
              <w:t xml:space="preserve"> </w:t>
            </w:r>
            <w:r>
              <w:rPr>
                <w:sz w:val="20"/>
              </w:rPr>
              <w:t>as</w:t>
            </w:r>
            <w:r>
              <w:rPr>
                <w:spacing w:val="-6"/>
                <w:sz w:val="20"/>
              </w:rPr>
              <w:t xml:space="preserve"> </w:t>
            </w:r>
            <w:r>
              <w:rPr>
                <w:sz w:val="20"/>
              </w:rPr>
              <w:t>part</w:t>
            </w:r>
            <w:r>
              <w:rPr>
                <w:spacing w:val="-10"/>
                <w:sz w:val="20"/>
              </w:rPr>
              <w:t xml:space="preserve"> </w:t>
            </w:r>
            <w:r>
              <w:rPr>
                <w:sz w:val="20"/>
              </w:rPr>
              <w:t>of</w:t>
            </w:r>
            <w:r>
              <w:rPr>
                <w:spacing w:val="-9"/>
                <w:sz w:val="20"/>
              </w:rPr>
              <w:t xml:space="preserve"> </w:t>
            </w:r>
            <w:r>
              <w:rPr>
                <w:sz w:val="20"/>
              </w:rPr>
              <w:t>multicomponent interventions vs. usual care -</w:t>
            </w:r>
          </w:p>
          <w:p w14:paraId="7A4C321D" w14:textId="77777777" w:rsidR="00E13D3F" w:rsidRDefault="00FB2D6A" w:rsidP="00990D2B">
            <w:pPr>
              <w:pStyle w:val="TableParagraph"/>
              <w:numPr>
                <w:ilvl w:val="0"/>
                <w:numId w:val="25"/>
              </w:numPr>
              <w:tabs>
                <w:tab w:val="left" w:pos="468"/>
              </w:tabs>
              <w:spacing w:before="1"/>
              <w:ind w:right="171"/>
              <w:rPr>
                <w:sz w:val="20"/>
              </w:rPr>
            </w:pPr>
            <w:r>
              <w:rPr>
                <w:sz w:val="20"/>
              </w:rPr>
              <w:t>Range of basic falls risk effects as part of multicomponent</w:t>
            </w:r>
            <w:r>
              <w:rPr>
                <w:spacing w:val="-9"/>
                <w:sz w:val="20"/>
              </w:rPr>
              <w:t xml:space="preserve"> </w:t>
            </w:r>
            <w:r>
              <w:rPr>
                <w:sz w:val="20"/>
              </w:rPr>
              <w:t>intervention:</w:t>
            </w:r>
            <w:r>
              <w:rPr>
                <w:spacing w:val="-9"/>
                <w:sz w:val="20"/>
              </w:rPr>
              <w:t xml:space="preserve"> </w:t>
            </w:r>
            <w:r>
              <w:rPr>
                <w:sz w:val="20"/>
              </w:rPr>
              <w:t>RR</w:t>
            </w:r>
            <w:r>
              <w:rPr>
                <w:spacing w:val="-9"/>
                <w:sz w:val="20"/>
              </w:rPr>
              <w:t xml:space="preserve"> </w:t>
            </w:r>
            <w:r>
              <w:rPr>
                <w:sz w:val="20"/>
              </w:rPr>
              <w:t>2.56</w:t>
            </w:r>
            <w:r>
              <w:rPr>
                <w:spacing w:val="-9"/>
                <w:sz w:val="20"/>
              </w:rPr>
              <w:t xml:space="preserve"> </w:t>
            </w:r>
            <w:r>
              <w:rPr>
                <w:sz w:val="20"/>
              </w:rPr>
              <w:t>(0.85</w:t>
            </w:r>
            <w:r>
              <w:rPr>
                <w:spacing w:val="-5"/>
                <w:sz w:val="20"/>
              </w:rPr>
              <w:t xml:space="preserve"> </w:t>
            </w:r>
            <w:r>
              <w:rPr>
                <w:spacing w:val="-10"/>
                <w:sz w:val="20"/>
              </w:rPr>
              <w:t>–</w:t>
            </w:r>
          </w:p>
          <w:p w14:paraId="7A4C321E" w14:textId="77777777" w:rsidR="00E13D3F" w:rsidRDefault="00FB2D6A">
            <w:pPr>
              <w:pStyle w:val="TableParagraph"/>
              <w:spacing w:before="1" w:line="223" w:lineRule="exact"/>
              <w:ind w:left="468"/>
              <w:rPr>
                <w:sz w:val="20"/>
              </w:rPr>
            </w:pPr>
            <w:r>
              <w:rPr>
                <w:spacing w:val="-2"/>
                <w:sz w:val="20"/>
              </w:rPr>
              <w:t>7.78)</w:t>
            </w:r>
          </w:p>
        </w:tc>
        <w:tc>
          <w:tcPr>
            <w:tcW w:w="2554" w:type="dxa"/>
          </w:tcPr>
          <w:p w14:paraId="7A4C321F" w14:textId="77777777" w:rsidR="00E13D3F" w:rsidRDefault="00FB2D6A">
            <w:pPr>
              <w:pStyle w:val="TableParagraph"/>
              <w:spacing w:before="1"/>
              <w:ind w:left="108" w:right="93"/>
              <w:rPr>
                <w:sz w:val="20"/>
              </w:rPr>
            </w:pPr>
            <w:r>
              <w:rPr>
                <w:sz w:val="20"/>
              </w:rPr>
              <w:t>Basic</w:t>
            </w:r>
            <w:r>
              <w:rPr>
                <w:spacing w:val="-11"/>
                <w:sz w:val="20"/>
              </w:rPr>
              <w:t xml:space="preserve"> </w:t>
            </w:r>
            <w:r>
              <w:rPr>
                <w:sz w:val="20"/>
              </w:rPr>
              <w:t>falls</w:t>
            </w:r>
            <w:r>
              <w:rPr>
                <w:spacing w:val="-10"/>
                <w:sz w:val="20"/>
              </w:rPr>
              <w:t xml:space="preserve"> </w:t>
            </w:r>
            <w:r>
              <w:rPr>
                <w:sz w:val="20"/>
              </w:rPr>
              <w:t>risk</w:t>
            </w:r>
            <w:r>
              <w:rPr>
                <w:spacing w:val="-10"/>
                <w:sz w:val="20"/>
              </w:rPr>
              <w:t xml:space="preserve"> </w:t>
            </w:r>
            <w:r>
              <w:rPr>
                <w:sz w:val="20"/>
              </w:rPr>
              <w:t>assessment</w:t>
            </w:r>
            <w:r>
              <w:rPr>
                <w:spacing w:val="-10"/>
                <w:sz w:val="20"/>
              </w:rPr>
              <w:t xml:space="preserve"> </w:t>
            </w:r>
            <w:r>
              <w:rPr>
                <w:sz w:val="20"/>
              </w:rPr>
              <w:t xml:space="preserve">as part of a multicomponent intervention does not prevent or reduce fracture </w:t>
            </w:r>
            <w:r>
              <w:rPr>
                <w:spacing w:val="-2"/>
                <w:sz w:val="20"/>
              </w:rPr>
              <w:t>rates</w:t>
            </w:r>
          </w:p>
        </w:tc>
      </w:tr>
      <w:tr w:rsidR="00E13D3F" w14:paraId="7A4C3228" w14:textId="77777777">
        <w:trPr>
          <w:trHeight w:val="1993"/>
        </w:trPr>
        <w:tc>
          <w:tcPr>
            <w:tcW w:w="1553" w:type="dxa"/>
            <w:shd w:val="clear" w:color="auto" w:fill="F1F1F1"/>
          </w:tcPr>
          <w:p w14:paraId="7A4C3221" w14:textId="77777777" w:rsidR="00E13D3F" w:rsidRDefault="00E13D3F">
            <w:pPr>
              <w:pStyle w:val="TableParagraph"/>
              <w:rPr>
                <w:rFonts w:ascii="Times New Roman"/>
                <w:sz w:val="18"/>
              </w:rPr>
            </w:pPr>
          </w:p>
        </w:tc>
        <w:tc>
          <w:tcPr>
            <w:tcW w:w="1438" w:type="dxa"/>
            <w:shd w:val="clear" w:color="auto" w:fill="F1F1F1"/>
          </w:tcPr>
          <w:p w14:paraId="7A4C3222" w14:textId="77777777" w:rsidR="00E13D3F" w:rsidRDefault="00FB2D6A">
            <w:pPr>
              <w:pStyle w:val="TableParagraph"/>
              <w:spacing w:before="243"/>
              <w:ind w:left="108" w:right="403"/>
              <w:jc w:val="both"/>
              <w:rPr>
                <w:b/>
                <w:sz w:val="20"/>
              </w:rPr>
            </w:pPr>
            <w:r>
              <w:rPr>
                <w:b/>
                <w:sz w:val="20"/>
              </w:rPr>
              <w:t>Number</w:t>
            </w:r>
            <w:r>
              <w:rPr>
                <w:b/>
                <w:spacing w:val="-12"/>
                <w:sz w:val="20"/>
              </w:rPr>
              <w:t xml:space="preserve"> </w:t>
            </w:r>
            <w:r>
              <w:rPr>
                <w:b/>
                <w:sz w:val="20"/>
              </w:rPr>
              <w:t xml:space="preserve">of </w:t>
            </w:r>
            <w:r>
              <w:rPr>
                <w:b/>
                <w:spacing w:val="-2"/>
                <w:sz w:val="20"/>
              </w:rPr>
              <w:t>fall-related fractures</w:t>
            </w:r>
          </w:p>
        </w:tc>
        <w:tc>
          <w:tcPr>
            <w:tcW w:w="4383" w:type="dxa"/>
            <w:shd w:val="clear" w:color="auto" w:fill="F1F1F1"/>
          </w:tcPr>
          <w:p w14:paraId="7A4C3223" w14:textId="77777777" w:rsidR="00E13D3F" w:rsidRDefault="00FB2D6A" w:rsidP="00990D2B">
            <w:pPr>
              <w:pStyle w:val="TableParagraph"/>
              <w:numPr>
                <w:ilvl w:val="0"/>
                <w:numId w:val="24"/>
              </w:numPr>
              <w:tabs>
                <w:tab w:val="left" w:pos="468"/>
              </w:tabs>
              <w:ind w:right="735"/>
              <w:rPr>
                <w:b/>
                <w:sz w:val="20"/>
              </w:rPr>
            </w:pPr>
            <w:r>
              <w:rPr>
                <w:i/>
                <w:sz w:val="20"/>
              </w:rPr>
              <w:t>brisk</w:t>
            </w:r>
            <w:r>
              <w:rPr>
                <w:i/>
                <w:spacing w:val="-6"/>
                <w:sz w:val="20"/>
              </w:rPr>
              <w:t xml:space="preserve"> </w:t>
            </w:r>
            <w:r>
              <w:rPr>
                <w:sz w:val="20"/>
              </w:rPr>
              <w:t>assessment</w:t>
            </w:r>
            <w:r>
              <w:rPr>
                <w:spacing w:val="-7"/>
                <w:sz w:val="20"/>
              </w:rPr>
              <w:t xml:space="preserve"> </w:t>
            </w:r>
            <w:r>
              <w:rPr>
                <w:sz w:val="20"/>
              </w:rPr>
              <w:t>alone</w:t>
            </w:r>
            <w:r>
              <w:rPr>
                <w:spacing w:val="-8"/>
                <w:sz w:val="20"/>
              </w:rPr>
              <w:t xml:space="preserve"> </w:t>
            </w:r>
            <w:r>
              <w:rPr>
                <w:sz w:val="20"/>
              </w:rPr>
              <w:t>vs</w:t>
            </w:r>
            <w:r>
              <w:rPr>
                <w:spacing w:val="-7"/>
                <w:sz w:val="20"/>
              </w:rPr>
              <w:t xml:space="preserve"> </w:t>
            </w:r>
            <w:r>
              <w:rPr>
                <w:sz w:val="20"/>
              </w:rPr>
              <w:t>usual</w:t>
            </w:r>
            <w:r>
              <w:rPr>
                <w:spacing w:val="-7"/>
                <w:sz w:val="20"/>
              </w:rPr>
              <w:t xml:space="preserve"> </w:t>
            </w:r>
            <w:r>
              <w:rPr>
                <w:sz w:val="20"/>
              </w:rPr>
              <w:t>care</w:t>
            </w:r>
            <w:r>
              <w:rPr>
                <w:spacing w:val="-8"/>
                <w:sz w:val="20"/>
              </w:rPr>
              <w:t xml:space="preserve"> </w:t>
            </w:r>
            <w:r>
              <w:rPr>
                <w:sz w:val="20"/>
              </w:rPr>
              <w:t xml:space="preserve">as primary result: </w:t>
            </w:r>
            <w:r>
              <w:rPr>
                <w:b/>
                <w:sz w:val="20"/>
              </w:rPr>
              <w:t>0.60 (0.39 – 0.94)</w:t>
            </w:r>
          </w:p>
          <w:p w14:paraId="7A4C3224" w14:textId="77777777" w:rsidR="00E13D3F" w:rsidRDefault="00FB2D6A" w:rsidP="00990D2B">
            <w:pPr>
              <w:pStyle w:val="TableParagraph"/>
              <w:numPr>
                <w:ilvl w:val="0"/>
                <w:numId w:val="24"/>
              </w:numPr>
              <w:tabs>
                <w:tab w:val="left" w:pos="468"/>
              </w:tabs>
              <w:ind w:right="248"/>
              <w:rPr>
                <w:sz w:val="20"/>
              </w:rPr>
            </w:pPr>
            <w:r>
              <w:rPr>
                <w:sz w:val="20"/>
              </w:rPr>
              <w:t>independent brisk effect as part of multicomponent</w:t>
            </w:r>
            <w:r>
              <w:rPr>
                <w:spacing w:val="-9"/>
                <w:sz w:val="20"/>
              </w:rPr>
              <w:t xml:space="preserve"> </w:t>
            </w:r>
            <w:r>
              <w:rPr>
                <w:sz w:val="20"/>
              </w:rPr>
              <w:t>intervention</w:t>
            </w:r>
            <w:r>
              <w:rPr>
                <w:spacing w:val="-7"/>
                <w:sz w:val="20"/>
              </w:rPr>
              <w:t xml:space="preserve"> </w:t>
            </w:r>
            <w:r>
              <w:rPr>
                <w:sz w:val="20"/>
              </w:rPr>
              <w:t>vs.</w:t>
            </w:r>
            <w:r>
              <w:rPr>
                <w:spacing w:val="-9"/>
                <w:sz w:val="20"/>
              </w:rPr>
              <w:t xml:space="preserve"> </w:t>
            </w:r>
            <w:r>
              <w:rPr>
                <w:sz w:val="20"/>
              </w:rPr>
              <w:t>usual</w:t>
            </w:r>
            <w:r>
              <w:rPr>
                <w:spacing w:val="-9"/>
                <w:sz w:val="20"/>
              </w:rPr>
              <w:t xml:space="preserve"> </w:t>
            </w:r>
            <w:r>
              <w:rPr>
                <w:sz w:val="20"/>
              </w:rPr>
              <w:t>care</w:t>
            </w:r>
            <w:r>
              <w:rPr>
                <w:spacing w:val="-5"/>
                <w:sz w:val="20"/>
              </w:rPr>
              <w:t xml:space="preserve"> </w:t>
            </w:r>
            <w:r>
              <w:rPr>
                <w:sz w:val="20"/>
              </w:rPr>
              <w:t>- NMA result RR 0.88 (0.61 – 1.26)</w:t>
            </w:r>
          </w:p>
          <w:p w14:paraId="7A4C3225" w14:textId="77777777" w:rsidR="00E13D3F" w:rsidRDefault="00FB2D6A" w:rsidP="00990D2B">
            <w:pPr>
              <w:pStyle w:val="TableParagraph"/>
              <w:numPr>
                <w:ilvl w:val="0"/>
                <w:numId w:val="24"/>
              </w:numPr>
              <w:tabs>
                <w:tab w:val="left" w:pos="468"/>
              </w:tabs>
              <w:ind w:right="104"/>
              <w:rPr>
                <w:sz w:val="20"/>
              </w:rPr>
            </w:pPr>
            <w:r>
              <w:rPr>
                <w:sz w:val="20"/>
              </w:rPr>
              <w:t>Range</w:t>
            </w:r>
            <w:r>
              <w:rPr>
                <w:spacing w:val="-9"/>
                <w:sz w:val="20"/>
              </w:rPr>
              <w:t xml:space="preserve"> </w:t>
            </w:r>
            <w:r>
              <w:rPr>
                <w:sz w:val="20"/>
              </w:rPr>
              <w:t>of</w:t>
            </w:r>
            <w:r>
              <w:rPr>
                <w:spacing w:val="-7"/>
                <w:sz w:val="20"/>
              </w:rPr>
              <w:t xml:space="preserve"> </w:t>
            </w:r>
            <w:r>
              <w:rPr>
                <w:i/>
                <w:sz w:val="20"/>
              </w:rPr>
              <w:t>brisk</w:t>
            </w:r>
            <w:r>
              <w:rPr>
                <w:i/>
                <w:spacing w:val="-6"/>
                <w:sz w:val="20"/>
              </w:rPr>
              <w:t xml:space="preserve"> </w:t>
            </w:r>
            <w:r>
              <w:rPr>
                <w:sz w:val="20"/>
              </w:rPr>
              <w:t>effects</w:t>
            </w:r>
            <w:r>
              <w:rPr>
                <w:spacing w:val="-6"/>
                <w:sz w:val="20"/>
              </w:rPr>
              <w:t xml:space="preserve"> </w:t>
            </w:r>
            <w:r>
              <w:rPr>
                <w:sz w:val="20"/>
              </w:rPr>
              <w:t>from</w:t>
            </w:r>
            <w:r>
              <w:rPr>
                <w:spacing w:val="-8"/>
                <w:sz w:val="20"/>
              </w:rPr>
              <w:t xml:space="preserve"> </w:t>
            </w:r>
            <w:r>
              <w:rPr>
                <w:sz w:val="20"/>
              </w:rPr>
              <w:t>various</w:t>
            </w:r>
            <w:r>
              <w:rPr>
                <w:spacing w:val="-7"/>
                <w:sz w:val="20"/>
              </w:rPr>
              <w:t xml:space="preserve"> </w:t>
            </w:r>
            <w:r>
              <w:rPr>
                <w:sz w:val="20"/>
              </w:rPr>
              <w:t xml:space="preserve">component </w:t>
            </w:r>
            <w:r>
              <w:rPr>
                <w:spacing w:val="-2"/>
                <w:sz w:val="20"/>
              </w:rPr>
              <w:t>combinations:</w:t>
            </w:r>
          </w:p>
          <w:p w14:paraId="7A4C3226" w14:textId="77777777" w:rsidR="00E13D3F" w:rsidRDefault="00FB2D6A" w:rsidP="00990D2B">
            <w:pPr>
              <w:pStyle w:val="TableParagraph"/>
              <w:numPr>
                <w:ilvl w:val="0"/>
                <w:numId w:val="24"/>
              </w:numPr>
              <w:tabs>
                <w:tab w:val="left" w:pos="468"/>
              </w:tabs>
              <w:spacing w:line="234" w:lineRule="exact"/>
              <w:rPr>
                <w:sz w:val="20"/>
              </w:rPr>
            </w:pPr>
            <w:r>
              <w:rPr>
                <w:sz w:val="20"/>
              </w:rPr>
              <w:t>RR</w:t>
            </w:r>
            <w:r>
              <w:rPr>
                <w:spacing w:val="-4"/>
                <w:sz w:val="20"/>
              </w:rPr>
              <w:t xml:space="preserve"> </w:t>
            </w:r>
            <w:r>
              <w:rPr>
                <w:sz w:val="20"/>
              </w:rPr>
              <w:t>0.14</w:t>
            </w:r>
            <w:r>
              <w:rPr>
                <w:spacing w:val="-4"/>
                <w:sz w:val="20"/>
              </w:rPr>
              <w:t xml:space="preserve"> </w:t>
            </w:r>
            <w:r>
              <w:rPr>
                <w:sz w:val="20"/>
              </w:rPr>
              <w:t>(0.</w:t>
            </w:r>
            <w:r>
              <w:rPr>
                <w:spacing w:val="-1"/>
                <w:sz w:val="20"/>
              </w:rPr>
              <w:t xml:space="preserve"> </w:t>
            </w:r>
            <w:r>
              <w:rPr>
                <w:sz w:val="20"/>
              </w:rPr>
              <w:t>10</w:t>
            </w:r>
            <w:r>
              <w:rPr>
                <w:spacing w:val="-3"/>
                <w:sz w:val="20"/>
              </w:rPr>
              <w:t xml:space="preserve"> </w:t>
            </w:r>
            <w:r>
              <w:rPr>
                <w:sz w:val="20"/>
              </w:rPr>
              <w:t>–</w:t>
            </w:r>
            <w:r>
              <w:rPr>
                <w:spacing w:val="-3"/>
                <w:sz w:val="20"/>
              </w:rPr>
              <w:t xml:space="preserve"> </w:t>
            </w:r>
            <w:r>
              <w:rPr>
                <w:sz w:val="20"/>
              </w:rPr>
              <w:t>3.02)</w:t>
            </w:r>
            <w:r>
              <w:rPr>
                <w:spacing w:val="-5"/>
                <w:sz w:val="20"/>
              </w:rPr>
              <w:t xml:space="preserve"> </w:t>
            </w:r>
            <w:r>
              <w:rPr>
                <w:sz w:val="20"/>
              </w:rPr>
              <w:t>to</w:t>
            </w:r>
            <w:r>
              <w:rPr>
                <w:spacing w:val="-3"/>
                <w:sz w:val="20"/>
              </w:rPr>
              <w:t xml:space="preserve"> </w:t>
            </w:r>
            <w:r>
              <w:rPr>
                <w:sz w:val="20"/>
              </w:rPr>
              <w:t>3.09</w:t>
            </w:r>
            <w:r>
              <w:rPr>
                <w:spacing w:val="-2"/>
                <w:sz w:val="20"/>
              </w:rPr>
              <w:t xml:space="preserve"> </w:t>
            </w:r>
            <w:r>
              <w:rPr>
                <w:sz w:val="20"/>
              </w:rPr>
              <w:t>(0.67</w:t>
            </w:r>
            <w:r>
              <w:rPr>
                <w:spacing w:val="-2"/>
                <w:sz w:val="20"/>
              </w:rPr>
              <w:t xml:space="preserve"> </w:t>
            </w:r>
            <w:r>
              <w:rPr>
                <w:sz w:val="20"/>
              </w:rPr>
              <w:t>–</w:t>
            </w:r>
            <w:r>
              <w:rPr>
                <w:spacing w:val="-4"/>
                <w:sz w:val="20"/>
              </w:rPr>
              <w:t xml:space="preserve"> </w:t>
            </w:r>
            <w:r>
              <w:rPr>
                <w:spacing w:val="-2"/>
                <w:sz w:val="20"/>
              </w:rPr>
              <w:t>14.21)</w:t>
            </w:r>
          </w:p>
        </w:tc>
        <w:tc>
          <w:tcPr>
            <w:tcW w:w="2554" w:type="dxa"/>
            <w:shd w:val="clear" w:color="auto" w:fill="F1F1F1"/>
          </w:tcPr>
          <w:p w14:paraId="7A4C3227" w14:textId="77777777" w:rsidR="00E13D3F" w:rsidRDefault="00FB2D6A">
            <w:pPr>
              <w:pStyle w:val="TableParagraph"/>
              <w:spacing w:before="1"/>
              <w:ind w:left="108" w:right="93"/>
              <w:rPr>
                <w:sz w:val="20"/>
              </w:rPr>
            </w:pPr>
            <w:r>
              <w:rPr>
                <w:sz w:val="20"/>
              </w:rPr>
              <w:t>The independent effect of basic falls risk alone in reducing</w:t>
            </w:r>
            <w:r>
              <w:rPr>
                <w:spacing w:val="-9"/>
                <w:sz w:val="20"/>
              </w:rPr>
              <w:t xml:space="preserve"> </w:t>
            </w:r>
            <w:r>
              <w:rPr>
                <w:sz w:val="20"/>
              </w:rPr>
              <w:t>the</w:t>
            </w:r>
            <w:r>
              <w:rPr>
                <w:spacing w:val="-10"/>
                <w:sz w:val="20"/>
              </w:rPr>
              <w:t xml:space="preserve"> </w:t>
            </w:r>
            <w:r>
              <w:rPr>
                <w:sz w:val="20"/>
              </w:rPr>
              <w:t>number</w:t>
            </w:r>
            <w:r>
              <w:rPr>
                <w:spacing w:val="-9"/>
                <w:sz w:val="20"/>
              </w:rPr>
              <w:t xml:space="preserve"> </w:t>
            </w:r>
            <w:r>
              <w:rPr>
                <w:sz w:val="20"/>
              </w:rPr>
              <w:t>of</w:t>
            </w:r>
            <w:r>
              <w:rPr>
                <w:spacing w:val="-11"/>
                <w:sz w:val="20"/>
              </w:rPr>
              <w:t xml:space="preserve"> </w:t>
            </w:r>
            <w:r>
              <w:rPr>
                <w:sz w:val="20"/>
              </w:rPr>
              <w:t>fall-related</w:t>
            </w:r>
            <w:r>
              <w:rPr>
                <w:spacing w:val="-12"/>
                <w:sz w:val="20"/>
              </w:rPr>
              <w:t xml:space="preserve"> </w:t>
            </w:r>
            <w:r>
              <w:rPr>
                <w:sz w:val="20"/>
              </w:rPr>
              <w:t>fractures</w:t>
            </w:r>
            <w:r>
              <w:rPr>
                <w:spacing w:val="-11"/>
                <w:sz w:val="20"/>
              </w:rPr>
              <w:t xml:space="preserve"> </w:t>
            </w:r>
            <w:r>
              <w:rPr>
                <w:sz w:val="20"/>
              </w:rPr>
              <w:t xml:space="preserve">disappears when part of a </w:t>
            </w:r>
            <w:r>
              <w:rPr>
                <w:spacing w:val="-2"/>
                <w:sz w:val="20"/>
              </w:rPr>
              <w:t>multicomponent intervention.</w:t>
            </w:r>
          </w:p>
        </w:tc>
      </w:tr>
      <w:tr w:rsidR="00E13D3F" w14:paraId="7A4C322E" w14:textId="77777777">
        <w:trPr>
          <w:trHeight w:val="998"/>
        </w:trPr>
        <w:tc>
          <w:tcPr>
            <w:tcW w:w="1553" w:type="dxa"/>
            <w:vMerge w:val="restart"/>
          </w:tcPr>
          <w:p w14:paraId="7A4C3229" w14:textId="77777777" w:rsidR="00E13D3F" w:rsidRDefault="00FB2D6A">
            <w:pPr>
              <w:pStyle w:val="TableParagraph"/>
              <w:spacing w:before="1"/>
              <w:ind w:left="107" w:right="524"/>
              <w:rPr>
                <w:b/>
                <w:sz w:val="20"/>
              </w:rPr>
            </w:pPr>
            <w:r>
              <w:rPr>
                <w:b/>
                <w:sz w:val="20"/>
              </w:rPr>
              <w:t>Lamb</w:t>
            </w:r>
            <w:r>
              <w:rPr>
                <w:b/>
                <w:spacing w:val="-12"/>
                <w:sz w:val="20"/>
              </w:rPr>
              <w:t xml:space="preserve"> </w:t>
            </w:r>
            <w:r>
              <w:rPr>
                <w:b/>
                <w:sz w:val="20"/>
              </w:rPr>
              <w:t xml:space="preserve">2020 </w:t>
            </w:r>
            <w:r>
              <w:rPr>
                <w:b/>
                <w:spacing w:val="-4"/>
                <w:sz w:val="20"/>
              </w:rPr>
              <w:t>RCT</w:t>
            </w:r>
          </w:p>
        </w:tc>
        <w:tc>
          <w:tcPr>
            <w:tcW w:w="1438" w:type="dxa"/>
          </w:tcPr>
          <w:p w14:paraId="7A4C322A" w14:textId="77777777" w:rsidR="00E13D3F" w:rsidRDefault="00FB2D6A">
            <w:pPr>
              <w:pStyle w:val="TableParagraph"/>
              <w:spacing w:before="1"/>
              <w:ind w:left="108" w:right="238"/>
              <w:rPr>
                <w:b/>
                <w:sz w:val="20"/>
              </w:rPr>
            </w:pPr>
            <w:r>
              <w:rPr>
                <w:b/>
                <w:sz w:val="20"/>
              </w:rPr>
              <w:t xml:space="preserve">Number of </w:t>
            </w:r>
            <w:r>
              <w:rPr>
                <w:b/>
                <w:spacing w:val="-2"/>
                <w:sz w:val="20"/>
              </w:rPr>
              <w:t>falls/100 person-years</w:t>
            </w:r>
          </w:p>
        </w:tc>
        <w:tc>
          <w:tcPr>
            <w:tcW w:w="4383" w:type="dxa"/>
          </w:tcPr>
          <w:p w14:paraId="7A4C322B" w14:textId="77777777" w:rsidR="00E13D3F" w:rsidRDefault="00FB2D6A" w:rsidP="00990D2B">
            <w:pPr>
              <w:pStyle w:val="TableParagraph"/>
              <w:numPr>
                <w:ilvl w:val="0"/>
                <w:numId w:val="23"/>
              </w:numPr>
              <w:tabs>
                <w:tab w:val="left" w:pos="468"/>
              </w:tabs>
              <w:spacing w:before="2"/>
              <w:ind w:right="495"/>
              <w:rPr>
                <w:sz w:val="20"/>
              </w:rPr>
            </w:pPr>
            <w:r>
              <w:rPr>
                <w:sz w:val="20"/>
              </w:rPr>
              <w:t>Exercise</w:t>
            </w:r>
            <w:r>
              <w:rPr>
                <w:spacing w:val="-8"/>
                <w:sz w:val="20"/>
              </w:rPr>
              <w:t xml:space="preserve"> </w:t>
            </w:r>
            <w:r>
              <w:rPr>
                <w:sz w:val="20"/>
              </w:rPr>
              <w:t>vs.</w:t>
            </w:r>
            <w:r>
              <w:rPr>
                <w:spacing w:val="-7"/>
                <w:sz w:val="20"/>
              </w:rPr>
              <w:t xml:space="preserve"> </w:t>
            </w:r>
            <w:r>
              <w:rPr>
                <w:sz w:val="20"/>
              </w:rPr>
              <w:t>mailed</w:t>
            </w:r>
            <w:r>
              <w:rPr>
                <w:spacing w:val="-7"/>
                <w:sz w:val="20"/>
              </w:rPr>
              <w:t xml:space="preserve"> </w:t>
            </w:r>
            <w:r>
              <w:rPr>
                <w:sz w:val="20"/>
              </w:rPr>
              <w:t>advice</w:t>
            </w:r>
            <w:r>
              <w:rPr>
                <w:spacing w:val="-9"/>
                <w:sz w:val="20"/>
              </w:rPr>
              <w:t xml:space="preserve"> </w:t>
            </w:r>
            <w:r>
              <w:rPr>
                <w:sz w:val="20"/>
              </w:rPr>
              <w:t>(RR</w:t>
            </w:r>
            <w:r>
              <w:rPr>
                <w:spacing w:val="-5"/>
                <w:sz w:val="20"/>
              </w:rPr>
              <w:t xml:space="preserve"> </w:t>
            </w:r>
            <w:r>
              <w:rPr>
                <w:sz w:val="20"/>
              </w:rPr>
              <w:t>0.99,</w:t>
            </w:r>
            <w:r>
              <w:rPr>
                <w:spacing w:val="-7"/>
                <w:sz w:val="20"/>
              </w:rPr>
              <w:t xml:space="preserve"> </w:t>
            </w:r>
            <w:r>
              <w:rPr>
                <w:sz w:val="20"/>
              </w:rPr>
              <w:t>95%CI 0.86 to 1.14)</w:t>
            </w:r>
          </w:p>
          <w:p w14:paraId="7A4C322C" w14:textId="77777777" w:rsidR="00E13D3F" w:rsidRDefault="00FB2D6A" w:rsidP="00990D2B">
            <w:pPr>
              <w:pStyle w:val="TableParagraph"/>
              <w:numPr>
                <w:ilvl w:val="0"/>
                <w:numId w:val="23"/>
              </w:numPr>
              <w:tabs>
                <w:tab w:val="left" w:pos="468"/>
              </w:tabs>
              <w:spacing w:line="242" w:lineRule="exact"/>
              <w:ind w:right="329"/>
              <w:rPr>
                <w:sz w:val="20"/>
              </w:rPr>
            </w:pPr>
            <w:r>
              <w:rPr>
                <w:sz w:val="20"/>
              </w:rPr>
              <w:t>Multifactorial</w:t>
            </w:r>
            <w:r>
              <w:rPr>
                <w:spacing w:val="-11"/>
                <w:sz w:val="20"/>
              </w:rPr>
              <w:t xml:space="preserve"> </w:t>
            </w:r>
            <w:r>
              <w:rPr>
                <w:sz w:val="20"/>
              </w:rPr>
              <w:t>intervention</w:t>
            </w:r>
            <w:r>
              <w:rPr>
                <w:spacing w:val="-11"/>
                <w:sz w:val="20"/>
              </w:rPr>
              <w:t xml:space="preserve"> </w:t>
            </w:r>
            <w:r>
              <w:rPr>
                <w:sz w:val="20"/>
              </w:rPr>
              <w:t>(RR1.313,</w:t>
            </w:r>
            <w:r>
              <w:rPr>
                <w:spacing w:val="-11"/>
                <w:sz w:val="20"/>
              </w:rPr>
              <w:t xml:space="preserve"> </w:t>
            </w:r>
            <w:r>
              <w:rPr>
                <w:sz w:val="20"/>
              </w:rPr>
              <w:t>95%</w:t>
            </w:r>
            <w:r>
              <w:rPr>
                <w:spacing w:val="-12"/>
                <w:sz w:val="20"/>
              </w:rPr>
              <w:t xml:space="preserve"> </w:t>
            </w:r>
            <w:r>
              <w:rPr>
                <w:sz w:val="20"/>
              </w:rPr>
              <w:t>CI 0.98 to 1.30)</w:t>
            </w:r>
          </w:p>
        </w:tc>
        <w:tc>
          <w:tcPr>
            <w:tcW w:w="2554" w:type="dxa"/>
          </w:tcPr>
          <w:p w14:paraId="7A4C322D" w14:textId="77777777" w:rsidR="00E13D3F" w:rsidRDefault="00FB2D6A">
            <w:pPr>
              <w:pStyle w:val="TableParagraph"/>
              <w:spacing w:before="1"/>
              <w:ind w:left="108" w:right="93"/>
              <w:rPr>
                <w:sz w:val="20"/>
              </w:rPr>
            </w:pPr>
            <w:r>
              <w:rPr>
                <w:sz w:val="20"/>
              </w:rPr>
              <w:t>No</w:t>
            </w:r>
            <w:r>
              <w:rPr>
                <w:spacing w:val="-12"/>
                <w:sz w:val="20"/>
              </w:rPr>
              <w:t xml:space="preserve"> </w:t>
            </w:r>
            <w:r>
              <w:rPr>
                <w:sz w:val="20"/>
              </w:rPr>
              <w:t>difference</w:t>
            </w:r>
            <w:r>
              <w:rPr>
                <w:spacing w:val="-11"/>
                <w:sz w:val="20"/>
              </w:rPr>
              <w:t xml:space="preserve"> </w:t>
            </w:r>
            <w:r>
              <w:rPr>
                <w:sz w:val="20"/>
              </w:rPr>
              <w:t>in</w:t>
            </w:r>
            <w:r>
              <w:rPr>
                <w:spacing w:val="-11"/>
                <w:sz w:val="20"/>
              </w:rPr>
              <w:t xml:space="preserve"> </w:t>
            </w:r>
            <w:r>
              <w:rPr>
                <w:sz w:val="20"/>
              </w:rPr>
              <w:t>prevention of falls at 18 months when compared</w:t>
            </w:r>
            <w:r>
              <w:rPr>
                <w:spacing w:val="-2"/>
                <w:sz w:val="20"/>
              </w:rPr>
              <w:t xml:space="preserve"> </w:t>
            </w:r>
            <w:r>
              <w:rPr>
                <w:sz w:val="20"/>
              </w:rPr>
              <w:t>to</w:t>
            </w:r>
            <w:r>
              <w:rPr>
                <w:spacing w:val="-2"/>
                <w:sz w:val="20"/>
              </w:rPr>
              <w:t xml:space="preserve"> </w:t>
            </w:r>
            <w:r>
              <w:rPr>
                <w:sz w:val="20"/>
              </w:rPr>
              <w:t>mailed</w:t>
            </w:r>
            <w:r>
              <w:rPr>
                <w:spacing w:val="-2"/>
                <w:sz w:val="20"/>
              </w:rPr>
              <w:t xml:space="preserve"> </w:t>
            </w:r>
            <w:r>
              <w:rPr>
                <w:sz w:val="20"/>
              </w:rPr>
              <w:t>advice</w:t>
            </w:r>
          </w:p>
        </w:tc>
      </w:tr>
      <w:tr w:rsidR="00E13D3F" w14:paraId="7A4C3234" w14:textId="77777777">
        <w:trPr>
          <w:trHeight w:val="997"/>
        </w:trPr>
        <w:tc>
          <w:tcPr>
            <w:tcW w:w="1553" w:type="dxa"/>
            <w:vMerge/>
            <w:tcBorders>
              <w:top w:val="nil"/>
            </w:tcBorders>
          </w:tcPr>
          <w:p w14:paraId="7A4C322F" w14:textId="77777777" w:rsidR="00E13D3F" w:rsidRDefault="00E13D3F">
            <w:pPr>
              <w:rPr>
                <w:sz w:val="2"/>
                <w:szCs w:val="2"/>
              </w:rPr>
            </w:pPr>
          </w:p>
        </w:tc>
        <w:tc>
          <w:tcPr>
            <w:tcW w:w="1438" w:type="dxa"/>
            <w:shd w:val="clear" w:color="auto" w:fill="F1F1F1"/>
          </w:tcPr>
          <w:p w14:paraId="7A4C3230" w14:textId="77777777" w:rsidR="00E13D3F" w:rsidRDefault="00FB2D6A">
            <w:pPr>
              <w:pStyle w:val="TableParagraph"/>
              <w:spacing w:before="1"/>
              <w:ind w:left="108" w:right="99"/>
              <w:rPr>
                <w:b/>
                <w:sz w:val="20"/>
              </w:rPr>
            </w:pPr>
            <w:r>
              <w:rPr>
                <w:b/>
                <w:sz w:val="20"/>
              </w:rPr>
              <w:t xml:space="preserve">Number of </w:t>
            </w:r>
            <w:r>
              <w:rPr>
                <w:b/>
                <w:spacing w:val="-2"/>
                <w:sz w:val="20"/>
              </w:rPr>
              <w:t>fracture episodes*/100 person-years</w:t>
            </w:r>
          </w:p>
        </w:tc>
        <w:tc>
          <w:tcPr>
            <w:tcW w:w="4383" w:type="dxa"/>
            <w:shd w:val="clear" w:color="auto" w:fill="F1F1F1"/>
          </w:tcPr>
          <w:p w14:paraId="7A4C3231" w14:textId="77777777" w:rsidR="00E13D3F" w:rsidRDefault="00FB2D6A" w:rsidP="00990D2B">
            <w:pPr>
              <w:pStyle w:val="TableParagraph"/>
              <w:numPr>
                <w:ilvl w:val="0"/>
                <w:numId w:val="22"/>
              </w:numPr>
              <w:tabs>
                <w:tab w:val="left" w:pos="468"/>
              </w:tabs>
              <w:spacing w:before="2"/>
              <w:ind w:right="201"/>
              <w:rPr>
                <w:sz w:val="20"/>
              </w:rPr>
            </w:pPr>
            <w:r>
              <w:rPr>
                <w:sz w:val="20"/>
              </w:rPr>
              <w:t>Exercise</w:t>
            </w:r>
            <w:r>
              <w:rPr>
                <w:spacing w:val="-8"/>
                <w:sz w:val="20"/>
              </w:rPr>
              <w:t xml:space="preserve"> </w:t>
            </w:r>
            <w:r>
              <w:rPr>
                <w:sz w:val="20"/>
              </w:rPr>
              <w:t>vs.</w:t>
            </w:r>
            <w:r>
              <w:rPr>
                <w:spacing w:val="-7"/>
                <w:sz w:val="20"/>
              </w:rPr>
              <w:t xml:space="preserve"> </w:t>
            </w:r>
            <w:r>
              <w:rPr>
                <w:sz w:val="20"/>
              </w:rPr>
              <w:t>mailed</w:t>
            </w:r>
            <w:r>
              <w:rPr>
                <w:spacing w:val="-7"/>
                <w:sz w:val="20"/>
              </w:rPr>
              <w:t xml:space="preserve"> </w:t>
            </w:r>
            <w:r>
              <w:rPr>
                <w:sz w:val="20"/>
              </w:rPr>
              <w:t>advice</w:t>
            </w:r>
            <w:r>
              <w:rPr>
                <w:spacing w:val="-9"/>
                <w:sz w:val="20"/>
              </w:rPr>
              <w:t xml:space="preserve"> </w:t>
            </w:r>
            <w:r>
              <w:rPr>
                <w:sz w:val="20"/>
              </w:rPr>
              <w:t>(adjusted</w:t>
            </w:r>
            <w:r>
              <w:rPr>
                <w:spacing w:val="-7"/>
                <w:sz w:val="20"/>
              </w:rPr>
              <w:t xml:space="preserve"> </w:t>
            </w:r>
            <w:r>
              <w:rPr>
                <w:sz w:val="20"/>
              </w:rPr>
              <w:t>rate</w:t>
            </w:r>
            <w:r>
              <w:rPr>
                <w:spacing w:val="-8"/>
                <w:sz w:val="20"/>
              </w:rPr>
              <w:t xml:space="preserve"> </w:t>
            </w:r>
            <w:r>
              <w:rPr>
                <w:sz w:val="20"/>
              </w:rPr>
              <w:t>ratio 1.10, 95%CI 0.85 to 1.43)</w:t>
            </w:r>
          </w:p>
          <w:p w14:paraId="7A4C3232" w14:textId="77777777" w:rsidR="00E13D3F" w:rsidRDefault="00FB2D6A" w:rsidP="00990D2B">
            <w:pPr>
              <w:pStyle w:val="TableParagraph"/>
              <w:numPr>
                <w:ilvl w:val="0"/>
                <w:numId w:val="22"/>
              </w:numPr>
              <w:tabs>
                <w:tab w:val="left" w:pos="468"/>
              </w:tabs>
              <w:spacing w:line="244" w:lineRule="exact"/>
              <w:ind w:right="209"/>
              <w:rPr>
                <w:sz w:val="20"/>
              </w:rPr>
            </w:pPr>
            <w:r>
              <w:rPr>
                <w:sz w:val="20"/>
              </w:rPr>
              <w:t>Multifactorial intervention vs. mailed advice (adjusted</w:t>
            </w:r>
            <w:r>
              <w:rPr>
                <w:spacing w:val="-6"/>
                <w:sz w:val="20"/>
              </w:rPr>
              <w:t xml:space="preserve"> </w:t>
            </w:r>
            <w:r>
              <w:rPr>
                <w:sz w:val="20"/>
              </w:rPr>
              <w:t>rate</w:t>
            </w:r>
            <w:r>
              <w:rPr>
                <w:spacing w:val="-7"/>
                <w:sz w:val="20"/>
              </w:rPr>
              <w:t xml:space="preserve"> </w:t>
            </w:r>
            <w:r>
              <w:rPr>
                <w:sz w:val="20"/>
              </w:rPr>
              <w:t>ratio</w:t>
            </w:r>
            <w:r>
              <w:rPr>
                <w:spacing w:val="-6"/>
                <w:sz w:val="20"/>
              </w:rPr>
              <w:t xml:space="preserve"> </w:t>
            </w:r>
            <w:r>
              <w:rPr>
                <w:sz w:val="20"/>
              </w:rPr>
              <w:t>1.26,</w:t>
            </w:r>
            <w:r>
              <w:rPr>
                <w:spacing w:val="-6"/>
                <w:sz w:val="20"/>
              </w:rPr>
              <w:t xml:space="preserve"> </w:t>
            </w:r>
            <w:r>
              <w:rPr>
                <w:sz w:val="20"/>
              </w:rPr>
              <w:t>95%CI</w:t>
            </w:r>
            <w:r>
              <w:rPr>
                <w:spacing w:val="-7"/>
                <w:sz w:val="20"/>
              </w:rPr>
              <w:t xml:space="preserve"> </w:t>
            </w:r>
            <w:r>
              <w:rPr>
                <w:sz w:val="20"/>
              </w:rPr>
              <w:t>0.98</w:t>
            </w:r>
            <w:r>
              <w:rPr>
                <w:spacing w:val="-7"/>
                <w:sz w:val="20"/>
              </w:rPr>
              <w:t xml:space="preserve"> </w:t>
            </w:r>
            <w:r>
              <w:rPr>
                <w:sz w:val="20"/>
              </w:rPr>
              <w:t>to</w:t>
            </w:r>
            <w:r>
              <w:rPr>
                <w:spacing w:val="-6"/>
                <w:sz w:val="20"/>
              </w:rPr>
              <w:t xml:space="preserve"> </w:t>
            </w:r>
            <w:r>
              <w:rPr>
                <w:sz w:val="20"/>
              </w:rPr>
              <w:t>1.62).</w:t>
            </w:r>
          </w:p>
        </w:tc>
        <w:tc>
          <w:tcPr>
            <w:tcW w:w="2554" w:type="dxa"/>
            <w:shd w:val="clear" w:color="auto" w:fill="F1F1F1"/>
          </w:tcPr>
          <w:p w14:paraId="7A4C3233" w14:textId="77777777" w:rsidR="00E13D3F" w:rsidRDefault="00FB2D6A">
            <w:pPr>
              <w:pStyle w:val="TableParagraph"/>
              <w:spacing w:before="1"/>
              <w:ind w:left="108" w:right="93"/>
              <w:rPr>
                <w:sz w:val="20"/>
              </w:rPr>
            </w:pPr>
            <w:r>
              <w:rPr>
                <w:sz w:val="20"/>
              </w:rPr>
              <w:t>No</w:t>
            </w:r>
            <w:r>
              <w:rPr>
                <w:spacing w:val="-12"/>
                <w:sz w:val="20"/>
              </w:rPr>
              <w:t xml:space="preserve"> </w:t>
            </w:r>
            <w:r>
              <w:rPr>
                <w:sz w:val="20"/>
              </w:rPr>
              <w:t>difference</w:t>
            </w:r>
            <w:r>
              <w:rPr>
                <w:spacing w:val="-11"/>
                <w:sz w:val="20"/>
              </w:rPr>
              <w:t xml:space="preserve"> </w:t>
            </w:r>
            <w:r>
              <w:rPr>
                <w:sz w:val="20"/>
              </w:rPr>
              <w:t>in</w:t>
            </w:r>
            <w:r>
              <w:rPr>
                <w:spacing w:val="-11"/>
                <w:sz w:val="20"/>
              </w:rPr>
              <w:t xml:space="preserve"> </w:t>
            </w:r>
            <w:r>
              <w:rPr>
                <w:sz w:val="20"/>
              </w:rPr>
              <w:t>prevention of fracture episodes at 18 months when</w:t>
            </w:r>
            <w:r>
              <w:rPr>
                <w:spacing w:val="-3"/>
                <w:sz w:val="20"/>
              </w:rPr>
              <w:t xml:space="preserve"> </w:t>
            </w:r>
            <w:r>
              <w:rPr>
                <w:sz w:val="20"/>
              </w:rPr>
              <w:t>compared</w:t>
            </w:r>
            <w:r>
              <w:rPr>
                <w:spacing w:val="-3"/>
                <w:sz w:val="20"/>
              </w:rPr>
              <w:t xml:space="preserve"> </w:t>
            </w:r>
            <w:r>
              <w:rPr>
                <w:sz w:val="20"/>
              </w:rPr>
              <w:t>to mailed advice</w:t>
            </w:r>
          </w:p>
        </w:tc>
      </w:tr>
      <w:tr w:rsidR="00E13D3F" w14:paraId="7A4C323A" w14:textId="77777777">
        <w:trPr>
          <w:trHeight w:val="998"/>
        </w:trPr>
        <w:tc>
          <w:tcPr>
            <w:tcW w:w="1553" w:type="dxa"/>
            <w:vMerge/>
            <w:tcBorders>
              <w:top w:val="nil"/>
            </w:tcBorders>
          </w:tcPr>
          <w:p w14:paraId="7A4C3235" w14:textId="77777777" w:rsidR="00E13D3F" w:rsidRDefault="00E13D3F">
            <w:pPr>
              <w:rPr>
                <w:sz w:val="2"/>
                <w:szCs w:val="2"/>
              </w:rPr>
            </w:pPr>
          </w:p>
        </w:tc>
        <w:tc>
          <w:tcPr>
            <w:tcW w:w="1438" w:type="dxa"/>
          </w:tcPr>
          <w:p w14:paraId="7A4C3236" w14:textId="77777777" w:rsidR="00E13D3F" w:rsidRDefault="00FB2D6A">
            <w:pPr>
              <w:pStyle w:val="TableParagraph"/>
              <w:spacing w:before="1"/>
              <w:ind w:left="108" w:right="183"/>
              <w:rPr>
                <w:b/>
                <w:sz w:val="20"/>
              </w:rPr>
            </w:pPr>
            <w:r>
              <w:rPr>
                <w:b/>
                <w:sz w:val="20"/>
              </w:rPr>
              <w:t xml:space="preserve">Number of </w:t>
            </w:r>
            <w:r>
              <w:rPr>
                <w:b/>
                <w:spacing w:val="-2"/>
                <w:sz w:val="20"/>
              </w:rPr>
              <w:t>fractures/100 person-years</w:t>
            </w:r>
          </w:p>
        </w:tc>
        <w:tc>
          <w:tcPr>
            <w:tcW w:w="4383" w:type="dxa"/>
          </w:tcPr>
          <w:p w14:paraId="7A4C3237" w14:textId="77777777" w:rsidR="00E13D3F" w:rsidRDefault="00FB2D6A" w:rsidP="00990D2B">
            <w:pPr>
              <w:pStyle w:val="TableParagraph"/>
              <w:numPr>
                <w:ilvl w:val="0"/>
                <w:numId w:val="21"/>
              </w:numPr>
              <w:tabs>
                <w:tab w:val="left" w:pos="468"/>
              </w:tabs>
              <w:spacing w:before="2"/>
              <w:ind w:right="255"/>
              <w:rPr>
                <w:sz w:val="20"/>
              </w:rPr>
            </w:pPr>
            <w:r>
              <w:rPr>
                <w:sz w:val="20"/>
              </w:rPr>
              <w:t>Exercise</w:t>
            </w:r>
            <w:r>
              <w:rPr>
                <w:spacing w:val="-7"/>
                <w:sz w:val="20"/>
              </w:rPr>
              <w:t xml:space="preserve"> </w:t>
            </w:r>
            <w:r>
              <w:rPr>
                <w:sz w:val="20"/>
              </w:rPr>
              <w:t>alone</w:t>
            </w:r>
            <w:r>
              <w:rPr>
                <w:spacing w:val="-7"/>
                <w:sz w:val="20"/>
              </w:rPr>
              <w:t xml:space="preserve"> </w:t>
            </w:r>
            <w:r>
              <w:rPr>
                <w:sz w:val="20"/>
              </w:rPr>
              <w:t>vs.</w:t>
            </w:r>
            <w:r>
              <w:rPr>
                <w:spacing w:val="-6"/>
                <w:sz w:val="20"/>
              </w:rPr>
              <w:t xml:space="preserve"> </w:t>
            </w:r>
            <w:r>
              <w:rPr>
                <w:sz w:val="20"/>
              </w:rPr>
              <w:t>mailed</w:t>
            </w:r>
            <w:r>
              <w:rPr>
                <w:spacing w:val="-6"/>
                <w:sz w:val="20"/>
              </w:rPr>
              <w:t xml:space="preserve"> </w:t>
            </w:r>
            <w:r>
              <w:rPr>
                <w:sz w:val="20"/>
              </w:rPr>
              <w:t>advice</w:t>
            </w:r>
            <w:r>
              <w:rPr>
                <w:spacing w:val="-8"/>
                <w:sz w:val="20"/>
              </w:rPr>
              <w:t xml:space="preserve"> </w:t>
            </w:r>
            <w:r>
              <w:rPr>
                <w:sz w:val="20"/>
              </w:rPr>
              <w:t>(adj</w:t>
            </w:r>
            <w:r>
              <w:rPr>
                <w:spacing w:val="-6"/>
                <w:sz w:val="20"/>
              </w:rPr>
              <w:t xml:space="preserve"> </w:t>
            </w:r>
            <w:r>
              <w:rPr>
                <w:sz w:val="20"/>
              </w:rPr>
              <w:t>RR</w:t>
            </w:r>
            <w:r>
              <w:rPr>
                <w:spacing w:val="-7"/>
                <w:sz w:val="20"/>
              </w:rPr>
              <w:t xml:space="preserve"> </w:t>
            </w:r>
            <w:r>
              <w:rPr>
                <w:sz w:val="20"/>
              </w:rPr>
              <w:t>1.20, 95%CI 0.91 to 1.59)</w:t>
            </w:r>
          </w:p>
          <w:p w14:paraId="7A4C3238" w14:textId="77777777" w:rsidR="00E13D3F" w:rsidRDefault="00FB2D6A" w:rsidP="00990D2B">
            <w:pPr>
              <w:pStyle w:val="TableParagraph"/>
              <w:numPr>
                <w:ilvl w:val="0"/>
                <w:numId w:val="21"/>
              </w:numPr>
              <w:tabs>
                <w:tab w:val="left" w:pos="468"/>
              </w:tabs>
              <w:spacing w:line="244" w:lineRule="exact"/>
              <w:ind w:right="135"/>
              <w:rPr>
                <w:sz w:val="20"/>
              </w:rPr>
            </w:pPr>
            <w:r>
              <w:rPr>
                <w:sz w:val="20"/>
              </w:rPr>
              <w:t>Multifactorial</w:t>
            </w:r>
            <w:r>
              <w:rPr>
                <w:spacing w:val="-9"/>
                <w:sz w:val="20"/>
              </w:rPr>
              <w:t xml:space="preserve"> </w:t>
            </w:r>
            <w:r>
              <w:rPr>
                <w:sz w:val="20"/>
              </w:rPr>
              <w:t>intervention</w:t>
            </w:r>
            <w:r>
              <w:rPr>
                <w:spacing w:val="-9"/>
                <w:sz w:val="20"/>
              </w:rPr>
              <w:t xml:space="preserve"> </w:t>
            </w:r>
            <w:r>
              <w:rPr>
                <w:sz w:val="20"/>
              </w:rPr>
              <w:t>(adj</w:t>
            </w:r>
            <w:r>
              <w:rPr>
                <w:spacing w:val="-9"/>
                <w:sz w:val="20"/>
              </w:rPr>
              <w:t xml:space="preserve"> </w:t>
            </w:r>
            <w:r>
              <w:rPr>
                <w:sz w:val="20"/>
              </w:rPr>
              <w:t>RR</w:t>
            </w:r>
            <w:r>
              <w:rPr>
                <w:spacing w:val="-9"/>
                <w:sz w:val="20"/>
              </w:rPr>
              <w:t xml:space="preserve"> </w:t>
            </w:r>
            <w:r>
              <w:rPr>
                <w:sz w:val="20"/>
              </w:rPr>
              <w:t>1.30,</w:t>
            </w:r>
            <w:r>
              <w:rPr>
                <w:spacing w:val="-9"/>
                <w:sz w:val="20"/>
              </w:rPr>
              <w:t xml:space="preserve"> </w:t>
            </w:r>
            <w:r>
              <w:rPr>
                <w:sz w:val="20"/>
              </w:rPr>
              <w:t>95%CI 0.99 to 1.71)</w:t>
            </w:r>
          </w:p>
        </w:tc>
        <w:tc>
          <w:tcPr>
            <w:tcW w:w="2554" w:type="dxa"/>
          </w:tcPr>
          <w:p w14:paraId="7A4C3239" w14:textId="77777777" w:rsidR="00E13D3F" w:rsidRDefault="00FB2D6A">
            <w:pPr>
              <w:pStyle w:val="TableParagraph"/>
              <w:spacing w:before="1"/>
              <w:ind w:left="108" w:right="183"/>
              <w:rPr>
                <w:sz w:val="20"/>
              </w:rPr>
            </w:pPr>
            <w:r>
              <w:rPr>
                <w:sz w:val="20"/>
              </w:rPr>
              <w:t>No</w:t>
            </w:r>
            <w:r>
              <w:rPr>
                <w:spacing w:val="-12"/>
                <w:sz w:val="20"/>
              </w:rPr>
              <w:t xml:space="preserve"> </w:t>
            </w:r>
            <w:r>
              <w:rPr>
                <w:sz w:val="20"/>
              </w:rPr>
              <w:t>difference</w:t>
            </w:r>
            <w:r>
              <w:rPr>
                <w:spacing w:val="-11"/>
                <w:sz w:val="20"/>
              </w:rPr>
              <w:t xml:space="preserve"> </w:t>
            </w:r>
            <w:r>
              <w:rPr>
                <w:sz w:val="20"/>
              </w:rPr>
              <w:t>in</w:t>
            </w:r>
            <w:r>
              <w:rPr>
                <w:spacing w:val="-11"/>
                <w:sz w:val="20"/>
              </w:rPr>
              <w:t xml:space="preserve"> </w:t>
            </w:r>
            <w:r>
              <w:rPr>
                <w:sz w:val="20"/>
              </w:rPr>
              <w:t>reduction of number of fractures when</w:t>
            </w:r>
            <w:r>
              <w:rPr>
                <w:spacing w:val="-12"/>
                <w:sz w:val="20"/>
              </w:rPr>
              <w:t xml:space="preserve"> </w:t>
            </w:r>
            <w:r>
              <w:rPr>
                <w:sz w:val="20"/>
              </w:rPr>
              <w:t>compared</w:t>
            </w:r>
            <w:r>
              <w:rPr>
                <w:spacing w:val="-11"/>
                <w:sz w:val="20"/>
              </w:rPr>
              <w:t xml:space="preserve"> </w:t>
            </w:r>
            <w:r>
              <w:rPr>
                <w:sz w:val="20"/>
              </w:rPr>
              <w:t>to</w:t>
            </w:r>
            <w:r>
              <w:rPr>
                <w:spacing w:val="-11"/>
                <w:sz w:val="20"/>
              </w:rPr>
              <w:t xml:space="preserve"> </w:t>
            </w:r>
            <w:r>
              <w:rPr>
                <w:sz w:val="20"/>
              </w:rPr>
              <w:t xml:space="preserve">mailed </w:t>
            </w:r>
            <w:r>
              <w:rPr>
                <w:spacing w:val="-2"/>
                <w:sz w:val="20"/>
              </w:rPr>
              <w:t>advice</w:t>
            </w:r>
          </w:p>
        </w:tc>
      </w:tr>
      <w:tr w:rsidR="00E13D3F" w14:paraId="7A4C3242" w14:textId="77777777">
        <w:trPr>
          <w:trHeight w:val="1466"/>
        </w:trPr>
        <w:tc>
          <w:tcPr>
            <w:tcW w:w="1553" w:type="dxa"/>
            <w:vMerge w:val="restart"/>
            <w:shd w:val="clear" w:color="auto" w:fill="F1F1F1"/>
          </w:tcPr>
          <w:p w14:paraId="7A4C323B" w14:textId="77777777" w:rsidR="00E13D3F" w:rsidRDefault="00FB2D6A">
            <w:pPr>
              <w:pStyle w:val="TableParagraph"/>
              <w:spacing w:before="1"/>
              <w:ind w:left="107" w:right="422"/>
              <w:rPr>
                <w:b/>
                <w:sz w:val="20"/>
              </w:rPr>
            </w:pPr>
            <w:r>
              <w:rPr>
                <w:b/>
                <w:sz w:val="20"/>
              </w:rPr>
              <w:t>Bhasin</w:t>
            </w:r>
            <w:r>
              <w:rPr>
                <w:b/>
                <w:spacing w:val="-12"/>
                <w:sz w:val="20"/>
              </w:rPr>
              <w:t xml:space="preserve"> </w:t>
            </w:r>
            <w:r>
              <w:rPr>
                <w:b/>
                <w:sz w:val="20"/>
              </w:rPr>
              <w:t xml:space="preserve">2020 </w:t>
            </w:r>
            <w:proofErr w:type="spellStart"/>
            <w:r>
              <w:rPr>
                <w:b/>
                <w:spacing w:val="-4"/>
                <w:sz w:val="20"/>
              </w:rPr>
              <w:t>cRCT</w:t>
            </w:r>
            <w:proofErr w:type="spellEnd"/>
          </w:p>
        </w:tc>
        <w:tc>
          <w:tcPr>
            <w:tcW w:w="1438" w:type="dxa"/>
            <w:shd w:val="clear" w:color="auto" w:fill="F1F1F1"/>
          </w:tcPr>
          <w:p w14:paraId="7A4C323C" w14:textId="77777777" w:rsidR="00E13D3F" w:rsidRDefault="00FB2D6A">
            <w:pPr>
              <w:pStyle w:val="TableParagraph"/>
              <w:spacing w:before="1"/>
              <w:ind w:left="108" w:right="411"/>
              <w:rPr>
                <w:b/>
                <w:sz w:val="20"/>
              </w:rPr>
            </w:pPr>
            <w:r>
              <w:rPr>
                <w:b/>
                <w:sz w:val="20"/>
              </w:rPr>
              <w:t>No. first serious</w:t>
            </w:r>
            <w:r>
              <w:rPr>
                <w:b/>
                <w:spacing w:val="-12"/>
                <w:sz w:val="20"/>
              </w:rPr>
              <w:t xml:space="preserve"> </w:t>
            </w:r>
            <w:r>
              <w:rPr>
                <w:b/>
                <w:sz w:val="20"/>
              </w:rPr>
              <w:t>fall with</w:t>
            </w:r>
            <w:r>
              <w:rPr>
                <w:b/>
                <w:spacing w:val="-4"/>
                <w:sz w:val="20"/>
              </w:rPr>
              <w:t xml:space="preserve"> </w:t>
            </w:r>
            <w:r>
              <w:rPr>
                <w:b/>
                <w:spacing w:val="-2"/>
                <w:sz w:val="20"/>
              </w:rPr>
              <w:t>injury</w:t>
            </w:r>
          </w:p>
          <w:p w14:paraId="7A4C323D" w14:textId="77777777" w:rsidR="00E13D3F" w:rsidRDefault="00FB2D6A">
            <w:pPr>
              <w:pStyle w:val="TableParagraph"/>
              <w:ind w:left="108" w:right="241"/>
              <w:rPr>
                <w:b/>
                <w:sz w:val="20"/>
              </w:rPr>
            </w:pPr>
            <w:r>
              <w:rPr>
                <w:b/>
                <w:sz w:val="20"/>
              </w:rPr>
              <w:t>/100</w:t>
            </w:r>
            <w:r>
              <w:rPr>
                <w:b/>
                <w:spacing w:val="-12"/>
                <w:sz w:val="20"/>
              </w:rPr>
              <w:t xml:space="preserve"> </w:t>
            </w:r>
            <w:r>
              <w:rPr>
                <w:b/>
                <w:sz w:val="20"/>
              </w:rPr>
              <w:t>person-years of</w:t>
            </w:r>
          </w:p>
          <w:p w14:paraId="7A4C323E" w14:textId="77777777" w:rsidR="00E13D3F" w:rsidRDefault="00FB2D6A">
            <w:pPr>
              <w:pStyle w:val="TableParagraph"/>
              <w:spacing w:before="2" w:line="223" w:lineRule="exact"/>
              <w:ind w:left="108"/>
              <w:rPr>
                <w:b/>
                <w:sz w:val="20"/>
              </w:rPr>
            </w:pPr>
            <w:r>
              <w:rPr>
                <w:b/>
                <w:spacing w:val="-2"/>
                <w:sz w:val="20"/>
              </w:rPr>
              <w:t>follow-</w:t>
            </w:r>
            <w:r>
              <w:rPr>
                <w:b/>
                <w:spacing w:val="-5"/>
                <w:sz w:val="20"/>
              </w:rPr>
              <w:t>up</w:t>
            </w:r>
          </w:p>
        </w:tc>
        <w:tc>
          <w:tcPr>
            <w:tcW w:w="4383" w:type="dxa"/>
            <w:shd w:val="clear" w:color="auto" w:fill="F1F1F1"/>
          </w:tcPr>
          <w:p w14:paraId="7A4C323F" w14:textId="77777777" w:rsidR="00E13D3F" w:rsidRDefault="00FB2D6A" w:rsidP="00990D2B">
            <w:pPr>
              <w:pStyle w:val="TableParagraph"/>
              <w:numPr>
                <w:ilvl w:val="0"/>
                <w:numId w:val="20"/>
              </w:numPr>
              <w:tabs>
                <w:tab w:val="left" w:pos="468"/>
              </w:tabs>
              <w:ind w:right="448"/>
              <w:rPr>
                <w:sz w:val="20"/>
              </w:rPr>
            </w:pPr>
            <w:r>
              <w:rPr>
                <w:sz w:val="20"/>
              </w:rPr>
              <w:t>4.9</w:t>
            </w:r>
            <w:r>
              <w:rPr>
                <w:spacing w:val="-7"/>
                <w:sz w:val="20"/>
              </w:rPr>
              <w:t xml:space="preserve"> </w:t>
            </w:r>
            <w:r>
              <w:rPr>
                <w:sz w:val="20"/>
              </w:rPr>
              <w:t>events</w:t>
            </w:r>
            <w:r>
              <w:rPr>
                <w:spacing w:val="-5"/>
                <w:sz w:val="20"/>
              </w:rPr>
              <w:t xml:space="preserve"> </w:t>
            </w:r>
            <w:r>
              <w:rPr>
                <w:sz w:val="20"/>
              </w:rPr>
              <w:t>in</w:t>
            </w:r>
            <w:r>
              <w:rPr>
                <w:spacing w:val="-5"/>
                <w:sz w:val="20"/>
              </w:rPr>
              <w:t xml:space="preserve"> </w:t>
            </w:r>
            <w:r>
              <w:rPr>
                <w:sz w:val="20"/>
              </w:rPr>
              <w:t>intervention</w:t>
            </w:r>
            <w:r>
              <w:rPr>
                <w:spacing w:val="-6"/>
                <w:sz w:val="20"/>
              </w:rPr>
              <w:t xml:space="preserve"> </w:t>
            </w:r>
            <w:r>
              <w:rPr>
                <w:sz w:val="20"/>
              </w:rPr>
              <w:t>group</w:t>
            </w:r>
            <w:r>
              <w:rPr>
                <w:spacing w:val="-6"/>
                <w:sz w:val="20"/>
              </w:rPr>
              <w:t xml:space="preserve"> </w:t>
            </w:r>
            <w:r>
              <w:rPr>
                <w:sz w:val="20"/>
              </w:rPr>
              <w:t>and</w:t>
            </w:r>
            <w:r>
              <w:rPr>
                <w:spacing w:val="-6"/>
                <w:sz w:val="20"/>
              </w:rPr>
              <w:t xml:space="preserve"> </w:t>
            </w:r>
            <w:r>
              <w:rPr>
                <w:sz w:val="20"/>
              </w:rPr>
              <w:t>5.3</w:t>
            </w:r>
            <w:r>
              <w:rPr>
                <w:spacing w:val="-6"/>
                <w:sz w:val="20"/>
              </w:rPr>
              <w:t xml:space="preserve"> </w:t>
            </w:r>
            <w:r>
              <w:rPr>
                <w:sz w:val="20"/>
              </w:rPr>
              <w:t>in control group</w:t>
            </w:r>
          </w:p>
          <w:p w14:paraId="7A4C3240" w14:textId="77777777" w:rsidR="00E13D3F" w:rsidRDefault="00FB2D6A" w:rsidP="00990D2B">
            <w:pPr>
              <w:pStyle w:val="TableParagraph"/>
              <w:numPr>
                <w:ilvl w:val="0"/>
                <w:numId w:val="20"/>
              </w:numPr>
              <w:tabs>
                <w:tab w:val="left" w:pos="468"/>
              </w:tabs>
              <w:rPr>
                <w:sz w:val="20"/>
              </w:rPr>
            </w:pPr>
            <w:r>
              <w:rPr>
                <w:sz w:val="20"/>
              </w:rPr>
              <w:t>Hazard</w:t>
            </w:r>
            <w:r>
              <w:rPr>
                <w:spacing w:val="-4"/>
                <w:sz w:val="20"/>
              </w:rPr>
              <w:t xml:space="preserve"> </w:t>
            </w:r>
            <w:r>
              <w:rPr>
                <w:sz w:val="20"/>
              </w:rPr>
              <w:t>ratio</w:t>
            </w:r>
            <w:r>
              <w:rPr>
                <w:spacing w:val="-4"/>
                <w:sz w:val="20"/>
              </w:rPr>
              <w:t xml:space="preserve"> </w:t>
            </w:r>
            <w:r>
              <w:rPr>
                <w:sz w:val="20"/>
              </w:rPr>
              <w:t>0.92;</w:t>
            </w:r>
            <w:r>
              <w:rPr>
                <w:spacing w:val="-6"/>
                <w:sz w:val="20"/>
              </w:rPr>
              <w:t xml:space="preserve"> </w:t>
            </w:r>
            <w:r>
              <w:rPr>
                <w:sz w:val="20"/>
              </w:rPr>
              <w:t>95%CI</w:t>
            </w:r>
            <w:r>
              <w:rPr>
                <w:spacing w:val="-5"/>
                <w:sz w:val="20"/>
              </w:rPr>
              <w:t xml:space="preserve"> </w:t>
            </w:r>
            <w:r>
              <w:rPr>
                <w:sz w:val="20"/>
              </w:rPr>
              <w:t>0.80</w:t>
            </w:r>
            <w:r>
              <w:rPr>
                <w:spacing w:val="-2"/>
                <w:sz w:val="20"/>
              </w:rPr>
              <w:t xml:space="preserve"> </w:t>
            </w:r>
            <w:r>
              <w:rPr>
                <w:sz w:val="20"/>
              </w:rPr>
              <w:t>to</w:t>
            </w:r>
            <w:r>
              <w:rPr>
                <w:spacing w:val="-4"/>
                <w:sz w:val="20"/>
              </w:rPr>
              <w:t xml:space="preserve"> 1.06</w:t>
            </w:r>
          </w:p>
        </w:tc>
        <w:tc>
          <w:tcPr>
            <w:tcW w:w="2554" w:type="dxa"/>
            <w:vMerge w:val="restart"/>
            <w:shd w:val="clear" w:color="auto" w:fill="F1F1F1"/>
          </w:tcPr>
          <w:p w14:paraId="7A4C3241" w14:textId="77777777" w:rsidR="00E13D3F" w:rsidRDefault="00FB2D6A">
            <w:pPr>
              <w:pStyle w:val="TableParagraph"/>
              <w:spacing w:before="1"/>
              <w:ind w:left="108" w:right="273" w:firstLine="45"/>
              <w:rPr>
                <w:sz w:val="20"/>
              </w:rPr>
            </w:pPr>
            <w:r>
              <w:rPr>
                <w:sz w:val="20"/>
              </w:rPr>
              <w:t>A nurse-driven multifactorial</w:t>
            </w:r>
            <w:r>
              <w:rPr>
                <w:spacing w:val="-12"/>
                <w:sz w:val="20"/>
              </w:rPr>
              <w:t xml:space="preserve"> </w:t>
            </w:r>
            <w:r>
              <w:rPr>
                <w:sz w:val="20"/>
              </w:rPr>
              <w:t xml:space="preserve">intervention that incorporated risk assessment and </w:t>
            </w:r>
            <w:proofErr w:type="spellStart"/>
            <w:r>
              <w:rPr>
                <w:sz w:val="20"/>
              </w:rPr>
              <w:t>individualised</w:t>
            </w:r>
            <w:proofErr w:type="spellEnd"/>
            <w:r>
              <w:rPr>
                <w:sz w:val="20"/>
              </w:rPr>
              <w:t xml:space="preserve"> plans in primary</w:t>
            </w:r>
            <w:r>
              <w:rPr>
                <w:spacing w:val="-11"/>
                <w:sz w:val="20"/>
              </w:rPr>
              <w:t xml:space="preserve"> </w:t>
            </w:r>
            <w:r>
              <w:rPr>
                <w:sz w:val="20"/>
              </w:rPr>
              <w:t>care</w:t>
            </w:r>
            <w:r>
              <w:rPr>
                <w:spacing w:val="-11"/>
                <w:sz w:val="20"/>
              </w:rPr>
              <w:t xml:space="preserve"> </w:t>
            </w:r>
            <w:r>
              <w:rPr>
                <w:sz w:val="20"/>
              </w:rPr>
              <w:t>did</w:t>
            </w:r>
            <w:r>
              <w:rPr>
                <w:spacing w:val="-11"/>
                <w:sz w:val="20"/>
              </w:rPr>
              <w:t xml:space="preserve"> </w:t>
            </w:r>
            <w:r>
              <w:rPr>
                <w:sz w:val="20"/>
              </w:rPr>
              <w:t>not</w:t>
            </w:r>
            <w:r>
              <w:rPr>
                <w:spacing w:val="-11"/>
                <w:sz w:val="20"/>
              </w:rPr>
              <w:t xml:space="preserve"> </w:t>
            </w:r>
            <w:r>
              <w:rPr>
                <w:sz w:val="20"/>
              </w:rPr>
              <w:t>lower rates of falls or fractures over 44 months</w:t>
            </w:r>
          </w:p>
        </w:tc>
      </w:tr>
      <w:tr w:rsidR="00E13D3F" w14:paraId="7A4C3248" w14:textId="77777777">
        <w:trPr>
          <w:trHeight w:val="753"/>
        </w:trPr>
        <w:tc>
          <w:tcPr>
            <w:tcW w:w="1553" w:type="dxa"/>
            <w:vMerge/>
            <w:tcBorders>
              <w:top w:val="nil"/>
            </w:tcBorders>
            <w:shd w:val="clear" w:color="auto" w:fill="F1F1F1"/>
          </w:tcPr>
          <w:p w14:paraId="7A4C3243" w14:textId="77777777" w:rsidR="00E13D3F" w:rsidRDefault="00E13D3F">
            <w:pPr>
              <w:rPr>
                <w:sz w:val="2"/>
                <w:szCs w:val="2"/>
              </w:rPr>
            </w:pPr>
          </w:p>
        </w:tc>
        <w:tc>
          <w:tcPr>
            <w:tcW w:w="1438" w:type="dxa"/>
          </w:tcPr>
          <w:p w14:paraId="7A4C3244" w14:textId="77777777" w:rsidR="00E13D3F" w:rsidRDefault="00FB2D6A">
            <w:pPr>
              <w:pStyle w:val="TableParagraph"/>
              <w:ind w:left="108" w:right="420"/>
              <w:jc w:val="both"/>
              <w:rPr>
                <w:b/>
                <w:sz w:val="20"/>
              </w:rPr>
            </w:pPr>
            <w:r>
              <w:rPr>
                <w:b/>
                <w:sz w:val="20"/>
              </w:rPr>
              <w:t>Rate of all serious</w:t>
            </w:r>
            <w:r>
              <w:rPr>
                <w:b/>
                <w:spacing w:val="-12"/>
                <w:sz w:val="20"/>
              </w:rPr>
              <w:t xml:space="preserve"> </w:t>
            </w:r>
            <w:r>
              <w:rPr>
                <w:b/>
                <w:sz w:val="20"/>
              </w:rPr>
              <w:t xml:space="preserve">fall </w:t>
            </w:r>
            <w:r>
              <w:rPr>
                <w:b/>
                <w:spacing w:val="-2"/>
                <w:sz w:val="20"/>
              </w:rPr>
              <w:t>injury</w:t>
            </w:r>
          </w:p>
        </w:tc>
        <w:tc>
          <w:tcPr>
            <w:tcW w:w="4383" w:type="dxa"/>
          </w:tcPr>
          <w:p w14:paraId="7A4C3245" w14:textId="77777777" w:rsidR="00E13D3F" w:rsidRDefault="00FB2D6A" w:rsidP="00990D2B">
            <w:pPr>
              <w:pStyle w:val="TableParagraph"/>
              <w:numPr>
                <w:ilvl w:val="0"/>
                <w:numId w:val="19"/>
              </w:numPr>
              <w:tabs>
                <w:tab w:val="left" w:pos="468"/>
              </w:tabs>
              <w:ind w:right="407"/>
              <w:rPr>
                <w:sz w:val="20"/>
              </w:rPr>
            </w:pPr>
            <w:r>
              <w:rPr>
                <w:sz w:val="20"/>
              </w:rPr>
              <w:t>5.2</w:t>
            </w:r>
            <w:r>
              <w:rPr>
                <w:spacing w:val="-7"/>
                <w:sz w:val="20"/>
              </w:rPr>
              <w:t xml:space="preserve"> </w:t>
            </w:r>
            <w:r>
              <w:rPr>
                <w:sz w:val="20"/>
              </w:rPr>
              <w:t>in</w:t>
            </w:r>
            <w:r>
              <w:rPr>
                <w:spacing w:val="-6"/>
                <w:sz w:val="20"/>
              </w:rPr>
              <w:t xml:space="preserve"> </w:t>
            </w:r>
            <w:r>
              <w:rPr>
                <w:sz w:val="20"/>
              </w:rPr>
              <w:t>intervention</w:t>
            </w:r>
            <w:r>
              <w:rPr>
                <w:spacing w:val="-6"/>
                <w:sz w:val="20"/>
              </w:rPr>
              <w:t xml:space="preserve"> </w:t>
            </w:r>
            <w:r>
              <w:rPr>
                <w:sz w:val="20"/>
              </w:rPr>
              <w:t>group</w:t>
            </w:r>
            <w:r>
              <w:rPr>
                <w:spacing w:val="-6"/>
                <w:sz w:val="20"/>
              </w:rPr>
              <w:t xml:space="preserve"> </w:t>
            </w:r>
            <w:r>
              <w:rPr>
                <w:sz w:val="20"/>
              </w:rPr>
              <w:t>and</w:t>
            </w:r>
            <w:r>
              <w:rPr>
                <w:spacing w:val="-8"/>
                <w:sz w:val="20"/>
              </w:rPr>
              <w:t xml:space="preserve"> </w:t>
            </w:r>
            <w:r>
              <w:rPr>
                <w:sz w:val="20"/>
              </w:rPr>
              <w:t>5.6</w:t>
            </w:r>
            <w:r>
              <w:rPr>
                <w:spacing w:val="-7"/>
                <w:sz w:val="20"/>
              </w:rPr>
              <w:t xml:space="preserve"> </w:t>
            </w:r>
            <w:r>
              <w:rPr>
                <w:sz w:val="20"/>
              </w:rPr>
              <w:t>in</w:t>
            </w:r>
            <w:r>
              <w:rPr>
                <w:spacing w:val="-6"/>
                <w:sz w:val="20"/>
              </w:rPr>
              <w:t xml:space="preserve"> </w:t>
            </w:r>
            <w:r>
              <w:rPr>
                <w:sz w:val="20"/>
              </w:rPr>
              <w:t xml:space="preserve">control </w:t>
            </w:r>
            <w:r>
              <w:rPr>
                <w:spacing w:val="-2"/>
                <w:sz w:val="20"/>
              </w:rPr>
              <w:t>group</w:t>
            </w:r>
          </w:p>
          <w:p w14:paraId="7A4C3246" w14:textId="77777777" w:rsidR="00E13D3F" w:rsidRDefault="00FB2D6A" w:rsidP="00990D2B">
            <w:pPr>
              <w:pStyle w:val="TableParagraph"/>
              <w:numPr>
                <w:ilvl w:val="0"/>
                <w:numId w:val="19"/>
              </w:numPr>
              <w:tabs>
                <w:tab w:val="left" w:pos="468"/>
              </w:tabs>
              <w:spacing w:line="234" w:lineRule="exact"/>
              <w:rPr>
                <w:sz w:val="20"/>
              </w:rPr>
            </w:pPr>
            <w:r>
              <w:rPr>
                <w:sz w:val="20"/>
              </w:rPr>
              <w:t>Hazard</w:t>
            </w:r>
            <w:r>
              <w:rPr>
                <w:spacing w:val="-4"/>
                <w:sz w:val="20"/>
              </w:rPr>
              <w:t xml:space="preserve"> </w:t>
            </w:r>
            <w:r>
              <w:rPr>
                <w:sz w:val="20"/>
              </w:rPr>
              <w:t>ratio</w:t>
            </w:r>
            <w:r>
              <w:rPr>
                <w:spacing w:val="-5"/>
                <w:sz w:val="20"/>
              </w:rPr>
              <w:t xml:space="preserve"> </w:t>
            </w:r>
            <w:r>
              <w:rPr>
                <w:sz w:val="20"/>
              </w:rPr>
              <w:t>0.94,</w:t>
            </w:r>
            <w:r>
              <w:rPr>
                <w:spacing w:val="-4"/>
                <w:sz w:val="20"/>
              </w:rPr>
              <w:t xml:space="preserve"> </w:t>
            </w:r>
            <w:r>
              <w:rPr>
                <w:sz w:val="20"/>
              </w:rPr>
              <w:t>95%CI</w:t>
            </w:r>
            <w:r>
              <w:rPr>
                <w:spacing w:val="-4"/>
                <w:sz w:val="20"/>
              </w:rPr>
              <w:t xml:space="preserve"> </w:t>
            </w:r>
            <w:r>
              <w:rPr>
                <w:sz w:val="20"/>
              </w:rPr>
              <w:t>0.81</w:t>
            </w:r>
            <w:r>
              <w:rPr>
                <w:spacing w:val="-5"/>
                <w:sz w:val="20"/>
              </w:rPr>
              <w:t xml:space="preserve"> </w:t>
            </w:r>
            <w:r>
              <w:rPr>
                <w:sz w:val="20"/>
              </w:rPr>
              <w:t>to</w:t>
            </w:r>
            <w:r>
              <w:rPr>
                <w:spacing w:val="-4"/>
                <w:sz w:val="20"/>
              </w:rPr>
              <w:t xml:space="preserve"> 1.10</w:t>
            </w:r>
          </w:p>
        </w:tc>
        <w:tc>
          <w:tcPr>
            <w:tcW w:w="2554" w:type="dxa"/>
            <w:vMerge/>
            <w:tcBorders>
              <w:top w:val="nil"/>
            </w:tcBorders>
            <w:shd w:val="clear" w:color="auto" w:fill="F1F1F1"/>
          </w:tcPr>
          <w:p w14:paraId="7A4C3247" w14:textId="77777777" w:rsidR="00E13D3F" w:rsidRDefault="00E13D3F">
            <w:pPr>
              <w:rPr>
                <w:sz w:val="2"/>
                <w:szCs w:val="2"/>
              </w:rPr>
            </w:pPr>
          </w:p>
        </w:tc>
      </w:tr>
      <w:tr w:rsidR="00E13D3F" w14:paraId="7A4C324E" w14:textId="77777777">
        <w:trPr>
          <w:trHeight w:val="753"/>
        </w:trPr>
        <w:tc>
          <w:tcPr>
            <w:tcW w:w="1553" w:type="dxa"/>
            <w:vMerge/>
            <w:tcBorders>
              <w:top w:val="nil"/>
            </w:tcBorders>
            <w:shd w:val="clear" w:color="auto" w:fill="F1F1F1"/>
          </w:tcPr>
          <w:p w14:paraId="7A4C3249" w14:textId="77777777" w:rsidR="00E13D3F" w:rsidRDefault="00E13D3F">
            <w:pPr>
              <w:rPr>
                <w:sz w:val="2"/>
                <w:szCs w:val="2"/>
              </w:rPr>
            </w:pPr>
          </w:p>
        </w:tc>
        <w:tc>
          <w:tcPr>
            <w:tcW w:w="1438" w:type="dxa"/>
            <w:shd w:val="clear" w:color="auto" w:fill="F1F1F1"/>
          </w:tcPr>
          <w:p w14:paraId="7A4C324A" w14:textId="77777777" w:rsidR="00E13D3F" w:rsidRDefault="00FB2D6A">
            <w:pPr>
              <w:pStyle w:val="TableParagraph"/>
              <w:spacing w:before="1"/>
              <w:ind w:left="108"/>
              <w:rPr>
                <w:b/>
                <w:sz w:val="20"/>
              </w:rPr>
            </w:pPr>
            <w:r>
              <w:rPr>
                <w:b/>
                <w:sz w:val="20"/>
              </w:rPr>
              <w:t>Rate</w:t>
            </w:r>
            <w:r>
              <w:rPr>
                <w:b/>
                <w:spacing w:val="-12"/>
                <w:sz w:val="20"/>
              </w:rPr>
              <w:t xml:space="preserve"> </w:t>
            </w:r>
            <w:r>
              <w:rPr>
                <w:b/>
                <w:sz w:val="20"/>
              </w:rPr>
              <w:t>of</w:t>
            </w:r>
            <w:r>
              <w:rPr>
                <w:b/>
                <w:spacing w:val="-11"/>
                <w:sz w:val="20"/>
              </w:rPr>
              <w:t xml:space="preserve"> </w:t>
            </w:r>
            <w:r>
              <w:rPr>
                <w:b/>
                <w:sz w:val="20"/>
              </w:rPr>
              <w:t>all</w:t>
            </w:r>
            <w:r>
              <w:rPr>
                <w:b/>
                <w:spacing w:val="-11"/>
                <w:sz w:val="20"/>
              </w:rPr>
              <w:t xml:space="preserve"> </w:t>
            </w:r>
            <w:r>
              <w:rPr>
                <w:b/>
                <w:sz w:val="20"/>
              </w:rPr>
              <w:t xml:space="preserve">fall </w:t>
            </w:r>
            <w:r>
              <w:rPr>
                <w:b/>
                <w:spacing w:val="-2"/>
                <w:sz w:val="20"/>
              </w:rPr>
              <w:t>injury</w:t>
            </w:r>
          </w:p>
        </w:tc>
        <w:tc>
          <w:tcPr>
            <w:tcW w:w="4383" w:type="dxa"/>
            <w:shd w:val="clear" w:color="auto" w:fill="F1F1F1"/>
          </w:tcPr>
          <w:p w14:paraId="7A4C324B" w14:textId="77777777" w:rsidR="00E13D3F" w:rsidRDefault="00FB2D6A" w:rsidP="00990D2B">
            <w:pPr>
              <w:pStyle w:val="TableParagraph"/>
              <w:numPr>
                <w:ilvl w:val="0"/>
                <w:numId w:val="18"/>
              </w:numPr>
              <w:tabs>
                <w:tab w:val="left" w:pos="468"/>
              </w:tabs>
              <w:ind w:right="204"/>
              <w:rPr>
                <w:sz w:val="20"/>
              </w:rPr>
            </w:pPr>
            <w:r>
              <w:rPr>
                <w:sz w:val="20"/>
              </w:rPr>
              <w:t>35.8</w:t>
            </w:r>
            <w:r>
              <w:rPr>
                <w:spacing w:val="-7"/>
                <w:sz w:val="20"/>
              </w:rPr>
              <w:t xml:space="preserve"> </w:t>
            </w:r>
            <w:r>
              <w:rPr>
                <w:sz w:val="20"/>
              </w:rPr>
              <w:t>in</w:t>
            </w:r>
            <w:r>
              <w:rPr>
                <w:spacing w:val="-6"/>
                <w:sz w:val="20"/>
              </w:rPr>
              <w:t xml:space="preserve"> </w:t>
            </w:r>
            <w:r>
              <w:rPr>
                <w:sz w:val="20"/>
              </w:rPr>
              <w:t>intervention</w:t>
            </w:r>
            <w:r>
              <w:rPr>
                <w:spacing w:val="-6"/>
                <w:sz w:val="20"/>
              </w:rPr>
              <w:t xml:space="preserve"> </w:t>
            </w:r>
            <w:r>
              <w:rPr>
                <w:sz w:val="20"/>
              </w:rPr>
              <w:t>group</w:t>
            </w:r>
            <w:r>
              <w:rPr>
                <w:spacing w:val="-6"/>
                <w:sz w:val="20"/>
              </w:rPr>
              <w:t xml:space="preserve"> </w:t>
            </w:r>
            <w:r>
              <w:rPr>
                <w:sz w:val="20"/>
              </w:rPr>
              <w:t>and</w:t>
            </w:r>
            <w:r>
              <w:rPr>
                <w:spacing w:val="-6"/>
                <w:sz w:val="20"/>
              </w:rPr>
              <w:t xml:space="preserve"> </w:t>
            </w:r>
            <w:r>
              <w:rPr>
                <w:sz w:val="20"/>
              </w:rPr>
              <w:t>38.0</w:t>
            </w:r>
            <w:r>
              <w:rPr>
                <w:spacing w:val="-6"/>
                <w:sz w:val="20"/>
              </w:rPr>
              <w:t xml:space="preserve"> </w:t>
            </w:r>
            <w:r>
              <w:rPr>
                <w:sz w:val="20"/>
              </w:rPr>
              <w:t>in</w:t>
            </w:r>
            <w:r>
              <w:rPr>
                <w:spacing w:val="-6"/>
                <w:sz w:val="20"/>
              </w:rPr>
              <w:t xml:space="preserve"> </w:t>
            </w:r>
            <w:r>
              <w:rPr>
                <w:sz w:val="20"/>
              </w:rPr>
              <w:t xml:space="preserve">control </w:t>
            </w:r>
            <w:r>
              <w:rPr>
                <w:spacing w:val="-2"/>
                <w:sz w:val="20"/>
              </w:rPr>
              <w:t>group</w:t>
            </w:r>
          </w:p>
          <w:p w14:paraId="7A4C324C" w14:textId="77777777" w:rsidR="00E13D3F" w:rsidRDefault="00FB2D6A" w:rsidP="00990D2B">
            <w:pPr>
              <w:pStyle w:val="TableParagraph"/>
              <w:numPr>
                <w:ilvl w:val="0"/>
                <w:numId w:val="18"/>
              </w:numPr>
              <w:tabs>
                <w:tab w:val="left" w:pos="468"/>
              </w:tabs>
              <w:spacing w:line="234" w:lineRule="exact"/>
              <w:rPr>
                <w:sz w:val="20"/>
              </w:rPr>
            </w:pPr>
            <w:r>
              <w:rPr>
                <w:sz w:val="20"/>
              </w:rPr>
              <w:t>Hazard</w:t>
            </w:r>
            <w:r>
              <w:rPr>
                <w:spacing w:val="-4"/>
                <w:sz w:val="20"/>
              </w:rPr>
              <w:t xml:space="preserve"> </w:t>
            </w:r>
            <w:r>
              <w:rPr>
                <w:sz w:val="20"/>
              </w:rPr>
              <w:t>ratio</w:t>
            </w:r>
            <w:r>
              <w:rPr>
                <w:spacing w:val="-4"/>
                <w:sz w:val="20"/>
              </w:rPr>
              <w:t xml:space="preserve"> </w:t>
            </w:r>
            <w:r>
              <w:rPr>
                <w:sz w:val="20"/>
              </w:rPr>
              <w:t>0.96,</w:t>
            </w:r>
            <w:r>
              <w:rPr>
                <w:spacing w:val="-4"/>
                <w:sz w:val="20"/>
              </w:rPr>
              <w:t xml:space="preserve"> </w:t>
            </w:r>
            <w:r>
              <w:rPr>
                <w:sz w:val="20"/>
              </w:rPr>
              <w:t>95%CI</w:t>
            </w:r>
            <w:r>
              <w:rPr>
                <w:spacing w:val="-5"/>
                <w:sz w:val="20"/>
              </w:rPr>
              <w:t xml:space="preserve"> </w:t>
            </w:r>
            <w:r>
              <w:rPr>
                <w:sz w:val="20"/>
              </w:rPr>
              <w:t>0.89</w:t>
            </w:r>
            <w:r>
              <w:rPr>
                <w:spacing w:val="-5"/>
                <w:sz w:val="20"/>
              </w:rPr>
              <w:t xml:space="preserve"> </w:t>
            </w:r>
            <w:r>
              <w:rPr>
                <w:sz w:val="20"/>
              </w:rPr>
              <w:t>to</w:t>
            </w:r>
            <w:r>
              <w:rPr>
                <w:spacing w:val="-2"/>
                <w:sz w:val="20"/>
              </w:rPr>
              <w:t xml:space="preserve"> </w:t>
            </w:r>
            <w:r>
              <w:rPr>
                <w:spacing w:val="-4"/>
                <w:sz w:val="20"/>
              </w:rPr>
              <w:t>1.03</w:t>
            </w:r>
          </w:p>
        </w:tc>
        <w:tc>
          <w:tcPr>
            <w:tcW w:w="2554" w:type="dxa"/>
            <w:vMerge/>
            <w:tcBorders>
              <w:top w:val="nil"/>
            </w:tcBorders>
            <w:shd w:val="clear" w:color="auto" w:fill="F1F1F1"/>
          </w:tcPr>
          <w:p w14:paraId="7A4C324D" w14:textId="77777777" w:rsidR="00E13D3F" w:rsidRDefault="00E13D3F">
            <w:pPr>
              <w:rPr>
                <w:sz w:val="2"/>
                <w:szCs w:val="2"/>
              </w:rPr>
            </w:pPr>
          </w:p>
        </w:tc>
      </w:tr>
      <w:tr w:rsidR="00E13D3F" w14:paraId="7A4C3253" w14:textId="77777777">
        <w:trPr>
          <w:trHeight w:val="734"/>
        </w:trPr>
        <w:tc>
          <w:tcPr>
            <w:tcW w:w="1553" w:type="dxa"/>
            <w:vMerge/>
            <w:tcBorders>
              <w:top w:val="nil"/>
            </w:tcBorders>
            <w:shd w:val="clear" w:color="auto" w:fill="F1F1F1"/>
          </w:tcPr>
          <w:p w14:paraId="7A4C324F" w14:textId="77777777" w:rsidR="00E13D3F" w:rsidRDefault="00E13D3F">
            <w:pPr>
              <w:rPr>
                <w:sz w:val="2"/>
                <w:szCs w:val="2"/>
              </w:rPr>
            </w:pPr>
          </w:p>
        </w:tc>
        <w:tc>
          <w:tcPr>
            <w:tcW w:w="1438" w:type="dxa"/>
          </w:tcPr>
          <w:p w14:paraId="7A4C3250" w14:textId="77777777" w:rsidR="00E13D3F" w:rsidRDefault="00FB2D6A">
            <w:pPr>
              <w:pStyle w:val="TableParagraph"/>
              <w:spacing w:line="240" w:lineRule="atLeast"/>
              <w:ind w:left="108" w:right="375"/>
              <w:jc w:val="both"/>
              <w:rPr>
                <w:b/>
                <w:sz w:val="20"/>
              </w:rPr>
            </w:pPr>
            <w:r>
              <w:rPr>
                <w:b/>
                <w:sz w:val="20"/>
              </w:rPr>
              <w:t>Rate</w:t>
            </w:r>
            <w:r>
              <w:rPr>
                <w:b/>
                <w:spacing w:val="-12"/>
                <w:sz w:val="20"/>
              </w:rPr>
              <w:t xml:space="preserve"> </w:t>
            </w:r>
            <w:r>
              <w:rPr>
                <w:b/>
                <w:sz w:val="20"/>
              </w:rPr>
              <w:t>of</w:t>
            </w:r>
            <w:r>
              <w:rPr>
                <w:b/>
                <w:spacing w:val="-11"/>
                <w:sz w:val="20"/>
              </w:rPr>
              <w:t xml:space="preserve"> </w:t>
            </w:r>
            <w:r>
              <w:rPr>
                <w:b/>
                <w:sz w:val="20"/>
              </w:rPr>
              <w:t xml:space="preserve">any </w:t>
            </w:r>
            <w:r>
              <w:rPr>
                <w:b/>
                <w:spacing w:val="-2"/>
                <w:sz w:val="20"/>
              </w:rPr>
              <w:t>fall-related fracture</w:t>
            </w:r>
          </w:p>
        </w:tc>
        <w:tc>
          <w:tcPr>
            <w:tcW w:w="4383" w:type="dxa"/>
          </w:tcPr>
          <w:p w14:paraId="7A4C3251" w14:textId="77777777" w:rsidR="00E13D3F" w:rsidRDefault="00FB2D6A" w:rsidP="00990D2B">
            <w:pPr>
              <w:pStyle w:val="TableParagraph"/>
              <w:numPr>
                <w:ilvl w:val="0"/>
                <w:numId w:val="17"/>
              </w:numPr>
              <w:tabs>
                <w:tab w:val="left" w:pos="468"/>
              </w:tabs>
              <w:ind w:right="330"/>
              <w:rPr>
                <w:sz w:val="20"/>
              </w:rPr>
            </w:pPr>
            <w:r>
              <w:rPr>
                <w:sz w:val="20"/>
              </w:rPr>
              <w:t>6.9%</w:t>
            </w:r>
            <w:r>
              <w:rPr>
                <w:spacing w:val="-8"/>
                <w:sz w:val="20"/>
              </w:rPr>
              <w:t xml:space="preserve"> </w:t>
            </w:r>
            <w:r>
              <w:rPr>
                <w:sz w:val="20"/>
              </w:rPr>
              <w:t>in</w:t>
            </w:r>
            <w:r>
              <w:rPr>
                <w:spacing w:val="-6"/>
                <w:sz w:val="20"/>
              </w:rPr>
              <w:t xml:space="preserve"> </w:t>
            </w:r>
            <w:r>
              <w:rPr>
                <w:sz w:val="20"/>
              </w:rPr>
              <w:t>the</w:t>
            </w:r>
            <w:r>
              <w:rPr>
                <w:spacing w:val="-7"/>
                <w:sz w:val="20"/>
              </w:rPr>
              <w:t xml:space="preserve"> </w:t>
            </w:r>
            <w:r>
              <w:rPr>
                <w:sz w:val="20"/>
              </w:rPr>
              <w:t>intervention</w:t>
            </w:r>
            <w:r>
              <w:rPr>
                <w:spacing w:val="-6"/>
                <w:sz w:val="20"/>
              </w:rPr>
              <w:t xml:space="preserve"> </w:t>
            </w:r>
            <w:r>
              <w:rPr>
                <w:sz w:val="20"/>
              </w:rPr>
              <w:t>and</w:t>
            </w:r>
            <w:r>
              <w:rPr>
                <w:spacing w:val="-6"/>
                <w:sz w:val="20"/>
              </w:rPr>
              <w:t xml:space="preserve"> </w:t>
            </w:r>
            <w:r>
              <w:rPr>
                <w:sz w:val="20"/>
              </w:rPr>
              <w:t>7.7%</w:t>
            </w:r>
            <w:r>
              <w:rPr>
                <w:spacing w:val="-7"/>
                <w:sz w:val="20"/>
              </w:rPr>
              <w:t xml:space="preserve"> </w:t>
            </w:r>
            <w:r>
              <w:rPr>
                <w:sz w:val="20"/>
              </w:rPr>
              <w:t>in</w:t>
            </w:r>
            <w:r>
              <w:rPr>
                <w:spacing w:val="-6"/>
                <w:sz w:val="20"/>
              </w:rPr>
              <w:t xml:space="preserve"> </w:t>
            </w:r>
            <w:r>
              <w:rPr>
                <w:sz w:val="20"/>
              </w:rPr>
              <w:t>control group (significance NR)</w:t>
            </w:r>
          </w:p>
        </w:tc>
        <w:tc>
          <w:tcPr>
            <w:tcW w:w="2554" w:type="dxa"/>
            <w:vMerge/>
            <w:tcBorders>
              <w:top w:val="nil"/>
            </w:tcBorders>
            <w:shd w:val="clear" w:color="auto" w:fill="F1F1F1"/>
          </w:tcPr>
          <w:p w14:paraId="7A4C3252" w14:textId="77777777" w:rsidR="00E13D3F" w:rsidRDefault="00E13D3F">
            <w:pPr>
              <w:rPr>
                <w:sz w:val="2"/>
                <w:szCs w:val="2"/>
              </w:rPr>
            </w:pPr>
          </w:p>
        </w:tc>
      </w:tr>
    </w:tbl>
    <w:p w14:paraId="7A4C3254" w14:textId="77777777" w:rsidR="00E13D3F" w:rsidRDefault="00FB2D6A">
      <w:pPr>
        <w:tabs>
          <w:tab w:val="left" w:pos="6481"/>
        </w:tabs>
        <w:spacing w:before="4"/>
        <w:ind w:left="1440"/>
        <w:rPr>
          <w:i/>
          <w:sz w:val="20"/>
        </w:rPr>
      </w:pPr>
      <w:r>
        <w:rPr>
          <w:b/>
          <w:sz w:val="20"/>
        </w:rPr>
        <w:t>*</w:t>
      </w:r>
      <w:r>
        <w:rPr>
          <w:b/>
          <w:spacing w:val="-8"/>
          <w:sz w:val="20"/>
        </w:rPr>
        <w:t xml:space="preserve"> </w:t>
      </w:r>
      <w:r>
        <w:rPr>
          <w:b/>
          <w:i/>
          <w:sz w:val="20"/>
        </w:rPr>
        <w:t>Bolded</w:t>
      </w:r>
      <w:r>
        <w:rPr>
          <w:b/>
          <w:i/>
          <w:spacing w:val="-7"/>
          <w:sz w:val="20"/>
        </w:rPr>
        <w:t xml:space="preserve"> </w:t>
      </w:r>
      <w:r>
        <w:rPr>
          <w:b/>
          <w:i/>
          <w:sz w:val="20"/>
        </w:rPr>
        <w:t>numbers</w:t>
      </w:r>
      <w:r>
        <w:rPr>
          <w:b/>
          <w:i/>
          <w:spacing w:val="-5"/>
          <w:sz w:val="20"/>
        </w:rPr>
        <w:t xml:space="preserve"> </w:t>
      </w:r>
      <w:r>
        <w:rPr>
          <w:i/>
          <w:sz w:val="20"/>
        </w:rPr>
        <w:t>indicate</w:t>
      </w:r>
      <w:r>
        <w:rPr>
          <w:i/>
          <w:spacing w:val="-7"/>
          <w:sz w:val="20"/>
        </w:rPr>
        <w:t xml:space="preserve"> </w:t>
      </w:r>
      <w:r>
        <w:rPr>
          <w:i/>
          <w:sz w:val="20"/>
        </w:rPr>
        <w:t>statistical</w:t>
      </w:r>
      <w:r>
        <w:rPr>
          <w:i/>
          <w:spacing w:val="-8"/>
          <w:sz w:val="20"/>
        </w:rPr>
        <w:t xml:space="preserve"> </w:t>
      </w:r>
      <w:r>
        <w:rPr>
          <w:i/>
          <w:spacing w:val="-2"/>
          <w:sz w:val="20"/>
        </w:rPr>
        <w:t>significance</w:t>
      </w:r>
      <w:r>
        <w:rPr>
          <w:i/>
          <w:sz w:val="20"/>
        </w:rPr>
        <w:tab/>
        <w:t>brisk=basic</w:t>
      </w:r>
      <w:r>
        <w:rPr>
          <w:i/>
          <w:spacing w:val="-10"/>
          <w:sz w:val="20"/>
        </w:rPr>
        <w:t xml:space="preserve"> </w:t>
      </w:r>
      <w:r>
        <w:rPr>
          <w:i/>
          <w:sz w:val="20"/>
        </w:rPr>
        <w:t>falls</w:t>
      </w:r>
      <w:r>
        <w:rPr>
          <w:i/>
          <w:spacing w:val="-9"/>
          <w:sz w:val="20"/>
        </w:rPr>
        <w:t xml:space="preserve"> </w:t>
      </w:r>
      <w:r>
        <w:rPr>
          <w:i/>
          <w:sz w:val="20"/>
        </w:rPr>
        <w:t>risk</w:t>
      </w:r>
      <w:r>
        <w:rPr>
          <w:i/>
          <w:spacing w:val="-10"/>
          <w:sz w:val="20"/>
        </w:rPr>
        <w:t xml:space="preserve"> </w:t>
      </w:r>
      <w:r>
        <w:rPr>
          <w:i/>
          <w:spacing w:val="-2"/>
          <w:sz w:val="20"/>
        </w:rPr>
        <w:t>assessment</w:t>
      </w:r>
    </w:p>
    <w:p w14:paraId="7A4C3255" w14:textId="77777777" w:rsidR="00E13D3F" w:rsidRDefault="00FB2D6A">
      <w:pPr>
        <w:ind w:left="3884" w:right="1471"/>
        <w:jc w:val="center"/>
        <w:rPr>
          <w:i/>
          <w:sz w:val="20"/>
        </w:rPr>
      </w:pPr>
      <w:r>
        <w:rPr>
          <w:i/>
          <w:sz w:val="20"/>
        </w:rPr>
        <w:t>NR=not</w:t>
      </w:r>
      <w:r>
        <w:rPr>
          <w:i/>
          <w:spacing w:val="-7"/>
          <w:sz w:val="20"/>
        </w:rPr>
        <w:t xml:space="preserve"> </w:t>
      </w:r>
      <w:r>
        <w:rPr>
          <w:i/>
          <w:spacing w:val="-2"/>
          <w:sz w:val="20"/>
        </w:rPr>
        <w:t>reported</w:t>
      </w:r>
    </w:p>
    <w:p w14:paraId="7A4C3256" w14:textId="77777777" w:rsidR="00E13D3F" w:rsidRDefault="00E13D3F">
      <w:pPr>
        <w:jc w:val="center"/>
        <w:rPr>
          <w:i/>
          <w:sz w:val="20"/>
        </w:rPr>
        <w:sectPr w:rsidR="00E13D3F">
          <w:pgSz w:w="11910" w:h="16840"/>
          <w:pgMar w:top="1380" w:right="0" w:bottom="1200" w:left="0" w:header="0" w:footer="1000" w:gutter="0"/>
          <w:cols w:space="720"/>
        </w:sectPr>
      </w:pPr>
    </w:p>
    <w:p w14:paraId="7A4C3257" w14:textId="77777777" w:rsidR="00E13D3F" w:rsidRDefault="00FB2D6A">
      <w:pPr>
        <w:pStyle w:val="Heading2"/>
        <w:spacing w:before="21"/>
      </w:pPr>
      <w:r>
        <w:rPr>
          <w:color w:val="2E5395"/>
          <w:spacing w:val="-2"/>
        </w:rPr>
        <w:lastRenderedPageBreak/>
        <w:t>Comments</w:t>
      </w:r>
    </w:p>
    <w:p w14:paraId="7A4C3258" w14:textId="77777777" w:rsidR="00E13D3F" w:rsidRDefault="00FB2D6A">
      <w:pPr>
        <w:pStyle w:val="BodyText"/>
        <w:spacing w:before="26" w:line="276" w:lineRule="auto"/>
        <w:ind w:right="1462"/>
      </w:pPr>
      <w:proofErr w:type="spellStart"/>
      <w:r>
        <w:t>Dautzenberg’s</w:t>
      </w:r>
      <w:proofErr w:type="spellEnd"/>
      <w:r>
        <w:t xml:space="preserve"> defined Basic falls risk assessment as cardiovascular examination (vital signs, ECG, pacemaker check), medication review (modification, deprescribing), and/or fracture risk screening (bone mineral density)</w:t>
      </w:r>
      <w:r>
        <w:rPr>
          <w:spacing w:val="-1"/>
        </w:rPr>
        <w:t xml:space="preserve"> </w:t>
      </w:r>
      <w:r>
        <w:t>which is more comprehensive than would be common in general practice health assessments. The USTPST Definitions of high risk were heterogeneous</w:t>
      </w:r>
      <w:r>
        <w:rPr>
          <w:spacing w:val="-4"/>
        </w:rPr>
        <w:t xml:space="preserve"> </w:t>
      </w:r>
      <w:r>
        <w:t>but</w:t>
      </w:r>
      <w:r>
        <w:rPr>
          <w:spacing w:val="-3"/>
        </w:rPr>
        <w:t xml:space="preserve"> </w:t>
      </w:r>
      <w:r>
        <w:t>largely</w:t>
      </w:r>
      <w:r>
        <w:rPr>
          <w:spacing w:val="-2"/>
        </w:rPr>
        <w:t xml:space="preserve"> </w:t>
      </w:r>
      <w:r>
        <w:t>based</w:t>
      </w:r>
      <w:r>
        <w:rPr>
          <w:spacing w:val="-3"/>
        </w:rPr>
        <w:t xml:space="preserve"> </w:t>
      </w:r>
      <w:r>
        <w:t>on</w:t>
      </w:r>
      <w:r>
        <w:rPr>
          <w:spacing w:val="-3"/>
        </w:rPr>
        <w:t xml:space="preserve"> </w:t>
      </w:r>
      <w:r>
        <w:t>at</w:t>
      </w:r>
      <w:r>
        <w:rPr>
          <w:spacing w:val="-3"/>
        </w:rPr>
        <w:t xml:space="preserve"> </w:t>
      </w:r>
      <w:r>
        <w:t>least</w:t>
      </w:r>
      <w:r>
        <w:rPr>
          <w:spacing w:val="-1"/>
        </w:rPr>
        <w:t xml:space="preserve"> </w:t>
      </w:r>
      <w:r>
        <w:t>history</w:t>
      </w:r>
      <w:r>
        <w:rPr>
          <w:spacing w:val="-2"/>
        </w:rPr>
        <w:t xml:space="preserve"> </w:t>
      </w:r>
      <w:r>
        <w:t>of</w:t>
      </w:r>
      <w:r>
        <w:rPr>
          <w:spacing w:val="-3"/>
        </w:rPr>
        <w:t xml:space="preserve"> </w:t>
      </w:r>
      <w:r>
        <w:t>falls</w:t>
      </w:r>
      <w:r>
        <w:rPr>
          <w:spacing w:val="-2"/>
        </w:rPr>
        <w:t xml:space="preserve"> </w:t>
      </w:r>
      <w:r>
        <w:t>in</w:t>
      </w:r>
      <w:r>
        <w:rPr>
          <w:spacing w:val="-3"/>
        </w:rPr>
        <w:t xml:space="preserve"> </w:t>
      </w:r>
      <w:r>
        <w:t>the</w:t>
      </w:r>
      <w:r>
        <w:rPr>
          <w:spacing w:val="-4"/>
        </w:rPr>
        <w:t xml:space="preserve"> </w:t>
      </w:r>
      <w:r>
        <w:t>past</w:t>
      </w:r>
      <w:r>
        <w:rPr>
          <w:spacing w:val="-1"/>
        </w:rPr>
        <w:t xml:space="preserve"> </w:t>
      </w:r>
      <w:r>
        <w:t>3-12</w:t>
      </w:r>
      <w:r>
        <w:rPr>
          <w:spacing w:val="-1"/>
        </w:rPr>
        <w:t xml:space="preserve"> </w:t>
      </w:r>
      <w:r>
        <w:t>months.</w:t>
      </w:r>
      <w:r>
        <w:rPr>
          <w:spacing w:val="-5"/>
        </w:rPr>
        <w:t xml:space="preserve"> </w:t>
      </w:r>
      <w:r>
        <w:t>Bhasin’s RCT assessed strength/gait impairment, medication review, visual impairment, feet, and environmental hazards.</w:t>
      </w:r>
    </w:p>
    <w:p w14:paraId="7A4C3259" w14:textId="77777777" w:rsidR="00E13D3F" w:rsidRDefault="00FB2D6A">
      <w:pPr>
        <w:pStyle w:val="Heading2"/>
        <w:spacing w:before="39"/>
      </w:pPr>
      <w:r>
        <w:rPr>
          <w:color w:val="2E5395"/>
          <w:spacing w:val="-2"/>
        </w:rPr>
        <w:t>Conclusion</w:t>
      </w:r>
    </w:p>
    <w:p w14:paraId="7A4C325A" w14:textId="77777777" w:rsidR="00E13D3F" w:rsidRDefault="00FB2D6A">
      <w:pPr>
        <w:pStyle w:val="BodyText"/>
        <w:spacing w:before="26" w:line="276" w:lineRule="auto"/>
        <w:ind w:right="1450"/>
      </w:pPr>
      <w:r>
        <w:t>The bulk of recent evidence strongly suggests that, for adults in the community, comprehensive</w:t>
      </w:r>
      <w:r>
        <w:rPr>
          <w:spacing w:val="-5"/>
        </w:rPr>
        <w:t xml:space="preserve"> </w:t>
      </w:r>
      <w:r>
        <w:t>falls</w:t>
      </w:r>
      <w:r>
        <w:rPr>
          <w:spacing w:val="-5"/>
        </w:rPr>
        <w:t xml:space="preserve"> </w:t>
      </w:r>
      <w:r>
        <w:t>risk</w:t>
      </w:r>
      <w:r>
        <w:rPr>
          <w:spacing w:val="-4"/>
        </w:rPr>
        <w:t xml:space="preserve"> </w:t>
      </w:r>
      <w:r>
        <w:t>assessment</w:t>
      </w:r>
      <w:r>
        <w:rPr>
          <w:spacing w:val="-4"/>
        </w:rPr>
        <w:t xml:space="preserve"> </w:t>
      </w:r>
      <w:r>
        <w:t>alone</w:t>
      </w:r>
      <w:r>
        <w:rPr>
          <w:spacing w:val="-2"/>
        </w:rPr>
        <w:t xml:space="preserve"> </w:t>
      </w:r>
      <w:r>
        <w:t>or</w:t>
      </w:r>
      <w:r>
        <w:rPr>
          <w:spacing w:val="-4"/>
        </w:rPr>
        <w:t xml:space="preserve"> </w:t>
      </w:r>
      <w:r>
        <w:t>as</w:t>
      </w:r>
      <w:r>
        <w:rPr>
          <w:spacing w:val="-5"/>
        </w:rPr>
        <w:t xml:space="preserve"> </w:t>
      </w:r>
      <w:r>
        <w:t>part</w:t>
      </w:r>
      <w:r>
        <w:rPr>
          <w:spacing w:val="-1"/>
        </w:rPr>
        <w:t xml:space="preserve"> </w:t>
      </w:r>
      <w:r>
        <w:t>of</w:t>
      </w:r>
      <w:r>
        <w:rPr>
          <w:spacing w:val="-2"/>
        </w:rPr>
        <w:t xml:space="preserve"> </w:t>
      </w:r>
      <w:r>
        <w:t>a</w:t>
      </w:r>
      <w:r>
        <w:rPr>
          <w:spacing w:val="-5"/>
        </w:rPr>
        <w:t xml:space="preserve"> </w:t>
      </w:r>
      <w:r>
        <w:t>multicomponent</w:t>
      </w:r>
      <w:r>
        <w:rPr>
          <w:spacing w:val="-6"/>
        </w:rPr>
        <w:t xml:space="preserve"> </w:t>
      </w:r>
      <w:r>
        <w:t>intervention</w:t>
      </w:r>
      <w:r>
        <w:rPr>
          <w:spacing w:val="-4"/>
        </w:rPr>
        <w:t xml:space="preserve"> </w:t>
      </w:r>
      <w:r>
        <w:t>does not significantly reduce incidence of falls or fractures or time to first event (fall or fracture) when compared to usual care. In fact, multicomponent interventions indicate that exercise alone (cross-reference</w:t>
      </w:r>
      <w:r>
        <w:rPr>
          <w:spacing w:val="-1"/>
        </w:rPr>
        <w:t xml:space="preserve"> </w:t>
      </w:r>
      <w:r>
        <w:t>physical activity component summary) or exercise</w:t>
      </w:r>
      <w:r>
        <w:rPr>
          <w:spacing w:val="-1"/>
        </w:rPr>
        <w:t xml:space="preserve"> </w:t>
      </w:r>
      <w:r>
        <w:t xml:space="preserve">advice even in the absence of a falls risk assessment or intervention is the most effective strategy to reduce </w:t>
      </w:r>
      <w:r>
        <w:rPr>
          <w:spacing w:val="-2"/>
        </w:rPr>
        <w:t>falls.</w:t>
      </w:r>
    </w:p>
    <w:p w14:paraId="7A4C325B" w14:textId="77777777" w:rsidR="00E13D3F" w:rsidRDefault="00E13D3F">
      <w:pPr>
        <w:pStyle w:val="BodyText"/>
        <w:spacing w:before="90"/>
        <w:ind w:left="0"/>
      </w:pPr>
    </w:p>
    <w:p w14:paraId="7A4C325C" w14:textId="77777777" w:rsidR="00E13D3F" w:rsidRDefault="00FB2D6A">
      <w:pPr>
        <w:pStyle w:val="Heading2"/>
      </w:pPr>
      <w:r>
        <w:rPr>
          <w:color w:val="2E5395"/>
          <w:spacing w:val="-2"/>
        </w:rPr>
        <w:t>References</w:t>
      </w:r>
    </w:p>
    <w:p w14:paraId="7A4C325D" w14:textId="77777777" w:rsidR="00E13D3F" w:rsidRDefault="00FB2D6A" w:rsidP="00990D2B">
      <w:pPr>
        <w:pStyle w:val="ListParagraph"/>
        <w:numPr>
          <w:ilvl w:val="0"/>
          <w:numId w:val="16"/>
        </w:numPr>
        <w:tabs>
          <w:tab w:val="left" w:pos="1798"/>
          <w:tab w:val="left" w:pos="1800"/>
        </w:tabs>
        <w:spacing w:before="23"/>
        <w:ind w:right="3538"/>
      </w:pPr>
      <w:r>
        <w:t>AIHW</w:t>
      </w:r>
      <w:r>
        <w:rPr>
          <w:spacing w:val="-2"/>
        </w:rPr>
        <w:t xml:space="preserve"> </w:t>
      </w:r>
      <w:r>
        <w:t>2022</w:t>
      </w:r>
      <w:r>
        <w:rPr>
          <w:spacing w:val="-2"/>
        </w:rPr>
        <w:t xml:space="preserve"> </w:t>
      </w:r>
      <w:r>
        <w:t>Injury</w:t>
      </w:r>
      <w:r>
        <w:rPr>
          <w:spacing w:val="-1"/>
        </w:rPr>
        <w:t xml:space="preserve"> </w:t>
      </w:r>
      <w:r>
        <w:t>Australia:</w:t>
      </w:r>
      <w:r>
        <w:rPr>
          <w:spacing w:val="-2"/>
        </w:rPr>
        <w:t xml:space="preserve"> </w:t>
      </w:r>
      <w:r>
        <w:t>Falls,</w:t>
      </w:r>
      <w:r>
        <w:rPr>
          <w:spacing w:val="-4"/>
        </w:rPr>
        <w:t xml:space="preserve"> </w:t>
      </w:r>
      <w:r>
        <w:t>web</w:t>
      </w:r>
      <w:r>
        <w:rPr>
          <w:spacing w:val="-3"/>
        </w:rPr>
        <w:t xml:space="preserve"> </w:t>
      </w:r>
      <w:r>
        <w:t>article.</w:t>
      </w:r>
      <w:r>
        <w:rPr>
          <w:spacing w:val="-4"/>
        </w:rPr>
        <w:t xml:space="preserve"> </w:t>
      </w:r>
      <w:r>
        <w:t>Last</w:t>
      </w:r>
      <w:r>
        <w:rPr>
          <w:spacing w:val="-4"/>
        </w:rPr>
        <w:t xml:space="preserve"> </w:t>
      </w:r>
      <w:r>
        <w:t>updated</w:t>
      </w:r>
      <w:r>
        <w:rPr>
          <w:spacing w:val="-3"/>
        </w:rPr>
        <w:t xml:space="preserve"> </w:t>
      </w:r>
      <w:r>
        <w:t>16</w:t>
      </w:r>
      <w:r>
        <w:rPr>
          <w:spacing w:val="-2"/>
        </w:rPr>
        <w:t xml:space="preserve"> </w:t>
      </w:r>
      <w:r>
        <w:t>June</w:t>
      </w:r>
      <w:r>
        <w:rPr>
          <w:spacing w:val="-4"/>
        </w:rPr>
        <w:t xml:space="preserve"> </w:t>
      </w:r>
      <w:r>
        <w:t xml:space="preserve">2022. </w:t>
      </w:r>
      <w:hyperlink r:id="rId48">
        <w:r w:rsidR="00E13D3F">
          <w:rPr>
            <w:color w:val="0462C1"/>
            <w:spacing w:val="-2"/>
            <w:u w:val="single" w:color="0462C1"/>
          </w:rPr>
          <w:t>https://www.aihw.gov.au/reports/injury/falls</w:t>
        </w:r>
      </w:hyperlink>
    </w:p>
    <w:p w14:paraId="7A4C325E" w14:textId="77777777" w:rsidR="00E13D3F" w:rsidRDefault="00FB2D6A" w:rsidP="00990D2B">
      <w:pPr>
        <w:pStyle w:val="ListParagraph"/>
        <w:numPr>
          <w:ilvl w:val="0"/>
          <w:numId w:val="16"/>
        </w:numPr>
        <w:tabs>
          <w:tab w:val="left" w:pos="1798"/>
          <w:tab w:val="left" w:pos="1800"/>
        </w:tabs>
        <w:spacing w:before="1"/>
        <w:ind w:right="1648"/>
      </w:pPr>
      <w:r>
        <w:t xml:space="preserve">The Royal Australian College of General Practitioners. Guidelines for preventive activities in General Practice, 9th edition, East Melbourne, VIC: RACGP, 2016. </w:t>
      </w:r>
      <w:hyperlink r:id="rId49">
        <w:r w:rsidR="00E13D3F">
          <w:rPr>
            <w:color w:val="0462C1"/>
            <w:spacing w:val="-2"/>
            <w:u w:val="single" w:color="0462C1"/>
          </w:rPr>
          <w:t>https://www.racgp.org.au/download/Documents/Guidelines/Redbook9/17048-Red-Book-9th-</w:t>
        </w:r>
      </w:hyperlink>
      <w:hyperlink r:id="rId50">
        <w:r w:rsidR="00E13D3F">
          <w:rPr>
            <w:color w:val="0462C1"/>
            <w:spacing w:val="-2"/>
            <w:u w:val="single" w:color="0462C1"/>
          </w:rPr>
          <w:t>Edition.pdf</w:t>
        </w:r>
      </w:hyperlink>
    </w:p>
    <w:p w14:paraId="7A4C325F" w14:textId="77777777" w:rsidR="00E13D3F" w:rsidRDefault="00FB2D6A" w:rsidP="00990D2B">
      <w:pPr>
        <w:pStyle w:val="ListParagraph"/>
        <w:numPr>
          <w:ilvl w:val="0"/>
          <w:numId w:val="16"/>
        </w:numPr>
        <w:tabs>
          <w:tab w:val="left" w:pos="1798"/>
          <w:tab w:val="left" w:pos="1800"/>
        </w:tabs>
        <w:spacing w:before="1"/>
        <w:ind w:right="1600"/>
      </w:pPr>
      <w:proofErr w:type="spellStart"/>
      <w:r>
        <w:t>Dautzenberg</w:t>
      </w:r>
      <w:proofErr w:type="spellEnd"/>
      <w:r>
        <w:rPr>
          <w:spacing w:val="-5"/>
        </w:rPr>
        <w:t xml:space="preserve"> </w:t>
      </w:r>
      <w:r>
        <w:t>L,</w:t>
      </w:r>
      <w:r>
        <w:rPr>
          <w:spacing w:val="-2"/>
        </w:rPr>
        <w:t xml:space="preserve"> </w:t>
      </w:r>
      <w:r>
        <w:t>et</w:t>
      </w:r>
      <w:r>
        <w:rPr>
          <w:spacing w:val="-2"/>
        </w:rPr>
        <w:t xml:space="preserve"> </w:t>
      </w:r>
      <w:r>
        <w:t>al.,</w:t>
      </w:r>
      <w:r>
        <w:rPr>
          <w:spacing w:val="-2"/>
        </w:rPr>
        <w:t xml:space="preserve"> </w:t>
      </w:r>
      <w:r>
        <w:t>Interventions</w:t>
      </w:r>
      <w:r>
        <w:rPr>
          <w:spacing w:val="-2"/>
        </w:rPr>
        <w:t xml:space="preserve"> </w:t>
      </w:r>
      <w:r>
        <w:t>for</w:t>
      </w:r>
      <w:r>
        <w:rPr>
          <w:spacing w:val="-2"/>
        </w:rPr>
        <w:t xml:space="preserve"> </w:t>
      </w:r>
      <w:r>
        <w:t>preventing</w:t>
      </w:r>
      <w:r>
        <w:rPr>
          <w:spacing w:val="-3"/>
        </w:rPr>
        <w:t xml:space="preserve"> </w:t>
      </w:r>
      <w:r>
        <w:t>falls</w:t>
      </w:r>
      <w:r>
        <w:rPr>
          <w:spacing w:val="-2"/>
        </w:rPr>
        <w:t xml:space="preserve"> </w:t>
      </w:r>
      <w:r>
        <w:t>and</w:t>
      </w:r>
      <w:r>
        <w:rPr>
          <w:spacing w:val="-4"/>
        </w:rPr>
        <w:t xml:space="preserve"> </w:t>
      </w:r>
      <w:r>
        <w:t>fall-related</w:t>
      </w:r>
      <w:r>
        <w:rPr>
          <w:spacing w:val="-2"/>
        </w:rPr>
        <w:t xml:space="preserve"> </w:t>
      </w:r>
      <w:r>
        <w:t>fractures</w:t>
      </w:r>
      <w:r>
        <w:rPr>
          <w:spacing w:val="-4"/>
        </w:rPr>
        <w:t xml:space="preserve"> </w:t>
      </w:r>
      <w:r>
        <w:t>in</w:t>
      </w:r>
      <w:r>
        <w:rPr>
          <w:spacing w:val="-4"/>
        </w:rPr>
        <w:t xml:space="preserve"> </w:t>
      </w:r>
      <w:r>
        <w:t xml:space="preserve">community-dwelling older adults: A systematic review and network meta-analysis. J Am </w:t>
      </w:r>
      <w:proofErr w:type="spellStart"/>
      <w:r>
        <w:t>Geriatr</w:t>
      </w:r>
      <w:proofErr w:type="spellEnd"/>
      <w:r>
        <w:t xml:space="preserve"> Soc. 2021 Oct;69(10):2973-2984. </w:t>
      </w:r>
      <w:proofErr w:type="spellStart"/>
      <w:r>
        <w:rPr>
          <w:u w:val="single"/>
        </w:rPr>
        <w:t>doi</w:t>
      </w:r>
      <w:proofErr w:type="spellEnd"/>
      <w:r>
        <w:rPr>
          <w:u w:val="single"/>
        </w:rPr>
        <w:t>: 10.1111/jgs.17375</w:t>
      </w:r>
    </w:p>
    <w:p w14:paraId="7A4C3260" w14:textId="77777777" w:rsidR="00E13D3F" w:rsidRDefault="00FB2D6A" w:rsidP="00990D2B">
      <w:pPr>
        <w:pStyle w:val="ListParagraph"/>
        <w:numPr>
          <w:ilvl w:val="0"/>
          <w:numId w:val="16"/>
        </w:numPr>
        <w:tabs>
          <w:tab w:val="left" w:pos="1798"/>
          <w:tab w:val="left" w:pos="1800"/>
        </w:tabs>
        <w:ind w:right="1475"/>
      </w:pPr>
      <w:r>
        <w:t>Guirguis-Blake JM, Michael YL, Perdue LA, et al. Interventions to Prevent Falls in Community-Dwelling Older Adults: A Systematic Review for the U.S. Preventive Services Task Force [Internet].</w:t>
      </w:r>
      <w:r>
        <w:rPr>
          <w:spacing w:val="-4"/>
        </w:rPr>
        <w:t xml:space="preserve"> </w:t>
      </w:r>
      <w:r>
        <w:t>Rockville</w:t>
      </w:r>
      <w:r>
        <w:rPr>
          <w:spacing w:val="-4"/>
        </w:rPr>
        <w:t xml:space="preserve"> </w:t>
      </w:r>
      <w:r>
        <w:t>(MD):</w:t>
      </w:r>
      <w:r>
        <w:rPr>
          <w:spacing w:val="-4"/>
        </w:rPr>
        <w:t xml:space="preserve"> </w:t>
      </w:r>
      <w:r>
        <w:t>Agency</w:t>
      </w:r>
      <w:r>
        <w:rPr>
          <w:spacing w:val="-2"/>
        </w:rPr>
        <w:t xml:space="preserve"> </w:t>
      </w:r>
      <w:r>
        <w:t>for</w:t>
      </w:r>
      <w:r>
        <w:rPr>
          <w:spacing w:val="-2"/>
        </w:rPr>
        <w:t xml:space="preserve"> </w:t>
      </w:r>
      <w:r>
        <w:t>Healthcare</w:t>
      </w:r>
      <w:r>
        <w:rPr>
          <w:spacing w:val="-5"/>
        </w:rPr>
        <w:t xml:space="preserve"> </w:t>
      </w:r>
      <w:r>
        <w:t>Research</w:t>
      </w:r>
      <w:r>
        <w:rPr>
          <w:spacing w:val="-2"/>
        </w:rPr>
        <w:t xml:space="preserve"> </w:t>
      </w:r>
      <w:r>
        <w:t>and</w:t>
      </w:r>
      <w:r>
        <w:rPr>
          <w:spacing w:val="-3"/>
        </w:rPr>
        <w:t xml:space="preserve"> </w:t>
      </w:r>
      <w:r>
        <w:t>Quality</w:t>
      </w:r>
      <w:r>
        <w:rPr>
          <w:spacing w:val="-2"/>
        </w:rPr>
        <w:t xml:space="preserve"> </w:t>
      </w:r>
      <w:r>
        <w:t>(US); 2018</w:t>
      </w:r>
      <w:r>
        <w:rPr>
          <w:spacing w:val="-2"/>
        </w:rPr>
        <w:t xml:space="preserve"> </w:t>
      </w:r>
      <w:r>
        <w:t>Apr.</w:t>
      </w:r>
      <w:r>
        <w:rPr>
          <w:spacing w:val="-3"/>
        </w:rPr>
        <w:t xml:space="preserve"> </w:t>
      </w:r>
      <w:r>
        <w:t xml:space="preserve">(Evidence Synthesis, No. 159.) Interventions to Prevent Falls in Community-Dwelling Older Adults: A Systematic Review for the U.S. Preventive Services Task Force [Internet]. </w:t>
      </w:r>
      <w:hyperlink r:id="rId51">
        <w:r w:rsidR="00E13D3F">
          <w:rPr>
            <w:color w:val="0462C1"/>
            <w:spacing w:val="-2"/>
            <w:u w:val="single" w:color="0462C1"/>
          </w:rPr>
          <w:t>https://www.ncbi.nlm.nih.gov/books/NBK525695/</w:t>
        </w:r>
      </w:hyperlink>
    </w:p>
    <w:p w14:paraId="7A4C3261" w14:textId="77777777" w:rsidR="00E13D3F" w:rsidRDefault="00FB2D6A" w:rsidP="00990D2B">
      <w:pPr>
        <w:pStyle w:val="ListParagraph"/>
        <w:numPr>
          <w:ilvl w:val="0"/>
          <w:numId w:val="16"/>
        </w:numPr>
        <w:tabs>
          <w:tab w:val="left" w:pos="1798"/>
          <w:tab w:val="left" w:pos="1800"/>
        </w:tabs>
        <w:ind w:right="1643"/>
      </w:pPr>
      <w:r>
        <w:t xml:space="preserve">Lamb SE, Bruce J, Hossain A, Ji C, Longo R, Lall R, </w:t>
      </w:r>
      <w:proofErr w:type="spellStart"/>
      <w:r>
        <w:t>Bojke</w:t>
      </w:r>
      <w:proofErr w:type="spellEnd"/>
      <w:r>
        <w:t xml:space="preserve"> C, Hulme C, Withers E, Finnegan S, Sheridan</w:t>
      </w:r>
      <w:r>
        <w:rPr>
          <w:spacing w:val="-3"/>
        </w:rPr>
        <w:t xml:space="preserve"> </w:t>
      </w:r>
      <w:r>
        <w:t>R,</w:t>
      </w:r>
      <w:r>
        <w:rPr>
          <w:spacing w:val="-1"/>
        </w:rPr>
        <w:t xml:space="preserve"> </w:t>
      </w:r>
      <w:r>
        <w:t>Willett</w:t>
      </w:r>
      <w:r>
        <w:rPr>
          <w:spacing w:val="-4"/>
        </w:rPr>
        <w:t xml:space="preserve"> </w:t>
      </w:r>
      <w:r>
        <w:t>K,</w:t>
      </w:r>
      <w:r>
        <w:rPr>
          <w:spacing w:val="-2"/>
        </w:rPr>
        <w:t xml:space="preserve"> </w:t>
      </w:r>
      <w:r>
        <w:t>Underwood</w:t>
      </w:r>
      <w:r>
        <w:rPr>
          <w:spacing w:val="-5"/>
        </w:rPr>
        <w:t xml:space="preserve"> </w:t>
      </w:r>
      <w:r>
        <w:t>M;</w:t>
      </w:r>
      <w:r>
        <w:rPr>
          <w:spacing w:val="-4"/>
        </w:rPr>
        <w:t xml:space="preserve"> </w:t>
      </w:r>
      <w:r>
        <w:t>Prevention</w:t>
      </w:r>
      <w:r>
        <w:rPr>
          <w:spacing w:val="-5"/>
        </w:rPr>
        <w:t xml:space="preserve"> </w:t>
      </w:r>
      <w:r>
        <w:t>of</w:t>
      </w:r>
      <w:r>
        <w:rPr>
          <w:spacing w:val="-2"/>
        </w:rPr>
        <w:t xml:space="preserve"> </w:t>
      </w:r>
      <w:r>
        <w:t>Fall</w:t>
      </w:r>
      <w:r>
        <w:rPr>
          <w:spacing w:val="-2"/>
        </w:rPr>
        <w:t xml:space="preserve"> </w:t>
      </w:r>
      <w:r>
        <w:t>Injury</w:t>
      </w:r>
      <w:r>
        <w:rPr>
          <w:spacing w:val="-1"/>
        </w:rPr>
        <w:t xml:space="preserve"> </w:t>
      </w:r>
      <w:r>
        <w:t>Trial</w:t>
      </w:r>
      <w:r>
        <w:rPr>
          <w:spacing w:val="-3"/>
        </w:rPr>
        <w:t xml:space="preserve"> </w:t>
      </w:r>
      <w:r>
        <w:t>Study</w:t>
      </w:r>
      <w:r>
        <w:rPr>
          <w:spacing w:val="-2"/>
        </w:rPr>
        <w:t xml:space="preserve"> </w:t>
      </w:r>
      <w:r>
        <w:t>Group.</w:t>
      </w:r>
      <w:r>
        <w:rPr>
          <w:spacing w:val="-2"/>
        </w:rPr>
        <w:t xml:space="preserve"> </w:t>
      </w:r>
      <w:r>
        <w:t>Screening</w:t>
      </w:r>
      <w:r>
        <w:rPr>
          <w:spacing w:val="-3"/>
        </w:rPr>
        <w:t xml:space="preserve"> </w:t>
      </w:r>
      <w:r>
        <w:t xml:space="preserve">and Intervention to Prevent Falls and Fractures in Older People. N Engl J Med. 2020 Nov 5;383(19):1848-1859. </w:t>
      </w:r>
      <w:proofErr w:type="spellStart"/>
      <w:r>
        <w:rPr>
          <w:u w:val="single"/>
        </w:rPr>
        <w:t>doi</w:t>
      </w:r>
      <w:proofErr w:type="spellEnd"/>
      <w:r>
        <w:rPr>
          <w:u w:val="single"/>
        </w:rPr>
        <w:t>: 10.1056/NEJMoa2001500</w:t>
      </w:r>
      <w:r>
        <w:rPr>
          <w:spacing w:val="40"/>
          <w:u w:val="single"/>
        </w:rPr>
        <w:t xml:space="preserve"> </w:t>
      </w:r>
    </w:p>
    <w:p w14:paraId="7A4C3262" w14:textId="77777777" w:rsidR="00E13D3F" w:rsidRDefault="00FB2D6A" w:rsidP="00990D2B">
      <w:pPr>
        <w:pStyle w:val="ListParagraph"/>
        <w:numPr>
          <w:ilvl w:val="0"/>
          <w:numId w:val="16"/>
        </w:numPr>
        <w:tabs>
          <w:tab w:val="left" w:pos="1798"/>
          <w:tab w:val="left" w:pos="1800"/>
        </w:tabs>
        <w:ind w:right="2070"/>
        <w:jc w:val="both"/>
      </w:pPr>
      <w:r>
        <w:t>Bhasin</w:t>
      </w:r>
      <w:r>
        <w:rPr>
          <w:spacing w:val="-3"/>
        </w:rPr>
        <w:t xml:space="preserve"> </w:t>
      </w:r>
      <w:r>
        <w:t>S,</w:t>
      </w:r>
      <w:r>
        <w:rPr>
          <w:spacing w:val="-1"/>
        </w:rPr>
        <w:t xml:space="preserve"> </w:t>
      </w:r>
      <w:r>
        <w:t>Gill</w:t>
      </w:r>
      <w:r>
        <w:rPr>
          <w:spacing w:val="-2"/>
        </w:rPr>
        <w:t xml:space="preserve"> </w:t>
      </w:r>
      <w:r>
        <w:t>T,</w:t>
      </w:r>
      <w:r>
        <w:rPr>
          <w:spacing w:val="-4"/>
        </w:rPr>
        <w:t xml:space="preserve"> </w:t>
      </w:r>
      <w:r>
        <w:t>Reuben</w:t>
      </w:r>
      <w:r>
        <w:rPr>
          <w:spacing w:val="-4"/>
        </w:rPr>
        <w:t xml:space="preserve"> </w:t>
      </w:r>
      <w:r>
        <w:t>D,</w:t>
      </w:r>
      <w:r>
        <w:rPr>
          <w:spacing w:val="-3"/>
        </w:rPr>
        <w:t xml:space="preserve"> </w:t>
      </w:r>
      <w:r>
        <w:t>et</w:t>
      </w:r>
      <w:r>
        <w:rPr>
          <w:spacing w:val="-1"/>
        </w:rPr>
        <w:t xml:space="preserve"> </w:t>
      </w:r>
      <w:r>
        <w:t>al.</w:t>
      </w:r>
      <w:r>
        <w:rPr>
          <w:spacing w:val="-1"/>
        </w:rPr>
        <w:t xml:space="preserve"> </w:t>
      </w:r>
      <w:r>
        <w:t>A</w:t>
      </w:r>
      <w:r>
        <w:rPr>
          <w:spacing w:val="-4"/>
        </w:rPr>
        <w:t xml:space="preserve"> </w:t>
      </w:r>
      <w:r>
        <w:t>Randomized</w:t>
      </w:r>
      <w:r>
        <w:rPr>
          <w:spacing w:val="-1"/>
        </w:rPr>
        <w:t xml:space="preserve"> </w:t>
      </w:r>
      <w:r>
        <w:t>Trial</w:t>
      </w:r>
      <w:r>
        <w:rPr>
          <w:spacing w:val="-4"/>
        </w:rPr>
        <w:t xml:space="preserve"> </w:t>
      </w:r>
      <w:r>
        <w:t>of</w:t>
      </w:r>
      <w:r>
        <w:rPr>
          <w:spacing w:val="-4"/>
        </w:rPr>
        <w:t xml:space="preserve"> </w:t>
      </w:r>
      <w:r>
        <w:t>a</w:t>
      </w:r>
      <w:r>
        <w:rPr>
          <w:spacing w:val="-1"/>
        </w:rPr>
        <w:t xml:space="preserve"> </w:t>
      </w:r>
      <w:r>
        <w:t>Multifactorial</w:t>
      </w:r>
      <w:r>
        <w:rPr>
          <w:spacing w:val="-1"/>
        </w:rPr>
        <w:t xml:space="preserve"> </w:t>
      </w:r>
      <w:r>
        <w:t>Strategy</w:t>
      </w:r>
      <w:r>
        <w:rPr>
          <w:spacing w:val="-3"/>
        </w:rPr>
        <w:t xml:space="preserve"> </w:t>
      </w:r>
      <w:r>
        <w:t>to</w:t>
      </w:r>
      <w:r>
        <w:rPr>
          <w:spacing w:val="-3"/>
        </w:rPr>
        <w:t xml:space="preserve"> </w:t>
      </w:r>
      <w:r>
        <w:t xml:space="preserve">Prevent Serious Fall Injuries. N Engl J Med 2020;383:129-40. </w:t>
      </w:r>
      <w:proofErr w:type="spellStart"/>
      <w:r>
        <w:t>doi</w:t>
      </w:r>
      <w:proofErr w:type="spellEnd"/>
      <w:r>
        <w:t>: 10.1056/nejmoa2002183</w:t>
      </w:r>
    </w:p>
    <w:p w14:paraId="7A4C3263" w14:textId="77777777" w:rsidR="00E13D3F" w:rsidRDefault="00FB2D6A" w:rsidP="00990D2B">
      <w:pPr>
        <w:pStyle w:val="ListParagraph"/>
        <w:numPr>
          <w:ilvl w:val="0"/>
          <w:numId w:val="16"/>
        </w:numPr>
        <w:tabs>
          <w:tab w:val="left" w:pos="1798"/>
          <w:tab w:val="left" w:pos="1800"/>
        </w:tabs>
        <w:ind w:right="2057"/>
        <w:jc w:val="both"/>
      </w:pPr>
      <w:r>
        <w:rPr>
          <w:color w:val="2A2A2A"/>
        </w:rPr>
        <w:t>Lee</w:t>
      </w:r>
      <w:r>
        <w:rPr>
          <w:color w:val="2A2A2A"/>
          <w:spacing w:val="-3"/>
        </w:rPr>
        <w:t xml:space="preserve"> </w:t>
      </w:r>
      <w:r>
        <w:rPr>
          <w:color w:val="2A2A2A"/>
        </w:rPr>
        <w:t>L,</w:t>
      </w:r>
      <w:r>
        <w:rPr>
          <w:color w:val="2A2A2A"/>
          <w:spacing w:val="-1"/>
        </w:rPr>
        <w:t xml:space="preserve"> </w:t>
      </w:r>
      <w:r>
        <w:rPr>
          <w:color w:val="2A2A2A"/>
        </w:rPr>
        <w:t>Aaron</w:t>
      </w:r>
      <w:r>
        <w:rPr>
          <w:color w:val="2A2A2A"/>
          <w:spacing w:val="-2"/>
        </w:rPr>
        <w:t xml:space="preserve"> </w:t>
      </w:r>
      <w:r>
        <w:rPr>
          <w:color w:val="2A2A2A"/>
        </w:rPr>
        <w:t>Jones A,</w:t>
      </w:r>
      <w:r>
        <w:rPr>
          <w:color w:val="2A2A2A"/>
          <w:spacing w:val="-4"/>
        </w:rPr>
        <w:t xml:space="preserve"> </w:t>
      </w:r>
      <w:r>
        <w:rPr>
          <w:color w:val="2A2A2A"/>
        </w:rPr>
        <w:t>Hillier</w:t>
      </w:r>
      <w:r>
        <w:rPr>
          <w:color w:val="2A2A2A"/>
          <w:spacing w:val="-3"/>
        </w:rPr>
        <w:t xml:space="preserve"> </w:t>
      </w:r>
      <w:r>
        <w:rPr>
          <w:color w:val="2A2A2A"/>
        </w:rPr>
        <w:t>LM,</w:t>
      </w:r>
      <w:r>
        <w:rPr>
          <w:color w:val="2A2A2A"/>
          <w:spacing w:val="-4"/>
        </w:rPr>
        <w:t xml:space="preserve"> </w:t>
      </w:r>
      <w:r>
        <w:rPr>
          <w:color w:val="2A2A2A"/>
        </w:rPr>
        <w:t>et</w:t>
      </w:r>
      <w:r>
        <w:rPr>
          <w:color w:val="2A2A2A"/>
          <w:spacing w:val="-3"/>
        </w:rPr>
        <w:t xml:space="preserve"> </w:t>
      </w:r>
      <w:r>
        <w:rPr>
          <w:color w:val="2A2A2A"/>
        </w:rPr>
        <w:t>al.,</w:t>
      </w:r>
      <w:r>
        <w:rPr>
          <w:color w:val="2A2A2A"/>
          <w:spacing w:val="-1"/>
        </w:rPr>
        <w:t xml:space="preserve"> </w:t>
      </w:r>
      <w:r>
        <w:rPr>
          <w:color w:val="2A2A2A"/>
        </w:rPr>
        <w:t>Frailty</w:t>
      </w:r>
      <w:r>
        <w:rPr>
          <w:color w:val="2A2A2A"/>
          <w:spacing w:val="-1"/>
        </w:rPr>
        <w:t xml:space="preserve"> </w:t>
      </w:r>
      <w:r>
        <w:rPr>
          <w:color w:val="2A2A2A"/>
        </w:rPr>
        <w:t>screening</w:t>
      </w:r>
      <w:r>
        <w:rPr>
          <w:color w:val="2A2A2A"/>
          <w:spacing w:val="-4"/>
        </w:rPr>
        <w:t xml:space="preserve"> </w:t>
      </w:r>
      <w:r>
        <w:rPr>
          <w:color w:val="2A2A2A"/>
        </w:rPr>
        <w:t>in</w:t>
      </w:r>
      <w:r>
        <w:rPr>
          <w:color w:val="2A2A2A"/>
          <w:spacing w:val="-1"/>
        </w:rPr>
        <w:t xml:space="preserve"> </w:t>
      </w:r>
      <w:r>
        <w:rPr>
          <w:color w:val="2A2A2A"/>
        </w:rPr>
        <w:t>older</w:t>
      </w:r>
      <w:r>
        <w:rPr>
          <w:color w:val="2A2A2A"/>
          <w:spacing w:val="-3"/>
        </w:rPr>
        <w:t xml:space="preserve"> </w:t>
      </w:r>
      <w:r>
        <w:rPr>
          <w:color w:val="2A2A2A"/>
        </w:rPr>
        <w:t>adults:</w:t>
      </w:r>
      <w:r>
        <w:rPr>
          <w:color w:val="2A2A2A"/>
          <w:spacing w:val="-1"/>
        </w:rPr>
        <w:t xml:space="preserve"> </w:t>
      </w:r>
      <w:r>
        <w:rPr>
          <w:color w:val="2A2A2A"/>
        </w:rPr>
        <w:t>is</w:t>
      </w:r>
      <w:r>
        <w:rPr>
          <w:color w:val="2A2A2A"/>
          <w:spacing w:val="-1"/>
        </w:rPr>
        <w:t xml:space="preserve"> </w:t>
      </w:r>
      <w:r>
        <w:rPr>
          <w:color w:val="2A2A2A"/>
        </w:rPr>
        <w:t>annual</w:t>
      </w:r>
      <w:r>
        <w:rPr>
          <w:color w:val="2A2A2A"/>
          <w:spacing w:val="-1"/>
        </w:rPr>
        <w:t xml:space="preserve"> </w:t>
      </w:r>
      <w:r>
        <w:rPr>
          <w:color w:val="2A2A2A"/>
        </w:rPr>
        <w:t>screening necessary</w:t>
      </w:r>
      <w:r>
        <w:rPr>
          <w:color w:val="2A2A2A"/>
          <w:spacing w:val="-1"/>
        </w:rPr>
        <w:t xml:space="preserve"> </w:t>
      </w:r>
      <w:r>
        <w:rPr>
          <w:color w:val="2A2A2A"/>
        </w:rPr>
        <w:t>in</w:t>
      </w:r>
      <w:r>
        <w:rPr>
          <w:color w:val="2A2A2A"/>
          <w:spacing w:val="-1"/>
        </w:rPr>
        <w:t xml:space="preserve"> </w:t>
      </w:r>
      <w:r>
        <w:rPr>
          <w:color w:val="2A2A2A"/>
        </w:rPr>
        <w:t>primary</w:t>
      </w:r>
      <w:r>
        <w:rPr>
          <w:color w:val="2A2A2A"/>
          <w:spacing w:val="-3"/>
        </w:rPr>
        <w:t xml:space="preserve"> </w:t>
      </w:r>
      <w:r>
        <w:rPr>
          <w:color w:val="2A2A2A"/>
        </w:rPr>
        <w:t>care?,</w:t>
      </w:r>
      <w:r>
        <w:rPr>
          <w:color w:val="2A2A2A"/>
          <w:spacing w:val="-2"/>
        </w:rPr>
        <w:t xml:space="preserve"> </w:t>
      </w:r>
      <w:r>
        <w:rPr>
          <w:i/>
          <w:color w:val="2A2A2A"/>
        </w:rPr>
        <w:t>Family</w:t>
      </w:r>
      <w:r>
        <w:rPr>
          <w:i/>
          <w:color w:val="2A2A2A"/>
          <w:spacing w:val="-1"/>
        </w:rPr>
        <w:t xml:space="preserve"> </w:t>
      </w:r>
      <w:r>
        <w:rPr>
          <w:i/>
          <w:color w:val="2A2A2A"/>
        </w:rPr>
        <w:t>Practice</w:t>
      </w:r>
      <w:r>
        <w:rPr>
          <w:color w:val="2A2A2A"/>
        </w:rPr>
        <w:t>,</w:t>
      </w:r>
      <w:r>
        <w:rPr>
          <w:color w:val="2A2A2A"/>
          <w:spacing w:val="-1"/>
        </w:rPr>
        <w:t xml:space="preserve"> </w:t>
      </w:r>
      <w:r>
        <w:rPr>
          <w:color w:val="2A2A2A"/>
        </w:rPr>
        <w:t>Volume</w:t>
      </w:r>
      <w:r>
        <w:rPr>
          <w:color w:val="2A2A2A"/>
          <w:spacing w:val="-3"/>
        </w:rPr>
        <w:t xml:space="preserve"> </w:t>
      </w:r>
      <w:r>
        <w:rPr>
          <w:color w:val="2A2A2A"/>
        </w:rPr>
        <w:t>39,</w:t>
      </w:r>
      <w:r>
        <w:rPr>
          <w:color w:val="2A2A2A"/>
          <w:spacing w:val="-1"/>
        </w:rPr>
        <w:t xml:space="preserve"> </w:t>
      </w:r>
      <w:r>
        <w:rPr>
          <w:color w:val="2A2A2A"/>
        </w:rPr>
        <w:t>Issue</w:t>
      </w:r>
      <w:r>
        <w:rPr>
          <w:color w:val="2A2A2A"/>
          <w:spacing w:val="-4"/>
        </w:rPr>
        <w:t xml:space="preserve"> </w:t>
      </w:r>
      <w:r>
        <w:rPr>
          <w:color w:val="2A2A2A"/>
        </w:rPr>
        <w:t>1,</w:t>
      </w:r>
      <w:r>
        <w:rPr>
          <w:color w:val="2A2A2A"/>
          <w:spacing w:val="-4"/>
        </w:rPr>
        <w:t xml:space="preserve"> </w:t>
      </w:r>
      <w:r>
        <w:rPr>
          <w:color w:val="2A2A2A"/>
        </w:rPr>
        <w:t>February</w:t>
      </w:r>
      <w:r>
        <w:rPr>
          <w:color w:val="2A2A2A"/>
          <w:spacing w:val="-3"/>
        </w:rPr>
        <w:t xml:space="preserve"> </w:t>
      </w:r>
      <w:r>
        <w:rPr>
          <w:color w:val="2A2A2A"/>
        </w:rPr>
        <w:t>2022,</w:t>
      </w:r>
      <w:r>
        <w:rPr>
          <w:color w:val="2A2A2A"/>
          <w:spacing w:val="-3"/>
        </w:rPr>
        <w:t xml:space="preserve"> </w:t>
      </w:r>
      <w:r>
        <w:rPr>
          <w:color w:val="2A2A2A"/>
        </w:rPr>
        <w:t xml:space="preserve">Pages 12–18, </w:t>
      </w:r>
      <w:hyperlink r:id="rId52">
        <w:r w:rsidR="00E13D3F">
          <w:rPr>
            <w:color w:val="006EB7"/>
            <w:u w:val="single" w:color="006EB7"/>
          </w:rPr>
          <w:t>https://doi.org/10.1093/fampra/cmab055</w:t>
        </w:r>
      </w:hyperlink>
    </w:p>
    <w:p w14:paraId="7A4C3264" w14:textId="77777777" w:rsidR="00E13D3F" w:rsidRDefault="00E13D3F">
      <w:pPr>
        <w:pStyle w:val="ListParagraph"/>
        <w:jc w:val="both"/>
        <w:sectPr w:rsidR="00E13D3F">
          <w:pgSz w:w="11910" w:h="16840"/>
          <w:pgMar w:top="1400" w:right="0" w:bottom="1200" w:left="0" w:header="0" w:footer="1000" w:gutter="0"/>
          <w:cols w:space="720"/>
        </w:sectPr>
      </w:pPr>
    </w:p>
    <w:p w14:paraId="7A4C3265" w14:textId="77777777" w:rsidR="00E13D3F" w:rsidRDefault="00FB2D6A" w:rsidP="00990D2B">
      <w:pPr>
        <w:pStyle w:val="Heading1"/>
        <w:numPr>
          <w:ilvl w:val="0"/>
          <w:numId w:val="53"/>
        </w:numPr>
        <w:tabs>
          <w:tab w:val="left" w:pos="1841"/>
        </w:tabs>
        <w:ind w:left="1841" w:hanging="401"/>
        <w:rPr>
          <w:color w:val="2E5395"/>
          <w:u w:color="2E5395"/>
        </w:rPr>
      </w:pPr>
      <w:r>
        <w:rPr>
          <w:color w:val="2E5395"/>
          <w:spacing w:val="-7"/>
          <w:u w:color="2E5395"/>
        </w:rPr>
        <w:lastRenderedPageBreak/>
        <w:t xml:space="preserve"> </w:t>
      </w:r>
      <w:r>
        <w:rPr>
          <w:color w:val="2E5395"/>
          <w:u w:color="2E5395"/>
        </w:rPr>
        <w:t>The</w:t>
      </w:r>
      <w:r>
        <w:rPr>
          <w:color w:val="2E5395"/>
          <w:spacing w:val="-7"/>
          <w:u w:color="2E5395"/>
        </w:rPr>
        <w:t xml:space="preserve"> </w:t>
      </w:r>
      <w:r>
        <w:rPr>
          <w:color w:val="2E5395"/>
          <w:u w:color="2E5395"/>
        </w:rPr>
        <w:t>Health</w:t>
      </w:r>
      <w:r>
        <w:rPr>
          <w:color w:val="2E5395"/>
          <w:spacing w:val="-6"/>
          <w:u w:color="2E5395"/>
        </w:rPr>
        <w:t xml:space="preserve"> </w:t>
      </w:r>
      <w:r>
        <w:rPr>
          <w:color w:val="2E5395"/>
          <w:u w:color="2E5395"/>
        </w:rPr>
        <w:t>Assessment</w:t>
      </w:r>
      <w:r>
        <w:rPr>
          <w:color w:val="2E5395"/>
          <w:spacing w:val="-7"/>
          <w:u w:color="2E5395"/>
        </w:rPr>
        <w:t xml:space="preserve"> </w:t>
      </w:r>
      <w:r>
        <w:rPr>
          <w:color w:val="2E5395"/>
          <w:u w:color="2E5395"/>
        </w:rPr>
        <w:t>component:</w:t>
      </w:r>
      <w:r>
        <w:rPr>
          <w:color w:val="2E5395"/>
          <w:spacing w:val="-7"/>
          <w:u w:color="2E5395"/>
        </w:rPr>
        <w:t xml:space="preserve"> </w:t>
      </w:r>
      <w:r>
        <w:rPr>
          <w:color w:val="2E5395"/>
          <w:spacing w:val="-2"/>
          <w:u w:color="2E5395"/>
        </w:rPr>
        <w:t>Osteoporosis</w:t>
      </w:r>
    </w:p>
    <w:p w14:paraId="7A4C3266" w14:textId="77777777" w:rsidR="00E13D3F" w:rsidRDefault="00FB2D6A">
      <w:pPr>
        <w:pStyle w:val="Heading2"/>
        <w:spacing w:before="72"/>
      </w:pPr>
      <w:r>
        <w:rPr>
          <w:color w:val="2E5395"/>
        </w:rPr>
        <w:t>Background</w:t>
      </w:r>
      <w:r>
        <w:rPr>
          <w:color w:val="2E5395"/>
          <w:spacing w:val="-11"/>
        </w:rPr>
        <w:t xml:space="preserve"> </w:t>
      </w:r>
      <w:r>
        <w:rPr>
          <w:color w:val="2E5395"/>
        </w:rPr>
        <w:t>and</w:t>
      </w:r>
      <w:r>
        <w:rPr>
          <w:color w:val="2E5395"/>
          <w:spacing w:val="-10"/>
        </w:rPr>
        <w:t xml:space="preserve"> </w:t>
      </w:r>
      <w:r>
        <w:rPr>
          <w:color w:val="2E5395"/>
          <w:spacing w:val="-2"/>
        </w:rPr>
        <w:t>Description</w:t>
      </w:r>
    </w:p>
    <w:p w14:paraId="7A4C3267" w14:textId="77777777" w:rsidR="00E13D3F" w:rsidRDefault="00FB2D6A">
      <w:pPr>
        <w:pStyle w:val="BodyText"/>
        <w:spacing w:before="23" w:line="276" w:lineRule="auto"/>
        <w:ind w:right="1450"/>
      </w:pPr>
      <w:r>
        <w:t>Osteoporosis (defined as bone mineral density T-score of ≤ -2.5) is a major risk factor for fractures, and hence causes significant pain, distress and disability, family burden and generates substantial healthcare costs. In 2017, self-reported ABS surveys revealed that almost one million Australians were diagnosed with osteoporosis or osteopenia (1), with women</w:t>
      </w:r>
      <w:r>
        <w:rPr>
          <w:spacing w:val="-2"/>
        </w:rPr>
        <w:t xml:space="preserve"> </w:t>
      </w:r>
      <w:r>
        <w:t>being</w:t>
      </w:r>
      <w:r>
        <w:rPr>
          <w:spacing w:val="-5"/>
        </w:rPr>
        <w:t xml:space="preserve"> </w:t>
      </w:r>
      <w:r>
        <w:t>more</w:t>
      </w:r>
      <w:r>
        <w:rPr>
          <w:spacing w:val="-4"/>
        </w:rPr>
        <w:t xml:space="preserve"> </w:t>
      </w:r>
      <w:r>
        <w:t>likely</w:t>
      </w:r>
      <w:r>
        <w:rPr>
          <w:spacing w:val="-3"/>
        </w:rPr>
        <w:t xml:space="preserve"> </w:t>
      </w:r>
      <w:r>
        <w:t>than</w:t>
      </w:r>
      <w:r>
        <w:rPr>
          <w:spacing w:val="-2"/>
        </w:rPr>
        <w:t xml:space="preserve"> </w:t>
      </w:r>
      <w:r>
        <w:t>men</w:t>
      </w:r>
      <w:r>
        <w:rPr>
          <w:spacing w:val="-4"/>
        </w:rPr>
        <w:t xml:space="preserve"> </w:t>
      </w:r>
      <w:r>
        <w:t>to</w:t>
      </w:r>
      <w:r>
        <w:rPr>
          <w:spacing w:val="-4"/>
        </w:rPr>
        <w:t xml:space="preserve"> </w:t>
      </w:r>
      <w:r>
        <w:t>report</w:t>
      </w:r>
      <w:r>
        <w:rPr>
          <w:spacing w:val="-4"/>
        </w:rPr>
        <w:t xml:space="preserve"> </w:t>
      </w:r>
      <w:r>
        <w:t>being</w:t>
      </w:r>
      <w:r>
        <w:rPr>
          <w:spacing w:val="-3"/>
        </w:rPr>
        <w:t xml:space="preserve"> </w:t>
      </w:r>
      <w:r>
        <w:t>diagnosed</w:t>
      </w:r>
      <w:r>
        <w:rPr>
          <w:spacing w:val="-2"/>
        </w:rPr>
        <w:t xml:space="preserve"> </w:t>
      </w:r>
      <w:r>
        <w:t>(29%</w:t>
      </w:r>
      <w:r>
        <w:rPr>
          <w:spacing w:val="-2"/>
        </w:rPr>
        <w:t xml:space="preserve"> </w:t>
      </w:r>
      <w:r>
        <w:t>vs</w:t>
      </w:r>
      <w:r>
        <w:rPr>
          <w:spacing w:val="-6"/>
        </w:rPr>
        <w:t xml:space="preserve"> </w:t>
      </w:r>
      <w:r>
        <w:t>10%</w:t>
      </w:r>
      <w:r>
        <w:rPr>
          <w:spacing w:val="-2"/>
        </w:rPr>
        <w:t xml:space="preserve"> </w:t>
      </w:r>
      <w:r>
        <w:t>of</w:t>
      </w:r>
      <w:r>
        <w:rPr>
          <w:spacing w:val="-4"/>
        </w:rPr>
        <w:t xml:space="preserve"> </w:t>
      </w:r>
      <w:r>
        <w:t>those</w:t>
      </w:r>
      <w:r>
        <w:rPr>
          <w:spacing w:val="-4"/>
        </w:rPr>
        <w:t xml:space="preserve"> </w:t>
      </w:r>
      <w:r>
        <w:t>aged</w:t>
      </w:r>
    </w:p>
    <w:p w14:paraId="7A4C3268" w14:textId="77777777" w:rsidR="00E13D3F" w:rsidRDefault="00FB2D6A">
      <w:pPr>
        <w:pStyle w:val="BodyText"/>
        <w:spacing w:line="276" w:lineRule="auto"/>
        <w:ind w:right="1519"/>
      </w:pPr>
      <w:r>
        <w:t>≥75 years). Others have projected that 6.2 million Australians aged ≥ 50 years will have osteoporosis</w:t>
      </w:r>
      <w:r>
        <w:rPr>
          <w:spacing w:val="-4"/>
        </w:rPr>
        <w:t xml:space="preserve"> </w:t>
      </w:r>
      <w:r>
        <w:t>or</w:t>
      </w:r>
      <w:r>
        <w:rPr>
          <w:spacing w:val="-3"/>
        </w:rPr>
        <w:t xml:space="preserve"> </w:t>
      </w:r>
      <w:r>
        <w:t>osteopenia</w:t>
      </w:r>
      <w:r>
        <w:rPr>
          <w:spacing w:val="-2"/>
        </w:rPr>
        <w:t xml:space="preserve"> </w:t>
      </w:r>
      <w:r>
        <w:t>by</w:t>
      </w:r>
      <w:r>
        <w:rPr>
          <w:spacing w:val="-5"/>
        </w:rPr>
        <w:t xml:space="preserve"> </w:t>
      </w:r>
      <w:r>
        <w:t>2022 (2).</w:t>
      </w:r>
      <w:r>
        <w:rPr>
          <w:spacing w:val="-3"/>
        </w:rPr>
        <w:t xml:space="preserve"> </w:t>
      </w:r>
      <w:r>
        <w:t>A</w:t>
      </w:r>
      <w:r>
        <w:rPr>
          <w:spacing w:val="-3"/>
        </w:rPr>
        <w:t xml:space="preserve"> </w:t>
      </w:r>
      <w:r>
        <w:t>similar</w:t>
      </w:r>
      <w:r>
        <w:rPr>
          <w:spacing w:val="-4"/>
        </w:rPr>
        <w:t xml:space="preserve"> </w:t>
      </w:r>
      <w:r>
        <w:t>increase</w:t>
      </w:r>
      <w:r>
        <w:rPr>
          <w:spacing w:val="-4"/>
        </w:rPr>
        <w:t xml:space="preserve"> </w:t>
      </w:r>
      <w:r>
        <w:t>in</w:t>
      </w:r>
      <w:r>
        <w:rPr>
          <w:spacing w:val="-3"/>
        </w:rPr>
        <w:t xml:space="preserve"> </w:t>
      </w:r>
      <w:r>
        <w:t>the</w:t>
      </w:r>
      <w:r>
        <w:rPr>
          <w:spacing w:val="-1"/>
        </w:rPr>
        <w:t xml:space="preserve"> </w:t>
      </w:r>
      <w:r>
        <w:t>rate</w:t>
      </w:r>
      <w:r>
        <w:rPr>
          <w:spacing w:val="-3"/>
        </w:rPr>
        <w:t xml:space="preserve"> </w:t>
      </w:r>
      <w:r>
        <w:t>of</w:t>
      </w:r>
      <w:r>
        <w:rPr>
          <w:spacing w:val="-3"/>
        </w:rPr>
        <w:t xml:space="preserve"> </w:t>
      </w:r>
      <w:r>
        <w:t>fracture</w:t>
      </w:r>
      <w:r>
        <w:rPr>
          <w:spacing w:val="-3"/>
        </w:rPr>
        <w:t xml:space="preserve"> </w:t>
      </w:r>
      <w:r>
        <w:t>to</w:t>
      </w:r>
      <w:r>
        <w:rPr>
          <w:spacing w:val="-4"/>
        </w:rPr>
        <w:t xml:space="preserve"> </w:t>
      </w:r>
      <w:r>
        <w:t>183,105 in 2022 has been anticipated unless improvements in diagnosis and treatment of osteoporosis are in place.</w:t>
      </w:r>
    </w:p>
    <w:p w14:paraId="7A4C3269" w14:textId="77777777" w:rsidR="00E13D3F" w:rsidRDefault="00E13D3F">
      <w:pPr>
        <w:pStyle w:val="BodyText"/>
        <w:spacing w:before="45"/>
        <w:ind w:left="0"/>
      </w:pPr>
    </w:p>
    <w:p w14:paraId="7A4C326A" w14:textId="77777777" w:rsidR="00E13D3F" w:rsidRDefault="00FB2D6A">
      <w:pPr>
        <w:pStyle w:val="BodyText"/>
        <w:spacing w:line="276" w:lineRule="auto"/>
        <w:ind w:right="1381"/>
      </w:pPr>
      <w:r>
        <w:t>In Australia, RACGP recommends fracture risk assessment in older women (≥45 years) and men</w:t>
      </w:r>
      <w:r>
        <w:rPr>
          <w:spacing w:val="-1"/>
        </w:rPr>
        <w:t xml:space="preserve"> </w:t>
      </w:r>
      <w:r>
        <w:t>(≥50</w:t>
      </w:r>
      <w:r>
        <w:rPr>
          <w:spacing w:val="-2"/>
        </w:rPr>
        <w:t xml:space="preserve"> </w:t>
      </w:r>
      <w:r>
        <w:t>years)</w:t>
      </w:r>
      <w:r>
        <w:rPr>
          <w:spacing w:val="-6"/>
        </w:rPr>
        <w:t xml:space="preserve"> </w:t>
      </w:r>
      <w:r>
        <w:t>with</w:t>
      </w:r>
      <w:r>
        <w:rPr>
          <w:spacing w:val="-2"/>
        </w:rPr>
        <w:t xml:space="preserve"> </w:t>
      </w:r>
      <w:r>
        <w:t>minimal</w:t>
      </w:r>
      <w:r>
        <w:rPr>
          <w:spacing w:val="-4"/>
        </w:rPr>
        <w:t xml:space="preserve"> </w:t>
      </w:r>
      <w:r>
        <w:t>trauma</w:t>
      </w:r>
      <w:r>
        <w:rPr>
          <w:spacing w:val="-3"/>
        </w:rPr>
        <w:t xml:space="preserve"> </w:t>
      </w:r>
      <w:r>
        <w:t>fracture,</w:t>
      </w:r>
      <w:r>
        <w:rPr>
          <w:spacing w:val="-2"/>
        </w:rPr>
        <w:t xml:space="preserve"> </w:t>
      </w:r>
      <w:r>
        <w:t>and</w:t>
      </w:r>
      <w:r>
        <w:rPr>
          <w:spacing w:val="-2"/>
        </w:rPr>
        <w:t xml:space="preserve"> </w:t>
      </w:r>
      <w:r>
        <w:t>in</w:t>
      </w:r>
      <w:r>
        <w:rPr>
          <w:spacing w:val="-4"/>
        </w:rPr>
        <w:t xml:space="preserve"> </w:t>
      </w:r>
      <w:r>
        <w:t>people</w:t>
      </w:r>
      <w:r>
        <w:rPr>
          <w:spacing w:val="-2"/>
        </w:rPr>
        <w:t xml:space="preserve"> </w:t>
      </w:r>
      <w:r>
        <w:t>aged ≥70</w:t>
      </w:r>
      <w:r>
        <w:rPr>
          <w:spacing w:val="-4"/>
        </w:rPr>
        <w:t xml:space="preserve"> </w:t>
      </w:r>
      <w:r>
        <w:t>years</w:t>
      </w:r>
      <w:r>
        <w:rPr>
          <w:spacing w:val="-3"/>
        </w:rPr>
        <w:t xml:space="preserve"> </w:t>
      </w:r>
      <w:r>
        <w:t>without</w:t>
      </w:r>
      <w:r>
        <w:rPr>
          <w:spacing w:val="-4"/>
        </w:rPr>
        <w:t xml:space="preserve"> </w:t>
      </w:r>
      <w:r>
        <w:t>history of minimal trauma fracture (3). However, the high cost, potential harms, and evidence for initiation of this practice has been subsequently considered insufficient in the international literature to support the community-wide activity. Several calls for updated guidelines have been made in the past decade by clinical societies given the advent of new clinical assessment tools and bone density measuring technology, the new medications available, and conflicting evidence up to 2017.</w:t>
      </w:r>
    </w:p>
    <w:p w14:paraId="7A4C326B" w14:textId="77777777" w:rsidR="00E13D3F" w:rsidRDefault="00E13D3F">
      <w:pPr>
        <w:pStyle w:val="BodyText"/>
        <w:spacing w:before="89"/>
        <w:ind w:left="0"/>
      </w:pPr>
    </w:p>
    <w:p w14:paraId="7A4C326C" w14:textId="77777777" w:rsidR="00E13D3F" w:rsidRDefault="00FB2D6A">
      <w:pPr>
        <w:pStyle w:val="Heading2"/>
      </w:pPr>
      <w:r>
        <w:rPr>
          <w:color w:val="2E5395"/>
        </w:rPr>
        <w:t>Evidence</w:t>
      </w:r>
      <w:r>
        <w:rPr>
          <w:color w:val="2E5395"/>
          <w:spacing w:val="-9"/>
        </w:rPr>
        <w:t xml:space="preserve"> </w:t>
      </w:r>
      <w:r>
        <w:rPr>
          <w:color w:val="2E5395"/>
        </w:rPr>
        <w:t>of</w:t>
      </w:r>
      <w:r>
        <w:rPr>
          <w:color w:val="2E5395"/>
          <w:spacing w:val="-10"/>
        </w:rPr>
        <w:t xml:space="preserve"> </w:t>
      </w:r>
      <w:r>
        <w:rPr>
          <w:color w:val="2E5395"/>
          <w:spacing w:val="-2"/>
        </w:rPr>
        <w:t>Effectiveness</w:t>
      </w:r>
    </w:p>
    <w:p w14:paraId="7A4C326D" w14:textId="77777777" w:rsidR="00E13D3F" w:rsidRDefault="00FB2D6A">
      <w:pPr>
        <w:pStyle w:val="BodyText"/>
        <w:spacing w:before="26" w:line="276" w:lineRule="auto"/>
        <w:ind w:right="1450"/>
      </w:pPr>
      <w:r>
        <w:t>This section aims to evaluate the current evidence for effectiveness of risk assessment in reducing</w:t>
      </w:r>
      <w:r>
        <w:rPr>
          <w:spacing w:val="-3"/>
        </w:rPr>
        <w:t xml:space="preserve"> </w:t>
      </w:r>
      <w:r>
        <w:t>osteoporosis-related</w:t>
      </w:r>
      <w:r>
        <w:rPr>
          <w:spacing w:val="-4"/>
        </w:rPr>
        <w:t xml:space="preserve"> </w:t>
      </w:r>
      <w:r>
        <w:t>fractures,</w:t>
      </w:r>
      <w:r>
        <w:rPr>
          <w:spacing w:val="-5"/>
        </w:rPr>
        <w:t xml:space="preserve"> </w:t>
      </w:r>
      <w:r>
        <w:t>based</w:t>
      </w:r>
      <w:r>
        <w:rPr>
          <w:spacing w:val="-4"/>
        </w:rPr>
        <w:t xml:space="preserve"> </w:t>
      </w:r>
      <w:r>
        <w:t>on</w:t>
      </w:r>
      <w:r>
        <w:rPr>
          <w:spacing w:val="-4"/>
        </w:rPr>
        <w:t xml:space="preserve"> </w:t>
      </w:r>
      <w:r>
        <w:t>a</w:t>
      </w:r>
      <w:r>
        <w:rPr>
          <w:spacing w:val="-2"/>
        </w:rPr>
        <w:t xml:space="preserve"> </w:t>
      </w:r>
      <w:r>
        <w:t>key</w:t>
      </w:r>
      <w:r>
        <w:rPr>
          <w:spacing w:val="-3"/>
        </w:rPr>
        <w:t xml:space="preserve"> </w:t>
      </w:r>
      <w:r>
        <w:t>systematic</w:t>
      </w:r>
      <w:r>
        <w:rPr>
          <w:spacing w:val="-3"/>
        </w:rPr>
        <w:t xml:space="preserve"> </w:t>
      </w:r>
      <w:r>
        <w:t>review</w:t>
      </w:r>
      <w:r>
        <w:rPr>
          <w:spacing w:val="-4"/>
        </w:rPr>
        <w:t xml:space="preserve"> </w:t>
      </w:r>
      <w:r>
        <w:t>and</w:t>
      </w:r>
      <w:r>
        <w:rPr>
          <w:spacing w:val="-4"/>
        </w:rPr>
        <w:t xml:space="preserve"> </w:t>
      </w:r>
      <w:r>
        <w:t>two</w:t>
      </w:r>
      <w:r>
        <w:rPr>
          <w:spacing w:val="-2"/>
        </w:rPr>
        <w:t xml:space="preserve"> </w:t>
      </w:r>
      <w:r>
        <w:t xml:space="preserve">recent </w:t>
      </w:r>
      <w:r>
        <w:rPr>
          <w:spacing w:val="-2"/>
        </w:rPr>
        <w:t>RCTs.</w:t>
      </w:r>
    </w:p>
    <w:p w14:paraId="7A4C326E" w14:textId="77777777" w:rsidR="00E13D3F" w:rsidRDefault="00FB2D6A">
      <w:pPr>
        <w:pStyle w:val="BodyText"/>
        <w:spacing w:line="276" w:lineRule="auto"/>
        <w:ind w:right="1450"/>
      </w:pPr>
      <w:r>
        <w:rPr>
          <w:b/>
        </w:rPr>
        <w:t xml:space="preserve">Indirect evidence: </w:t>
      </w:r>
      <w:r>
        <w:t xml:space="preserve">Merlijn et al., 2019 conducted a systematic review (AMSTAR 7) of </w:t>
      </w:r>
      <w:r>
        <w:rPr>
          <w:b/>
        </w:rPr>
        <w:t xml:space="preserve">three </w:t>
      </w:r>
      <w:r>
        <w:t>trials specifically answering the question of fracture prevention through osteoporosis risk screening</w:t>
      </w:r>
      <w:r>
        <w:rPr>
          <w:spacing w:val="-5"/>
        </w:rPr>
        <w:t xml:space="preserve"> </w:t>
      </w:r>
      <w:r>
        <w:t>in</w:t>
      </w:r>
      <w:r>
        <w:rPr>
          <w:spacing w:val="-4"/>
        </w:rPr>
        <w:t xml:space="preserve"> </w:t>
      </w:r>
      <w:r>
        <w:t>women</w:t>
      </w:r>
      <w:r>
        <w:rPr>
          <w:spacing w:val="-4"/>
        </w:rPr>
        <w:t xml:space="preserve"> </w:t>
      </w:r>
      <w:r>
        <w:t>with</w:t>
      </w:r>
      <w:r>
        <w:rPr>
          <w:spacing w:val="-4"/>
        </w:rPr>
        <w:t xml:space="preserve"> </w:t>
      </w:r>
      <w:r>
        <w:t>at</w:t>
      </w:r>
      <w:r>
        <w:rPr>
          <w:spacing w:val="-2"/>
        </w:rPr>
        <w:t xml:space="preserve"> </w:t>
      </w:r>
      <w:r>
        <w:t>least</w:t>
      </w:r>
      <w:r>
        <w:rPr>
          <w:spacing w:val="-4"/>
        </w:rPr>
        <w:t xml:space="preserve"> </w:t>
      </w:r>
      <w:r>
        <w:t>bone</w:t>
      </w:r>
      <w:r>
        <w:rPr>
          <w:spacing w:val="-4"/>
        </w:rPr>
        <w:t xml:space="preserve"> </w:t>
      </w:r>
      <w:r>
        <w:t>densitometry</w:t>
      </w:r>
      <w:r>
        <w:rPr>
          <w:spacing w:val="-3"/>
        </w:rPr>
        <w:t xml:space="preserve"> </w:t>
      </w:r>
      <w:r>
        <w:t>(4).</w:t>
      </w:r>
      <w:r>
        <w:rPr>
          <w:spacing w:val="-4"/>
        </w:rPr>
        <w:t xml:space="preserve"> </w:t>
      </w:r>
      <w:r>
        <w:t>Three</w:t>
      </w:r>
      <w:r>
        <w:rPr>
          <w:spacing w:val="-2"/>
        </w:rPr>
        <w:t xml:space="preserve"> </w:t>
      </w:r>
      <w:r>
        <w:t>community-based</w:t>
      </w:r>
      <w:r>
        <w:rPr>
          <w:spacing w:val="-2"/>
        </w:rPr>
        <w:t xml:space="preserve"> </w:t>
      </w:r>
      <w:r>
        <w:t>trials</w:t>
      </w:r>
      <w:r>
        <w:rPr>
          <w:spacing w:val="-3"/>
        </w:rPr>
        <w:t xml:space="preserve"> </w:t>
      </w:r>
      <w:r>
        <w:t>from Denmark, The Netherlands and the UK, met the inclusion criteria, with a total of 42,120 women aged 65+ years in the former two and aged 70-85 in the latter (5-7). Follow-up periods for outcomes of interest were substantial and varied from 3.7 to 5 years. While the authors found that osteoporosis risk assessment did not reduce overall fracture rates (aggregated reduction across 3 studies was a 5% reduction but the effect ranged from 11% reduction to</w:t>
      </w:r>
      <w:r>
        <w:rPr>
          <w:spacing w:val="-1"/>
        </w:rPr>
        <w:t xml:space="preserve"> </w:t>
      </w:r>
      <w:r>
        <w:t>2% increased risk) or similar estimates for overall</w:t>
      </w:r>
      <w:r>
        <w:rPr>
          <w:spacing w:val="-1"/>
        </w:rPr>
        <w:t xml:space="preserve"> </w:t>
      </w:r>
      <w:r>
        <w:t>osteoporotic fractures, meta-analysis demonstrated a significant and clinically important reduction in major osteoporotic fractures ( pooled effect was 9% reduction ranging from 2% to 16% across studies) and hip fractures (overall effect was 20% reduction, ranging from 9% to 29% across studies). Details of individual studies are shown in the summary of findings table below (Table 10.1).</w:t>
      </w:r>
    </w:p>
    <w:p w14:paraId="7A4C326F" w14:textId="77777777" w:rsidR="00E13D3F" w:rsidRDefault="00FB2D6A">
      <w:pPr>
        <w:pStyle w:val="BodyText"/>
        <w:spacing w:line="276" w:lineRule="auto"/>
        <w:ind w:right="1137"/>
      </w:pPr>
      <w:r>
        <w:rPr>
          <w:b/>
        </w:rPr>
        <w:t>Direct</w:t>
      </w:r>
      <w:r>
        <w:rPr>
          <w:b/>
          <w:spacing w:val="-2"/>
        </w:rPr>
        <w:t xml:space="preserve"> </w:t>
      </w:r>
      <w:r>
        <w:rPr>
          <w:b/>
        </w:rPr>
        <w:t>evidence:</w:t>
      </w:r>
      <w:r>
        <w:rPr>
          <w:b/>
          <w:spacing w:val="-1"/>
        </w:rPr>
        <w:t xml:space="preserve"> </w:t>
      </w:r>
      <w:r>
        <w:t>Rapp</w:t>
      </w:r>
      <w:r>
        <w:rPr>
          <w:spacing w:val="-2"/>
        </w:rPr>
        <w:t xml:space="preserve"> </w:t>
      </w:r>
      <w:r>
        <w:t>et</w:t>
      </w:r>
      <w:r>
        <w:rPr>
          <w:spacing w:val="-4"/>
        </w:rPr>
        <w:t xml:space="preserve"> </w:t>
      </w:r>
      <w:r>
        <w:t>al.,</w:t>
      </w:r>
      <w:r>
        <w:rPr>
          <w:spacing w:val="-3"/>
        </w:rPr>
        <w:t xml:space="preserve"> </w:t>
      </w:r>
      <w:r>
        <w:t>2022</w:t>
      </w:r>
      <w:r>
        <w:rPr>
          <w:spacing w:val="-2"/>
        </w:rPr>
        <w:t xml:space="preserve"> </w:t>
      </w:r>
      <w:r>
        <w:t>conducted</w:t>
      </w:r>
      <w:r>
        <w:rPr>
          <w:spacing w:val="-2"/>
        </w:rPr>
        <w:t xml:space="preserve"> </w:t>
      </w:r>
      <w:r>
        <w:t>a</w:t>
      </w:r>
      <w:r>
        <w:rPr>
          <w:spacing w:val="-3"/>
        </w:rPr>
        <w:t xml:space="preserve"> </w:t>
      </w:r>
      <w:r>
        <w:t>cluster</w:t>
      </w:r>
      <w:r>
        <w:rPr>
          <w:spacing w:val="-4"/>
        </w:rPr>
        <w:t xml:space="preserve"> </w:t>
      </w:r>
      <w:proofErr w:type="spellStart"/>
      <w:r>
        <w:t>randomised</w:t>
      </w:r>
      <w:proofErr w:type="spellEnd"/>
      <w:r>
        <w:rPr>
          <w:spacing w:val="-4"/>
        </w:rPr>
        <w:t xml:space="preserve"> </w:t>
      </w:r>
      <w:r>
        <w:t>trial</w:t>
      </w:r>
      <w:r>
        <w:rPr>
          <w:spacing w:val="-4"/>
        </w:rPr>
        <w:t xml:space="preserve"> </w:t>
      </w:r>
      <w:r>
        <w:t>of</w:t>
      </w:r>
      <w:r>
        <w:rPr>
          <w:spacing w:val="-4"/>
        </w:rPr>
        <w:t xml:space="preserve"> </w:t>
      </w:r>
      <w:r>
        <w:t>community-living people with or without history of fragility fractures in the past 5 years (8). The intervention (conducted between 2015 and 2018) had testing bone density assessment (DXA) followed</w:t>
      </w:r>
    </w:p>
    <w:p w14:paraId="7A4C3270" w14:textId="77777777" w:rsidR="00E13D3F" w:rsidRDefault="00E13D3F">
      <w:pPr>
        <w:pStyle w:val="BodyText"/>
        <w:spacing w:line="276" w:lineRule="auto"/>
        <w:sectPr w:rsidR="00E13D3F">
          <w:pgSz w:w="11910" w:h="16840"/>
          <w:pgMar w:top="1400" w:right="0" w:bottom="1200" w:left="0" w:header="0" w:footer="1000" w:gutter="0"/>
          <w:cols w:space="720"/>
        </w:sectPr>
      </w:pPr>
    </w:p>
    <w:p w14:paraId="7A4C3271" w14:textId="77777777" w:rsidR="00E13D3F" w:rsidRDefault="00FB2D6A">
      <w:pPr>
        <w:pStyle w:val="BodyText"/>
        <w:spacing w:before="41" w:line="276" w:lineRule="auto"/>
        <w:ind w:right="1450"/>
      </w:pPr>
      <w:r>
        <w:lastRenderedPageBreak/>
        <w:t>by</w:t>
      </w:r>
      <w:r>
        <w:rPr>
          <w:spacing w:val="-3"/>
        </w:rPr>
        <w:t xml:space="preserve"> </w:t>
      </w:r>
      <w:r>
        <w:t>exercise</w:t>
      </w:r>
      <w:r>
        <w:rPr>
          <w:spacing w:val="-2"/>
        </w:rPr>
        <w:t xml:space="preserve"> </w:t>
      </w:r>
      <w:r>
        <w:t>class</w:t>
      </w:r>
      <w:r>
        <w:rPr>
          <w:spacing w:val="-4"/>
        </w:rPr>
        <w:t xml:space="preserve"> </w:t>
      </w:r>
      <w:r>
        <w:t>and</w:t>
      </w:r>
      <w:r>
        <w:rPr>
          <w:spacing w:val="-4"/>
        </w:rPr>
        <w:t xml:space="preserve"> </w:t>
      </w:r>
      <w:r>
        <w:t>safety</w:t>
      </w:r>
      <w:r>
        <w:rPr>
          <w:spacing w:val="-3"/>
        </w:rPr>
        <w:t xml:space="preserve"> </w:t>
      </w:r>
      <w:r>
        <w:t>advice</w:t>
      </w:r>
      <w:r>
        <w:rPr>
          <w:spacing w:val="-5"/>
        </w:rPr>
        <w:t xml:space="preserve"> </w:t>
      </w:r>
      <w:r>
        <w:t>on</w:t>
      </w:r>
      <w:r>
        <w:rPr>
          <w:spacing w:val="-4"/>
        </w:rPr>
        <w:t xml:space="preserve"> </w:t>
      </w:r>
      <w:r>
        <w:t>the</w:t>
      </w:r>
      <w:r>
        <w:rPr>
          <w:spacing w:val="-2"/>
        </w:rPr>
        <w:t xml:space="preserve"> </w:t>
      </w:r>
      <w:r>
        <w:t>living</w:t>
      </w:r>
      <w:r>
        <w:rPr>
          <w:spacing w:val="-3"/>
        </w:rPr>
        <w:t xml:space="preserve"> </w:t>
      </w:r>
      <w:r>
        <w:t>environment</w:t>
      </w:r>
      <w:r>
        <w:rPr>
          <w:spacing w:val="-4"/>
        </w:rPr>
        <w:t xml:space="preserve"> </w:t>
      </w:r>
      <w:r>
        <w:t>(n=9,599)</w:t>
      </w:r>
      <w:r>
        <w:rPr>
          <w:spacing w:val="-3"/>
        </w:rPr>
        <w:t xml:space="preserve"> </w:t>
      </w:r>
      <w:r>
        <w:t>and</w:t>
      </w:r>
      <w:r>
        <w:rPr>
          <w:spacing w:val="-2"/>
        </w:rPr>
        <w:t xml:space="preserve"> </w:t>
      </w:r>
      <w:r>
        <w:t>the</w:t>
      </w:r>
      <w:r>
        <w:rPr>
          <w:spacing w:val="-2"/>
        </w:rPr>
        <w:t xml:space="preserve"> </w:t>
      </w:r>
      <w:r>
        <w:t>comparison group were people in the same age group (70-85 years) living in the control Districts and receiving usual care (n=27,318). Overall, the incidence of fractures did not differ between groups, but there was a reduction of femoral fractures in the intervention group after one year of follow-up.</w:t>
      </w:r>
    </w:p>
    <w:p w14:paraId="7A4C3272" w14:textId="77777777" w:rsidR="00E13D3F" w:rsidRDefault="00FB2D6A">
      <w:pPr>
        <w:pStyle w:val="BodyText"/>
        <w:spacing w:line="276" w:lineRule="auto"/>
        <w:ind w:right="1631"/>
      </w:pPr>
      <w:r>
        <w:rPr>
          <w:b/>
        </w:rPr>
        <w:t>Direct evidence</w:t>
      </w:r>
      <w:r>
        <w:t xml:space="preserve">: Osaki et al., 2021 conducted a small (n=163) </w:t>
      </w:r>
      <w:proofErr w:type="spellStart"/>
      <w:r>
        <w:t>randomised</w:t>
      </w:r>
      <w:proofErr w:type="spellEnd"/>
      <w:r>
        <w:t xml:space="preserve"> trial to prevent re-fractures</w:t>
      </w:r>
      <w:r>
        <w:rPr>
          <w:spacing w:val="-3"/>
        </w:rPr>
        <w:t xml:space="preserve"> </w:t>
      </w:r>
      <w:r>
        <w:t>in</w:t>
      </w:r>
      <w:r>
        <w:rPr>
          <w:spacing w:val="-4"/>
        </w:rPr>
        <w:t xml:space="preserve"> </w:t>
      </w:r>
      <w:r>
        <w:t>older</w:t>
      </w:r>
      <w:r>
        <w:rPr>
          <w:spacing w:val="-2"/>
        </w:rPr>
        <w:t xml:space="preserve"> </w:t>
      </w:r>
      <w:r>
        <w:t>(aged ≥50</w:t>
      </w:r>
      <w:r>
        <w:rPr>
          <w:spacing w:val="-2"/>
        </w:rPr>
        <w:t xml:space="preserve"> </w:t>
      </w:r>
      <w:r>
        <w:t>years)</w:t>
      </w:r>
      <w:r>
        <w:rPr>
          <w:spacing w:val="-4"/>
        </w:rPr>
        <w:t xml:space="preserve"> </w:t>
      </w:r>
      <w:r>
        <w:t>men</w:t>
      </w:r>
      <w:r>
        <w:rPr>
          <w:spacing w:val="-4"/>
        </w:rPr>
        <w:t xml:space="preserve"> </w:t>
      </w:r>
      <w:r>
        <w:t>and</w:t>
      </w:r>
      <w:r>
        <w:rPr>
          <w:spacing w:val="-4"/>
        </w:rPr>
        <w:t xml:space="preserve"> </w:t>
      </w:r>
      <w:r>
        <w:t>postmenopausal</w:t>
      </w:r>
      <w:r>
        <w:rPr>
          <w:spacing w:val="-5"/>
        </w:rPr>
        <w:t xml:space="preserve"> </w:t>
      </w:r>
      <w:r>
        <w:t>women</w:t>
      </w:r>
      <w:r>
        <w:rPr>
          <w:spacing w:val="-4"/>
        </w:rPr>
        <w:t xml:space="preserve"> </w:t>
      </w:r>
      <w:r>
        <w:t>in</w:t>
      </w:r>
      <w:r>
        <w:rPr>
          <w:spacing w:val="-6"/>
        </w:rPr>
        <w:t xml:space="preserve"> </w:t>
      </w:r>
      <w:r>
        <w:t>Japan</w:t>
      </w:r>
      <w:r>
        <w:rPr>
          <w:spacing w:val="-4"/>
        </w:rPr>
        <w:t xml:space="preserve"> </w:t>
      </w:r>
      <w:r>
        <w:t>(between</w:t>
      </w:r>
    </w:p>
    <w:p w14:paraId="7A4C3273" w14:textId="77777777" w:rsidR="00E13D3F" w:rsidRDefault="00FB2D6A">
      <w:pPr>
        <w:pStyle w:val="BodyText"/>
        <w:spacing w:before="1" w:line="276" w:lineRule="auto"/>
        <w:ind w:right="1468"/>
      </w:pPr>
      <w:r>
        <w:t>2015</w:t>
      </w:r>
      <w:r>
        <w:rPr>
          <w:spacing w:val="-4"/>
        </w:rPr>
        <w:t xml:space="preserve"> </w:t>
      </w:r>
      <w:r>
        <w:t>and</w:t>
      </w:r>
      <w:r>
        <w:rPr>
          <w:spacing w:val="-2"/>
        </w:rPr>
        <w:t xml:space="preserve"> </w:t>
      </w:r>
      <w:r>
        <w:t>2017)</w:t>
      </w:r>
      <w:r>
        <w:rPr>
          <w:spacing w:val="-1"/>
        </w:rPr>
        <w:t xml:space="preserve"> </w:t>
      </w:r>
      <w:r>
        <w:t>(9).</w:t>
      </w:r>
      <w:r>
        <w:rPr>
          <w:spacing w:val="-4"/>
        </w:rPr>
        <w:t xml:space="preserve"> </w:t>
      </w:r>
      <w:r>
        <w:t>Both</w:t>
      </w:r>
      <w:r>
        <w:rPr>
          <w:spacing w:val="-4"/>
        </w:rPr>
        <w:t xml:space="preserve"> </w:t>
      </w:r>
      <w:r>
        <w:t>study</w:t>
      </w:r>
      <w:r>
        <w:rPr>
          <w:spacing w:val="-3"/>
        </w:rPr>
        <w:t xml:space="preserve"> </w:t>
      </w:r>
      <w:r>
        <w:t>arms</w:t>
      </w:r>
      <w:r>
        <w:rPr>
          <w:spacing w:val="-5"/>
        </w:rPr>
        <w:t xml:space="preserve"> </w:t>
      </w:r>
      <w:r>
        <w:t>received</w:t>
      </w:r>
      <w:r>
        <w:rPr>
          <w:spacing w:val="-4"/>
        </w:rPr>
        <w:t xml:space="preserve"> </w:t>
      </w:r>
      <w:r>
        <w:t>a</w:t>
      </w:r>
      <w:r>
        <w:rPr>
          <w:spacing w:val="-5"/>
        </w:rPr>
        <w:t xml:space="preserve"> </w:t>
      </w:r>
      <w:r>
        <w:t>fracture</w:t>
      </w:r>
      <w:r>
        <w:rPr>
          <w:spacing w:val="-4"/>
        </w:rPr>
        <w:t xml:space="preserve"> </w:t>
      </w:r>
      <w:r>
        <w:t>risk</w:t>
      </w:r>
      <w:r>
        <w:rPr>
          <w:spacing w:val="-4"/>
        </w:rPr>
        <w:t xml:space="preserve"> </w:t>
      </w:r>
      <w:r>
        <w:t>assessment</w:t>
      </w:r>
      <w:r>
        <w:rPr>
          <w:spacing w:val="-2"/>
        </w:rPr>
        <w:t xml:space="preserve"> </w:t>
      </w:r>
      <w:r>
        <w:t>(FRAX),</w:t>
      </w:r>
      <w:r>
        <w:rPr>
          <w:spacing w:val="-3"/>
        </w:rPr>
        <w:t xml:space="preserve"> </w:t>
      </w:r>
      <w:r>
        <w:t>but</w:t>
      </w:r>
      <w:r>
        <w:rPr>
          <w:spacing w:val="-4"/>
        </w:rPr>
        <w:t xml:space="preserve"> </w:t>
      </w:r>
      <w:r>
        <w:t>patients in the</w:t>
      </w:r>
      <w:r>
        <w:rPr>
          <w:spacing w:val="-1"/>
        </w:rPr>
        <w:t xml:space="preserve"> </w:t>
      </w:r>
      <w:r>
        <w:t>intervention group</w:t>
      </w:r>
      <w:r>
        <w:rPr>
          <w:spacing w:val="-1"/>
        </w:rPr>
        <w:t xml:space="preserve"> </w:t>
      </w:r>
      <w:r>
        <w:t>in addition received</w:t>
      </w:r>
      <w:r>
        <w:rPr>
          <w:spacing w:val="-1"/>
        </w:rPr>
        <w:t xml:space="preserve"> </w:t>
      </w:r>
      <w:r>
        <w:t>bone density assessment and were assigned</w:t>
      </w:r>
      <w:r>
        <w:rPr>
          <w:spacing w:val="-1"/>
        </w:rPr>
        <w:t xml:space="preserve"> </w:t>
      </w:r>
      <w:r>
        <w:t>a liaison intervention coordinator. During the two years of follow-up, there were no</w:t>
      </w:r>
      <w:r>
        <w:rPr>
          <w:spacing w:val="40"/>
        </w:rPr>
        <w:t xml:space="preserve"> </w:t>
      </w:r>
      <w:r>
        <w:t xml:space="preserve">significant differences in fracture incidence rates between the two groups at 3, 6, 12 or 24 </w:t>
      </w:r>
      <w:r>
        <w:rPr>
          <w:spacing w:val="-2"/>
        </w:rPr>
        <w:t>months.</w:t>
      </w:r>
    </w:p>
    <w:p w14:paraId="7A4C3274" w14:textId="77777777" w:rsidR="00E13D3F" w:rsidRDefault="00FB2D6A">
      <w:pPr>
        <w:pStyle w:val="BodyText"/>
        <w:spacing w:before="1" w:line="276" w:lineRule="auto"/>
        <w:ind w:right="1450"/>
      </w:pPr>
      <w:r>
        <w:t>Overall, the results of the two recent trials confirmed the lack of effect of osteoporosis risk assessment on fractures found by the initial 3 trials in the meta-analysis. After adding the 2 new trials the pooled estimate changed from 5% to 2% reduction, but neither was statistically</w:t>
      </w:r>
      <w:r>
        <w:rPr>
          <w:spacing w:val="-3"/>
        </w:rPr>
        <w:t xml:space="preserve"> </w:t>
      </w:r>
      <w:r>
        <w:t>significantly</w:t>
      </w:r>
      <w:r>
        <w:rPr>
          <w:spacing w:val="-6"/>
        </w:rPr>
        <w:t xml:space="preserve"> </w:t>
      </w:r>
      <w:r>
        <w:t>different</w:t>
      </w:r>
      <w:r>
        <w:rPr>
          <w:spacing w:val="-4"/>
        </w:rPr>
        <w:t xml:space="preserve"> </w:t>
      </w:r>
      <w:r>
        <w:t>from</w:t>
      </w:r>
      <w:r>
        <w:rPr>
          <w:spacing w:val="-5"/>
        </w:rPr>
        <w:t xml:space="preserve"> </w:t>
      </w:r>
      <w:r>
        <w:t>the</w:t>
      </w:r>
      <w:r>
        <w:rPr>
          <w:spacing w:val="-2"/>
        </w:rPr>
        <w:t xml:space="preserve"> </w:t>
      </w:r>
      <w:r>
        <w:t>control</w:t>
      </w:r>
      <w:r>
        <w:rPr>
          <w:spacing w:val="-2"/>
        </w:rPr>
        <w:t xml:space="preserve"> </w:t>
      </w:r>
      <w:r>
        <w:t>group</w:t>
      </w:r>
      <w:r>
        <w:rPr>
          <w:spacing w:val="-5"/>
        </w:rPr>
        <w:t xml:space="preserve"> </w:t>
      </w:r>
      <w:r>
        <w:t>not</w:t>
      </w:r>
      <w:r>
        <w:rPr>
          <w:spacing w:val="-2"/>
        </w:rPr>
        <w:t xml:space="preserve"> </w:t>
      </w:r>
      <w:r>
        <w:t>having</w:t>
      </w:r>
      <w:r>
        <w:rPr>
          <w:spacing w:val="-5"/>
        </w:rPr>
        <w:t xml:space="preserve"> </w:t>
      </w:r>
      <w:r>
        <w:t>the</w:t>
      </w:r>
      <w:r>
        <w:rPr>
          <w:spacing w:val="-5"/>
        </w:rPr>
        <w:t xml:space="preserve"> </w:t>
      </w:r>
      <w:r>
        <w:t>risk</w:t>
      </w:r>
      <w:r>
        <w:rPr>
          <w:spacing w:val="-4"/>
        </w:rPr>
        <w:t xml:space="preserve"> </w:t>
      </w:r>
      <w:r>
        <w:t>assessment;</w:t>
      </w:r>
      <w:r>
        <w:rPr>
          <w:spacing w:val="-5"/>
        </w:rPr>
        <w:t xml:space="preserve"> </w:t>
      </w:r>
      <w:r>
        <w:t>see updated forest plot (Figure 10.1) and overall summary table (Table 10.1).</w:t>
      </w:r>
    </w:p>
    <w:p w14:paraId="7A4C3275" w14:textId="77777777" w:rsidR="00E13D3F" w:rsidRDefault="00FB2D6A">
      <w:pPr>
        <w:ind w:left="1440"/>
        <w:rPr>
          <w:sz w:val="20"/>
        </w:rPr>
      </w:pPr>
      <w:r>
        <w:rPr>
          <w:noProof/>
          <w:sz w:val="20"/>
        </w:rPr>
        <w:drawing>
          <wp:inline distT="0" distB="0" distL="0" distR="0" wp14:anchorId="7A4C3C4A" wp14:editId="7A4C3C4B">
            <wp:extent cx="5728564" cy="2619375"/>
            <wp:effectExtent l="0" t="0" r="0" b="0"/>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53" cstate="print"/>
                    <a:stretch>
                      <a:fillRect/>
                    </a:stretch>
                  </pic:blipFill>
                  <pic:spPr>
                    <a:xfrm>
                      <a:off x="0" y="0"/>
                      <a:ext cx="5728564" cy="2619375"/>
                    </a:xfrm>
                    <a:prstGeom prst="rect">
                      <a:avLst/>
                    </a:prstGeom>
                  </pic:spPr>
                </pic:pic>
              </a:graphicData>
            </a:graphic>
          </wp:inline>
        </w:drawing>
      </w:r>
    </w:p>
    <w:p w14:paraId="7A4C3276" w14:textId="77777777" w:rsidR="00E13D3F" w:rsidRDefault="00FB2D6A">
      <w:pPr>
        <w:spacing w:before="25"/>
        <w:ind w:left="5698" w:right="1137" w:hanging="4196"/>
      </w:pPr>
      <w:r>
        <w:rPr>
          <w:b/>
        </w:rPr>
        <w:t>Figure</w:t>
      </w:r>
      <w:r>
        <w:rPr>
          <w:b/>
          <w:spacing w:val="-4"/>
        </w:rPr>
        <w:t xml:space="preserve"> </w:t>
      </w:r>
      <w:r>
        <w:rPr>
          <w:b/>
        </w:rPr>
        <w:t xml:space="preserve">10.1. </w:t>
      </w:r>
      <w:r>
        <w:t>Impact</w:t>
      </w:r>
      <w:r>
        <w:rPr>
          <w:spacing w:val="-3"/>
        </w:rPr>
        <w:t xml:space="preserve"> </w:t>
      </w:r>
      <w:r>
        <w:t>of</w:t>
      </w:r>
      <w:r>
        <w:rPr>
          <w:spacing w:val="-4"/>
        </w:rPr>
        <w:t xml:space="preserve"> </w:t>
      </w:r>
      <w:r>
        <w:t>osteoporosis</w:t>
      </w:r>
      <w:r>
        <w:rPr>
          <w:spacing w:val="-1"/>
        </w:rPr>
        <w:t xml:space="preserve"> </w:t>
      </w:r>
      <w:r>
        <w:t>risk</w:t>
      </w:r>
      <w:r>
        <w:rPr>
          <w:spacing w:val="-1"/>
        </w:rPr>
        <w:t xml:space="preserve"> </w:t>
      </w:r>
      <w:r>
        <w:t>assessment</w:t>
      </w:r>
      <w:r>
        <w:rPr>
          <w:spacing w:val="-4"/>
        </w:rPr>
        <w:t xml:space="preserve"> </w:t>
      </w:r>
      <w:r>
        <w:t>on fracture</w:t>
      </w:r>
      <w:r>
        <w:rPr>
          <w:spacing w:val="-1"/>
        </w:rPr>
        <w:t xml:space="preserve"> </w:t>
      </w:r>
      <w:r>
        <w:t>risk.</w:t>
      </w:r>
      <w:r>
        <w:rPr>
          <w:spacing w:val="-1"/>
        </w:rPr>
        <w:t xml:space="preserve"> </w:t>
      </w:r>
      <w:r>
        <w:t>N=5</w:t>
      </w:r>
      <w:r>
        <w:rPr>
          <w:spacing w:val="-1"/>
        </w:rPr>
        <w:t xml:space="preserve"> </w:t>
      </w:r>
      <w:r>
        <w:t>studies</w:t>
      </w:r>
      <w:r>
        <w:rPr>
          <w:spacing w:val="-3"/>
        </w:rPr>
        <w:t xml:space="preserve"> </w:t>
      </w:r>
      <w:r>
        <w:t>(3</w:t>
      </w:r>
      <w:r>
        <w:rPr>
          <w:spacing w:val="-1"/>
        </w:rPr>
        <w:t xml:space="preserve"> </w:t>
      </w:r>
      <w:r>
        <w:t>reviews</w:t>
      </w:r>
      <w:r>
        <w:rPr>
          <w:spacing w:val="-3"/>
        </w:rPr>
        <w:t xml:space="preserve"> </w:t>
      </w:r>
      <w:r>
        <w:t>+</w:t>
      </w:r>
      <w:r>
        <w:rPr>
          <w:spacing w:val="-1"/>
        </w:rPr>
        <w:t xml:space="preserve"> </w:t>
      </w:r>
      <w:r>
        <w:t>2</w:t>
      </w:r>
      <w:r>
        <w:rPr>
          <w:spacing w:val="-3"/>
        </w:rPr>
        <w:t xml:space="preserve"> </w:t>
      </w:r>
      <w:r>
        <w:t xml:space="preserve">new </w:t>
      </w:r>
      <w:r>
        <w:rPr>
          <w:spacing w:val="-2"/>
        </w:rPr>
        <w:t>trials)</w:t>
      </w:r>
    </w:p>
    <w:p w14:paraId="7A4C3277" w14:textId="77777777" w:rsidR="00E13D3F" w:rsidRDefault="00E13D3F">
      <w:pPr>
        <w:pStyle w:val="BodyText"/>
        <w:spacing w:before="30"/>
        <w:ind w:left="0"/>
        <w:rPr>
          <w:sz w:val="22"/>
        </w:rPr>
      </w:pPr>
    </w:p>
    <w:p w14:paraId="7A4C3278" w14:textId="77777777" w:rsidR="00E13D3F" w:rsidRDefault="00FB2D6A">
      <w:pPr>
        <w:pStyle w:val="Heading2"/>
      </w:pPr>
      <w:r>
        <w:rPr>
          <w:color w:val="2E5395"/>
        </w:rPr>
        <w:t>Starting</w:t>
      </w:r>
      <w:r>
        <w:rPr>
          <w:color w:val="2E5395"/>
          <w:spacing w:val="-8"/>
        </w:rPr>
        <w:t xml:space="preserve"> </w:t>
      </w:r>
      <w:r>
        <w:rPr>
          <w:color w:val="2E5395"/>
        </w:rPr>
        <w:t>and</w:t>
      </w:r>
      <w:r>
        <w:rPr>
          <w:color w:val="2E5395"/>
          <w:spacing w:val="-8"/>
        </w:rPr>
        <w:t xml:space="preserve"> </w:t>
      </w:r>
      <w:r>
        <w:rPr>
          <w:color w:val="2E5395"/>
        </w:rPr>
        <w:t>Stopping</w:t>
      </w:r>
      <w:r>
        <w:rPr>
          <w:color w:val="2E5395"/>
          <w:spacing w:val="-8"/>
        </w:rPr>
        <w:t xml:space="preserve"> </w:t>
      </w:r>
      <w:r>
        <w:rPr>
          <w:color w:val="2E5395"/>
          <w:spacing w:val="-4"/>
        </w:rPr>
        <w:t>Ages</w:t>
      </w:r>
    </w:p>
    <w:p w14:paraId="7A4C3279" w14:textId="77777777" w:rsidR="00E13D3F" w:rsidRDefault="00FB2D6A">
      <w:pPr>
        <w:pStyle w:val="BodyText"/>
        <w:spacing w:before="24" w:line="276" w:lineRule="auto"/>
        <w:ind w:right="1494"/>
      </w:pPr>
      <w:r>
        <w:t>The</w:t>
      </w:r>
      <w:r>
        <w:rPr>
          <w:spacing w:val="-1"/>
        </w:rPr>
        <w:t xml:space="preserve"> </w:t>
      </w:r>
      <w:r>
        <w:t>impact</w:t>
      </w:r>
      <w:r>
        <w:rPr>
          <w:spacing w:val="-3"/>
        </w:rPr>
        <w:t xml:space="preserve"> </w:t>
      </w:r>
      <w:r>
        <w:t>of</w:t>
      </w:r>
      <w:r>
        <w:rPr>
          <w:spacing w:val="-3"/>
        </w:rPr>
        <w:t xml:space="preserve"> </w:t>
      </w:r>
      <w:r>
        <w:t>starting</w:t>
      </w:r>
      <w:r>
        <w:rPr>
          <w:spacing w:val="-4"/>
        </w:rPr>
        <w:t xml:space="preserve"> </w:t>
      </w:r>
      <w:r>
        <w:t>(and</w:t>
      </w:r>
      <w:r>
        <w:rPr>
          <w:spacing w:val="-1"/>
        </w:rPr>
        <w:t xml:space="preserve"> </w:t>
      </w:r>
      <w:r>
        <w:t>stopping)</w:t>
      </w:r>
      <w:r>
        <w:rPr>
          <w:spacing w:val="-3"/>
        </w:rPr>
        <w:t xml:space="preserve"> </w:t>
      </w:r>
      <w:r>
        <w:t>at</w:t>
      </w:r>
      <w:r>
        <w:rPr>
          <w:spacing w:val="-3"/>
        </w:rPr>
        <w:t xml:space="preserve"> </w:t>
      </w:r>
      <w:r>
        <w:t>different</w:t>
      </w:r>
      <w:r>
        <w:rPr>
          <w:spacing w:val="-5"/>
        </w:rPr>
        <w:t xml:space="preserve"> </w:t>
      </w:r>
      <w:r>
        <w:t>ages</w:t>
      </w:r>
      <w:r>
        <w:rPr>
          <w:spacing w:val="-2"/>
        </w:rPr>
        <w:t xml:space="preserve"> </w:t>
      </w:r>
      <w:r>
        <w:t>was</w:t>
      </w:r>
      <w:r>
        <w:rPr>
          <w:spacing w:val="-4"/>
        </w:rPr>
        <w:t xml:space="preserve"> </w:t>
      </w:r>
      <w:r>
        <w:t>not</w:t>
      </w:r>
      <w:r>
        <w:rPr>
          <w:spacing w:val="-1"/>
        </w:rPr>
        <w:t xml:space="preserve"> </w:t>
      </w:r>
      <w:r>
        <w:t>addressed</w:t>
      </w:r>
      <w:r>
        <w:rPr>
          <w:spacing w:val="-1"/>
        </w:rPr>
        <w:t xml:space="preserve"> </w:t>
      </w:r>
      <w:r>
        <w:t>in</w:t>
      </w:r>
      <w:r>
        <w:rPr>
          <w:spacing w:val="-1"/>
        </w:rPr>
        <w:t xml:space="preserve"> </w:t>
      </w:r>
      <w:r>
        <w:t>the</w:t>
      </w:r>
      <w:r>
        <w:rPr>
          <w:spacing w:val="-1"/>
        </w:rPr>
        <w:t xml:space="preserve"> </w:t>
      </w:r>
      <w:r>
        <w:t>studies,</w:t>
      </w:r>
      <w:r>
        <w:rPr>
          <w:spacing w:val="-4"/>
        </w:rPr>
        <w:t xml:space="preserve"> </w:t>
      </w:r>
      <w:r>
        <w:t>but a US simulation study of cost-effectiveness for men (12) reported that an initiation of routine screening at ages 60 years with osteoporosis self-assessment + DXA for high-risk patients, or at 50 years with osteoporosis risk assessment including age, femoral bone mineral</w:t>
      </w:r>
      <w:r>
        <w:rPr>
          <w:spacing w:val="-4"/>
        </w:rPr>
        <w:t xml:space="preserve"> </w:t>
      </w:r>
      <w:r>
        <w:t>density</w:t>
      </w:r>
      <w:r>
        <w:rPr>
          <w:spacing w:val="-2"/>
        </w:rPr>
        <w:t xml:space="preserve"> </w:t>
      </w:r>
      <w:r>
        <w:t>and</w:t>
      </w:r>
      <w:r>
        <w:rPr>
          <w:spacing w:val="-3"/>
        </w:rPr>
        <w:t xml:space="preserve"> </w:t>
      </w:r>
      <w:r>
        <w:t>vertebral</w:t>
      </w:r>
      <w:r>
        <w:rPr>
          <w:spacing w:val="-3"/>
        </w:rPr>
        <w:t xml:space="preserve"> </w:t>
      </w:r>
      <w:r>
        <w:t>fracture</w:t>
      </w:r>
      <w:r>
        <w:rPr>
          <w:spacing w:val="-3"/>
        </w:rPr>
        <w:t xml:space="preserve"> </w:t>
      </w:r>
      <w:r>
        <w:t>assessment</w:t>
      </w:r>
      <w:r>
        <w:rPr>
          <w:spacing w:val="-1"/>
        </w:rPr>
        <w:t xml:space="preserve"> </w:t>
      </w:r>
      <w:r>
        <w:t>(VFA)</w:t>
      </w:r>
      <w:r>
        <w:rPr>
          <w:spacing w:val="-4"/>
        </w:rPr>
        <w:t xml:space="preserve"> </w:t>
      </w:r>
      <w:r>
        <w:t>were</w:t>
      </w:r>
      <w:r>
        <w:rPr>
          <w:spacing w:val="-4"/>
        </w:rPr>
        <w:t xml:space="preserve"> </w:t>
      </w:r>
      <w:r>
        <w:t>clinically</w:t>
      </w:r>
      <w:r>
        <w:rPr>
          <w:spacing w:val="-2"/>
        </w:rPr>
        <w:t xml:space="preserve"> </w:t>
      </w:r>
      <w:r>
        <w:t>and</w:t>
      </w:r>
      <w:r>
        <w:rPr>
          <w:spacing w:val="-1"/>
        </w:rPr>
        <w:t xml:space="preserve"> </w:t>
      </w:r>
      <w:r>
        <w:t>cost-effective</w:t>
      </w:r>
      <w:r>
        <w:rPr>
          <w:spacing w:val="-4"/>
        </w:rPr>
        <w:t xml:space="preserve"> </w:t>
      </w:r>
      <w:r>
        <w:t>in preventing lifetime osteoporotic fractures. Stopping ages were not mentioned in the modelling the latter more costly than the former.</w:t>
      </w:r>
    </w:p>
    <w:p w14:paraId="7A4C327A" w14:textId="77777777" w:rsidR="00E13D3F" w:rsidRDefault="00E13D3F">
      <w:pPr>
        <w:pStyle w:val="BodyText"/>
        <w:spacing w:line="276" w:lineRule="auto"/>
        <w:sectPr w:rsidR="00E13D3F">
          <w:pgSz w:w="11910" w:h="16840"/>
          <w:pgMar w:top="1380" w:right="0" w:bottom="1200" w:left="0" w:header="0" w:footer="1000" w:gutter="0"/>
          <w:cols w:space="720"/>
        </w:sectPr>
      </w:pPr>
    </w:p>
    <w:p w14:paraId="7A4C327B" w14:textId="77777777" w:rsidR="00E13D3F" w:rsidRDefault="00FB2D6A">
      <w:pPr>
        <w:spacing w:before="41"/>
        <w:ind w:left="1440"/>
      </w:pPr>
      <w:r>
        <w:rPr>
          <w:b/>
        </w:rPr>
        <w:lastRenderedPageBreak/>
        <w:t>Table</w:t>
      </w:r>
      <w:r>
        <w:rPr>
          <w:b/>
          <w:spacing w:val="-6"/>
        </w:rPr>
        <w:t xml:space="preserve"> </w:t>
      </w:r>
      <w:r>
        <w:rPr>
          <w:b/>
        </w:rPr>
        <w:t>10.1.</w:t>
      </w:r>
      <w:r>
        <w:rPr>
          <w:b/>
          <w:spacing w:val="-3"/>
        </w:rPr>
        <w:t xml:space="preserve"> </w:t>
      </w:r>
      <w:r>
        <w:t>Summary</w:t>
      </w:r>
      <w:r>
        <w:rPr>
          <w:spacing w:val="-3"/>
        </w:rPr>
        <w:t xml:space="preserve"> </w:t>
      </w:r>
      <w:r>
        <w:t>of</w:t>
      </w:r>
      <w:r>
        <w:rPr>
          <w:spacing w:val="-2"/>
        </w:rPr>
        <w:t xml:space="preserve"> </w:t>
      </w:r>
      <w:r>
        <w:t>key</w:t>
      </w:r>
      <w:r>
        <w:rPr>
          <w:spacing w:val="-3"/>
        </w:rPr>
        <w:t xml:space="preserve"> </w:t>
      </w:r>
      <w:r>
        <w:t>studies</w:t>
      </w:r>
      <w:r>
        <w:rPr>
          <w:spacing w:val="-6"/>
        </w:rPr>
        <w:t xml:space="preserve"> </w:t>
      </w:r>
      <w:r>
        <w:t>on</w:t>
      </w:r>
      <w:r>
        <w:rPr>
          <w:spacing w:val="-5"/>
        </w:rPr>
        <w:t xml:space="preserve"> </w:t>
      </w:r>
      <w:r>
        <w:t>effect</w:t>
      </w:r>
      <w:r>
        <w:rPr>
          <w:spacing w:val="-5"/>
        </w:rPr>
        <w:t xml:space="preserve"> </w:t>
      </w:r>
      <w:r>
        <w:t>of</w:t>
      </w:r>
      <w:r>
        <w:rPr>
          <w:spacing w:val="-5"/>
        </w:rPr>
        <w:t xml:space="preserve"> </w:t>
      </w:r>
      <w:r>
        <w:t>osteoporosis</w:t>
      </w:r>
      <w:r>
        <w:rPr>
          <w:spacing w:val="-6"/>
        </w:rPr>
        <w:t xml:space="preserve"> </w:t>
      </w:r>
      <w:r>
        <w:t>risk</w:t>
      </w:r>
      <w:r>
        <w:rPr>
          <w:spacing w:val="-4"/>
        </w:rPr>
        <w:t xml:space="preserve"> </w:t>
      </w:r>
      <w:r>
        <w:t>assessment</w:t>
      </w:r>
      <w:r>
        <w:rPr>
          <w:spacing w:val="-5"/>
        </w:rPr>
        <w:t xml:space="preserve"> </w:t>
      </w:r>
      <w:r>
        <w:t>on</w:t>
      </w:r>
      <w:r>
        <w:rPr>
          <w:spacing w:val="-6"/>
        </w:rPr>
        <w:t xml:space="preserve"> </w:t>
      </w:r>
      <w:r>
        <w:t>fracture</w:t>
      </w:r>
      <w:r>
        <w:rPr>
          <w:spacing w:val="-4"/>
        </w:rPr>
        <w:t xml:space="preserve"> </w:t>
      </w:r>
      <w:r>
        <w:rPr>
          <w:spacing w:val="-2"/>
        </w:rPr>
        <w:t>outcomes</w:t>
      </w:r>
    </w:p>
    <w:p w14:paraId="7A4C327C" w14:textId="77777777" w:rsidR="00E13D3F" w:rsidRDefault="00E13D3F">
      <w:pPr>
        <w:pStyle w:val="BodyText"/>
        <w:spacing w:before="10"/>
        <w:ind w:left="0"/>
        <w:rPr>
          <w:sz w:val="14"/>
        </w:rPr>
      </w:pPr>
    </w:p>
    <w:tbl>
      <w:tblPr>
        <w:tblW w:w="0" w:type="auto"/>
        <w:tblInd w:w="1161"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1560"/>
        <w:gridCol w:w="1563"/>
        <w:gridCol w:w="3317"/>
        <w:gridCol w:w="3200"/>
      </w:tblGrid>
      <w:tr w:rsidR="00E13D3F" w14:paraId="7A4C3281" w14:textId="77777777">
        <w:trPr>
          <w:trHeight w:val="861"/>
        </w:trPr>
        <w:tc>
          <w:tcPr>
            <w:tcW w:w="1560" w:type="dxa"/>
          </w:tcPr>
          <w:p w14:paraId="7A4C327D" w14:textId="77777777" w:rsidR="00E13D3F" w:rsidRDefault="00FB2D6A">
            <w:pPr>
              <w:pStyle w:val="TableParagraph"/>
              <w:spacing w:before="1"/>
              <w:ind w:left="290" w:right="176" w:firstLine="105"/>
              <w:rPr>
                <w:b/>
                <w:sz w:val="20"/>
              </w:rPr>
            </w:pPr>
            <w:r>
              <w:rPr>
                <w:b/>
                <w:spacing w:val="-2"/>
                <w:sz w:val="20"/>
              </w:rPr>
              <w:t>Outcome description</w:t>
            </w:r>
          </w:p>
        </w:tc>
        <w:tc>
          <w:tcPr>
            <w:tcW w:w="1563" w:type="dxa"/>
          </w:tcPr>
          <w:p w14:paraId="7A4C327E" w14:textId="77777777" w:rsidR="00E13D3F" w:rsidRDefault="00FB2D6A">
            <w:pPr>
              <w:pStyle w:val="TableParagraph"/>
              <w:spacing w:before="1"/>
              <w:ind w:left="220" w:right="209"/>
              <w:jc w:val="center"/>
              <w:rPr>
                <w:b/>
                <w:sz w:val="20"/>
              </w:rPr>
            </w:pPr>
            <w:r>
              <w:rPr>
                <w:b/>
                <w:spacing w:val="-2"/>
                <w:sz w:val="20"/>
              </w:rPr>
              <w:t xml:space="preserve">Author/Year </w:t>
            </w:r>
            <w:r>
              <w:rPr>
                <w:b/>
                <w:sz w:val="20"/>
              </w:rPr>
              <w:t xml:space="preserve">&amp; follow-up </w:t>
            </w:r>
            <w:r>
              <w:rPr>
                <w:b/>
                <w:spacing w:val="-4"/>
                <w:sz w:val="20"/>
              </w:rPr>
              <w:t>time</w:t>
            </w:r>
          </w:p>
        </w:tc>
        <w:tc>
          <w:tcPr>
            <w:tcW w:w="3317" w:type="dxa"/>
          </w:tcPr>
          <w:p w14:paraId="7A4C327F" w14:textId="77777777" w:rsidR="00E13D3F" w:rsidRDefault="00FB2D6A">
            <w:pPr>
              <w:pStyle w:val="TableParagraph"/>
              <w:spacing w:before="1"/>
              <w:ind w:left="885" w:right="819" w:firstLine="208"/>
              <w:rPr>
                <w:b/>
                <w:sz w:val="20"/>
              </w:rPr>
            </w:pPr>
            <w:r>
              <w:rPr>
                <w:b/>
                <w:sz w:val="20"/>
              </w:rPr>
              <w:t>Effect details Risk</w:t>
            </w:r>
            <w:r>
              <w:rPr>
                <w:b/>
                <w:spacing w:val="-12"/>
                <w:sz w:val="20"/>
              </w:rPr>
              <w:t xml:space="preserve"> </w:t>
            </w:r>
            <w:r>
              <w:rPr>
                <w:b/>
                <w:sz w:val="20"/>
              </w:rPr>
              <w:t>Ratio</w:t>
            </w:r>
            <w:r>
              <w:rPr>
                <w:b/>
                <w:spacing w:val="-11"/>
                <w:sz w:val="20"/>
              </w:rPr>
              <w:t xml:space="preserve"> </w:t>
            </w:r>
            <w:r>
              <w:rPr>
                <w:b/>
                <w:sz w:val="20"/>
              </w:rPr>
              <w:t>(95%CI)</w:t>
            </w:r>
          </w:p>
        </w:tc>
        <w:tc>
          <w:tcPr>
            <w:tcW w:w="3200" w:type="dxa"/>
          </w:tcPr>
          <w:p w14:paraId="7A4C3280" w14:textId="77777777" w:rsidR="00E13D3F" w:rsidRDefault="00FB2D6A">
            <w:pPr>
              <w:pStyle w:val="TableParagraph"/>
              <w:spacing w:before="1"/>
              <w:ind w:right="34"/>
              <w:jc w:val="center"/>
              <w:rPr>
                <w:b/>
                <w:sz w:val="20"/>
              </w:rPr>
            </w:pPr>
            <w:r>
              <w:rPr>
                <w:b/>
                <w:spacing w:val="-2"/>
                <w:sz w:val="20"/>
              </w:rPr>
              <w:t>Conclusions</w:t>
            </w:r>
          </w:p>
        </w:tc>
      </w:tr>
      <w:tr w:rsidR="00E13D3F" w14:paraId="7A4C3288" w14:textId="77777777">
        <w:trPr>
          <w:trHeight w:val="1240"/>
        </w:trPr>
        <w:tc>
          <w:tcPr>
            <w:tcW w:w="1560" w:type="dxa"/>
            <w:vMerge w:val="restart"/>
            <w:shd w:val="clear" w:color="auto" w:fill="F1F1F1"/>
          </w:tcPr>
          <w:p w14:paraId="7A4C3282" w14:textId="77777777" w:rsidR="00E13D3F" w:rsidRDefault="00FB2D6A">
            <w:pPr>
              <w:pStyle w:val="TableParagraph"/>
              <w:ind w:left="108" w:right="176"/>
              <w:rPr>
                <w:b/>
                <w:sz w:val="20"/>
              </w:rPr>
            </w:pPr>
            <w:r>
              <w:rPr>
                <w:b/>
                <w:sz w:val="20"/>
              </w:rPr>
              <w:t>Incidence</w:t>
            </w:r>
            <w:r>
              <w:rPr>
                <w:b/>
                <w:spacing w:val="-12"/>
                <w:sz w:val="20"/>
              </w:rPr>
              <w:t xml:space="preserve"> </w:t>
            </w:r>
            <w:r>
              <w:rPr>
                <w:b/>
                <w:sz w:val="20"/>
              </w:rPr>
              <w:t xml:space="preserve">rates of all clinical </w:t>
            </w:r>
            <w:r>
              <w:rPr>
                <w:b/>
                <w:spacing w:val="-2"/>
                <w:sz w:val="20"/>
              </w:rPr>
              <w:t>fractures</w:t>
            </w:r>
          </w:p>
        </w:tc>
        <w:tc>
          <w:tcPr>
            <w:tcW w:w="1563" w:type="dxa"/>
            <w:shd w:val="clear" w:color="auto" w:fill="F1F1F1"/>
          </w:tcPr>
          <w:p w14:paraId="7A4C3283" w14:textId="77777777" w:rsidR="00E13D3F" w:rsidRDefault="00FB2D6A">
            <w:pPr>
              <w:pStyle w:val="TableParagraph"/>
              <w:ind w:left="108" w:right="392"/>
              <w:rPr>
                <w:b/>
                <w:sz w:val="20"/>
              </w:rPr>
            </w:pPr>
            <w:r>
              <w:rPr>
                <w:b/>
                <w:spacing w:val="-2"/>
                <w:sz w:val="20"/>
              </w:rPr>
              <w:t xml:space="preserve">Shepstone </w:t>
            </w:r>
            <w:r>
              <w:rPr>
                <w:b/>
                <w:spacing w:val="-4"/>
                <w:sz w:val="20"/>
              </w:rPr>
              <w:t>2018</w:t>
            </w:r>
          </w:p>
          <w:p w14:paraId="7A4C3284" w14:textId="77777777" w:rsidR="00E13D3F" w:rsidRDefault="00FB2D6A">
            <w:pPr>
              <w:pStyle w:val="TableParagraph"/>
              <w:ind w:left="108" w:right="641"/>
              <w:rPr>
                <w:b/>
                <w:sz w:val="20"/>
              </w:rPr>
            </w:pPr>
            <w:r>
              <w:rPr>
                <w:b/>
                <w:sz w:val="20"/>
              </w:rPr>
              <w:t xml:space="preserve">at 5-year </w:t>
            </w:r>
            <w:r>
              <w:rPr>
                <w:b/>
                <w:spacing w:val="-2"/>
                <w:sz w:val="20"/>
              </w:rPr>
              <w:t>follow-</w:t>
            </w:r>
            <w:r>
              <w:rPr>
                <w:b/>
                <w:spacing w:val="-5"/>
                <w:sz w:val="20"/>
              </w:rPr>
              <w:t>up</w:t>
            </w:r>
          </w:p>
        </w:tc>
        <w:tc>
          <w:tcPr>
            <w:tcW w:w="3317" w:type="dxa"/>
            <w:shd w:val="clear" w:color="auto" w:fill="F1F1F1"/>
          </w:tcPr>
          <w:p w14:paraId="7A4C3285" w14:textId="77777777" w:rsidR="00E13D3F" w:rsidRDefault="00FB2D6A" w:rsidP="00990D2B">
            <w:pPr>
              <w:pStyle w:val="TableParagraph"/>
              <w:numPr>
                <w:ilvl w:val="0"/>
                <w:numId w:val="15"/>
              </w:numPr>
              <w:tabs>
                <w:tab w:val="left" w:pos="468"/>
              </w:tabs>
              <w:ind w:right="741"/>
              <w:rPr>
                <w:sz w:val="20"/>
              </w:rPr>
            </w:pPr>
            <w:r>
              <w:rPr>
                <w:sz w:val="20"/>
              </w:rPr>
              <w:t>15.3%</w:t>
            </w:r>
            <w:r>
              <w:rPr>
                <w:spacing w:val="-12"/>
                <w:sz w:val="20"/>
              </w:rPr>
              <w:t xml:space="preserve"> </w:t>
            </w:r>
            <w:r>
              <w:rPr>
                <w:sz w:val="20"/>
              </w:rPr>
              <w:t>in</w:t>
            </w:r>
            <w:r>
              <w:rPr>
                <w:spacing w:val="-11"/>
                <w:sz w:val="20"/>
              </w:rPr>
              <w:t xml:space="preserve"> </w:t>
            </w:r>
            <w:r>
              <w:rPr>
                <w:sz w:val="20"/>
              </w:rPr>
              <w:t xml:space="preserve">multicomponent intervention vs. 16.0% in </w:t>
            </w:r>
            <w:r>
              <w:rPr>
                <w:spacing w:val="-2"/>
                <w:sz w:val="20"/>
              </w:rPr>
              <w:t>control;</w:t>
            </w:r>
          </w:p>
          <w:p w14:paraId="7A4C3286" w14:textId="77777777" w:rsidR="00E13D3F" w:rsidRDefault="00FB2D6A" w:rsidP="00990D2B">
            <w:pPr>
              <w:pStyle w:val="TableParagraph"/>
              <w:numPr>
                <w:ilvl w:val="0"/>
                <w:numId w:val="15"/>
              </w:numPr>
              <w:tabs>
                <w:tab w:val="left" w:pos="468"/>
              </w:tabs>
              <w:spacing w:line="244" w:lineRule="exact"/>
              <w:ind w:right="575"/>
              <w:rPr>
                <w:sz w:val="20"/>
              </w:rPr>
            </w:pPr>
            <w:r>
              <w:rPr>
                <w:sz w:val="20"/>
              </w:rPr>
              <w:t>HR,</w:t>
            </w:r>
            <w:r>
              <w:rPr>
                <w:spacing w:val="-10"/>
                <w:sz w:val="20"/>
              </w:rPr>
              <w:t xml:space="preserve"> </w:t>
            </w:r>
            <w:r>
              <w:rPr>
                <w:sz w:val="20"/>
              </w:rPr>
              <w:t>0.94</w:t>
            </w:r>
            <w:r>
              <w:rPr>
                <w:spacing w:val="-11"/>
                <w:sz w:val="20"/>
              </w:rPr>
              <w:t xml:space="preserve"> </w:t>
            </w:r>
            <w:r>
              <w:rPr>
                <w:sz w:val="20"/>
              </w:rPr>
              <w:t>(95%</w:t>
            </w:r>
            <w:r>
              <w:rPr>
                <w:spacing w:val="-11"/>
                <w:sz w:val="20"/>
              </w:rPr>
              <w:t xml:space="preserve"> </w:t>
            </w:r>
            <w:r>
              <w:rPr>
                <w:sz w:val="20"/>
              </w:rPr>
              <w:t>CI,</w:t>
            </w:r>
            <w:r>
              <w:rPr>
                <w:spacing w:val="-10"/>
                <w:sz w:val="20"/>
              </w:rPr>
              <w:t xml:space="preserve"> </w:t>
            </w:r>
            <w:r>
              <w:rPr>
                <w:sz w:val="20"/>
              </w:rPr>
              <w:t xml:space="preserve">0.86-1.03) </w:t>
            </w:r>
            <w:r>
              <w:rPr>
                <w:spacing w:val="-2"/>
                <w:sz w:val="20"/>
              </w:rPr>
              <w:t>p=0.18</w:t>
            </w:r>
          </w:p>
        </w:tc>
        <w:tc>
          <w:tcPr>
            <w:tcW w:w="3200" w:type="dxa"/>
            <w:shd w:val="clear" w:color="auto" w:fill="F1F1F1"/>
          </w:tcPr>
          <w:p w14:paraId="7A4C3287" w14:textId="77777777" w:rsidR="00E13D3F" w:rsidRDefault="00FB2D6A">
            <w:pPr>
              <w:pStyle w:val="TableParagraph"/>
              <w:ind w:left="108" w:right="172"/>
              <w:jc w:val="both"/>
              <w:rPr>
                <w:sz w:val="20"/>
              </w:rPr>
            </w:pPr>
            <w:r>
              <w:rPr>
                <w:sz w:val="20"/>
              </w:rPr>
              <w:t>Risk</w:t>
            </w:r>
            <w:r>
              <w:rPr>
                <w:spacing w:val="-12"/>
                <w:sz w:val="20"/>
              </w:rPr>
              <w:t xml:space="preserve"> </w:t>
            </w:r>
            <w:r>
              <w:rPr>
                <w:sz w:val="20"/>
              </w:rPr>
              <w:t>assessment</w:t>
            </w:r>
            <w:r>
              <w:rPr>
                <w:spacing w:val="-11"/>
                <w:sz w:val="20"/>
              </w:rPr>
              <w:t xml:space="preserve"> </w:t>
            </w:r>
            <w:r>
              <w:rPr>
                <w:sz w:val="20"/>
              </w:rPr>
              <w:t>in</w:t>
            </w:r>
            <w:r>
              <w:rPr>
                <w:spacing w:val="-11"/>
                <w:sz w:val="20"/>
              </w:rPr>
              <w:t xml:space="preserve"> </w:t>
            </w:r>
            <w:r>
              <w:rPr>
                <w:sz w:val="20"/>
              </w:rPr>
              <w:t>multicomponent intervention</w:t>
            </w:r>
            <w:r>
              <w:rPr>
                <w:spacing w:val="-2"/>
                <w:sz w:val="20"/>
              </w:rPr>
              <w:t xml:space="preserve"> </w:t>
            </w:r>
            <w:r>
              <w:rPr>
                <w:sz w:val="20"/>
              </w:rPr>
              <w:t>is</w:t>
            </w:r>
            <w:r>
              <w:rPr>
                <w:spacing w:val="-1"/>
                <w:sz w:val="20"/>
              </w:rPr>
              <w:t xml:space="preserve"> </w:t>
            </w:r>
            <w:r>
              <w:rPr>
                <w:sz w:val="20"/>
              </w:rPr>
              <w:t>no</w:t>
            </w:r>
            <w:r>
              <w:rPr>
                <w:spacing w:val="-2"/>
                <w:sz w:val="20"/>
              </w:rPr>
              <w:t xml:space="preserve"> </w:t>
            </w:r>
            <w:r>
              <w:rPr>
                <w:sz w:val="20"/>
              </w:rPr>
              <w:t>better</w:t>
            </w:r>
            <w:r>
              <w:rPr>
                <w:spacing w:val="-2"/>
                <w:sz w:val="20"/>
              </w:rPr>
              <w:t xml:space="preserve"> </w:t>
            </w:r>
            <w:r>
              <w:rPr>
                <w:sz w:val="20"/>
              </w:rPr>
              <w:t>than</w:t>
            </w:r>
            <w:r>
              <w:rPr>
                <w:spacing w:val="-3"/>
                <w:sz w:val="20"/>
              </w:rPr>
              <w:t xml:space="preserve"> </w:t>
            </w:r>
            <w:r>
              <w:rPr>
                <w:sz w:val="20"/>
              </w:rPr>
              <w:t>usual care</w:t>
            </w:r>
            <w:r>
              <w:rPr>
                <w:spacing w:val="-5"/>
                <w:sz w:val="20"/>
              </w:rPr>
              <w:t xml:space="preserve"> </w:t>
            </w:r>
            <w:r>
              <w:rPr>
                <w:sz w:val="20"/>
              </w:rPr>
              <w:t>in</w:t>
            </w:r>
            <w:r>
              <w:rPr>
                <w:spacing w:val="-4"/>
                <w:sz w:val="20"/>
              </w:rPr>
              <w:t xml:space="preserve"> </w:t>
            </w:r>
            <w:r>
              <w:rPr>
                <w:sz w:val="20"/>
              </w:rPr>
              <w:t>overall</w:t>
            </w:r>
            <w:r>
              <w:rPr>
                <w:spacing w:val="-5"/>
                <w:sz w:val="20"/>
              </w:rPr>
              <w:t xml:space="preserve"> </w:t>
            </w:r>
            <w:r>
              <w:rPr>
                <w:sz w:val="20"/>
              </w:rPr>
              <w:t>prevention</w:t>
            </w:r>
            <w:r>
              <w:rPr>
                <w:spacing w:val="-4"/>
                <w:sz w:val="20"/>
              </w:rPr>
              <w:t xml:space="preserve"> </w:t>
            </w:r>
            <w:r>
              <w:rPr>
                <w:sz w:val="20"/>
              </w:rPr>
              <w:t>of</w:t>
            </w:r>
            <w:r>
              <w:rPr>
                <w:spacing w:val="-6"/>
                <w:sz w:val="20"/>
              </w:rPr>
              <w:t xml:space="preserve"> </w:t>
            </w:r>
            <w:r>
              <w:rPr>
                <w:sz w:val="20"/>
              </w:rPr>
              <w:t xml:space="preserve">clinical </w:t>
            </w:r>
            <w:r>
              <w:rPr>
                <w:spacing w:val="-2"/>
                <w:sz w:val="20"/>
              </w:rPr>
              <w:t>fractures</w:t>
            </w:r>
          </w:p>
        </w:tc>
      </w:tr>
      <w:tr w:rsidR="00E13D3F" w14:paraId="7A4C328E" w14:textId="77777777">
        <w:trPr>
          <w:trHeight w:val="997"/>
        </w:trPr>
        <w:tc>
          <w:tcPr>
            <w:tcW w:w="1560" w:type="dxa"/>
            <w:vMerge/>
            <w:tcBorders>
              <w:top w:val="nil"/>
            </w:tcBorders>
            <w:shd w:val="clear" w:color="auto" w:fill="F1F1F1"/>
          </w:tcPr>
          <w:p w14:paraId="7A4C3289" w14:textId="77777777" w:rsidR="00E13D3F" w:rsidRDefault="00E13D3F">
            <w:pPr>
              <w:rPr>
                <w:sz w:val="2"/>
                <w:szCs w:val="2"/>
              </w:rPr>
            </w:pPr>
          </w:p>
        </w:tc>
        <w:tc>
          <w:tcPr>
            <w:tcW w:w="1563" w:type="dxa"/>
          </w:tcPr>
          <w:p w14:paraId="7A4C328A" w14:textId="77777777" w:rsidR="00E13D3F" w:rsidRDefault="00FB2D6A">
            <w:pPr>
              <w:pStyle w:val="TableParagraph"/>
              <w:spacing w:before="1"/>
              <w:ind w:left="108"/>
              <w:rPr>
                <w:b/>
                <w:sz w:val="20"/>
              </w:rPr>
            </w:pPr>
            <w:r>
              <w:rPr>
                <w:b/>
                <w:sz w:val="20"/>
              </w:rPr>
              <w:t>Rubin</w:t>
            </w:r>
            <w:r>
              <w:rPr>
                <w:b/>
                <w:spacing w:val="-6"/>
                <w:sz w:val="20"/>
              </w:rPr>
              <w:t xml:space="preserve"> </w:t>
            </w:r>
            <w:r>
              <w:rPr>
                <w:b/>
                <w:spacing w:val="-4"/>
                <w:sz w:val="20"/>
              </w:rPr>
              <w:t>2018</w:t>
            </w:r>
          </w:p>
        </w:tc>
        <w:tc>
          <w:tcPr>
            <w:tcW w:w="3317" w:type="dxa"/>
          </w:tcPr>
          <w:p w14:paraId="7A4C328B" w14:textId="77777777" w:rsidR="00E13D3F" w:rsidRDefault="00FB2D6A" w:rsidP="00990D2B">
            <w:pPr>
              <w:pStyle w:val="TableParagraph"/>
              <w:numPr>
                <w:ilvl w:val="0"/>
                <w:numId w:val="14"/>
              </w:numPr>
              <w:tabs>
                <w:tab w:val="left" w:pos="468"/>
              </w:tabs>
              <w:ind w:right="287"/>
              <w:rPr>
                <w:sz w:val="20"/>
              </w:rPr>
            </w:pPr>
            <w:r>
              <w:rPr>
                <w:sz w:val="20"/>
              </w:rPr>
              <w:t>13.1%</w:t>
            </w:r>
            <w:r>
              <w:rPr>
                <w:spacing w:val="-12"/>
                <w:sz w:val="20"/>
              </w:rPr>
              <w:t xml:space="preserve"> </w:t>
            </w:r>
            <w:r>
              <w:rPr>
                <w:sz w:val="20"/>
              </w:rPr>
              <w:t>in</w:t>
            </w:r>
            <w:r>
              <w:rPr>
                <w:spacing w:val="-9"/>
                <w:sz w:val="20"/>
              </w:rPr>
              <w:t xml:space="preserve"> </w:t>
            </w:r>
            <w:r>
              <w:rPr>
                <w:sz w:val="20"/>
              </w:rPr>
              <w:t>intervention</w:t>
            </w:r>
            <w:r>
              <w:rPr>
                <w:spacing w:val="-10"/>
                <w:sz w:val="20"/>
              </w:rPr>
              <w:t xml:space="preserve"> </w:t>
            </w:r>
            <w:r>
              <w:rPr>
                <w:sz w:val="20"/>
              </w:rPr>
              <w:t>vs.</w:t>
            </w:r>
            <w:r>
              <w:rPr>
                <w:spacing w:val="-10"/>
                <w:sz w:val="20"/>
              </w:rPr>
              <w:t xml:space="preserve"> </w:t>
            </w:r>
            <w:r>
              <w:rPr>
                <w:sz w:val="20"/>
              </w:rPr>
              <w:t>13.0% in control; p=0.82</w:t>
            </w:r>
          </w:p>
          <w:p w14:paraId="7A4C328C" w14:textId="77777777" w:rsidR="00E13D3F" w:rsidRDefault="00FB2D6A" w:rsidP="00990D2B">
            <w:pPr>
              <w:pStyle w:val="TableParagraph"/>
              <w:numPr>
                <w:ilvl w:val="0"/>
                <w:numId w:val="14"/>
              </w:numPr>
              <w:tabs>
                <w:tab w:val="left" w:pos="468"/>
              </w:tabs>
              <w:spacing w:line="240" w:lineRule="atLeast"/>
              <w:ind w:right="472"/>
              <w:rPr>
                <w:sz w:val="20"/>
              </w:rPr>
            </w:pPr>
            <w:r>
              <w:rPr>
                <w:sz w:val="20"/>
              </w:rPr>
              <w:t>Adjusted</w:t>
            </w:r>
            <w:r>
              <w:rPr>
                <w:spacing w:val="-12"/>
                <w:sz w:val="20"/>
              </w:rPr>
              <w:t xml:space="preserve"> </w:t>
            </w:r>
            <w:proofErr w:type="spellStart"/>
            <w:r>
              <w:rPr>
                <w:sz w:val="20"/>
              </w:rPr>
              <w:t>sHR</w:t>
            </w:r>
            <w:proofErr w:type="spellEnd"/>
            <w:r>
              <w:rPr>
                <w:spacing w:val="-11"/>
                <w:sz w:val="20"/>
              </w:rPr>
              <w:t xml:space="preserve"> </w:t>
            </w:r>
            <w:r>
              <w:rPr>
                <w:sz w:val="20"/>
              </w:rPr>
              <w:t>1.0</w:t>
            </w:r>
            <w:r>
              <w:rPr>
                <w:spacing w:val="-11"/>
                <w:sz w:val="20"/>
              </w:rPr>
              <w:t xml:space="preserve"> </w:t>
            </w:r>
            <w:r>
              <w:rPr>
                <w:sz w:val="20"/>
              </w:rPr>
              <w:t xml:space="preserve">(0.95-1.06), </w:t>
            </w:r>
            <w:r>
              <w:rPr>
                <w:spacing w:val="-2"/>
                <w:sz w:val="20"/>
              </w:rPr>
              <w:t>p=0.91</w:t>
            </w:r>
          </w:p>
        </w:tc>
        <w:tc>
          <w:tcPr>
            <w:tcW w:w="3200" w:type="dxa"/>
          </w:tcPr>
          <w:p w14:paraId="7A4C328D" w14:textId="77777777" w:rsidR="00E13D3F" w:rsidRDefault="00FB2D6A">
            <w:pPr>
              <w:pStyle w:val="TableParagraph"/>
              <w:spacing w:before="1"/>
              <w:ind w:left="108" w:right="181"/>
              <w:rPr>
                <w:sz w:val="20"/>
              </w:rPr>
            </w:pPr>
            <w:r>
              <w:rPr>
                <w:sz w:val="20"/>
              </w:rPr>
              <w:t>Screening with FRAX +DXA in women</w:t>
            </w:r>
            <w:r>
              <w:rPr>
                <w:spacing w:val="-10"/>
                <w:sz w:val="20"/>
              </w:rPr>
              <w:t xml:space="preserve"> </w:t>
            </w:r>
            <w:r>
              <w:rPr>
                <w:sz w:val="20"/>
              </w:rPr>
              <w:t>does</w:t>
            </w:r>
            <w:r>
              <w:rPr>
                <w:spacing w:val="-10"/>
                <w:sz w:val="20"/>
              </w:rPr>
              <w:t xml:space="preserve"> </w:t>
            </w:r>
            <w:r>
              <w:rPr>
                <w:sz w:val="20"/>
              </w:rPr>
              <w:t>not</w:t>
            </w:r>
            <w:r>
              <w:rPr>
                <w:spacing w:val="-10"/>
                <w:sz w:val="20"/>
              </w:rPr>
              <w:t xml:space="preserve"> </w:t>
            </w:r>
            <w:r>
              <w:rPr>
                <w:sz w:val="20"/>
              </w:rPr>
              <w:t>reduce</w:t>
            </w:r>
            <w:r>
              <w:rPr>
                <w:spacing w:val="-12"/>
                <w:sz w:val="20"/>
              </w:rPr>
              <w:t xml:space="preserve"> </w:t>
            </w:r>
            <w:r>
              <w:rPr>
                <w:sz w:val="20"/>
              </w:rPr>
              <w:t>overall fracture rates</w:t>
            </w:r>
          </w:p>
        </w:tc>
      </w:tr>
      <w:tr w:rsidR="00E13D3F" w14:paraId="7A4C3296" w14:textId="77777777">
        <w:trPr>
          <w:trHeight w:val="998"/>
        </w:trPr>
        <w:tc>
          <w:tcPr>
            <w:tcW w:w="1560" w:type="dxa"/>
            <w:vMerge/>
            <w:tcBorders>
              <w:top w:val="nil"/>
            </w:tcBorders>
            <w:shd w:val="clear" w:color="auto" w:fill="F1F1F1"/>
          </w:tcPr>
          <w:p w14:paraId="7A4C328F" w14:textId="77777777" w:rsidR="00E13D3F" w:rsidRDefault="00E13D3F">
            <w:pPr>
              <w:rPr>
                <w:sz w:val="2"/>
                <w:szCs w:val="2"/>
              </w:rPr>
            </w:pPr>
          </w:p>
        </w:tc>
        <w:tc>
          <w:tcPr>
            <w:tcW w:w="1563" w:type="dxa"/>
            <w:shd w:val="clear" w:color="auto" w:fill="F1F1F1"/>
          </w:tcPr>
          <w:p w14:paraId="7A4C3290" w14:textId="77777777" w:rsidR="00E13D3F" w:rsidRDefault="00FB2D6A">
            <w:pPr>
              <w:pStyle w:val="TableParagraph"/>
              <w:spacing w:before="1"/>
              <w:ind w:left="108"/>
              <w:rPr>
                <w:b/>
                <w:sz w:val="20"/>
              </w:rPr>
            </w:pPr>
            <w:r>
              <w:rPr>
                <w:b/>
                <w:sz w:val="20"/>
              </w:rPr>
              <w:t>Merlijn</w:t>
            </w:r>
            <w:r>
              <w:rPr>
                <w:b/>
                <w:spacing w:val="-8"/>
                <w:sz w:val="20"/>
              </w:rPr>
              <w:t xml:space="preserve"> </w:t>
            </w:r>
            <w:r>
              <w:rPr>
                <w:b/>
                <w:spacing w:val="-4"/>
                <w:sz w:val="20"/>
              </w:rPr>
              <w:t>2019</w:t>
            </w:r>
          </w:p>
          <w:p w14:paraId="7A4C3291" w14:textId="77777777" w:rsidR="00E13D3F" w:rsidRDefault="00FB2D6A">
            <w:pPr>
              <w:pStyle w:val="TableParagraph"/>
              <w:spacing w:before="1"/>
              <w:ind w:left="108" w:right="641"/>
              <w:rPr>
                <w:b/>
                <w:sz w:val="20"/>
              </w:rPr>
            </w:pPr>
            <w:r>
              <w:rPr>
                <w:b/>
                <w:sz w:val="20"/>
              </w:rPr>
              <w:t xml:space="preserve">At 3 year </w:t>
            </w:r>
            <w:r>
              <w:rPr>
                <w:b/>
                <w:spacing w:val="-2"/>
                <w:sz w:val="20"/>
              </w:rPr>
              <w:t>follow-</w:t>
            </w:r>
            <w:r>
              <w:rPr>
                <w:b/>
                <w:spacing w:val="-5"/>
                <w:sz w:val="20"/>
              </w:rPr>
              <w:t>up</w:t>
            </w:r>
          </w:p>
        </w:tc>
        <w:tc>
          <w:tcPr>
            <w:tcW w:w="3317" w:type="dxa"/>
            <w:shd w:val="clear" w:color="auto" w:fill="F1F1F1"/>
          </w:tcPr>
          <w:p w14:paraId="7A4C3292" w14:textId="77777777" w:rsidR="00E13D3F" w:rsidRDefault="00FB2D6A" w:rsidP="00990D2B">
            <w:pPr>
              <w:pStyle w:val="TableParagraph"/>
              <w:numPr>
                <w:ilvl w:val="0"/>
                <w:numId w:val="13"/>
              </w:numPr>
              <w:tabs>
                <w:tab w:val="left" w:pos="468"/>
              </w:tabs>
              <w:ind w:right="287"/>
              <w:rPr>
                <w:sz w:val="20"/>
              </w:rPr>
            </w:pPr>
            <w:r>
              <w:rPr>
                <w:sz w:val="20"/>
              </w:rPr>
              <w:t>11.2%</w:t>
            </w:r>
            <w:r>
              <w:rPr>
                <w:spacing w:val="-12"/>
                <w:sz w:val="20"/>
              </w:rPr>
              <w:t xml:space="preserve"> </w:t>
            </w:r>
            <w:r>
              <w:rPr>
                <w:sz w:val="20"/>
              </w:rPr>
              <w:t>in</w:t>
            </w:r>
            <w:r>
              <w:rPr>
                <w:spacing w:val="-9"/>
                <w:sz w:val="20"/>
              </w:rPr>
              <w:t xml:space="preserve"> </w:t>
            </w:r>
            <w:r>
              <w:rPr>
                <w:sz w:val="20"/>
              </w:rPr>
              <w:t>intervention</w:t>
            </w:r>
            <w:r>
              <w:rPr>
                <w:spacing w:val="-10"/>
                <w:sz w:val="20"/>
              </w:rPr>
              <w:t xml:space="preserve"> </w:t>
            </w:r>
            <w:r>
              <w:rPr>
                <w:sz w:val="20"/>
              </w:rPr>
              <w:t>vs.</w:t>
            </w:r>
            <w:r>
              <w:rPr>
                <w:spacing w:val="-10"/>
                <w:sz w:val="20"/>
              </w:rPr>
              <w:t xml:space="preserve"> </w:t>
            </w:r>
            <w:r>
              <w:rPr>
                <w:sz w:val="20"/>
              </w:rPr>
              <w:t>11.6% in control;</w:t>
            </w:r>
          </w:p>
          <w:p w14:paraId="7A4C3293" w14:textId="77777777" w:rsidR="00E13D3F" w:rsidRDefault="00FB2D6A" w:rsidP="00990D2B">
            <w:pPr>
              <w:pStyle w:val="TableParagraph"/>
              <w:numPr>
                <w:ilvl w:val="0"/>
                <w:numId w:val="13"/>
              </w:numPr>
              <w:tabs>
                <w:tab w:val="left" w:pos="468"/>
              </w:tabs>
              <w:spacing w:before="1"/>
              <w:rPr>
                <w:sz w:val="20"/>
              </w:rPr>
            </w:pPr>
            <w:r>
              <w:rPr>
                <w:sz w:val="20"/>
              </w:rPr>
              <w:t>Adjusted</w:t>
            </w:r>
            <w:r>
              <w:rPr>
                <w:spacing w:val="-5"/>
                <w:sz w:val="20"/>
              </w:rPr>
              <w:t xml:space="preserve"> </w:t>
            </w:r>
            <w:r>
              <w:rPr>
                <w:sz w:val="20"/>
              </w:rPr>
              <w:t>HR</w:t>
            </w:r>
            <w:r>
              <w:rPr>
                <w:spacing w:val="-6"/>
                <w:sz w:val="20"/>
              </w:rPr>
              <w:t xml:space="preserve"> </w:t>
            </w:r>
            <w:r>
              <w:rPr>
                <w:sz w:val="20"/>
              </w:rPr>
              <w:t>0.97</w:t>
            </w:r>
            <w:r>
              <w:rPr>
                <w:spacing w:val="-5"/>
                <w:sz w:val="20"/>
              </w:rPr>
              <w:t xml:space="preserve"> </w:t>
            </w:r>
            <w:r>
              <w:rPr>
                <w:sz w:val="20"/>
              </w:rPr>
              <w:t>(95%CI</w:t>
            </w:r>
            <w:r>
              <w:rPr>
                <w:spacing w:val="-6"/>
                <w:sz w:val="20"/>
              </w:rPr>
              <w:t xml:space="preserve"> </w:t>
            </w:r>
            <w:r>
              <w:rPr>
                <w:sz w:val="20"/>
              </w:rPr>
              <w:t>0.87</w:t>
            </w:r>
            <w:r>
              <w:rPr>
                <w:spacing w:val="-1"/>
                <w:sz w:val="20"/>
              </w:rPr>
              <w:t xml:space="preserve"> </w:t>
            </w:r>
            <w:r>
              <w:rPr>
                <w:spacing w:val="-10"/>
                <w:sz w:val="20"/>
              </w:rPr>
              <w:t>–</w:t>
            </w:r>
          </w:p>
          <w:p w14:paraId="7A4C3294" w14:textId="77777777" w:rsidR="00E13D3F" w:rsidRDefault="00FB2D6A">
            <w:pPr>
              <w:pStyle w:val="TableParagraph"/>
              <w:spacing w:before="1" w:line="223" w:lineRule="exact"/>
              <w:ind w:left="468"/>
              <w:rPr>
                <w:sz w:val="20"/>
              </w:rPr>
            </w:pPr>
            <w:r>
              <w:rPr>
                <w:spacing w:val="-2"/>
                <w:sz w:val="20"/>
              </w:rPr>
              <w:t>1.08)</w:t>
            </w:r>
          </w:p>
        </w:tc>
        <w:tc>
          <w:tcPr>
            <w:tcW w:w="3200" w:type="dxa"/>
            <w:shd w:val="clear" w:color="auto" w:fill="F1F1F1"/>
          </w:tcPr>
          <w:p w14:paraId="7A4C3295" w14:textId="77777777" w:rsidR="00E13D3F" w:rsidRDefault="00FB2D6A">
            <w:pPr>
              <w:pStyle w:val="TableParagraph"/>
              <w:spacing w:before="1"/>
              <w:ind w:left="108"/>
              <w:rPr>
                <w:sz w:val="20"/>
              </w:rPr>
            </w:pPr>
            <w:r>
              <w:rPr>
                <w:sz w:val="20"/>
              </w:rPr>
              <w:t>Screening</w:t>
            </w:r>
            <w:r>
              <w:rPr>
                <w:spacing w:val="-11"/>
                <w:sz w:val="20"/>
              </w:rPr>
              <w:t xml:space="preserve"> </w:t>
            </w:r>
            <w:r>
              <w:rPr>
                <w:sz w:val="20"/>
              </w:rPr>
              <w:t>followed</w:t>
            </w:r>
            <w:r>
              <w:rPr>
                <w:spacing w:val="-10"/>
                <w:sz w:val="20"/>
              </w:rPr>
              <w:t xml:space="preserve"> </w:t>
            </w:r>
            <w:r>
              <w:rPr>
                <w:sz w:val="20"/>
              </w:rPr>
              <w:t>by</w:t>
            </w:r>
            <w:r>
              <w:rPr>
                <w:spacing w:val="-10"/>
                <w:sz w:val="20"/>
              </w:rPr>
              <w:t xml:space="preserve"> </w:t>
            </w:r>
            <w:r>
              <w:rPr>
                <w:sz w:val="20"/>
              </w:rPr>
              <w:t>treatment</w:t>
            </w:r>
            <w:r>
              <w:rPr>
                <w:spacing w:val="-10"/>
                <w:sz w:val="20"/>
              </w:rPr>
              <w:t xml:space="preserve"> </w:t>
            </w:r>
            <w:r>
              <w:rPr>
                <w:sz w:val="20"/>
              </w:rPr>
              <w:t>did not show a statistically significant reduction on fractures of any type</w:t>
            </w:r>
          </w:p>
        </w:tc>
      </w:tr>
      <w:tr w:rsidR="00E13D3F" w14:paraId="7A4C329C" w14:textId="77777777">
        <w:trPr>
          <w:trHeight w:val="1242"/>
        </w:trPr>
        <w:tc>
          <w:tcPr>
            <w:tcW w:w="1560" w:type="dxa"/>
          </w:tcPr>
          <w:p w14:paraId="7A4C3297" w14:textId="77777777" w:rsidR="00E13D3F" w:rsidRDefault="00FB2D6A">
            <w:pPr>
              <w:pStyle w:val="TableParagraph"/>
              <w:spacing w:before="1"/>
              <w:ind w:left="108" w:right="124"/>
              <w:rPr>
                <w:b/>
                <w:sz w:val="20"/>
              </w:rPr>
            </w:pPr>
            <w:r>
              <w:rPr>
                <w:b/>
                <w:sz w:val="20"/>
              </w:rPr>
              <w:t>Overall</w:t>
            </w:r>
            <w:r>
              <w:rPr>
                <w:b/>
                <w:spacing w:val="-12"/>
                <w:sz w:val="20"/>
              </w:rPr>
              <w:t xml:space="preserve"> </w:t>
            </w:r>
            <w:r>
              <w:rPr>
                <w:b/>
                <w:sz w:val="20"/>
              </w:rPr>
              <w:t>fracture rates</w:t>
            </w:r>
            <w:r>
              <w:rPr>
                <w:b/>
                <w:spacing w:val="-8"/>
                <w:sz w:val="20"/>
              </w:rPr>
              <w:t xml:space="preserve"> </w:t>
            </w:r>
            <w:r>
              <w:rPr>
                <w:b/>
                <w:spacing w:val="-2"/>
                <w:sz w:val="20"/>
              </w:rPr>
              <w:t>combined</w:t>
            </w:r>
          </w:p>
        </w:tc>
        <w:tc>
          <w:tcPr>
            <w:tcW w:w="1563" w:type="dxa"/>
          </w:tcPr>
          <w:p w14:paraId="7A4C3298" w14:textId="77777777" w:rsidR="00E13D3F" w:rsidRDefault="00FB2D6A">
            <w:pPr>
              <w:pStyle w:val="TableParagraph"/>
              <w:spacing w:before="1"/>
              <w:ind w:left="108"/>
              <w:rPr>
                <w:b/>
                <w:sz w:val="20"/>
              </w:rPr>
            </w:pPr>
            <w:r>
              <w:rPr>
                <w:b/>
                <w:sz w:val="20"/>
              </w:rPr>
              <w:t>Rapp</w:t>
            </w:r>
            <w:r>
              <w:rPr>
                <w:b/>
                <w:spacing w:val="-12"/>
                <w:sz w:val="20"/>
              </w:rPr>
              <w:t xml:space="preserve"> </w:t>
            </w:r>
            <w:r>
              <w:rPr>
                <w:b/>
                <w:sz w:val="20"/>
              </w:rPr>
              <w:t>2022</w:t>
            </w:r>
            <w:r>
              <w:rPr>
                <w:b/>
                <w:spacing w:val="-11"/>
                <w:sz w:val="20"/>
              </w:rPr>
              <w:t xml:space="preserve"> </w:t>
            </w:r>
            <w:r>
              <w:rPr>
                <w:b/>
                <w:sz w:val="20"/>
              </w:rPr>
              <w:t>at</w:t>
            </w:r>
            <w:r>
              <w:rPr>
                <w:b/>
                <w:spacing w:val="-11"/>
                <w:sz w:val="20"/>
              </w:rPr>
              <w:t xml:space="preserve"> </w:t>
            </w:r>
            <w:r>
              <w:rPr>
                <w:b/>
                <w:sz w:val="20"/>
              </w:rPr>
              <w:t>1+ year follow-up</w:t>
            </w:r>
          </w:p>
        </w:tc>
        <w:tc>
          <w:tcPr>
            <w:tcW w:w="3317" w:type="dxa"/>
          </w:tcPr>
          <w:p w14:paraId="7A4C3299" w14:textId="77777777" w:rsidR="00E13D3F" w:rsidRDefault="00FB2D6A" w:rsidP="00990D2B">
            <w:pPr>
              <w:pStyle w:val="TableParagraph"/>
              <w:numPr>
                <w:ilvl w:val="0"/>
                <w:numId w:val="12"/>
              </w:numPr>
              <w:tabs>
                <w:tab w:val="left" w:pos="468"/>
              </w:tabs>
              <w:ind w:right="284"/>
              <w:rPr>
                <w:sz w:val="20"/>
              </w:rPr>
            </w:pPr>
            <w:r>
              <w:rPr>
                <w:sz w:val="20"/>
              </w:rPr>
              <w:t>34.6%</w:t>
            </w:r>
            <w:r>
              <w:rPr>
                <w:spacing w:val="-11"/>
                <w:sz w:val="20"/>
              </w:rPr>
              <w:t xml:space="preserve"> </w:t>
            </w:r>
            <w:r>
              <w:rPr>
                <w:sz w:val="20"/>
              </w:rPr>
              <w:t>in</w:t>
            </w:r>
            <w:r>
              <w:rPr>
                <w:spacing w:val="-9"/>
                <w:sz w:val="20"/>
              </w:rPr>
              <w:t xml:space="preserve"> </w:t>
            </w:r>
            <w:r>
              <w:rPr>
                <w:sz w:val="20"/>
              </w:rPr>
              <w:t>intervention</w:t>
            </w:r>
            <w:r>
              <w:rPr>
                <w:spacing w:val="-9"/>
                <w:sz w:val="20"/>
              </w:rPr>
              <w:t xml:space="preserve"> </w:t>
            </w:r>
            <w:r>
              <w:rPr>
                <w:sz w:val="20"/>
              </w:rPr>
              <w:t>vs.</w:t>
            </w:r>
            <w:r>
              <w:rPr>
                <w:spacing w:val="-9"/>
                <w:sz w:val="20"/>
              </w:rPr>
              <w:t xml:space="preserve"> </w:t>
            </w:r>
            <w:r>
              <w:rPr>
                <w:sz w:val="20"/>
              </w:rPr>
              <w:t>38.6% in control; HR at 1 year, 0.94 (95% CI, 0.80 -1.11)</w:t>
            </w:r>
          </w:p>
          <w:p w14:paraId="7A4C329A" w14:textId="77777777" w:rsidR="00E13D3F" w:rsidRDefault="00FB2D6A" w:rsidP="00990D2B">
            <w:pPr>
              <w:pStyle w:val="TableParagraph"/>
              <w:numPr>
                <w:ilvl w:val="0"/>
                <w:numId w:val="12"/>
              </w:numPr>
              <w:tabs>
                <w:tab w:val="left" w:pos="468"/>
              </w:tabs>
              <w:spacing w:line="240" w:lineRule="atLeast"/>
              <w:ind w:right="328"/>
              <w:rPr>
                <w:sz w:val="20"/>
              </w:rPr>
            </w:pPr>
            <w:r>
              <w:rPr>
                <w:sz w:val="20"/>
              </w:rPr>
              <w:t>Effect</w:t>
            </w:r>
            <w:r>
              <w:rPr>
                <w:spacing w:val="-8"/>
                <w:sz w:val="20"/>
              </w:rPr>
              <w:t xml:space="preserve"> </w:t>
            </w:r>
            <w:r>
              <w:rPr>
                <w:sz w:val="20"/>
              </w:rPr>
              <w:t>any</w:t>
            </w:r>
            <w:r>
              <w:rPr>
                <w:spacing w:val="-8"/>
                <w:sz w:val="20"/>
              </w:rPr>
              <w:t xml:space="preserve"> </w:t>
            </w:r>
            <w:r>
              <w:rPr>
                <w:sz w:val="20"/>
              </w:rPr>
              <w:t>time</w:t>
            </w:r>
            <w:r>
              <w:rPr>
                <w:spacing w:val="-7"/>
                <w:sz w:val="20"/>
              </w:rPr>
              <w:t xml:space="preserve"> </w:t>
            </w:r>
            <w:r>
              <w:rPr>
                <w:sz w:val="20"/>
              </w:rPr>
              <w:t>from</w:t>
            </w:r>
            <w:r>
              <w:rPr>
                <w:spacing w:val="-9"/>
                <w:sz w:val="20"/>
              </w:rPr>
              <w:t xml:space="preserve"> </w:t>
            </w:r>
            <w:r>
              <w:rPr>
                <w:sz w:val="20"/>
              </w:rPr>
              <w:t>1-3</w:t>
            </w:r>
            <w:r>
              <w:rPr>
                <w:spacing w:val="-9"/>
                <w:sz w:val="20"/>
              </w:rPr>
              <w:t xml:space="preserve"> </w:t>
            </w:r>
            <w:r>
              <w:rPr>
                <w:sz w:val="20"/>
              </w:rPr>
              <w:t>years: HR 1.04 (95%CI 0.91 – 1.19)</w:t>
            </w:r>
          </w:p>
        </w:tc>
        <w:tc>
          <w:tcPr>
            <w:tcW w:w="3200" w:type="dxa"/>
          </w:tcPr>
          <w:p w14:paraId="7A4C329B" w14:textId="77777777" w:rsidR="00E13D3F" w:rsidRDefault="00FB2D6A">
            <w:pPr>
              <w:pStyle w:val="TableParagraph"/>
              <w:spacing w:before="1"/>
              <w:ind w:left="108" w:right="181"/>
              <w:rPr>
                <w:sz w:val="20"/>
              </w:rPr>
            </w:pPr>
            <w:r>
              <w:rPr>
                <w:sz w:val="20"/>
              </w:rPr>
              <w:t>Osteoporosis risk assessment + comprehensive</w:t>
            </w:r>
            <w:r>
              <w:rPr>
                <w:spacing w:val="-12"/>
                <w:sz w:val="20"/>
              </w:rPr>
              <w:t xml:space="preserve"> </w:t>
            </w:r>
            <w:r>
              <w:rPr>
                <w:sz w:val="20"/>
              </w:rPr>
              <w:t>intervention</w:t>
            </w:r>
            <w:r>
              <w:rPr>
                <w:spacing w:val="-11"/>
                <w:sz w:val="20"/>
              </w:rPr>
              <w:t xml:space="preserve"> </w:t>
            </w:r>
            <w:r>
              <w:rPr>
                <w:sz w:val="20"/>
              </w:rPr>
              <w:t>does not reduce overall fracture rates compared to usual care</w:t>
            </w:r>
          </w:p>
        </w:tc>
      </w:tr>
      <w:tr w:rsidR="00E13D3F" w14:paraId="7A4C32A5" w14:textId="77777777">
        <w:trPr>
          <w:trHeight w:val="998"/>
        </w:trPr>
        <w:tc>
          <w:tcPr>
            <w:tcW w:w="1560" w:type="dxa"/>
            <w:shd w:val="clear" w:color="auto" w:fill="F1F1F1"/>
          </w:tcPr>
          <w:p w14:paraId="7A4C329D" w14:textId="77777777" w:rsidR="00E13D3F" w:rsidRDefault="00FB2D6A">
            <w:pPr>
              <w:pStyle w:val="TableParagraph"/>
              <w:spacing w:before="1"/>
              <w:ind w:left="108" w:right="440"/>
              <w:rPr>
                <w:b/>
                <w:sz w:val="20"/>
              </w:rPr>
            </w:pPr>
            <w:r>
              <w:rPr>
                <w:b/>
                <w:spacing w:val="-2"/>
                <w:sz w:val="20"/>
              </w:rPr>
              <w:t>Fracture incidence rates</w:t>
            </w:r>
          </w:p>
        </w:tc>
        <w:tc>
          <w:tcPr>
            <w:tcW w:w="1563" w:type="dxa"/>
            <w:shd w:val="clear" w:color="auto" w:fill="F1F1F1"/>
          </w:tcPr>
          <w:p w14:paraId="7A4C329E" w14:textId="77777777" w:rsidR="00E13D3F" w:rsidRDefault="00FB2D6A">
            <w:pPr>
              <w:pStyle w:val="TableParagraph"/>
              <w:spacing w:line="244" w:lineRule="exact"/>
              <w:ind w:left="108"/>
              <w:rPr>
                <w:b/>
                <w:sz w:val="20"/>
              </w:rPr>
            </w:pPr>
            <w:r>
              <w:rPr>
                <w:rFonts w:ascii="Times New Roman" w:hAnsi="Times New Roman"/>
                <w:b/>
                <w:position w:val="7"/>
                <w:sz w:val="13"/>
              </w:rPr>
              <w:t>§</w:t>
            </w:r>
            <w:r>
              <w:rPr>
                <w:rFonts w:ascii="Times New Roman" w:hAnsi="Times New Roman"/>
                <w:b/>
                <w:spacing w:val="12"/>
                <w:position w:val="7"/>
                <w:sz w:val="13"/>
              </w:rPr>
              <w:t xml:space="preserve"> </w:t>
            </w:r>
            <w:r>
              <w:rPr>
                <w:b/>
                <w:spacing w:val="-2"/>
                <w:sz w:val="20"/>
              </w:rPr>
              <w:t>Osaki</w:t>
            </w:r>
          </w:p>
          <w:p w14:paraId="7A4C329F" w14:textId="77777777" w:rsidR="00E13D3F" w:rsidRDefault="00FB2D6A">
            <w:pPr>
              <w:pStyle w:val="TableParagraph"/>
              <w:ind w:left="108" w:right="145"/>
              <w:rPr>
                <w:b/>
                <w:sz w:val="20"/>
              </w:rPr>
            </w:pPr>
            <w:r>
              <w:rPr>
                <w:b/>
                <w:sz w:val="20"/>
              </w:rPr>
              <w:t>2021</w:t>
            </w:r>
            <w:r>
              <w:rPr>
                <w:b/>
                <w:spacing w:val="80"/>
                <w:sz w:val="20"/>
              </w:rPr>
              <w:t xml:space="preserve"> </w:t>
            </w:r>
            <w:r>
              <w:rPr>
                <w:b/>
                <w:sz w:val="20"/>
              </w:rPr>
              <w:t>up to 2 years</w:t>
            </w:r>
            <w:r>
              <w:rPr>
                <w:b/>
                <w:spacing w:val="-12"/>
                <w:sz w:val="20"/>
              </w:rPr>
              <w:t xml:space="preserve"> </w:t>
            </w:r>
            <w:r>
              <w:rPr>
                <w:b/>
                <w:sz w:val="20"/>
              </w:rPr>
              <w:t>follow-up</w:t>
            </w:r>
          </w:p>
        </w:tc>
        <w:tc>
          <w:tcPr>
            <w:tcW w:w="3317" w:type="dxa"/>
            <w:shd w:val="clear" w:color="auto" w:fill="F1F1F1"/>
          </w:tcPr>
          <w:p w14:paraId="7A4C32A0" w14:textId="77777777" w:rsidR="00E13D3F" w:rsidRDefault="00FB2D6A" w:rsidP="00990D2B">
            <w:pPr>
              <w:pStyle w:val="TableParagraph"/>
              <w:numPr>
                <w:ilvl w:val="0"/>
                <w:numId w:val="11"/>
              </w:numPr>
              <w:tabs>
                <w:tab w:val="left" w:pos="468"/>
              </w:tabs>
              <w:rPr>
                <w:sz w:val="20"/>
              </w:rPr>
            </w:pPr>
            <w:r>
              <w:rPr>
                <w:sz w:val="20"/>
              </w:rPr>
              <w:t>12</w:t>
            </w:r>
            <w:r>
              <w:rPr>
                <w:spacing w:val="-9"/>
                <w:sz w:val="20"/>
              </w:rPr>
              <w:t xml:space="preserve"> </w:t>
            </w:r>
            <w:proofErr w:type="spellStart"/>
            <w:r>
              <w:rPr>
                <w:sz w:val="20"/>
              </w:rPr>
              <w:t>mths</w:t>
            </w:r>
            <w:proofErr w:type="spellEnd"/>
            <w:r>
              <w:rPr>
                <w:sz w:val="20"/>
              </w:rPr>
              <w:t>:</w:t>
            </w:r>
            <w:r>
              <w:rPr>
                <w:spacing w:val="-8"/>
                <w:sz w:val="20"/>
              </w:rPr>
              <w:t xml:space="preserve"> </w:t>
            </w:r>
            <w:r>
              <w:rPr>
                <w:sz w:val="20"/>
              </w:rPr>
              <w:t>intervention</w:t>
            </w:r>
            <w:r>
              <w:rPr>
                <w:spacing w:val="-7"/>
                <w:sz w:val="20"/>
              </w:rPr>
              <w:t xml:space="preserve"> </w:t>
            </w:r>
            <w:r>
              <w:rPr>
                <w:spacing w:val="-2"/>
                <w:sz w:val="20"/>
              </w:rPr>
              <w:t>4.5%,</w:t>
            </w:r>
          </w:p>
          <w:p w14:paraId="7A4C32A1" w14:textId="77777777" w:rsidR="00E13D3F" w:rsidRDefault="00FB2D6A">
            <w:pPr>
              <w:pStyle w:val="TableParagraph"/>
              <w:spacing w:before="1" w:line="244" w:lineRule="exact"/>
              <w:ind w:left="468"/>
              <w:rPr>
                <w:sz w:val="20"/>
              </w:rPr>
            </w:pPr>
            <w:r>
              <w:rPr>
                <w:sz w:val="20"/>
              </w:rPr>
              <w:t>control</w:t>
            </w:r>
            <w:r>
              <w:rPr>
                <w:spacing w:val="-10"/>
                <w:sz w:val="20"/>
              </w:rPr>
              <w:t xml:space="preserve"> </w:t>
            </w:r>
            <w:r>
              <w:rPr>
                <w:spacing w:val="-4"/>
                <w:sz w:val="20"/>
              </w:rPr>
              <w:t>8.8%</w:t>
            </w:r>
          </w:p>
          <w:p w14:paraId="7A4C32A2" w14:textId="77777777" w:rsidR="00E13D3F" w:rsidRDefault="00FB2D6A" w:rsidP="00990D2B">
            <w:pPr>
              <w:pStyle w:val="TableParagraph"/>
              <w:numPr>
                <w:ilvl w:val="0"/>
                <w:numId w:val="11"/>
              </w:numPr>
              <w:tabs>
                <w:tab w:val="left" w:pos="468"/>
              </w:tabs>
              <w:rPr>
                <w:sz w:val="20"/>
              </w:rPr>
            </w:pPr>
            <w:r>
              <w:rPr>
                <w:sz w:val="20"/>
              </w:rPr>
              <w:t>24</w:t>
            </w:r>
            <w:r>
              <w:rPr>
                <w:spacing w:val="-9"/>
                <w:sz w:val="20"/>
              </w:rPr>
              <w:t xml:space="preserve"> </w:t>
            </w:r>
            <w:proofErr w:type="spellStart"/>
            <w:r>
              <w:rPr>
                <w:sz w:val="20"/>
              </w:rPr>
              <w:t>mths</w:t>
            </w:r>
            <w:proofErr w:type="spellEnd"/>
            <w:r>
              <w:rPr>
                <w:sz w:val="20"/>
              </w:rPr>
              <w:t>:</w:t>
            </w:r>
            <w:r>
              <w:rPr>
                <w:spacing w:val="-8"/>
                <w:sz w:val="20"/>
              </w:rPr>
              <w:t xml:space="preserve"> </w:t>
            </w:r>
            <w:r>
              <w:rPr>
                <w:sz w:val="20"/>
              </w:rPr>
              <w:t>intervention</w:t>
            </w:r>
            <w:r>
              <w:rPr>
                <w:spacing w:val="-7"/>
                <w:sz w:val="20"/>
              </w:rPr>
              <w:t xml:space="preserve"> </w:t>
            </w:r>
            <w:r>
              <w:rPr>
                <w:spacing w:val="-2"/>
                <w:sz w:val="20"/>
              </w:rPr>
              <w:t>8.6%,</w:t>
            </w:r>
          </w:p>
          <w:p w14:paraId="7A4C32A3" w14:textId="77777777" w:rsidR="00E13D3F" w:rsidRDefault="00FB2D6A">
            <w:pPr>
              <w:pStyle w:val="TableParagraph"/>
              <w:spacing w:line="223" w:lineRule="exact"/>
              <w:ind w:left="468"/>
              <w:rPr>
                <w:sz w:val="20"/>
              </w:rPr>
            </w:pPr>
            <w:r>
              <w:rPr>
                <w:sz w:val="20"/>
              </w:rPr>
              <w:t>control</w:t>
            </w:r>
            <w:r>
              <w:rPr>
                <w:spacing w:val="-10"/>
                <w:sz w:val="20"/>
              </w:rPr>
              <w:t xml:space="preserve"> </w:t>
            </w:r>
            <w:r>
              <w:rPr>
                <w:spacing w:val="-4"/>
                <w:sz w:val="20"/>
              </w:rPr>
              <w:t>7.5%</w:t>
            </w:r>
          </w:p>
        </w:tc>
        <w:tc>
          <w:tcPr>
            <w:tcW w:w="3200" w:type="dxa"/>
            <w:shd w:val="clear" w:color="auto" w:fill="F1F1F1"/>
          </w:tcPr>
          <w:p w14:paraId="7A4C32A4" w14:textId="77777777" w:rsidR="00E13D3F" w:rsidRDefault="00FB2D6A">
            <w:pPr>
              <w:pStyle w:val="TableParagraph"/>
              <w:spacing w:before="1"/>
              <w:ind w:left="108" w:right="181"/>
              <w:rPr>
                <w:sz w:val="20"/>
              </w:rPr>
            </w:pPr>
            <w:r>
              <w:rPr>
                <w:sz w:val="20"/>
              </w:rPr>
              <w:t>Osteoporosis</w:t>
            </w:r>
            <w:r>
              <w:rPr>
                <w:spacing w:val="-12"/>
                <w:sz w:val="20"/>
              </w:rPr>
              <w:t xml:space="preserve"> </w:t>
            </w:r>
            <w:r>
              <w:rPr>
                <w:sz w:val="20"/>
              </w:rPr>
              <w:t>risk</w:t>
            </w:r>
            <w:r>
              <w:rPr>
                <w:spacing w:val="-11"/>
                <w:sz w:val="20"/>
              </w:rPr>
              <w:t xml:space="preserve"> </w:t>
            </w:r>
            <w:r>
              <w:rPr>
                <w:sz w:val="20"/>
              </w:rPr>
              <w:t>assessment</w:t>
            </w:r>
            <w:r>
              <w:rPr>
                <w:spacing w:val="-11"/>
                <w:sz w:val="20"/>
              </w:rPr>
              <w:t xml:space="preserve"> </w:t>
            </w:r>
            <w:r>
              <w:rPr>
                <w:sz w:val="20"/>
              </w:rPr>
              <w:t>with or without bone density does not prevent fractures overall</w:t>
            </w:r>
          </w:p>
        </w:tc>
      </w:tr>
      <w:tr w:rsidR="00E13D3F" w14:paraId="7A4C32AD" w14:textId="77777777">
        <w:trPr>
          <w:trHeight w:val="1240"/>
        </w:trPr>
        <w:tc>
          <w:tcPr>
            <w:tcW w:w="1560" w:type="dxa"/>
            <w:vMerge w:val="restart"/>
          </w:tcPr>
          <w:p w14:paraId="7A4C32A6" w14:textId="77777777" w:rsidR="00E13D3F" w:rsidRDefault="00FB2D6A">
            <w:pPr>
              <w:pStyle w:val="TableParagraph"/>
              <w:spacing w:before="1"/>
              <w:ind w:left="108" w:right="176"/>
              <w:rPr>
                <w:b/>
                <w:sz w:val="20"/>
              </w:rPr>
            </w:pPr>
            <w:r>
              <w:rPr>
                <w:b/>
                <w:spacing w:val="-2"/>
                <w:sz w:val="20"/>
              </w:rPr>
              <w:t xml:space="preserve">Osteoporotic </w:t>
            </w:r>
            <w:r>
              <w:rPr>
                <w:b/>
                <w:sz w:val="20"/>
              </w:rPr>
              <w:t>fracture</w:t>
            </w:r>
            <w:r>
              <w:rPr>
                <w:b/>
                <w:spacing w:val="-8"/>
                <w:sz w:val="20"/>
              </w:rPr>
              <w:t xml:space="preserve"> </w:t>
            </w:r>
            <w:r>
              <w:rPr>
                <w:b/>
                <w:spacing w:val="-2"/>
                <w:sz w:val="20"/>
              </w:rPr>
              <w:t>rates</w:t>
            </w:r>
          </w:p>
        </w:tc>
        <w:tc>
          <w:tcPr>
            <w:tcW w:w="1563" w:type="dxa"/>
          </w:tcPr>
          <w:p w14:paraId="7A4C32A7" w14:textId="77777777" w:rsidR="00E13D3F" w:rsidRDefault="00FB2D6A">
            <w:pPr>
              <w:pStyle w:val="TableParagraph"/>
              <w:spacing w:before="1"/>
              <w:ind w:left="108" w:right="111"/>
              <w:rPr>
                <w:b/>
                <w:sz w:val="20"/>
              </w:rPr>
            </w:pPr>
            <w:r>
              <w:rPr>
                <w:b/>
                <w:sz w:val="20"/>
              </w:rPr>
              <w:t>Shepstone</w:t>
            </w:r>
            <w:r>
              <w:rPr>
                <w:b/>
                <w:spacing w:val="-12"/>
                <w:sz w:val="20"/>
              </w:rPr>
              <w:t xml:space="preserve"> </w:t>
            </w:r>
            <w:r>
              <w:rPr>
                <w:b/>
                <w:sz w:val="20"/>
              </w:rPr>
              <w:t>2018 at 5-year</w:t>
            </w:r>
          </w:p>
          <w:p w14:paraId="7A4C32A8" w14:textId="77777777" w:rsidR="00E13D3F" w:rsidRDefault="00FB2D6A">
            <w:pPr>
              <w:pStyle w:val="TableParagraph"/>
              <w:spacing w:line="243" w:lineRule="exact"/>
              <w:ind w:left="108"/>
              <w:rPr>
                <w:b/>
                <w:sz w:val="20"/>
              </w:rPr>
            </w:pPr>
            <w:r>
              <w:rPr>
                <w:b/>
                <w:spacing w:val="-2"/>
                <w:sz w:val="20"/>
              </w:rPr>
              <w:t>follow-</w:t>
            </w:r>
            <w:r>
              <w:rPr>
                <w:b/>
                <w:spacing w:val="-5"/>
                <w:sz w:val="20"/>
              </w:rPr>
              <w:t>up</w:t>
            </w:r>
          </w:p>
        </w:tc>
        <w:tc>
          <w:tcPr>
            <w:tcW w:w="3317" w:type="dxa"/>
          </w:tcPr>
          <w:p w14:paraId="7A4C32A9" w14:textId="77777777" w:rsidR="00E13D3F" w:rsidRDefault="00FB2D6A" w:rsidP="00990D2B">
            <w:pPr>
              <w:pStyle w:val="TableParagraph"/>
              <w:numPr>
                <w:ilvl w:val="0"/>
                <w:numId w:val="10"/>
              </w:numPr>
              <w:tabs>
                <w:tab w:val="left" w:pos="468"/>
              </w:tabs>
              <w:ind w:right="306"/>
              <w:rPr>
                <w:sz w:val="20"/>
              </w:rPr>
            </w:pPr>
            <w:r>
              <w:rPr>
                <w:sz w:val="20"/>
              </w:rPr>
              <w:t>12.9% in multicomponent intervention</w:t>
            </w:r>
            <w:r>
              <w:rPr>
                <w:spacing w:val="-10"/>
                <w:sz w:val="20"/>
              </w:rPr>
              <w:t xml:space="preserve"> </w:t>
            </w:r>
            <w:r>
              <w:rPr>
                <w:sz w:val="20"/>
              </w:rPr>
              <w:t>group</w:t>
            </w:r>
            <w:r>
              <w:rPr>
                <w:spacing w:val="-10"/>
                <w:sz w:val="20"/>
              </w:rPr>
              <w:t xml:space="preserve"> </w:t>
            </w:r>
            <w:r>
              <w:rPr>
                <w:sz w:val="20"/>
              </w:rPr>
              <w:t>vs.</w:t>
            </w:r>
            <w:r>
              <w:rPr>
                <w:spacing w:val="-10"/>
                <w:sz w:val="20"/>
              </w:rPr>
              <w:t xml:space="preserve"> </w:t>
            </w:r>
            <w:r>
              <w:rPr>
                <w:sz w:val="20"/>
              </w:rPr>
              <w:t>13.6%</w:t>
            </w:r>
            <w:r>
              <w:rPr>
                <w:spacing w:val="-12"/>
                <w:sz w:val="20"/>
              </w:rPr>
              <w:t xml:space="preserve"> </w:t>
            </w:r>
            <w:r>
              <w:rPr>
                <w:sz w:val="20"/>
              </w:rPr>
              <w:t xml:space="preserve">in </w:t>
            </w:r>
            <w:r>
              <w:rPr>
                <w:spacing w:val="-2"/>
                <w:sz w:val="20"/>
              </w:rPr>
              <w:t>control;</w:t>
            </w:r>
          </w:p>
          <w:p w14:paraId="7A4C32AA" w14:textId="77777777" w:rsidR="00E13D3F" w:rsidRDefault="00FB2D6A" w:rsidP="00990D2B">
            <w:pPr>
              <w:pStyle w:val="TableParagraph"/>
              <w:numPr>
                <w:ilvl w:val="0"/>
                <w:numId w:val="10"/>
              </w:numPr>
              <w:tabs>
                <w:tab w:val="left" w:pos="468"/>
              </w:tabs>
              <w:spacing w:line="254" w:lineRule="exact"/>
              <w:rPr>
                <w:sz w:val="20"/>
              </w:rPr>
            </w:pPr>
            <w:r>
              <w:rPr>
                <w:sz w:val="20"/>
              </w:rPr>
              <w:t>HR,</w:t>
            </w:r>
            <w:r>
              <w:rPr>
                <w:spacing w:val="-3"/>
                <w:sz w:val="20"/>
              </w:rPr>
              <w:t xml:space="preserve"> </w:t>
            </w:r>
            <w:r>
              <w:rPr>
                <w:sz w:val="20"/>
              </w:rPr>
              <w:t>0.94</w:t>
            </w:r>
            <w:r>
              <w:rPr>
                <w:spacing w:val="-4"/>
                <w:sz w:val="20"/>
              </w:rPr>
              <w:t xml:space="preserve"> </w:t>
            </w:r>
            <w:r>
              <w:rPr>
                <w:sz w:val="20"/>
              </w:rPr>
              <w:t>(95%</w:t>
            </w:r>
            <w:r>
              <w:rPr>
                <w:spacing w:val="-4"/>
                <w:sz w:val="20"/>
              </w:rPr>
              <w:t xml:space="preserve"> </w:t>
            </w:r>
            <w:r>
              <w:rPr>
                <w:sz w:val="20"/>
              </w:rPr>
              <w:t>CI,</w:t>
            </w:r>
            <w:r>
              <w:rPr>
                <w:spacing w:val="-3"/>
                <w:sz w:val="20"/>
              </w:rPr>
              <w:t xml:space="preserve"> </w:t>
            </w:r>
            <w:r>
              <w:rPr>
                <w:spacing w:val="-4"/>
                <w:sz w:val="20"/>
              </w:rPr>
              <w:t>0.85-</w:t>
            </w:r>
          </w:p>
          <w:p w14:paraId="7A4C32AB" w14:textId="77777777" w:rsidR="00E13D3F" w:rsidRDefault="00FB2D6A">
            <w:pPr>
              <w:pStyle w:val="TableParagraph"/>
              <w:spacing w:before="1" w:line="223" w:lineRule="exact"/>
              <w:ind w:left="468"/>
              <w:rPr>
                <w:sz w:val="20"/>
              </w:rPr>
            </w:pPr>
            <w:r>
              <w:rPr>
                <w:sz w:val="20"/>
              </w:rPr>
              <w:t>1.03)</w:t>
            </w:r>
            <w:r>
              <w:rPr>
                <w:spacing w:val="37"/>
                <w:sz w:val="20"/>
              </w:rPr>
              <w:t xml:space="preserve"> </w:t>
            </w:r>
            <w:r>
              <w:rPr>
                <w:spacing w:val="-2"/>
                <w:sz w:val="20"/>
              </w:rPr>
              <w:t>p=0.18</w:t>
            </w:r>
          </w:p>
        </w:tc>
        <w:tc>
          <w:tcPr>
            <w:tcW w:w="3200" w:type="dxa"/>
          </w:tcPr>
          <w:p w14:paraId="7A4C32AC" w14:textId="77777777" w:rsidR="00E13D3F" w:rsidRDefault="00FB2D6A">
            <w:pPr>
              <w:pStyle w:val="TableParagraph"/>
              <w:spacing w:before="1"/>
              <w:ind w:left="108" w:right="347"/>
              <w:jc w:val="both"/>
              <w:rPr>
                <w:sz w:val="20"/>
              </w:rPr>
            </w:pPr>
            <w:r>
              <w:rPr>
                <w:sz w:val="20"/>
              </w:rPr>
              <w:t>Risk</w:t>
            </w:r>
            <w:r>
              <w:rPr>
                <w:spacing w:val="-2"/>
                <w:sz w:val="20"/>
              </w:rPr>
              <w:t xml:space="preserve"> </w:t>
            </w:r>
            <w:r>
              <w:rPr>
                <w:sz w:val="20"/>
              </w:rPr>
              <w:t>assessment</w:t>
            </w:r>
            <w:r>
              <w:rPr>
                <w:spacing w:val="-2"/>
                <w:sz w:val="20"/>
              </w:rPr>
              <w:t xml:space="preserve"> </w:t>
            </w:r>
            <w:r>
              <w:rPr>
                <w:sz w:val="20"/>
              </w:rPr>
              <w:t>is</w:t>
            </w:r>
            <w:r>
              <w:rPr>
                <w:spacing w:val="-2"/>
                <w:sz w:val="20"/>
              </w:rPr>
              <w:t xml:space="preserve"> </w:t>
            </w:r>
            <w:r>
              <w:rPr>
                <w:sz w:val="20"/>
              </w:rPr>
              <w:t>no</w:t>
            </w:r>
            <w:r>
              <w:rPr>
                <w:spacing w:val="-2"/>
                <w:sz w:val="20"/>
              </w:rPr>
              <w:t xml:space="preserve"> </w:t>
            </w:r>
            <w:r>
              <w:rPr>
                <w:sz w:val="20"/>
              </w:rPr>
              <w:t>better</w:t>
            </w:r>
            <w:r>
              <w:rPr>
                <w:spacing w:val="-2"/>
                <w:sz w:val="20"/>
              </w:rPr>
              <w:t xml:space="preserve"> </w:t>
            </w:r>
            <w:r>
              <w:rPr>
                <w:sz w:val="20"/>
              </w:rPr>
              <w:t>than usual</w:t>
            </w:r>
            <w:r>
              <w:rPr>
                <w:spacing w:val="-10"/>
                <w:sz w:val="20"/>
              </w:rPr>
              <w:t xml:space="preserve"> </w:t>
            </w:r>
            <w:r>
              <w:rPr>
                <w:sz w:val="20"/>
              </w:rPr>
              <w:t>care</w:t>
            </w:r>
            <w:r>
              <w:rPr>
                <w:spacing w:val="-11"/>
                <w:sz w:val="20"/>
              </w:rPr>
              <w:t xml:space="preserve"> </w:t>
            </w:r>
            <w:r>
              <w:rPr>
                <w:sz w:val="20"/>
              </w:rPr>
              <w:t>in</w:t>
            </w:r>
            <w:r>
              <w:rPr>
                <w:spacing w:val="-10"/>
                <w:sz w:val="20"/>
              </w:rPr>
              <w:t xml:space="preserve"> </w:t>
            </w:r>
            <w:r>
              <w:rPr>
                <w:sz w:val="20"/>
              </w:rPr>
              <w:t>preventing</w:t>
            </w:r>
            <w:r>
              <w:rPr>
                <w:spacing w:val="-11"/>
                <w:sz w:val="20"/>
              </w:rPr>
              <w:t xml:space="preserve"> </w:t>
            </w:r>
            <w:r>
              <w:rPr>
                <w:sz w:val="20"/>
              </w:rPr>
              <w:t>women’s osteoporotic fractures</w:t>
            </w:r>
          </w:p>
        </w:tc>
      </w:tr>
      <w:tr w:rsidR="00E13D3F" w14:paraId="7A4C32B3" w14:textId="77777777">
        <w:trPr>
          <w:trHeight w:val="733"/>
        </w:trPr>
        <w:tc>
          <w:tcPr>
            <w:tcW w:w="1560" w:type="dxa"/>
            <w:vMerge/>
            <w:tcBorders>
              <w:top w:val="nil"/>
            </w:tcBorders>
          </w:tcPr>
          <w:p w14:paraId="7A4C32AE" w14:textId="77777777" w:rsidR="00E13D3F" w:rsidRDefault="00E13D3F">
            <w:pPr>
              <w:rPr>
                <w:sz w:val="2"/>
                <w:szCs w:val="2"/>
              </w:rPr>
            </w:pPr>
          </w:p>
        </w:tc>
        <w:tc>
          <w:tcPr>
            <w:tcW w:w="1563" w:type="dxa"/>
            <w:shd w:val="clear" w:color="auto" w:fill="F1F1F1"/>
          </w:tcPr>
          <w:p w14:paraId="7A4C32AF" w14:textId="77777777" w:rsidR="00E13D3F" w:rsidRDefault="00FB2D6A">
            <w:pPr>
              <w:pStyle w:val="TableParagraph"/>
              <w:spacing w:line="240" w:lineRule="atLeast"/>
              <w:ind w:left="108" w:right="392"/>
              <w:rPr>
                <w:b/>
                <w:sz w:val="20"/>
              </w:rPr>
            </w:pPr>
            <w:r>
              <w:rPr>
                <w:b/>
                <w:sz w:val="20"/>
              </w:rPr>
              <w:t>Merlijn</w:t>
            </w:r>
            <w:r>
              <w:rPr>
                <w:b/>
                <w:spacing w:val="-12"/>
                <w:sz w:val="20"/>
              </w:rPr>
              <w:t xml:space="preserve"> </w:t>
            </w:r>
            <w:r>
              <w:rPr>
                <w:b/>
                <w:sz w:val="20"/>
              </w:rPr>
              <w:t xml:space="preserve">2019 At 3-year </w:t>
            </w:r>
            <w:r>
              <w:rPr>
                <w:b/>
                <w:spacing w:val="-2"/>
                <w:sz w:val="20"/>
              </w:rPr>
              <w:t>follow-up</w:t>
            </w:r>
          </w:p>
        </w:tc>
        <w:tc>
          <w:tcPr>
            <w:tcW w:w="3317" w:type="dxa"/>
            <w:shd w:val="clear" w:color="auto" w:fill="F1F1F1"/>
          </w:tcPr>
          <w:p w14:paraId="7A4C32B0" w14:textId="77777777" w:rsidR="00E13D3F" w:rsidRDefault="00FB2D6A" w:rsidP="00990D2B">
            <w:pPr>
              <w:pStyle w:val="TableParagraph"/>
              <w:numPr>
                <w:ilvl w:val="0"/>
                <w:numId w:val="9"/>
              </w:numPr>
              <w:tabs>
                <w:tab w:val="left" w:pos="468"/>
              </w:tabs>
              <w:rPr>
                <w:sz w:val="20"/>
              </w:rPr>
            </w:pPr>
            <w:r>
              <w:rPr>
                <w:sz w:val="20"/>
              </w:rPr>
              <w:t>Adjusted</w:t>
            </w:r>
            <w:r>
              <w:rPr>
                <w:spacing w:val="-4"/>
                <w:sz w:val="20"/>
              </w:rPr>
              <w:t xml:space="preserve"> </w:t>
            </w:r>
            <w:r>
              <w:rPr>
                <w:sz w:val="20"/>
              </w:rPr>
              <w:t>HR</w:t>
            </w:r>
            <w:r>
              <w:rPr>
                <w:spacing w:val="-5"/>
                <w:sz w:val="20"/>
              </w:rPr>
              <w:t xml:space="preserve"> </w:t>
            </w:r>
            <w:r>
              <w:rPr>
                <w:sz w:val="20"/>
              </w:rPr>
              <w:t>s</w:t>
            </w:r>
            <w:r>
              <w:rPr>
                <w:spacing w:val="-3"/>
                <w:sz w:val="20"/>
              </w:rPr>
              <w:t xml:space="preserve"> </w:t>
            </w:r>
            <w:r>
              <w:rPr>
                <w:sz w:val="20"/>
              </w:rPr>
              <w:t>0.91</w:t>
            </w:r>
            <w:r>
              <w:rPr>
                <w:spacing w:val="-4"/>
                <w:sz w:val="20"/>
              </w:rPr>
              <w:t xml:space="preserve"> </w:t>
            </w:r>
            <w:r>
              <w:rPr>
                <w:sz w:val="20"/>
              </w:rPr>
              <w:t>(95%</w:t>
            </w:r>
            <w:r>
              <w:rPr>
                <w:spacing w:val="-4"/>
                <w:sz w:val="20"/>
              </w:rPr>
              <w:t xml:space="preserve"> </w:t>
            </w:r>
            <w:r>
              <w:rPr>
                <w:sz w:val="20"/>
              </w:rPr>
              <w:t>CI</w:t>
            </w:r>
            <w:r>
              <w:rPr>
                <w:spacing w:val="-4"/>
                <w:sz w:val="20"/>
              </w:rPr>
              <w:t xml:space="preserve"> 0.81–</w:t>
            </w:r>
          </w:p>
          <w:p w14:paraId="7A4C32B1" w14:textId="77777777" w:rsidR="00E13D3F" w:rsidRDefault="00FB2D6A">
            <w:pPr>
              <w:pStyle w:val="TableParagraph"/>
              <w:spacing w:before="1"/>
              <w:ind w:left="468"/>
              <w:rPr>
                <w:sz w:val="20"/>
              </w:rPr>
            </w:pPr>
            <w:r>
              <w:rPr>
                <w:spacing w:val="-2"/>
                <w:sz w:val="20"/>
              </w:rPr>
              <w:t>1.03)</w:t>
            </w:r>
          </w:p>
        </w:tc>
        <w:tc>
          <w:tcPr>
            <w:tcW w:w="3200" w:type="dxa"/>
            <w:shd w:val="clear" w:color="auto" w:fill="F1F1F1"/>
          </w:tcPr>
          <w:p w14:paraId="7A4C32B2" w14:textId="77777777" w:rsidR="00E13D3F" w:rsidRDefault="00FB2D6A">
            <w:pPr>
              <w:pStyle w:val="TableParagraph"/>
              <w:spacing w:before="1"/>
              <w:ind w:left="108"/>
              <w:rPr>
                <w:sz w:val="20"/>
              </w:rPr>
            </w:pPr>
            <w:r>
              <w:rPr>
                <w:sz w:val="20"/>
              </w:rPr>
              <w:t>screening</w:t>
            </w:r>
            <w:r>
              <w:rPr>
                <w:spacing w:val="-11"/>
                <w:sz w:val="20"/>
              </w:rPr>
              <w:t xml:space="preserve"> </w:t>
            </w:r>
            <w:r>
              <w:rPr>
                <w:sz w:val="20"/>
              </w:rPr>
              <w:t>followed</w:t>
            </w:r>
            <w:r>
              <w:rPr>
                <w:spacing w:val="-11"/>
                <w:sz w:val="20"/>
              </w:rPr>
              <w:t xml:space="preserve"> </w:t>
            </w:r>
            <w:r>
              <w:rPr>
                <w:sz w:val="20"/>
              </w:rPr>
              <w:t>by</w:t>
            </w:r>
            <w:r>
              <w:rPr>
                <w:spacing w:val="-11"/>
                <w:sz w:val="20"/>
              </w:rPr>
              <w:t xml:space="preserve"> </w:t>
            </w:r>
            <w:r>
              <w:rPr>
                <w:sz w:val="20"/>
              </w:rPr>
              <w:t>treatment</w:t>
            </w:r>
            <w:r>
              <w:rPr>
                <w:spacing w:val="-11"/>
                <w:sz w:val="20"/>
              </w:rPr>
              <w:t xml:space="preserve"> </w:t>
            </w:r>
            <w:r>
              <w:rPr>
                <w:sz w:val="20"/>
              </w:rPr>
              <w:t>did not reduce osteoporotic fractures</w:t>
            </w:r>
          </w:p>
        </w:tc>
      </w:tr>
      <w:tr w:rsidR="00E13D3F" w14:paraId="7A4C32BB" w14:textId="77777777">
        <w:trPr>
          <w:trHeight w:val="741"/>
        </w:trPr>
        <w:tc>
          <w:tcPr>
            <w:tcW w:w="1560" w:type="dxa"/>
            <w:vMerge/>
            <w:tcBorders>
              <w:top w:val="nil"/>
            </w:tcBorders>
          </w:tcPr>
          <w:p w14:paraId="7A4C32B4" w14:textId="77777777" w:rsidR="00E13D3F" w:rsidRDefault="00E13D3F">
            <w:pPr>
              <w:rPr>
                <w:sz w:val="2"/>
                <w:szCs w:val="2"/>
              </w:rPr>
            </w:pPr>
          </w:p>
        </w:tc>
        <w:tc>
          <w:tcPr>
            <w:tcW w:w="1563" w:type="dxa"/>
          </w:tcPr>
          <w:p w14:paraId="7A4C32B5" w14:textId="77777777" w:rsidR="00E13D3F" w:rsidRDefault="00FB2D6A">
            <w:pPr>
              <w:pStyle w:val="TableParagraph"/>
              <w:spacing w:before="1"/>
              <w:ind w:left="108"/>
              <w:rPr>
                <w:b/>
                <w:sz w:val="20"/>
              </w:rPr>
            </w:pPr>
            <w:r>
              <w:rPr>
                <w:b/>
                <w:sz w:val="20"/>
              </w:rPr>
              <w:t>Rubin</w:t>
            </w:r>
            <w:r>
              <w:rPr>
                <w:b/>
                <w:spacing w:val="-6"/>
                <w:sz w:val="20"/>
              </w:rPr>
              <w:t xml:space="preserve"> </w:t>
            </w:r>
            <w:r>
              <w:rPr>
                <w:b/>
                <w:spacing w:val="-4"/>
                <w:sz w:val="20"/>
              </w:rPr>
              <w:t>2018</w:t>
            </w:r>
          </w:p>
        </w:tc>
        <w:tc>
          <w:tcPr>
            <w:tcW w:w="3317" w:type="dxa"/>
          </w:tcPr>
          <w:p w14:paraId="7A4C32B6" w14:textId="77777777" w:rsidR="00E13D3F" w:rsidRDefault="00FB2D6A" w:rsidP="00990D2B">
            <w:pPr>
              <w:pStyle w:val="TableParagraph"/>
              <w:numPr>
                <w:ilvl w:val="0"/>
                <w:numId w:val="8"/>
              </w:numPr>
              <w:tabs>
                <w:tab w:val="left" w:pos="468"/>
              </w:tabs>
              <w:ind w:right="193"/>
              <w:rPr>
                <w:sz w:val="20"/>
              </w:rPr>
            </w:pPr>
            <w:r>
              <w:rPr>
                <w:sz w:val="20"/>
              </w:rPr>
              <w:t>9.9%</w:t>
            </w:r>
            <w:r>
              <w:rPr>
                <w:spacing w:val="-10"/>
                <w:sz w:val="20"/>
              </w:rPr>
              <w:t xml:space="preserve"> </w:t>
            </w:r>
            <w:r>
              <w:rPr>
                <w:sz w:val="20"/>
              </w:rPr>
              <w:t>in</w:t>
            </w:r>
            <w:r>
              <w:rPr>
                <w:spacing w:val="-8"/>
                <w:sz w:val="20"/>
              </w:rPr>
              <w:t xml:space="preserve"> </w:t>
            </w:r>
            <w:r>
              <w:rPr>
                <w:sz w:val="20"/>
              </w:rPr>
              <w:t>intervention</w:t>
            </w:r>
            <w:r>
              <w:rPr>
                <w:spacing w:val="-8"/>
                <w:sz w:val="20"/>
              </w:rPr>
              <w:t xml:space="preserve"> </w:t>
            </w:r>
            <w:r>
              <w:rPr>
                <w:sz w:val="20"/>
              </w:rPr>
              <w:t>vs.</w:t>
            </w:r>
            <w:r>
              <w:rPr>
                <w:spacing w:val="-8"/>
                <w:sz w:val="20"/>
              </w:rPr>
              <w:t xml:space="preserve"> </w:t>
            </w:r>
            <w:r>
              <w:rPr>
                <w:sz w:val="20"/>
              </w:rPr>
              <w:t>10.0%</w:t>
            </w:r>
            <w:r>
              <w:rPr>
                <w:spacing w:val="-8"/>
                <w:sz w:val="20"/>
              </w:rPr>
              <w:t xml:space="preserve"> </w:t>
            </w:r>
            <w:r>
              <w:rPr>
                <w:sz w:val="20"/>
              </w:rPr>
              <w:t xml:space="preserve">in control; p=0.83 Adjusted </w:t>
            </w:r>
            <w:proofErr w:type="spellStart"/>
            <w:r>
              <w:rPr>
                <w:sz w:val="20"/>
              </w:rPr>
              <w:t>sHR</w:t>
            </w:r>
            <w:proofErr w:type="spellEnd"/>
          </w:p>
          <w:p w14:paraId="7A4C32B7" w14:textId="77777777" w:rsidR="00E13D3F" w:rsidRDefault="00FB2D6A">
            <w:pPr>
              <w:pStyle w:val="TableParagraph"/>
              <w:spacing w:line="222" w:lineRule="exact"/>
              <w:ind w:left="468"/>
              <w:rPr>
                <w:sz w:val="20"/>
              </w:rPr>
            </w:pPr>
            <w:r>
              <w:rPr>
                <w:sz w:val="20"/>
              </w:rPr>
              <w:t>0.98</w:t>
            </w:r>
            <w:r>
              <w:rPr>
                <w:spacing w:val="-9"/>
                <w:sz w:val="20"/>
              </w:rPr>
              <w:t xml:space="preserve"> </w:t>
            </w:r>
            <w:r>
              <w:rPr>
                <w:sz w:val="20"/>
              </w:rPr>
              <w:t>(0.92-1.06),</w:t>
            </w:r>
            <w:r>
              <w:rPr>
                <w:spacing w:val="-8"/>
                <w:sz w:val="20"/>
              </w:rPr>
              <w:t xml:space="preserve"> </w:t>
            </w:r>
            <w:r>
              <w:rPr>
                <w:spacing w:val="-2"/>
                <w:sz w:val="20"/>
              </w:rPr>
              <w:t>p=0.68</w:t>
            </w:r>
          </w:p>
        </w:tc>
        <w:tc>
          <w:tcPr>
            <w:tcW w:w="3200" w:type="dxa"/>
          </w:tcPr>
          <w:p w14:paraId="7A4C32B8" w14:textId="77777777" w:rsidR="00E13D3F" w:rsidRDefault="00FB2D6A">
            <w:pPr>
              <w:pStyle w:val="TableParagraph"/>
              <w:spacing w:before="1" w:line="243" w:lineRule="exact"/>
              <w:ind w:left="108"/>
              <w:rPr>
                <w:sz w:val="20"/>
              </w:rPr>
            </w:pPr>
            <w:r>
              <w:rPr>
                <w:sz w:val="20"/>
              </w:rPr>
              <w:t>Screening</w:t>
            </w:r>
            <w:r>
              <w:rPr>
                <w:spacing w:val="-7"/>
                <w:sz w:val="20"/>
              </w:rPr>
              <w:t xml:space="preserve"> </w:t>
            </w:r>
            <w:r>
              <w:rPr>
                <w:sz w:val="20"/>
              </w:rPr>
              <w:t>with</w:t>
            </w:r>
            <w:r>
              <w:rPr>
                <w:spacing w:val="-5"/>
                <w:sz w:val="20"/>
              </w:rPr>
              <w:t xml:space="preserve"> </w:t>
            </w:r>
            <w:r>
              <w:rPr>
                <w:sz w:val="20"/>
              </w:rPr>
              <w:t>FRAX</w:t>
            </w:r>
            <w:r>
              <w:rPr>
                <w:spacing w:val="-6"/>
                <w:sz w:val="20"/>
              </w:rPr>
              <w:t xml:space="preserve"> </w:t>
            </w:r>
            <w:r>
              <w:rPr>
                <w:sz w:val="20"/>
              </w:rPr>
              <w:t>+DXA</w:t>
            </w:r>
            <w:r>
              <w:rPr>
                <w:spacing w:val="-6"/>
                <w:sz w:val="20"/>
              </w:rPr>
              <w:t xml:space="preserve"> </w:t>
            </w:r>
            <w:r>
              <w:rPr>
                <w:spacing w:val="-5"/>
                <w:sz w:val="20"/>
              </w:rPr>
              <w:t>in</w:t>
            </w:r>
          </w:p>
          <w:p w14:paraId="7A4C32B9" w14:textId="77777777" w:rsidR="00E13D3F" w:rsidRDefault="00FB2D6A">
            <w:pPr>
              <w:pStyle w:val="TableParagraph"/>
              <w:spacing w:line="243" w:lineRule="exact"/>
              <w:ind w:left="108"/>
              <w:rPr>
                <w:sz w:val="20"/>
              </w:rPr>
            </w:pPr>
            <w:r>
              <w:rPr>
                <w:sz w:val="20"/>
              </w:rPr>
              <w:t>women</w:t>
            </w:r>
            <w:r>
              <w:rPr>
                <w:spacing w:val="-5"/>
                <w:sz w:val="20"/>
              </w:rPr>
              <w:t xml:space="preserve"> </w:t>
            </w:r>
            <w:r>
              <w:rPr>
                <w:sz w:val="20"/>
              </w:rPr>
              <w:t>does</w:t>
            </w:r>
            <w:r>
              <w:rPr>
                <w:spacing w:val="-5"/>
                <w:sz w:val="20"/>
              </w:rPr>
              <w:t xml:space="preserve"> </w:t>
            </w:r>
            <w:r>
              <w:rPr>
                <w:sz w:val="20"/>
              </w:rPr>
              <w:t>not</w:t>
            </w:r>
            <w:r>
              <w:rPr>
                <w:spacing w:val="-5"/>
                <w:sz w:val="20"/>
              </w:rPr>
              <w:t xml:space="preserve"> </w:t>
            </w:r>
            <w:r>
              <w:rPr>
                <w:sz w:val="20"/>
              </w:rPr>
              <w:t>reduce</w:t>
            </w:r>
            <w:r>
              <w:rPr>
                <w:spacing w:val="-7"/>
                <w:sz w:val="20"/>
              </w:rPr>
              <w:t xml:space="preserve"> </w:t>
            </w:r>
            <w:r>
              <w:rPr>
                <w:spacing w:val="-2"/>
                <w:sz w:val="20"/>
              </w:rPr>
              <w:t>women’s</w:t>
            </w:r>
          </w:p>
          <w:p w14:paraId="7A4C32BA" w14:textId="77777777" w:rsidR="00E13D3F" w:rsidRDefault="00FB2D6A">
            <w:pPr>
              <w:pStyle w:val="TableParagraph"/>
              <w:spacing w:before="1" w:line="233" w:lineRule="exact"/>
              <w:ind w:left="108"/>
              <w:rPr>
                <w:sz w:val="20"/>
              </w:rPr>
            </w:pPr>
            <w:r>
              <w:rPr>
                <w:spacing w:val="-2"/>
                <w:sz w:val="20"/>
              </w:rPr>
              <w:t>osteoporotic</w:t>
            </w:r>
            <w:r>
              <w:rPr>
                <w:spacing w:val="10"/>
                <w:sz w:val="20"/>
              </w:rPr>
              <w:t xml:space="preserve"> </w:t>
            </w:r>
            <w:r>
              <w:rPr>
                <w:spacing w:val="-2"/>
                <w:sz w:val="20"/>
              </w:rPr>
              <w:t>fractures</w:t>
            </w:r>
          </w:p>
        </w:tc>
      </w:tr>
      <w:tr w:rsidR="00E13D3F" w14:paraId="7A4C32C2" w14:textId="77777777">
        <w:trPr>
          <w:trHeight w:val="988"/>
        </w:trPr>
        <w:tc>
          <w:tcPr>
            <w:tcW w:w="1560" w:type="dxa"/>
            <w:shd w:val="clear" w:color="auto" w:fill="F1F1F1"/>
          </w:tcPr>
          <w:p w14:paraId="7A4C32BC" w14:textId="77777777" w:rsidR="00E13D3F" w:rsidRDefault="00FB2D6A">
            <w:pPr>
              <w:pStyle w:val="TableParagraph"/>
              <w:spacing w:before="1"/>
              <w:ind w:left="108" w:right="440"/>
              <w:rPr>
                <w:b/>
                <w:sz w:val="20"/>
              </w:rPr>
            </w:pPr>
            <w:r>
              <w:rPr>
                <w:b/>
                <w:sz w:val="20"/>
              </w:rPr>
              <w:t>Hip</w:t>
            </w:r>
            <w:r>
              <w:rPr>
                <w:b/>
                <w:spacing w:val="-12"/>
                <w:sz w:val="20"/>
              </w:rPr>
              <w:t xml:space="preserve"> </w:t>
            </w:r>
            <w:r>
              <w:rPr>
                <w:b/>
                <w:sz w:val="20"/>
              </w:rPr>
              <w:t xml:space="preserve">fracture </w:t>
            </w:r>
            <w:r>
              <w:rPr>
                <w:b/>
                <w:spacing w:val="-2"/>
                <w:sz w:val="20"/>
              </w:rPr>
              <w:t>rates</w:t>
            </w:r>
          </w:p>
        </w:tc>
        <w:tc>
          <w:tcPr>
            <w:tcW w:w="1563" w:type="dxa"/>
            <w:shd w:val="clear" w:color="auto" w:fill="F1F1F1"/>
          </w:tcPr>
          <w:p w14:paraId="7A4C32BD" w14:textId="77777777" w:rsidR="00E13D3F" w:rsidRDefault="00FB2D6A">
            <w:pPr>
              <w:pStyle w:val="TableParagraph"/>
              <w:spacing w:before="1"/>
              <w:ind w:left="108" w:right="111"/>
              <w:rPr>
                <w:b/>
                <w:sz w:val="20"/>
              </w:rPr>
            </w:pPr>
            <w:r>
              <w:rPr>
                <w:b/>
                <w:sz w:val="20"/>
              </w:rPr>
              <w:t>Shepstone</w:t>
            </w:r>
            <w:r>
              <w:rPr>
                <w:b/>
                <w:spacing w:val="-12"/>
                <w:sz w:val="20"/>
              </w:rPr>
              <w:t xml:space="preserve"> </w:t>
            </w:r>
            <w:r>
              <w:rPr>
                <w:b/>
                <w:sz w:val="20"/>
              </w:rPr>
              <w:t>2018 at 5-year</w:t>
            </w:r>
          </w:p>
          <w:p w14:paraId="7A4C32BE" w14:textId="77777777" w:rsidR="00E13D3F" w:rsidRDefault="00FB2D6A">
            <w:pPr>
              <w:pStyle w:val="TableParagraph"/>
              <w:spacing w:before="1"/>
              <w:ind w:left="108"/>
              <w:rPr>
                <w:b/>
                <w:sz w:val="20"/>
              </w:rPr>
            </w:pPr>
            <w:r>
              <w:rPr>
                <w:b/>
                <w:spacing w:val="-2"/>
                <w:sz w:val="20"/>
              </w:rPr>
              <w:t>follow-</w:t>
            </w:r>
            <w:r>
              <w:rPr>
                <w:b/>
                <w:spacing w:val="-5"/>
                <w:sz w:val="20"/>
              </w:rPr>
              <w:t>up</w:t>
            </w:r>
          </w:p>
        </w:tc>
        <w:tc>
          <w:tcPr>
            <w:tcW w:w="3317" w:type="dxa"/>
            <w:shd w:val="clear" w:color="auto" w:fill="F1F1F1"/>
          </w:tcPr>
          <w:p w14:paraId="7A4C32BF" w14:textId="77777777" w:rsidR="00E13D3F" w:rsidRDefault="00FB2D6A" w:rsidP="00990D2B">
            <w:pPr>
              <w:pStyle w:val="TableParagraph"/>
              <w:numPr>
                <w:ilvl w:val="0"/>
                <w:numId w:val="7"/>
              </w:numPr>
              <w:tabs>
                <w:tab w:val="left" w:pos="468"/>
              </w:tabs>
              <w:spacing w:before="2"/>
              <w:ind w:right="222"/>
              <w:rPr>
                <w:b/>
                <w:sz w:val="20"/>
              </w:rPr>
            </w:pPr>
            <w:r>
              <w:rPr>
                <w:sz w:val="20"/>
              </w:rPr>
              <w:t>2.6% in multicomponent interventions</w:t>
            </w:r>
            <w:r>
              <w:rPr>
                <w:spacing w:val="-10"/>
                <w:sz w:val="20"/>
              </w:rPr>
              <w:t xml:space="preserve"> </w:t>
            </w:r>
            <w:r>
              <w:rPr>
                <w:sz w:val="20"/>
              </w:rPr>
              <w:t>vs</w:t>
            </w:r>
            <w:r>
              <w:rPr>
                <w:spacing w:val="-10"/>
                <w:sz w:val="20"/>
              </w:rPr>
              <w:t xml:space="preserve"> </w:t>
            </w:r>
            <w:r>
              <w:rPr>
                <w:sz w:val="20"/>
              </w:rPr>
              <w:t>3.5%</w:t>
            </w:r>
            <w:r>
              <w:rPr>
                <w:spacing w:val="-11"/>
                <w:sz w:val="20"/>
              </w:rPr>
              <w:t xml:space="preserve"> </w:t>
            </w:r>
            <w:r>
              <w:rPr>
                <w:sz w:val="20"/>
              </w:rPr>
              <w:t>in</w:t>
            </w:r>
            <w:r>
              <w:rPr>
                <w:spacing w:val="-10"/>
                <w:sz w:val="20"/>
              </w:rPr>
              <w:t xml:space="preserve"> </w:t>
            </w:r>
            <w:r>
              <w:rPr>
                <w:sz w:val="20"/>
              </w:rPr>
              <w:t>control; HR, 0.72 (</w:t>
            </w:r>
            <w:r>
              <w:rPr>
                <w:b/>
                <w:sz w:val="20"/>
              </w:rPr>
              <w:t>95% CI, 0.59-0.89),</w:t>
            </w:r>
          </w:p>
          <w:p w14:paraId="7A4C32C0" w14:textId="77777777" w:rsidR="00E13D3F" w:rsidRDefault="00FB2D6A">
            <w:pPr>
              <w:pStyle w:val="TableParagraph"/>
              <w:spacing w:line="223" w:lineRule="exact"/>
              <w:ind w:left="468"/>
              <w:rPr>
                <w:b/>
                <w:sz w:val="20"/>
              </w:rPr>
            </w:pPr>
            <w:r>
              <w:rPr>
                <w:b/>
                <w:spacing w:val="-2"/>
                <w:sz w:val="20"/>
              </w:rPr>
              <w:t>p=0.002</w:t>
            </w:r>
          </w:p>
        </w:tc>
        <w:tc>
          <w:tcPr>
            <w:tcW w:w="3200" w:type="dxa"/>
            <w:shd w:val="clear" w:color="auto" w:fill="F1F1F1"/>
          </w:tcPr>
          <w:p w14:paraId="7A4C32C1" w14:textId="77777777" w:rsidR="00E13D3F" w:rsidRDefault="00FB2D6A">
            <w:pPr>
              <w:pStyle w:val="TableParagraph"/>
              <w:spacing w:before="1"/>
              <w:ind w:left="108" w:right="181"/>
              <w:rPr>
                <w:b/>
                <w:sz w:val="20"/>
              </w:rPr>
            </w:pPr>
            <w:r>
              <w:rPr>
                <w:sz w:val="20"/>
              </w:rPr>
              <w:t xml:space="preserve">Osteoporosis risk assessment </w:t>
            </w:r>
            <w:r>
              <w:rPr>
                <w:b/>
                <w:sz w:val="20"/>
              </w:rPr>
              <w:t>significantly</w:t>
            </w:r>
            <w:r>
              <w:rPr>
                <w:b/>
                <w:spacing w:val="-12"/>
                <w:sz w:val="20"/>
              </w:rPr>
              <w:t xml:space="preserve"> </w:t>
            </w:r>
            <w:r>
              <w:rPr>
                <w:b/>
                <w:sz w:val="20"/>
              </w:rPr>
              <w:t>reduces</w:t>
            </w:r>
            <w:r>
              <w:rPr>
                <w:b/>
                <w:spacing w:val="-11"/>
                <w:sz w:val="20"/>
              </w:rPr>
              <w:t xml:space="preserve"> </w:t>
            </w:r>
            <w:r>
              <w:rPr>
                <w:sz w:val="20"/>
              </w:rPr>
              <w:t>incidence</w:t>
            </w:r>
            <w:r>
              <w:rPr>
                <w:spacing w:val="-11"/>
                <w:sz w:val="20"/>
              </w:rPr>
              <w:t xml:space="preserve"> </w:t>
            </w:r>
            <w:r>
              <w:rPr>
                <w:sz w:val="20"/>
              </w:rPr>
              <w:t xml:space="preserve">of </w:t>
            </w:r>
            <w:r>
              <w:rPr>
                <w:b/>
                <w:sz w:val="20"/>
              </w:rPr>
              <w:t>hip fractures</w:t>
            </w:r>
          </w:p>
        </w:tc>
      </w:tr>
      <w:tr w:rsidR="00E13D3F" w14:paraId="7A4C32C9" w14:textId="77777777">
        <w:trPr>
          <w:trHeight w:val="732"/>
        </w:trPr>
        <w:tc>
          <w:tcPr>
            <w:tcW w:w="1560" w:type="dxa"/>
          </w:tcPr>
          <w:p w14:paraId="7A4C32C3" w14:textId="77777777" w:rsidR="00E13D3F" w:rsidRDefault="00E13D3F">
            <w:pPr>
              <w:pStyle w:val="TableParagraph"/>
              <w:rPr>
                <w:rFonts w:ascii="Times New Roman"/>
                <w:sz w:val="18"/>
              </w:rPr>
            </w:pPr>
          </w:p>
        </w:tc>
        <w:tc>
          <w:tcPr>
            <w:tcW w:w="1563" w:type="dxa"/>
          </w:tcPr>
          <w:p w14:paraId="7A4C32C4" w14:textId="77777777" w:rsidR="00E13D3F" w:rsidRDefault="00FB2D6A">
            <w:pPr>
              <w:pStyle w:val="TableParagraph"/>
              <w:spacing w:before="1"/>
              <w:ind w:left="108" w:right="383"/>
              <w:rPr>
                <w:b/>
                <w:sz w:val="20"/>
              </w:rPr>
            </w:pPr>
            <w:r>
              <w:rPr>
                <w:b/>
                <w:sz w:val="20"/>
              </w:rPr>
              <w:t>Merlijn</w:t>
            </w:r>
            <w:r>
              <w:rPr>
                <w:b/>
                <w:spacing w:val="-12"/>
                <w:sz w:val="20"/>
              </w:rPr>
              <w:t xml:space="preserve"> </w:t>
            </w:r>
            <w:r>
              <w:rPr>
                <w:b/>
                <w:sz w:val="20"/>
              </w:rPr>
              <w:t>2019 At 3-year</w:t>
            </w:r>
          </w:p>
          <w:p w14:paraId="7A4C32C5" w14:textId="77777777" w:rsidR="00E13D3F" w:rsidRDefault="00FB2D6A">
            <w:pPr>
              <w:pStyle w:val="TableParagraph"/>
              <w:spacing w:line="223" w:lineRule="exact"/>
              <w:ind w:left="108"/>
              <w:rPr>
                <w:b/>
                <w:sz w:val="20"/>
              </w:rPr>
            </w:pPr>
            <w:r>
              <w:rPr>
                <w:b/>
                <w:spacing w:val="-2"/>
                <w:sz w:val="20"/>
              </w:rPr>
              <w:t>follow-</w:t>
            </w:r>
            <w:r>
              <w:rPr>
                <w:b/>
                <w:spacing w:val="-5"/>
                <w:sz w:val="20"/>
              </w:rPr>
              <w:t>up</w:t>
            </w:r>
          </w:p>
        </w:tc>
        <w:tc>
          <w:tcPr>
            <w:tcW w:w="3317" w:type="dxa"/>
          </w:tcPr>
          <w:p w14:paraId="7A4C32C6" w14:textId="77777777" w:rsidR="00E13D3F" w:rsidRDefault="00FB2D6A" w:rsidP="00990D2B">
            <w:pPr>
              <w:pStyle w:val="TableParagraph"/>
              <w:numPr>
                <w:ilvl w:val="0"/>
                <w:numId w:val="6"/>
              </w:numPr>
              <w:tabs>
                <w:tab w:val="left" w:pos="468"/>
              </w:tabs>
              <w:rPr>
                <w:sz w:val="20"/>
              </w:rPr>
            </w:pPr>
            <w:r>
              <w:rPr>
                <w:sz w:val="20"/>
              </w:rPr>
              <w:t>Adjusted</w:t>
            </w:r>
            <w:r>
              <w:rPr>
                <w:spacing w:val="-5"/>
                <w:sz w:val="20"/>
              </w:rPr>
              <w:t xml:space="preserve"> </w:t>
            </w:r>
            <w:r>
              <w:rPr>
                <w:sz w:val="20"/>
              </w:rPr>
              <w:t>HR</w:t>
            </w:r>
            <w:r>
              <w:rPr>
                <w:spacing w:val="-6"/>
                <w:sz w:val="20"/>
              </w:rPr>
              <w:t xml:space="preserve"> </w:t>
            </w:r>
            <w:r>
              <w:rPr>
                <w:sz w:val="20"/>
              </w:rPr>
              <w:t>0.91</w:t>
            </w:r>
            <w:r>
              <w:rPr>
                <w:spacing w:val="-5"/>
                <w:sz w:val="20"/>
              </w:rPr>
              <w:t xml:space="preserve"> </w:t>
            </w:r>
            <w:r>
              <w:rPr>
                <w:sz w:val="20"/>
              </w:rPr>
              <w:t>(95%CI</w:t>
            </w:r>
            <w:r>
              <w:rPr>
                <w:spacing w:val="-6"/>
                <w:sz w:val="20"/>
              </w:rPr>
              <w:t xml:space="preserve"> </w:t>
            </w:r>
            <w:r>
              <w:rPr>
                <w:sz w:val="20"/>
              </w:rPr>
              <w:t>0.71</w:t>
            </w:r>
            <w:r>
              <w:rPr>
                <w:spacing w:val="-1"/>
                <w:sz w:val="20"/>
              </w:rPr>
              <w:t xml:space="preserve"> </w:t>
            </w:r>
            <w:r>
              <w:rPr>
                <w:spacing w:val="-10"/>
                <w:sz w:val="20"/>
              </w:rPr>
              <w:t>–</w:t>
            </w:r>
          </w:p>
          <w:p w14:paraId="7A4C32C7" w14:textId="77777777" w:rsidR="00E13D3F" w:rsidRDefault="00FB2D6A">
            <w:pPr>
              <w:pStyle w:val="TableParagraph"/>
              <w:spacing w:before="1"/>
              <w:ind w:left="468"/>
              <w:rPr>
                <w:sz w:val="20"/>
              </w:rPr>
            </w:pPr>
            <w:r>
              <w:rPr>
                <w:spacing w:val="-2"/>
                <w:sz w:val="20"/>
              </w:rPr>
              <w:t>1.15)</w:t>
            </w:r>
          </w:p>
        </w:tc>
        <w:tc>
          <w:tcPr>
            <w:tcW w:w="3200" w:type="dxa"/>
          </w:tcPr>
          <w:p w14:paraId="7A4C32C8" w14:textId="77777777" w:rsidR="00E13D3F" w:rsidRDefault="00FB2D6A">
            <w:pPr>
              <w:pStyle w:val="TableParagraph"/>
              <w:spacing w:before="1"/>
              <w:ind w:left="108" w:right="181"/>
              <w:rPr>
                <w:sz w:val="20"/>
              </w:rPr>
            </w:pPr>
            <w:r>
              <w:rPr>
                <w:sz w:val="20"/>
              </w:rPr>
              <w:t>Risk</w:t>
            </w:r>
            <w:r>
              <w:rPr>
                <w:spacing w:val="-8"/>
                <w:sz w:val="20"/>
              </w:rPr>
              <w:t xml:space="preserve"> </w:t>
            </w:r>
            <w:r>
              <w:rPr>
                <w:sz w:val="20"/>
              </w:rPr>
              <w:t>screening</w:t>
            </w:r>
            <w:r>
              <w:rPr>
                <w:spacing w:val="-9"/>
                <w:sz w:val="20"/>
              </w:rPr>
              <w:t xml:space="preserve"> </w:t>
            </w:r>
            <w:r>
              <w:rPr>
                <w:sz w:val="20"/>
              </w:rPr>
              <w:t>+</w:t>
            </w:r>
            <w:r>
              <w:rPr>
                <w:spacing w:val="-9"/>
                <w:sz w:val="20"/>
              </w:rPr>
              <w:t xml:space="preserve"> </w:t>
            </w:r>
            <w:r>
              <w:rPr>
                <w:sz w:val="20"/>
              </w:rPr>
              <w:t>treatment</w:t>
            </w:r>
            <w:r>
              <w:rPr>
                <w:spacing w:val="-8"/>
                <w:sz w:val="20"/>
              </w:rPr>
              <w:t xml:space="preserve"> </w:t>
            </w:r>
            <w:r>
              <w:rPr>
                <w:sz w:val="20"/>
              </w:rPr>
              <w:t>did</w:t>
            </w:r>
            <w:r>
              <w:rPr>
                <w:spacing w:val="-8"/>
                <w:sz w:val="20"/>
              </w:rPr>
              <w:t xml:space="preserve"> </w:t>
            </w:r>
            <w:r>
              <w:rPr>
                <w:sz w:val="20"/>
              </w:rPr>
              <w:t>not reduce hip fractures</w:t>
            </w:r>
          </w:p>
        </w:tc>
      </w:tr>
      <w:tr w:rsidR="00E13D3F" w14:paraId="7A4C32D0" w14:textId="77777777">
        <w:trPr>
          <w:trHeight w:val="997"/>
        </w:trPr>
        <w:tc>
          <w:tcPr>
            <w:tcW w:w="1560" w:type="dxa"/>
            <w:shd w:val="clear" w:color="auto" w:fill="F1F1F1"/>
          </w:tcPr>
          <w:p w14:paraId="7A4C32CA" w14:textId="77777777" w:rsidR="00E13D3F" w:rsidRDefault="00E13D3F">
            <w:pPr>
              <w:pStyle w:val="TableParagraph"/>
              <w:rPr>
                <w:rFonts w:ascii="Times New Roman"/>
                <w:sz w:val="18"/>
              </w:rPr>
            </w:pPr>
          </w:p>
        </w:tc>
        <w:tc>
          <w:tcPr>
            <w:tcW w:w="1563" w:type="dxa"/>
            <w:shd w:val="clear" w:color="auto" w:fill="F1F1F1"/>
          </w:tcPr>
          <w:p w14:paraId="7A4C32CB" w14:textId="77777777" w:rsidR="00E13D3F" w:rsidRDefault="00E13D3F">
            <w:pPr>
              <w:pStyle w:val="TableParagraph"/>
              <w:spacing w:before="2"/>
              <w:rPr>
                <w:sz w:val="20"/>
              </w:rPr>
            </w:pPr>
          </w:p>
          <w:p w14:paraId="7A4C32CC" w14:textId="77777777" w:rsidR="00E13D3F" w:rsidRDefault="00FB2D6A">
            <w:pPr>
              <w:pStyle w:val="TableParagraph"/>
              <w:ind w:left="108"/>
              <w:rPr>
                <w:b/>
                <w:sz w:val="20"/>
              </w:rPr>
            </w:pPr>
            <w:r>
              <w:rPr>
                <w:b/>
                <w:sz w:val="20"/>
              </w:rPr>
              <w:t>Rubin</w:t>
            </w:r>
            <w:r>
              <w:rPr>
                <w:b/>
                <w:spacing w:val="-6"/>
                <w:sz w:val="20"/>
              </w:rPr>
              <w:t xml:space="preserve"> </w:t>
            </w:r>
            <w:r>
              <w:rPr>
                <w:b/>
                <w:spacing w:val="-4"/>
                <w:sz w:val="20"/>
              </w:rPr>
              <w:t>2018</w:t>
            </w:r>
          </w:p>
        </w:tc>
        <w:tc>
          <w:tcPr>
            <w:tcW w:w="3317" w:type="dxa"/>
            <w:shd w:val="clear" w:color="auto" w:fill="F1F1F1"/>
          </w:tcPr>
          <w:p w14:paraId="7A4C32CD" w14:textId="77777777" w:rsidR="00E13D3F" w:rsidRDefault="00FB2D6A" w:rsidP="00990D2B">
            <w:pPr>
              <w:pStyle w:val="TableParagraph"/>
              <w:numPr>
                <w:ilvl w:val="0"/>
                <w:numId w:val="5"/>
              </w:numPr>
              <w:tabs>
                <w:tab w:val="left" w:pos="468"/>
              </w:tabs>
              <w:ind w:right="293"/>
              <w:rPr>
                <w:sz w:val="20"/>
              </w:rPr>
            </w:pPr>
            <w:r>
              <w:rPr>
                <w:sz w:val="20"/>
              </w:rPr>
              <w:t>3.1%</w:t>
            </w:r>
            <w:r>
              <w:rPr>
                <w:spacing w:val="-10"/>
                <w:sz w:val="20"/>
              </w:rPr>
              <w:t xml:space="preserve"> </w:t>
            </w:r>
            <w:r>
              <w:rPr>
                <w:sz w:val="20"/>
              </w:rPr>
              <w:t>in</w:t>
            </w:r>
            <w:r>
              <w:rPr>
                <w:spacing w:val="-7"/>
                <w:sz w:val="20"/>
              </w:rPr>
              <w:t xml:space="preserve"> </w:t>
            </w:r>
            <w:r>
              <w:rPr>
                <w:sz w:val="20"/>
              </w:rPr>
              <w:t>intervention</w:t>
            </w:r>
            <w:r>
              <w:rPr>
                <w:spacing w:val="-8"/>
                <w:sz w:val="20"/>
              </w:rPr>
              <w:t xml:space="preserve"> </w:t>
            </w:r>
            <w:r>
              <w:rPr>
                <w:sz w:val="20"/>
              </w:rPr>
              <w:t>vs.</w:t>
            </w:r>
            <w:r>
              <w:rPr>
                <w:spacing w:val="-8"/>
                <w:sz w:val="20"/>
              </w:rPr>
              <w:t xml:space="preserve"> </w:t>
            </w:r>
            <w:r>
              <w:rPr>
                <w:sz w:val="20"/>
              </w:rPr>
              <w:t>3.1%</w:t>
            </w:r>
            <w:r>
              <w:rPr>
                <w:spacing w:val="-10"/>
                <w:sz w:val="20"/>
              </w:rPr>
              <w:t xml:space="preserve"> </w:t>
            </w:r>
            <w:r>
              <w:rPr>
                <w:sz w:val="20"/>
              </w:rPr>
              <w:t>in control; p=0.89</w:t>
            </w:r>
          </w:p>
          <w:p w14:paraId="7A4C32CE" w14:textId="77777777" w:rsidR="00E13D3F" w:rsidRDefault="00FB2D6A" w:rsidP="00990D2B">
            <w:pPr>
              <w:pStyle w:val="TableParagraph"/>
              <w:numPr>
                <w:ilvl w:val="0"/>
                <w:numId w:val="5"/>
              </w:numPr>
              <w:tabs>
                <w:tab w:val="left" w:pos="468"/>
              </w:tabs>
              <w:spacing w:line="240" w:lineRule="atLeast"/>
              <w:ind w:right="472"/>
              <w:rPr>
                <w:sz w:val="20"/>
              </w:rPr>
            </w:pPr>
            <w:r>
              <w:rPr>
                <w:sz w:val="20"/>
              </w:rPr>
              <w:t>Adjusted</w:t>
            </w:r>
            <w:r>
              <w:rPr>
                <w:spacing w:val="-12"/>
                <w:sz w:val="20"/>
              </w:rPr>
              <w:t xml:space="preserve"> </w:t>
            </w:r>
            <w:proofErr w:type="spellStart"/>
            <w:r>
              <w:rPr>
                <w:sz w:val="20"/>
              </w:rPr>
              <w:t>sHR</w:t>
            </w:r>
            <w:proofErr w:type="spellEnd"/>
            <w:r>
              <w:rPr>
                <w:spacing w:val="-11"/>
                <w:sz w:val="20"/>
              </w:rPr>
              <w:t xml:space="preserve"> </w:t>
            </w:r>
            <w:r>
              <w:rPr>
                <w:sz w:val="20"/>
              </w:rPr>
              <w:t>1.0</w:t>
            </w:r>
            <w:r>
              <w:rPr>
                <w:spacing w:val="-11"/>
                <w:sz w:val="20"/>
              </w:rPr>
              <w:t xml:space="preserve"> </w:t>
            </w:r>
            <w:r>
              <w:rPr>
                <w:sz w:val="20"/>
              </w:rPr>
              <w:t xml:space="preserve">(0.89-1.13), </w:t>
            </w:r>
            <w:r>
              <w:rPr>
                <w:spacing w:val="-2"/>
                <w:sz w:val="20"/>
              </w:rPr>
              <w:t>p=0.972</w:t>
            </w:r>
          </w:p>
        </w:tc>
        <w:tc>
          <w:tcPr>
            <w:tcW w:w="3200" w:type="dxa"/>
            <w:shd w:val="clear" w:color="auto" w:fill="F1F1F1"/>
          </w:tcPr>
          <w:p w14:paraId="7A4C32CF" w14:textId="77777777" w:rsidR="00E13D3F" w:rsidRDefault="00FB2D6A">
            <w:pPr>
              <w:pStyle w:val="TableParagraph"/>
              <w:spacing w:before="1"/>
              <w:ind w:left="108" w:right="181"/>
              <w:rPr>
                <w:sz w:val="20"/>
              </w:rPr>
            </w:pPr>
            <w:r>
              <w:rPr>
                <w:sz w:val="20"/>
              </w:rPr>
              <w:t>Screening</w:t>
            </w:r>
            <w:r>
              <w:rPr>
                <w:spacing w:val="-11"/>
                <w:sz w:val="20"/>
              </w:rPr>
              <w:t xml:space="preserve"> </w:t>
            </w:r>
            <w:r>
              <w:rPr>
                <w:sz w:val="20"/>
              </w:rPr>
              <w:t>with</w:t>
            </w:r>
            <w:r>
              <w:rPr>
                <w:spacing w:val="-10"/>
                <w:sz w:val="20"/>
              </w:rPr>
              <w:t xml:space="preserve"> </w:t>
            </w:r>
            <w:r>
              <w:rPr>
                <w:sz w:val="20"/>
              </w:rPr>
              <w:t>FRAX</w:t>
            </w:r>
            <w:r>
              <w:rPr>
                <w:spacing w:val="-11"/>
                <w:sz w:val="20"/>
              </w:rPr>
              <w:t xml:space="preserve"> </w:t>
            </w:r>
            <w:r>
              <w:rPr>
                <w:sz w:val="20"/>
              </w:rPr>
              <w:t>+DXA</w:t>
            </w:r>
            <w:r>
              <w:rPr>
                <w:spacing w:val="-11"/>
                <w:sz w:val="20"/>
              </w:rPr>
              <w:t xml:space="preserve"> </w:t>
            </w:r>
            <w:r>
              <w:rPr>
                <w:sz w:val="20"/>
              </w:rPr>
              <w:t>in women does not reduce hip fractures overall</w:t>
            </w:r>
          </w:p>
        </w:tc>
      </w:tr>
      <w:tr w:rsidR="00E13D3F" w14:paraId="7A4C32D6" w14:textId="77777777">
        <w:trPr>
          <w:trHeight w:val="755"/>
        </w:trPr>
        <w:tc>
          <w:tcPr>
            <w:tcW w:w="1560" w:type="dxa"/>
          </w:tcPr>
          <w:p w14:paraId="7A4C32D1" w14:textId="77777777" w:rsidR="00E13D3F" w:rsidRDefault="00FB2D6A">
            <w:pPr>
              <w:pStyle w:val="TableParagraph"/>
              <w:spacing w:before="1"/>
              <w:ind w:left="108" w:right="176"/>
              <w:rPr>
                <w:b/>
                <w:sz w:val="20"/>
              </w:rPr>
            </w:pPr>
            <w:r>
              <w:rPr>
                <w:b/>
                <w:spacing w:val="-2"/>
                <w:sz w:val="20"/>
              </w:rPr>
              <w:t>Femoral fractures</w:t>
            </w:r>
          </w:p>
        </w:tc>
        <w:tc>
          <w:tcPr>
            <w:tcW w:w="1563" w:type="dxa"/>
          </w:tcPr>
          <w:p w14:paraId="7A4C32D2" w14:textId="77777777" w:rsidR="00E13D3F" w:rsidRDefault="00FB2D6A">
            <w:pPr>
              <w:pStyle w:val="TableParagraph"/>
              <w:spacing w:before="1"/>
              <w:ind w:left="108"/>
              <w:rPr>
                <w:b/>
                <w:sz w:val="20"/>
              </w:rPr>
            </w:pPr>
            <w:r>
              <w:rPr>
                <w:b/>
                <w:sz w:val="20"/>
              </w:rPr>
              <w:t>Rapp</w:t>
            </w:r>
            <w:r>
              <w:rPr>
                <w:b/>
                <w:spacing w:val="-12"/>
                <w:sz w:val="20"/>
              </w:rPr>
              <w:t xml:space="preserve"> </w:t>
            </w:r>
            <w:r>
              <w:rPr>
                <w:b/>
                <w:sz w:val="20"/>
              </w:rPr>
              <w:t>2022</w:t>
            </w:r>
            <w:r>
              <w:rPr>
                <w:b/>
                <w:spacing w:val="-11"/>
                <w:sz w:val="20"/>
              </w:rPr>
              <w:t xml:space="preserve"> </w:t>
            </w:r>
            <w:r>
              <w:rPr>
                <w:b/>
                <w:sz w:val="20"/>
              </w:rPr>
              <w:t>at</w:t>
            </w:r>
            <w:r>
              <w:rPr>
                <w:b/>
                <w:spacing w:val="-11"/>
                <w:sz w:val="20"/>
              </w:rPr>
              <w:t xml:space="preserve"> </w:t>
            </w:r>
            <w:r>
              <w:rPr>
                <w:b/>
                <w:sz w:val="20"/>
              </w:rPr>
              <w:t>1+ year follow-up</w:t>
            </w:r>
          </w:p>
        </w:tc>
        <w:tc>
          <w:tcPr>
            <w:tcW w:w="3317" w:type="dxa"/>
          </w:tcPr>
          <w:p w14:paraId="7A4C32D3" w14:textId="77777777" w:rsidR="00E13D3F" w:rsidRDefault="00FB2D6A" w:rsidP="00990D2B">
            <w:pPr>
              <w:pStyle w:val="TableParagraph"/>
              <w:numPr>
                <w:ilvl w:val="0"/>
                <w:numId w:val="4"/>
              </w:numPr>
              <w:tabs>
                <w:tab w:val="left" w:pos="468"/>
              </w:tabs>
              <w:ind w:right="509"/>
              <w:rPr>
                <w:sz w:val="20"/>
              </w:rPr>
            </w:pPr>
            <w:r>
              <w:rPr>
                <w:sz w:val="20"/>
              </w:rPr>
              <w:t>Effect</w:t>
            </w:r>
            <w:r>
              <w:rPr>
                <w:spacing w:val="-10"/>
                <w:sz w:val="20"/>
              </w:rPr>
              <w:t xml:space="preserve"> </w:t>
            </w:r>
            <w:r>
              <w:rPr>
                <w:sz w:val="20"/>
              </w:rPr>
              <w:t>at</w:t>
            </w:r>
            <w:r>
              <w:rPr>
                <w:spacing w:val="-10"/>
                <w:sz w:val="20"/>
              </w:rPr>
              <w:t xml:space="preserve"> </w:t>
            </w:r>
            <w:r>
              <w:rPr>
                <w:sz w:val="20"/>
              </w:rPr>
              <w:t>1</w:t>
            </w:r>
            <w:r>
              <w:rPr>
                <w:spacing w:val="-10"/>
                <w:sz w:val="20"/>
              </w:rPr>
              <w:t xml:space="preserve"> </w:t>
            </w:r>
            <w:r>
              <w:rPr>
                <w:sz w:val="20"/>
              </w:rPr>
              <w:t>year:</w:t>
            </w:r>
            <w:r>
              <w:rPr>
                <w:spacing w:val="-11"/>
                <w:sz w:val="20"/>
              </w:rPr>
              <w:t xml:space="preserve"> </w:t>
            </w:r>
            <w:r>
              <w:rPr>
                <w:sz w:val="20"/>
              </w:rPr>
              <w:t>intervention 9.9%, control 13.6%;</w:t>
            </w:r>
          </w:p>
          <w:p w14:paraId="7A4C32D4" w14:textId="77777777" w:rsidR="00E13D3F" w:rsidRDefault="00FB2D6A" w:rsidP="00990D2B">
            <w:pPr>
              <w:pStyle w:val="TableParagraph"/>
              <w:numPr>
                <w:ilvl w:val="0"/>
                <w:numId w:val="4"/>
              </w:numPr>
              <w:tabs>
                <w:tab w:val="left" w:pos="468"/>
              </w:tabs>
              <w:spacing w:line="236" w:lineRule="exact"/>
              <w:rPr>
                <w:b/>
                <w:sz w:val="20"/>
              </w:rPr>
            </w:pPr>
            <w:r>
              <w:rPr>
                <w:sz w:val="20"/>
              </w:rPr>
              <w:t>HR,</w:t>
            </w:r>
            <w:r>
              <w:rPr>
                <w:spacing w:val="-5"/>
                <w:sz w:val="20"/>
              </w:rPr>
              <w:t xml:space="preserve"> </w:t>
            </w:r>
            <w:r>
              <w:rPr>
                <w:b/>
                <w:sz w:val="20"/>
              </w:rPr>
              <w:t>0.76</w:t>
            </w:r>
            <w:r>
              <w:rPr>
                <w:b/>
                <w:spacing w:val="-5"/>
                <w:sz w:val="20"/>
              </w:rPr>
              <w:t xml:space="preserve"> </w:t>
            </w:r>
            <w:r>
              <w:rPr>
                <w:b/>
                <w:sz w:val="20"/>
              </w:rPr>
              <w:t>(95%</w:t>
            </w:r>
            <w:r>
              <w:rPr>
                <w:b/>
                <w:spacing w:val="-4"/>
                <w:sz w:val="20"/>
              </w:rPr>
              <w:t xml:space="preserve"> </w:t>
            </w:r>
            <w:r>
              <w:rPr>
                <w:b/>
                <w:sz w:val="20"/>
              </w:rPr>
              <w:t>CI,</w:t>
            </w:r>
            <w:r>
              <w:rPr>
                <w:b/>
                <w:spacing w:val="-3"/>
                <w:sz w:val="20"/>
              </w:rPr>
              <w:t xml:space="preserve"> </w:t>
            </w:r>
            <w:r>
              <w:rPr>
                <w:b/>
                <w:sz w:val="20"/>
              </w:rPr>
              <w:t>0.59-</w:t>
            </w:r>
            <w:r>
              <w:rPr>
                <w:b/>
                <w:spacing w:val="-4"/>
                <w:sz w:val="20"/>
              </w:rPr>
              <w:t>0.99)</w:t>
            </w:r>
          </w:p>
        </w:tc>
        <w:tc>
          <w:tcPr>
            <w:tcW w:w="3200" w:type="dxa"/>
          </w:tcPr>
          <w:p w14:paraId="7A4C32D5" w14:textId="77777777" w:rsidR="00E13D3F" w:rsidRDefault="00FB2D6A">
            <w:pPr>
              <w:pStyle w:val="TableParagraph"/>
              <w:spacing w:before="1"/>
              <w:ind w:left="108" w:right="181"/>
              <w:rPr>
                <w:b/>
                <w:sz w:val="20"/>
              </w:rPr>
            </w:pPr>
            <w:r>
              <w:rPr>
                <w:sz w:val="20"/>
              </w:rPr>
              <w:t>Osteoporosis</w:t>
            </w:r>
            <w:r>
              <w:rPr>
                <w:spacing w:val="-12"/>
                <w:sz w:val="20"/>
              </w:rPr>
              <w:t xml:space="preserve"> </w:t>
            </w:r>
            <w:r>
              <w:rPr>
                <w:sz w:val="20"/>
              </w:rPr>
              <w:t>risk</w:t>
            </w:r>
            <w:r>
              <w:rPr>
                <w:spacing w:val="-11"/>
                <w:sz w:val="20"/>
              </w:rPr>
              <w:t xml:space="preserve"> </w:t>
            </w:r>
            <w:r>
              <w:rPr>
                <w:sz w:val="20"/>
              </w:rPr>
              <w:t>assessment</w:t>
            </w:r>
            <w:r>
              <w:rPr>
                <w:spacing w:val="-11"/>
                <w:sz w:val="20"/>
              </w:rPr>
              <w:t xml:space="preserve"> </w:t>
            </w:r>
            <w:r>
              <w:rPr>
                <w:sz w:val="20"/>
              </w:rPr>
              <w:t xml:space="preserve">+ comprehensive intervention </w:t>
            </w:r>
            <w:r>
              <w:rPr>
                <w:b/>
                <w:sz w:val="20"/>
              </w:rPr>
              <w:t>reduces femoral fractures</w:t>
            </w:r>
          </w:p>
        </w:tc>
      </w:tr>
    </w:tbl>
    <w:p w14:paraId="7A4C32D7" w14:textId="77777777" w:rsidR="00E13D3F" w:rsidRDefault="00FB2D6A">
      <w:pPr>
        <w:tabs>
          <w:tab w:val="left" w:pos="5040"/>
        </w:tabs>
        <w:spacing w:before="4"/>
        <w:ind w:left="1440"/>
        <w:rPr>
          <w:i/>
          <w:sz w:val="18"/>
        </w:rPr>
      </w:pPr>
      <w:r>
        <w:rPr>
          <w:b/>
          <w:i/>
          <w:sz w:val="18"/>
        </w:rPr>
        <w:t>Bolded</w:t>
      </w:r>
      <w:r>
        <w:rPr>
          <w:b/>
          <w:i/>
          <w:spacing w:val="-3"/>
          <w:sz w:val="18"/>
        </w:rPr>
        <w:t xml:space="preserve"> </w:t>
      </w:r>
      <w:r>
        <w:rPr>
          <w:b/>
          <w:i/>
          <w:sz w:val="18"/>
        </w:rPr>
        <w:t>results</w:t>
      </w:r>
      <w:r>
        <w:rPr>
          <w:b/>
          <w:i/>
          <w:spacing w:val="-2"/>
          <w:sz w:val="18"/>
        </w:rPr>
        <w:t xml:space="preserve"> </w:t>
      </w:r>
      <w:r>
        <w:rPr>
          <w:i/>
          <w:sz w:val="18"/>
        </w:rPr>
        <w:t>indicate</w:t>
      </w:r>
      <w:r>
        <w:rPr>
          <w:i/>
          <w:spacing w:val="-4"/>
          <w:sz w:val="18"/>
        </w:rPr>
        <w:t xml:space="preserve"> </w:t>
      </w:r>
      <w:r>
        <w:rPr>
          <w:i/>
          <w:sz w:val="18"/>
        </w:rPr>
        <w:t>statistical</w:t>
      </w:r>
      <w:r>
        <w:rPr>
          <w:i/>
          <w:spacing w:val="-4"/>
          <w:sz w:val="18"/>
        </w:rPr>
        <w:t xml:space="preserve"> </w:t>
      </w:r>
      <w:r>
        <w:rPr>
          <w:i/>
          <w:spacing w:val="-2"/>
          <w:sz w:val="18"/>
        </w:rPr>
        <w:t>significance</w:t>
      </w:r>
      <w:r>
        <w:rPr>
          <w:i/>
          <w:sz w:val="18"/>
        </w:rPr>
        <w:tab/>
      </w:r>
      <w:r>
        <w:rPr>
          <w:rFonts w:ascii="Segoe UI" w:hAnsi="Segoe UI"/>
          <w:b/>
          <w:sz w:val="20"/>
        </w:rPr>
        <w:t>§</w:t>
      </w:r>
      <w:r>
        <w:rPr>
          <w:rFonts w:ascii="Segoe UI" w:hAnsi="Segoe UI"/>
          <w:b/>
          <w:spacing w:val="-16"/>
          <w:sz w:val="20"/>
        </w:rPr>
        <w:t xml:space="preserve"> </w:t>
      </w:r>
      <w:r>
        <w:rPr>
          <w:i/>
          <w:sz w:val="18"/>
        </w:rPr>
        <w:t>differences</w:t>
      </w:r>
      <w:r>
        <w:rPr>
          <w:i/>
          <w:spacing w:val="-9"/>
          <w:sz w:val="18"/>
        </w:rPr>
        <w:t xml:space="preserve"> </w:t>
      </w:r>
      <w:r>
        <w:rPr>
          <w:i/>
          <w:sz w:val="18"/>
        </w:rPr>
        <w:t>reported</w:t>
      </w:r>
      <w:r>
        <w:rPr>
          <w:i/>
          <w:spacing w:val="-5"/>
          <w:sz w:val="18"/>
        </w:rPr>
        <w:t xml:space="preserve"> </w:t>
      </w:r>
      <w:r>
        <w:rPr>
          <w:i/>
          <w:sz w:val="18"/>
        </w:rPr>
        <w:t>as</w:t>
      </w:r>
      <w:r>
        <w:rPr>
          <w:i/>
          <w:spacing w:val="-4"/>
          <w:sz w:val="18"/>
        </w:rPr>
        <w:t xml:space="preserve"> </w:t>
      </w:r>
      <w:r>
        <w:rPr>
          <w:i/>
          <w:sz w:val="18"/>
        </w:rPr>
        <w:t>not</w:t>
      </w:r>
      <w:r>
        <w:rPr>
          <w:i/>
          <w:spacing w:val="-4"/>
          <w:sz w:val="18"/>
        </w:rPr>
        <w:t xml:space="preserve"> </w:t>
      </w:r>
      <w:r>
        <w:rPr>
          <w:i/>
          <w:sz w:val="18"/>
        </w:rPr>
        <w:t>statistically</w:t>
      </w:r>
      <w:r>
        <w:rPr>
          <w:i/>
          <w:spacing w:val="-3"/>
          <w:sz w:val="18"/>
        </w:rPr>
        <w:t xml:space="preserve"> </w:t>
      </w:r>
      <w:r>
        <w:rPr>
          <w:i/>
          <w:sz w:val="18"/>
        </w:rPr>
        <w:t>significant</w:t>
      </w:r>
      <w:r>
        <w:rPr>
          <w:i/>
          <w:spacing w:val="-3"/>
          <w:sz w:val="18"/>
        </w:rPr>
        <w:t xml:space="preserve"> </w:t>
      </w:r>
      <w:r>
        <w:rPr>
          <w:i/>
          <w:sz w:val="18"/>
        </w:rPr>
        <w:t>(small sample</w:t>
      </w:r>
      <w:r>
        <w:rPr>
          <w:i/>
          <w:spacing w:val="-3"/>
          <w:sz w:val="18"/>
        </w:rPr>
        <w:t xml:space="preserve"> </w:t>
      </w:r>
      <w:r>
        <w:rPr>
          <w:i/>
          <w:spacing w:val="-2"/>
          <w:sz w:val="18"/>
        </w:rPr>
        <w:t>size)</w:t>
      </w:r>
    </w:p>
    <w:p w14:paraId="7A4C32D8" w14:textId="77777777" w:rsidR="00E13D3F" w:rsidRDefault="00FB2D6A">
      <w:pPr>
        <w:tabs>
          <w:tab w:val="left" w:pos="4320"/>
          <w:tab w:val="left" w:pos="7201"/>
        </w:tabs>
        <w:spacing w:before="2"/>
        <w:ind w:left="1481"/>
        <w:rPr>
          <w:i/>
          <w:sz w:val="21"/>
        </w:rPr>
      </w:pPr>
      <w:r>
        <w:rPr>
          <w:sz w:val="18"/>
        </w:rPr>
        <w:t>FRAX:</w:t>
      </w:r>
      <w:r>
        <w:rPr>
          <w:spacing w:val="-4"/>
          <w:sz w:val="18"/>
        </w:rPr>
        <w:t xml:space="preserve"> </w:t>
      </w:r>
      <w:r>
        <w:rPr>
          <w:sz w:val="18"/>
        </w:rPr>
        <w:t>Fracture</w:t>
      </w:r>
      <w:r>
        <w:rPr>
          <w:spacing w:val="-3"/>
          <w:sz w:val="18"/>
        </w:rPr>
        <w:t xml:space="preserve"> </w:t>
      </w:r>
      <w:r>
        <w:rPr>
          <w:sz w:val="18"/>
        </w:rPr>
        <w:t>risk</w:t>
      </w:r>
      <w:r>
        <w:rPr>
          <w:spacing w:val="-3"/>
          <w:sz w:val="18"/>
        </w:rPr>
        <w:t xml:space="preserve"> </w:t>
      </w:r>
      <w:r>
        <w:rPr>
          <w:spacing w:val="-2"/>
          <w:sz w:val="18"/>
        </w:rPr>
        <w:t>assessment</w:t>
      </w:r>
      <w:r>
        <w:rPr>
          <w:sz w:val="18"/>
        </w:rPr>
        <w:tab/>
        <w:t>DXA:</w:t>
      </w:r>
      <w:r>
        <w:rPr>
          <w:spacing w:val="-2"/>
          <w:sz w:val="18"/>
        </w:rPr>
        <w:t xml:space="preserve"> </w:t>
      </w:r>
      <w:r>
        <w:rPr>
          <w:sz w:val="18"/>
        </w:rPr>
        <w:t>dual</w:t>
      </w:r>
      <w:r>
        <w:rPr>
          <w:spacing w:val="-2"/>
          <w:sz w:val="18"/>
        </w:rPr>
        <w:t xml:space="preserve"> </w:t>
      </w:r>
      <w:r>
        <w:rPr>
          <w:sz w:val="18"/>
        </w:rPr>
        <w:t>x-ray</w:t>
      </w:r>
      <w:r>
        <w:rPr>
          <w:spacing w:val="-1"/>
          <w:sz w:val="18"/>
        </w:rPr>
        <w:t xml:space="preserve"> </w:t>
      </w:r>
      <w:r>
        <w:rPr>
          <w:spacing w:val="-2"/>
          <w:sz w:val="18"/>
        </w:rPr>
        <w:t>absorptiometry</w:t>
      </w:r>
      <w:r>
        <w:rPr>
          <w:sz w:val="18"/>
        </w:rPr>
        <w:tab/>
      </w:r>
      <w:proofErr w:type="spellStart"/>
      <w:r>
        <w:rPr>
          <w:i/>
          <w:sz w:val="21"/>
        </w:rPr>
        <w:t>sHR</w:t>
      </w:r>
      <w:proofErr w:type="spellEnd"/>
      <w:r>
        <w:rPr>
          <w:i/>
          <w:sz w:val="21"/>
        </w:rPr>
        <w:t>=subgroup</w:t>
      </w:r>
      <w:r>
        <w:rPr>
          <w:i/>
          <w:spacing w:val="-12"/>
          <w:sz w:val="21"/>
        </w:rPr>
        <w:t xml:space="preserve"> </w:t>
      </w:r>
      <w:r>
        <w:rPr>
          <w:i/>
          <w:sz w:val="21"/>
        </w:rPr>
        <w:t>Hazard</w:t>
      </w:r>
      <w:r>
        <w:rPr>
          <w:i/>
          <w:spacing w:val="-8"/>
          <w:sz w:val="21"/>
        </w:rPr>
        <w:t xml:space="preserve"> </w:t>
      </w:r>
      <w:r>
        <w:rPr>
          <w:i/>
          <w:spacing w:val="-2"/>
          <w:sz w:val="21"/>
        </w:rPr>
        <w:t>ratio</w:t>
      </w:r>
    </w:p>
    <w:p w14:paraId="7A4C32D9" w14:textId="77777777" w:rsidR="00E13D3F" w:rsidRDefault="00E13D3F">
      <w:pPr>
        <w:rPr>
          <w:i/>
          <w:sz w:val="21"/>
        </w:rPr>
        <w:sectPr w:rsidR="00E13D3F">
          <w:pgSz w:w="11910" w:h="16840"/>
          <w:pgMar w:top="1380" w:right="0" w:bottom="1200" w:left="0" w:header="0" w:footer="1000" w:gutter="0"/>
          <w:cols w:space="720"/>
        </w:sectPr>
      </w:pPr>
    </w:p>
    <w:p w14:paraId="7A4C32DA" w14:textId="77777777" w:rsidR="00E13D3F" w:rsidRDefault="00FB2D6A">
      <w:pPr>
        <w:pStyle w:val="Heading2"/>
        <w:spacing w:before="21"/>
      </w:pPr>
      <w:r>
        <w:rPr>
          <w:color w:val="2E5395"/>
        </w:rPr>
        <w:lastRenderedPageBreak/>
        <w:t>Interval</w:t>
      </w:r>
      <w:r>
        <w:rPr>
          <w:color w:val="2E5395"/>
          <w:spacing w:val="-6"/>
        </w:rPr>
        <w:t xml:space="preserve"> </w:t>
      </w:r>
      <w:r>
        <w:rPr>
          <w:color w:val="2E5395"/>
        </w:rPr>
        <w:t>for</w:t>
      </w:r>
      <w:r>
        <w:rPr>
          <w:color w:val="2E5395"/>
          <w:spacing w:val="-8"/>
        </w:rPr>
        <w:t xml:space="preserve"> </w:t>
      </w:r>
      <w:r>
        <w:rPr>
          <w:color w:val="2E5395"/>
          <w:spacing w:val="-2"/>
        </w:rPr>
        <w:t>Assessment</w:t>
      </w:r>
    </w:p>
    <w:p w14:paraId="7A4C32DB" w14:textId="77777777" w:rsidR="00E13D3F" w:rsidRDefault="00FB2D6A">
      <w:pPr>
        <w:pStyle w:val="BodyText"/>
        <w:spacing w:before="26" w:line="276" w:lineRule="auto"/>
        <w:ind w:right="1463"/>
      </w:pPr>
      <w:r>
        <w:t>Increasingly, the precision of minimal changes in bone deterioration has gained attention to flag people at risk of fractures. Assessing postmenopausal women with high resolution CT scan</w:t>
      </w:r>
      <w:r>
        <w:rPr>
          <w:spacing w:val="-2"/>
        </w:rPr>
        <w:t xml:space="preserve"> </w:t>
      </w:r>
      <w:r>
        <w:t>to</w:t>
      </w:r>
      <w:r>
        <w:rPr>
          <w:spacing w:val="-5"/>
        </w:rPr>
        <w:t xml:space="preserve"> </w:t>
      </w:r>
      <w:r>
        <w:t>detect</w:t>
      </w:r>
      <w:r>
        <w:rPr>
          <w:spacing w:val="-4"/>
        </w:rPr>
        <w:t xml:space="preserve"> </w:t>
      </w:r>
      <w:r>
        <w:t>changes</w:t>
      </w:r>
      <w:r>
        <w:rPr>
          <w:spacing w:val="-3"/>
        </w:rPr>
        <w:t xml:space="preserve"> </w:t>
      </w:r>
      <w:r>
        <w:t>exceeding</w:t>
      </w:r>
      <w:r>
        <w:rPr>
          <w:spacing w:val="-5"/>
        </w:rPr>
        <w:t xml:space="preserve"> </w:t>
      </w:r>
      <w:r>
        <w:t>the</w:t>
      </w:r>
      <w:r>
        <w:rPr>
          <w:spacing w:val="-5"/>
        </w:rPr>
        <w:t xml:space="preserve"> </w:t>
      </w:r>
      <w:r>
        <w:t>least</w:t>
      </w:r>
      <w:r>
        <w:rPr>
          <w:spacing w:val="-2"/>
        </w:rPr>
        <w:t xml:space="preserve"> </w:t>
      </w:r>
      <w:r>
        <w:t>significant</w:t>
      </w:r>
      <w:r>
        <w:rPr>
          <w:spacing w:val="-2"/>
        </w:rPr>
        <w:t xml:space="preserve"> </w:t>
      </w:r>
      <w:r>
        <w:t>margin</w:t>
      </w:r>
      <w:r>
        <w:rPr>
          <w:spacing w:val="-4"/>
        </w:rPr>
        <w:t xml:space="preserve"> </w:t>
      </w:r>
      <w:r>
        <w:t>has</w:t>
      </w:r>
      <w:r>
        <w:rPr>
          <w:spacing w:val="-5"/>
        </w:rPr>
        <w:t xml:space="preserve"> </w:t>
      </w:r>
      <w:r>
        <w:t>been</w:t>
      </w:r>
      <w:r>
        <w:rPr>
          <w:spacing w:val="-2"/>
        </w:rPr>
        <w:t xml:space="preserve"> </w:t>
      </w:r>
      <w:r>
        <w:t>proposed</w:t>
      </w:r>
      <w:r>
        <w:rPr>
          <w:spacing w:val="-2"/>
        </w:rPr>
        <w:t xml:space="preserve"> </w:t>
      </w:r>
      <w:r>
        <w:t>at</w:t>
      </w:r>
      <w:r>
        <w:rPr>
          <w:spacing w:val="-2"/>
        </w:rPr>
        <w:t xml:space="preserve"> </w:t>
      </w:r>
      <w:r>
        <w:t>intervals of every 2 years at the distal radius and every 1 year at the distal tibia based on a small</w:t>
      </w:r>
      <w:r>
        <w:rPr>
          <w:spacing w:val="40"/>
        </w:rPr>
        <w:t xml:space="preserve"> </w:t>
      </w:r>
      <w:r>
        <w:t>study</w:t>
      </w:r>
      <w:r>
        <w:rPr>
          <w:spacing w:val="-1"/>
        </w:rPr>
        <w:t xml:space="preserve"> </w:t>
      </w:r>
      <w:r>
        <w:t>of 33 women aged 77±7 years in Canada</w:t>
      </w:r>
      <w:r>
        <w:rPr>
          <w:spacing w:val="-1"/>
        </w:rPr>
        <w:t xml:space="preserve"> </w:t>
      </w:r>
      <w:r>
        <w:t>(10).</w:t>
      </w:r>
      <w:r>
        <w:rPr>
          <w:spacing w:val="40"/>
        </w:rPr>
        <w:t xml:space="preserve"> </w:t>
      </w:r>
      <w:r>
        <w:t>A simulation study of post-menopausal women aged 55+ years in the US found that the lifetime risk of hip fractures was reduced from 18.7% without screening to 12.8% for women screened for osteoporosis with a combination of quantitative CT and DXA every 5 years (11). The Nayak 2016 simulation</w:t>
      </w:r>
      <w:r>
        <w:rPr>
          <w:spacing w:val="40"/>
        </w:rPr>
        <w:t xml:space="preserve"> </w:t>
      </w:r>
      <w:r>
        <w:t>study for men recommended an interval of 5 year for self-assessment + DXA and every 10 years for composite risk assessment using DXA+VFA (assuming willingness to pay $50,000 per QALY for 10-year intervals, or $100,000 per QALY if 5-year intervals) (12).</w:t>
      </w:r>
    </w:p>
    <w:p w14:paraId="7A4C32DC" w14:textId="77777777" w:rsidR="00E13D3F" w:rsidRDefault="00E13D3F">
      <w:pPr>
        <w:pStyle w:val="BodyText"/>
        <w:spacing w:before="89"/>
        <w:ind w:left="0"/>
      </w:pPr>
    </w:p>
    <w:p w14:paraId="7A4C32DD" w14:textId="77777777" w:rsidR="00E13D3F" w:rsidRDefault="00FB2D6A">
      <w:pPr>
        <w:pStyle w:val="Heading2"/>
      </w:pPr>
      <w:r>
        <w:rPr>
          <w:color w:val="2E5395"/>
          <w:spacing w:val="-2"/>
        </w:rPr>
        <w:t>Subpopulations</w:t>
      </w:r>
    </w:p>
    <w:p w14:paraId="7A4C32DE" w14:textId="77777777" w:rsidR="00E13D3F" w:rsidRDefault="00FB2D6A">
      <w:pPr>
        <w:pStyle w:val="BodyText"/>
        <w:spacing w:before="26" w:line="276" w:lineRule="auto"/>
        <w:ind w:right="1519"/>
      </w:pPr>
      <w:r>
        <w:t>No</w:t>
      </w:r>
      <w:r>
        <w:rPr>
          <w:spacing w:val="-3"/>
        </w:rPr>
        <w:t xml:space="preserve"> </w:t>
      </w:r>
      <w:r>
        <w:t>difference</w:t>
      </w:r>
      <w:r>
        <w:rPr>
          <w:spacing w:val="-2"/>
        </w:rPr>
        <w:t xml:space="preserve"> </w:t>
      </w:r>
      <w:r>
        <w:t>in</w:t>
      </w:r>
      <w:r>
        <w:rPr>
          <w:spacing w:val="-3"/>
        </w:rPr>
        <w:t xml:space="preserve"> </w:t>
      </w:r>
      <w:r>
        <w:t>fracture</w:t>
      </w:r>
      <w:r>
        <w:rPr>
          <w:spacing w:val="-4"/>
        </w:rPr>
        <w:t xml:space="preserve"> </w:t>
      </w:r>
      <w:r>
        <w:t>rates</w:t>
      </w:r>
      <w:r>
        <w:rPr>
          <w:spacing w:val="-4"/>
        </w:rPr>
        <w:t xml:space="preserve"> </w:t>
      </w:r>
      <w:r>
        <w:t>were</w:t>
      </w:r>
      <w:r>
        <w:rPr>
          <w:spacing w:val="-2"/>
        </w:rPr>
        <w:t xml:space="preserve"> </w:t>
      </w:r>
      <w:r>
        <w:t>observed</w:t>
      </w:r>
      <w:r>
        <w:rPr>
          <w:spacing w:val="-3"/>
        </w:rPr>
        <w:t xml:space="preserve"> </w:t>
      </w:r>
      <w:r>
        <w:t>by</w:t>
      </w:r>
      <w:r>
        <w:rPr>
          <w:spacing w:val="-5"/>
        </w:rPr>
        <w:t xml:space="preserve"> </w:t>
      </w:r>
      <w:r>
        <w:t>age,</w:t>
      </w:r>
      <w:r>
        <w:rPr>
          <w:spacing w:val="-2"/>
        </w:rPr>
        <w:t xml:space="preserve"> </w:t>
      </w:r>
      <w:r>
        <w:t>sex,</w:t>
      </w:r>
      <w:r>
        <w:rPr>
          <w:spacing w:val="-2"/>
        </w:rPr>
        <w:t xml:space="preserve"> </w:t>
      </w:r>
      <w:r>
        <w:t>or</w:t>
      </w:r>
      <w:r>
        <w:rPr>
          <w:spacing w:val="-4"/>
        </w:rPr>
        <w:t xml:space="preserve"> </w:t>
      </w:r>
      <w:r>
        <w:t>history</w:t>
      </w:r>
      <w:r>
        <w:rPr>
          <w:spacing w:val="-2"/>
        </w:rPr>
        <w:t xml:space="preserve"> </w:t>
      </w:r>
      <w:r>
        <w:t>of</w:t>
      </w:r>
      <w:r>
        <w:rPr>
          <w:spacing w:val="-3"/>
        </w:rPr>
        <w:t xml:space="preserve"> </w:t>
      </w:r>
      <w:r>
        <w:t>falls</w:t>
      </w:r>
      <w:r>
        <w:rPr>
          <w:spacing w:val="-2"/>
        </w:rPr>
        <w:t xml:space="preserve"> </w:t>
      </w:r>
      <w:r>
        <w:t>in</w:t>
      </w:r>
      <w:r>
        <w:rPr>
          <w:spacing w:val="-2"/>
        </w:rPr>
        <w:t xml:space="preserve"> </w:t>
      </w:r>
      <w:r>
        <w:t>Rapp</w:t>
      </w:r>
      <w:r>
        <w:rPr>
          <w:spacing w:val="-3"/>
        </w:rPr>
        <w:t xml:space="preserve"> </w:t>
      </w:r>
      <w:r>
        <w:t>2022 RCT (8). However, subpopulations of different risk levels at baseline were investigated.</w:t>
      </w:r>
    </w:p>
    <w:p w14:paraId="7A4C32DF" w14:textId="77777777" w:rsidR="00E13D3F" w:rsidRDefault="00FB2D6A">
      <w:pPr>
        <w:pStyle w:val="BodyText"/>
        <w:spacing w:line="278" w:lineRule="auto"/>
        <w:ind w:right="1137"/>
      </w:pPr>
      <w:r>
        <w:t>Rubin</w:t>
      </w:r>
      <w:r>
        <w:rPr>
          <w:spacing w:val="-4"/>
        </w:rPr>
        <w:t xml:space="preserve"> </w:t>
      </w:r>
      <w:r>
        <w:t>2018</w:t>
      </w:r>
      <w:r>
        <w:rPr>
          <w:spacing w:val="-2"/>
        </w:rPr>
        <w:t xml:space="preserve"> </w:t>
      </w:r>
      <w:r>
        <w:t>concluded</w:t>
      </w:r>
      <w:r>
        <w:rPr>
          <w:spacing w:val="-4"/>
        </w:rPr>
        <w:t xml:space="preserve"> </w:t>
      </w:r>
      <w:r>
        <w:t>that</w:t>
      </w:r>
      <w:r>
        <w:rPr>
          <w:spacing w:val="-2"/>
        </w:rPr>
        <w:t xml:space="preserve"> </w:t>
      </w:r>
      <w:r>
        <w:t>osteoporosis</w:t>
      </w:r>
      <w:r>
        <w:rPr>
          <w:spacing w:val="-5"/>
        </w:rPr>
        <w:t xml:space="preserve"> </w:t>
      </w:r>
      <w:r>
        <w:t>risk</w:t>
      </w:r>
      <w:r>
        <w:rPr>
          <w:spacing w:val="-4"/>
        </w:rPr>
        <w:t xml:space="preserve"> </w:t>
      </w:r>
      <w:r>
        <w:t>assessment</w:t>
      </w:r>
      <w:r>
        <w:rPr>
          <w:spacing w:val="-4"/>
        </w:rPr>
        <w:t xml:space="preserve"> </w:t>
      </w:r>
      <w:r>
        <w:t>was</w:t>
      </w:r>
      <w:r>
        <w:rPr>
          <w:spacing w:val="-5"/>
        </w:rPr>
        <w:t xml:space="preserve"> </w:t>
      </w:r>
      <w:r>
        <w:t>useful</w:t>
      </w:r>
      <w:r>
        <w:rPr>
          <w:spacing w:val="-3"/>
        </w:rPr>
        <w:t xml:space="preserve"> </w:t>
      </w:r>
      <w:r>
        <w:t>in</w:t>
      </w:r>
      <w:r>
        <w:rPr>
          <w:spacing w:val="-4"/>
        </w:rPr>
        <w:t xml:space="preserve"> </w:t>
      </w:r>
      <w:r>
        <w:t>preventing</w:t>
      </w:r>
      <w:r>
        <w:rPr>
          <w:spacing w:val="-3"/>
        </w:rPr>
        <w:t xml:space="preserve"> </w:t>
      </w:r>
      <w:r>
        <w:t>hip</w:t>
      </w:r>
      <w:r>
        <w:rPr>
          <w:spacing w:val="-2"/>
        </w:rPr>
        <w:t xml:space="preserve"> </w:t>
      </w:r>
      <w:r>
        <w:t>or</w:t>
      </w:r>
      <w:r>
        <w:rPr>
          <w:spacing w:val="-2"/>
        </w:rPr>
        <w:t xml:space="preserve"> </w:t>
      </w:r>
      <w:r>
        <w:t>all osteoporotic fractures in women at high baseline risk (DXA ≥15%) (Table 10.2).</w:t>
      </w:r>
    </w:p>
    <w:p w14:paraId="7A4C32E0" w14:textId="77777777" w:rsidR="00E13D3F" w:rsidRDefault="00E13D3F">
      <w:pPr>
        <w:pStyle w:val="BodyText"/>
        <w:spacing w:before="38"/>
        <w:ind w:left="0"/>
      </w:pPr>
    </w:p>
    <w:p w14:paraId="7A4C32E1" w14:textId="77777777" w:rsidR="00E13D3F" w:rsidRDefault="00FB2D6A">
      <w:pPr>
        <w:spacing w:after="39"/>
        <w:ind w:left="1440"/>
      </w:pPr>
      <w:r>
        <w:rPr>
          <w:b/>
        </w:rPr>
        <w:t>Table</w:t>
      </w:r>
      <w:r>
        <w:rPr>
          <w:b/>
          <w:spacing w:val="-6"/>
        </w:rPr>
        <w:t xml:space="preserve"> </w:t>
      </w:r>
      <w:r>
        <w:rPr>
          <w:b/>
        </w:rPr>
        <w:t>10.2.</w:t>
      </w:r>
      <w:r>
        <w:rPr>
          <w:b/>
          <w:spacing w:val="-3"/>
        </w:rPr>
        <w:t xml:space="preserve"> </w:t>
      </w:r>
      <w:r>
        <w:t>Size</w:t>
      </w:r>
      <w:r>
        <w:rPr>
          <w:spacing w:val="-4"/>
        </w:rPr>
        <w:t xml:space="preserve"> </w:t>
      </w:r>
      <w:r>
        <w:t>of</w:t>
      </w:r>
      <w:r>
        <w:rPr>
          <w:spacing w:val="-3"/>
        </w:rPr>
        <w:t xml:space="preserve"> </w:t>
      </w:r>
      <w:r>
        <w:t>effect</w:t>
      </w:r>
      <w:r>
        <w:rPr>
          <w:spacing w:val="-4"/>
        </w:rPr>
        <w:t xml:space="preserve"> </w:t>
      </w:r>
      <w:r>
        <w:t>of</w:t>
      </w:r>
      <w:r>
        <w:rPr>
          <w:spacing w:val="-6"/>
        </w:rPr>
        <w:t xml:space="preserve"> </w:t>
      </w:r>
      <w:r>
        <w:t>fracture</w:t>
      </w:r>
      <w:r>
        <w:rPr>
          <w:spacing w:val="-2"/>
        </w:rPr>
        <w:t xml:space="preserve"> </w:t>
      </w:r>
      <w:r>
        <w:t>prevention</w:t>
      </w:r>
      <w:r>
        <w:rPr>
          <w:spacing w:val="-6"/>
        </w:rPr>
        <w:t xml:space="preserve"> </w:t>
      </w:r>
      <w:r>
        <w:t>(data</w:t>
      </w:r>
      <w:r>
        <w:rPr>
          <w:spacing w:val="-3"/>
        </w:rPr>
        <w:t xml:space="preserve"> </w:t>
      </w:r>
      <w:r>
        <w:t>from</w:t>
      </w:r>
      <w:r>
        <w:rPr>
          <w:spacing w:val="-4"/>
        </w:rPr>
        <w:t xml:space="preserve"> </w:t>
      </w:r>
      <w:r>
        <w:t>Rapp</w:t>
      </w:r>
      <w:r>
        <w:rPr>
          <w:spacing w:val="-6"/>
        </w:rPr>
        <w:t xml:space="preserve"> </w:t>
      </w:r>
      <w:r>
        <w:rPr>
          <w:spacing w:val="-2"/>
        </w:rPr>
        <w:t>2022)</w:t>
      </w:r>
    </w:p>
    <w:tbl>
      <w:tblPr>
        <w:tblW w:w="0" w:type="auto"/>
        <w:tblInd w:w="145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1450"/>
        <w:gridCol w:w="4665"/>
        <w:gridCol w:w="2944"/>
      </w:tblGrid>
      <w:tr w:rsidR="00E13D3F" w14:paraId="7A4C32E5" w14:textId="77777777">
        <w:trPr>
          <w:trHeight w:val="369"/>
        </w:trPr>
        <w:tc>
          <w:tcPr>
            <w:tcW w:w="1450" w:type="dxa"/>
          </w:tcPr>
          <w:p w14:paraId="7A4C32E2" w14:textId="77777777" w:rsidR="00E13D3F" w:rsidRDefault="00FB2D6A">
            <w:pPr>
              <w:pStyle w:val="TableParagraph"/>
              <w:spacing w:before="1"/>
              <w:ind w:left="6"/>
              <w:jc w:val="center"/>
              <w:rPr>
                <w:b/>
                <w:sz w:val="20"/>
              </w:rPr>
            </w:pPr>
            <w:r>
              <w:rPr>
                <w:b/>
                <w:sz w:val="20"/>
              </w:rPr>
              <w:t>Fracture</w:t>
            </w:r>
            <w:r>
              <w:rPr>
                <w:b/>
                <w:spacing w:val="-8"/>
                <w:sz w:val="20"/>
              </w:rPr>
              <w:t xml:space="preserve"> </w:t>
            </w:r>
            <w:r>
              <w:rPr>
                <w:b/>
                <w:spacing w:val="-4"/>
                <w:sz w:val="20"/>
              </w:rPr>
              <w:t>type</w:t>
            </w:r>
          </w:p>
        </w:tc>
        <w:tc>
          <w:tcPr>
            <w:tcW w:w="4665" w:type="dxa"/>
          </w:tcPr>
          <w:p w14:paraId="7A4C32E3" w14:textId="77777777" w:rsidR="00E13D3F" w:rsidRDefault="00FB2D6A">
            <w:pPr>
              <w:pStyle w:val="TableParagraph"/>
              <w:spacing w:before="1"/>
              <w:ind w:left="1358"/>
              <w:rPr>
                <w:b/>
                <w:sz w:val="20"/>
              </w:rPr>
            </w:pPr>
            <w:r>
              <w:rPr>
                <w:b/>
                <w:sz w:val="20"/>
              </w:rPr>
              <w:t>Subgroup</w:t>
            </w:r>
            <w:r>
              <w:rPr>
                <w:b/>
                <w:spacing w:val="-10"/>
                <w:sz w:val="20"/>
              </w:rPr>
              <w:t xml:space="preserve"> </w:t>
            </w:r>
            <w:r>
              <w:rPr>
                <w:b/>
                <w:sz w:val="20"/>
              </w:rPr>
              <w:t>Hazard</w:t>
            </w:r>
            <w:r>
              <w:rPr>
                <w:b/>
                <w:spacing w:val="-10"/>
                <w:sz w:val="20"/>
              </w:rPr>
              <w:t xml:space="preserve"> </w:t>
            </w:r>
            <w:r>
              <w:rPr>
                <w:b/>
                <w:spacing w:val="-2"/>
                <w:sz w:val="20"/>
              </w:rPr>
              <w:t>ratios</w:t>
            </w:r>
          </w:p>
        </w:tc>
        <w:tc>
          <w:tcPr>
            <w:tcW w:w="2944" w:type="dxa"/>
          </w:tcPr>
          <w:p w14:paraId="7A4C32E4" w14:textId="77777777" w:rsidR="00E13D3F" w:rsidRDefault="00FB2D6A">
            <w:pPr>
              <w:pStyle w:val="TableParagraph"/>
              <w:spacing w:before="1"/>
              <w:ind w:left="42" w:right="41"/>
              <w:jc w:val="center"/>
              <w:rPr>
                <w:b/>
                <w:sz w:val="20"/>
              </w:rPr>
            </w:pPr>
            <w:r>
              <w:rPr>
                <w:b/>
                <w:spacing w:val="-2"/>
                <w:sz w:val="20"/>
              </w:rPr>
              <w:t>Conclusion</w:t>
            </w:r>
          </w:p>
        </w:tc>
      </w:tr>
      <w:tr w:rsidR="00E13D3F" w14:paraId="7A4C32E9" w14:textId="77777777">
        <w:trPr>
          <w:trHeight w:val="597"/>
        </w:trPr>
        <w:tc>
          <w:tcPr>
            <w:tcW w:w="1450" w:type="dxa"/>
            <w:shd w:val="clear" w:color="auto" w:fill="F1F1F1"/>
          </w:tcPr>
          <w:p w14:paraId="7A4C32E6" w14:textId="77777777" w:rsidR="00E13D3F" w:rsidRDefault="00FB2D6A">
            <w:pPr>
              <w:pStyle w:val="TableParagraph"/>
              <w:spacing w:before="1"/>
              <w:ind w:left="6" w:right="1"/>
              <w:jc w:val="center"/>
              <w:rPr>
                <w:b/>
                <w:sz w:val="20"/>
              </w:rPr>
            </w:pPr>
            <w:r>
              <w:rPr>
                <w:b/>
                <w:sz w:val="20"/>
              </w:rPr>
              <w:t>All</w:t>
            </w:r>
            <w:r>
              <w:rPr>
                <w:b/>
                <w:spacing w:val="-4"/>
                <w:sz w:val="20"/>
              </w:rPr>
              <w:t xml:space="preserve"> </w:t>
            </w:r>
            <w:r>
              <w:rPr>
                <w:b/>
                <w:spacing w:val="-2"/>
                <w:sz w:val="20"/>
              </w:rPr>
              <w:t>fractures</w:t>
            </w:r>
          </w:p>
        </w:tc>
        <w:tc>
          <w:tcPr>
            <w:tcW w:w="4665" w:type="dxa"/>
            <w:shd w:val="clear" w:color="auto" w:fill="F1F1F1"/>
          </w:tcPr>
          <w:p w14:paraId="7A4C32E7" w14:textId="77777777" w:rsidR="00E13D3F" w:rsidRDefault="00FB2D6A">
            <w:pPr>
              <w:pStyle w:val="TableParagraph"/>
              <w:spacing w:before="1"/>
              <w:ind w:left="721" w:hanging="449"/>
              <w:rPr>
                <w:b/>
                <w:sz w:val="20"/>
              </w:rPr>
            </w:pPr>
            <w:r>
              <w:rPr>
                <w:sz w:val="20"/>
              </w:rPr>
              <w:t>10.8%</w:t>
            </w:r>
            <w:r>
              <w:rPr>
                <w:spacing w:val="-8"/>
                <w:sz w:val="20"/>
              </w:rPr>
              <w:t xml:space="preserve"> </w:t>
            </w:r>
            <w:r>
              <w:rPr>
                <w:sz w:val="20"/>
              </w:rPr>
              <w:t>in</w:t>
            </w:r>
            <w:r>
              <w:rPr>
                <w:spacing w:val="-6"/>
                <w:sz w:val="20"/>
              </w:rPr>
              <w:t xml:space="preserve"> </w:t>
            </w:r>
            <w:r>
              <w:rPr>
                <w:sz w:val="20"/>
              </w:rPr>
              <w:t>interventions</w:t>
            </w:r>
            <w:r>
              <w:rPr>
                <w:spacing w:val="-6"/>
                <w:sz w:val="20"/>
              </w:rPr>
              <w:t xml:space="preserve"> </w:t>
            </w:r>
            <w:r>
              <w:rPr>
                <w:sz w:val="20"/>
              </w:rPr>
              <w:t>vs</w:t>
            </w:r>
            <w:r>
              <w:rPr>
                <w:spacing w:val="-6"/>
                <w:sz w:val="20"/>
              </w:rPr>
              <w:t xml:space="preserve"> </w:t>
            </w:r>
            <w:r>
              <w:rPr>
                <w:sz w:val="20"/>
              </w:rPr>
              <w:t>12.1%</w:t>
            </w:r>
            <w:r>
              <w:rPr>
                <w:spacing w:val="-7"/>
                <w:sz w:val="20"/>
              </w:rPr>
              <w:t xml:space="preserve"> </w:t>
            </w:r>
            <w:r>
              <w:rPr>
                <w:sz w:val="20"/>
              </w:rPr>
              <w:t>in</w:t>
            </w:r>
            <w:r>
              <w:rPr>
                <w:spacing w:val="-6"/>
                <w:sz w:val="20"/>
              </w:rPr>
              <w:t xml:space="preserve"> </w:t>
            </w:r>
            <w:r>
              <w:rPr>
                <w:sz w:val="20"/>
              </w:rPr>
              <w:t>control;</w:t>
            </w:r>
            <w:r>
              <w:rPr>
                <w:spacing w:val="-7"/>
                <w:sz w:val="20"/>
              </w:rPr>
              <w:t xml:space="preserve"> </w:t>
            </w:r>
            <w:r>
              <w:rPr>
                <w:sz w:val="20"/>
              </w:rPr>
              <w:t xml:space="preserve">p=0.04; adjusted </w:t>
            </w:r>
            <w:proofErr w:type="spellStart"/>
            <w:r>
              <w:rPr>
                <w:sz w:val="20"/>
              </w:rPr>
              <w:t>sHR</w:t>
            </w:r>
            <w:proofErr w:type="spellEnd"/>
            <w:r>
              <w:rPr>
                <w:sz w:val="20"/>
              </w:rPr>
              <w:t xml:space="preserve"> </w:t>
            </w:r>
            <w:r>
              <w:rPr>
                <w:b/>
                <w:sz w:val="20"/>
              </w:rPr>
              <w:t>0.89 (0.80- 0.99), p=0.038</w:t>
            </w:r>
          </w:p>
        </w:tc>
        <w:tc>
          <w:tcPr>
            <w:tcW w:w="2944" w:type="dxa"/>
            <w:vMerge w:val="restart"/>
            <w:shd w:val="clear" w:color="auto" w:fill="F1F1F1"/>
          </w:tcPr>
          <w:p w14:paraId="7A4C32E8" w14:textId="77777777" w:rsidR="00E13D3F" w:rsidRDefault="00FB2D6A">
            <w:pPr>
              <w:pStyle w:val="TableParagraph"/>
              <w:spacing w:before="1"/>
              <w:ind w:left="42" w:right="39"/>
              <w:jc w:val="center"/>
              <w:rPr>
                <w:sz w:val="20"/>
              </w:rPr>
            </w:pPr>
            <w:r>
              <w:rPr>
                <w:sz w:val="20"/>
              </w:rPr>
              <w:t xml:space="preserve">Screening with FRAX +DXA in women significantly </w:t>
            </w:r>
            <w:r>
              <w:rPr>
                <w:b/>
                <w:sz w:val="20"/>
              </w:rPr>
              <w:t>reduces overall, osteoporotic and hip fractures</w:t>
            </w:r>
            <w:r>
              <w:rPr>
                <w:b/>
                <w:spacing w:val="-8"/>
                <w:sz w:val="20"/>
              </w:rPr>
              <w:t xml:space="preserve"> </w:t>
            </w:r>
            <w:r>
              <w:rPr>
                <w:sz w:val="20"/>
              </w:rPr>
              <w:t>in</w:t>
            </w:r>
            <w:r>
              <w:rPr>
                <w:spacing w:val="-9"/>
                <w:sz w:val="20"/>
              </w:rPr>
              <w:t xml:space="preserve"> </w:t>
            </w:r>
            <w:r>
              <w:rPr>
                <w:sz w:val="20"/>
              </w:rPr>
              <w:t>women</w:t>
            </w:r>
            <w:r>
              <w:rPr>
                <w:spacing w:val="-9"/>
                <w:sz w:val="20"/>
              </w:rPr>
              <w:t xml:space="preserve"> </w:t>
            </w:r>
            <w:r>
              <w:rPr>
                <w:sz w:val="20"/>
              </w:rPr>
              <w:t>at</w:t>
            </w:r>
            <w:r>
              <w:rPr>
                <w:spacing w:val="-9"/>
                <w:sz w:val="20"/>
              </w:rPr>
              <w:t xml:space="preserve"> </w:t>
            </w:r>
            <w:r>
              <w:rPr>
                <w:sz w:val="20"/>
              </w:rPr>
              <w:t>high</w:t>
            </w:r>
            <w:r>
              <w:rPr>
                <w:spacing w:val="-9"/>
                <w:sz w:val="20"/>
              </w:rPr>
              <w:t xml:space="preserve"> </w:t>
            </w:r>
            <w:r>
              <w:rPr>
                <w:sz w:val="20"/>
              </w:rPr>
              <w:t>risk (DXA ≥15%)</w:t>
            </w:r>
          </w:p>
        </w:tc>
      </w:tr>
      <w:tr w:rsidR="00E13D3F" w14:paraId="7A4C32ED" w14:textId="77777777">
        <w:trPr>
          <w:trHeight w:val="597"/>
        </w:trPr>
        <w:tc>
          <w:tcPr>
            <w:tcW w:w="1450" w:type="dxa"/>
          </w:tcPr>
          <w:p w14:paraId="7A4C32EA" w14:textId="77777777" w:rsidR="00E13D3F" w:rsidRDefault="00FB2D6A">
            <w:pPr>
              <w:pStyle w:val="TableParagraph"/>
              <w:spacing w:before="1"/>
              <w:ind w:left="352" w:right="169" w:hanging="173"/>
              <w:rPr>
                <w:b/>
                <w:sz w:val="20"/>
              </w:rPr>
            </w:pPr>
            <w:r>
              <w:rPr>
                <w:b/>
                <w:spacing w:val="-2"/>
                <w:sz w:val="20"/>
              </w:rPr>
              <w:t>Osteoporotic fractures</w:t>
            </w:r>
          </w:p>
        </w:tc>
        <w:tc>
          <w:tcPr>
            <w:tcW w:w="4665" w:type="dxa"/>
          </w:tcPr>
          <w:p w14:paraId="7A4C32EB" w14:textId="77777777" w:rsidR="00E13D3F" w:rsidRDefault="00FB2D6A">
            <w:pPr>
              <w:pStyle w:val="TableParagraph"/>
              <w:spacing w:before="1"/>
              <w:ind w:left="716" w:hanging="341"/>
              <w:rPr>
                <w:b/>
                <w:sz w:val="20"/>
              </w:rPr>
            </w:pPr>
            <w:r>
              <w:rPr>
                <w:sz w:val="20"/>
              </w:rPr>
              <w:t>8.1%</w:t>
            </w:r>
            <w:r>
              <w:rPr>
                <w:spacing w:val="-8"/>
                <w:sz w:val="20"/>
              </w:rPr>
              <w:t xml:space="preserve"> </w:t>
            </w:r>
            <w:r>
              <w:rPr>
                <w:sz w:val="20"/>
              </w:rPr>
              <w:t>in</w:t>
            </w:r>
            <w:r>
              <w:rPr>
                <w:spacing w:val="-6"/>
                <w:sz w:val="20"/>
              </w:rPr>
              <w:t xml:space="preserve"> </w:t>
            </w:r>
            <w:r>
              <w:rPr>
                <w:sz w:val="20"/>
              </w:rPr>
              <w:t>interventions</w:t>
            </w:r>
            <w:r>
              <w:rPr>
                <w:spacing w:val="-6"/>
                <w:sz w:val="20"/>
              </w:rPr>
              <w:t xml:space="preserve"> </w:t>
            </w:r>
            <w:r>
              <w:rPr>
                <w:sz w:val="20"/>
              </w:rPr>
              <w:t>vs</w:t>
            </w:r>
            <w:r>
              <w:rPr>
                <w:spacing w:val="-6"/>
                <w:sz w:val="20"/>
              </w:rPr>
              <w:t xml:space="preserve"> </w:t>
            </w:r>
            <w:r>
              <w:rPr>
                <w:sz w:val="20"/>
              </w:rPr>
              <w:t>9.3%</w:t>
            </w:r>
            <w:r>
              <w:rPr>
                <w:spacing w:val="-7"/>
                <w:sz w:val="20"/>
              </w:rPr>
              <w:t xml:space="preserve"> </w:t>
            </w:r>
            <w:r>
              <w:rPr>
                <w:sz w:val="20"/>
              </w:rPr>
              <w:t>in</w:t>
            </w:r>
            <w:r>
              <w:rPr>
                <w:spacing w:val="-6"/>
                <w:sz w:val="20"/>
              </w:rPr>
              <w:t xml:space="preserve"> </w:t>
            </w:r>
            <w:r>
              <w:rPr>
                <w:sz w:val="20"/>
              </w:rPr>
              <w:t>control;</w:t>
            </w:r>
            <w:r>
              <w:rPr>
                <w:spacing w:val="-7"/>
                <w:sz w:val="20"/>
              </w:rPr>
              <w:t xml:space="preserve"> </w:t>
            </w:r>
            <w:r>
              <w:rPr>
                <w:sz w:val="20"/>
              </w:rPr>
              <w:t xml:space="preserve">p=0.03; adjusted </w:t>
            </w:r>
            <w:proofErr w:type="spellStart"/>
            <w:r>
              <w:rPr>
                <w:b/>
                <w:sz w:val="20"/>
              </w:rPr>
              <w:t>sHR</w:t>
            </w:r>
            <w:proofErr w:type="spellEnd"/>
            <w:r>
              <w:rPr>
                <w:b/>
                <w:sz w:val="20"/>
              </w:rPr>
              <w:t xml:space="preserve"> 0.87 (0.77- 0.99), p=0.028</w:t>
            </w:r>
          </w:p>
        </w:tc>
        <w:tc>
          <w:tcPr>
            <w:tcW w:w="2944" w:type="dxa"/>
            <w:vMerge/>
            <w:tcBorders>
              <w:top w:val="nil"/>
            </w:tcBorders>
            <w:shd w:val="clear" w:color="auto" w:fill="F1F1F1"/>
          </w:tcPr>
          <w:p w14:paraId="7A4C32EC" w14:textId="77777777" w:rsidR="00E13D3F" w:rsidRDefault="00E13D3F">
            <w:pPr>
              <w:rPr>
                <w:sz w:val="2"/>
                <w:szCs w:val="2"/>
              </w:rPr>
            </w:pPr>
          </w:p>
        </w:tc>
      </w:tr>
      <w:tr w:rsidR="00E13D3F" w14:paraId="7A4C32F1" w14:textId="77777777">
        <w:trPr>
          <w:trHeight w:val="597"/>
        </w:trPr>
        <w:tc>
          <w:tcPr>
            <w:tcW w:w="1450" w:type="dxa"/>
            <w:shd w:val="clear" w:color="auto" w:fill="F1F1F1"/>
          </w:tcPr>
          <w:p w14:paraId="7A4C32EE" w14:textId="77777777" w:rsidR="00E13D3F" w:rsidRDefault="00FB2D6A">
            <w:pPr>
              <w:pStyle w:val="TableParagraph"/>
              <w:spacing w:before="231"/>
              <w:ind w:left="6"/>
              <w:jc w:val="center"/>
              <w:rPr>
                <w:b/>
                <w:sz w:val="20"/>
              </w:rPr>
            </w:pPr>
            <w:r>
              <w:rPr>
                <w:b/>
                <w:sz w:val="20"/>
              </w:rPr>
              <w:t>Hip</w:t>
            </w:r>
            <w:r>
              <w:rPr>
                <w:b/>
                <w:spacing w:val="-4"/>
                <w:sz w:val="20"/>
              </w:rPr>
              <w:t xml:space="preserve"> </w:t>
            </w:r>
            <w:r>
              <w:rPr>
                <w:b/>
                <w:spacing w:val="-2"/>
                <w:sz w:val="20"/>
              </w:rPr>
              <w:t>fractures</w:t>
            </w:r>
          </w:p>
        </w:tc>
        <w:tc>
          <w:tcPr>
            <w:tcW w:w="4665" w:type="dxa"/>
            <w:shd w:val="clear" w:color="auto" w:fill="F1F1F1"/>
          </w:tcPr>
          <w:p w14:paraId="7A4C32EF" w14:textId="77777777" w:rsidR="00E13D3F" w:rsidRDefault="00FB2D6A">
            <w:pPr>
              <w:pStyle w:val="TableParagraph"/>
              <w:spacing w:before="1"/>
              <w:ind w:left="716" w:hanging="341"/>
              <w:rPr>
                <w:b/>
                <w:sz w:val="20"/>
              </w:rPr>
            </w:pPr>
            <w:r>
              <w:rPr>
                <w:sz w:val="20"/>
              </w:rPr>
              <w:t>1.9%</w:t>
            </w:r>
            <w:r>
              <w:rPr>
                <w:spacing w:val="-8"/>
                <w:sz w:val="20"/>
              </w:rPr>
              <w:t xml:space="preserve"> </w:t>
            </w:r>
            <w:r>
              <w:rPr>
                <w:sz w:val="20"/>
              </w:rPr>
              <w:t>in</w:t>
            </w:r>
            <w:r>
              <w:rPr>
                <w:spacing w:val="-6"/>
                <w:sz w:val="20"/>
              </w:rPr>
              <w:t xml:space="preserve"> </w:t>
            </w:r>
            <w:r>
              <w:rPr>
                <w:sz w:val="20"/>
              </w:rPr>
              <w:t>interventions</w:t>
            </w:r>
            <w:r>
              <w:rPr>
                <w:spacing w:val="-6"/>
                <w:sz w:val="20"/>
              </w:rPr>
              <w:t xml:space="preserve"> </w:t>
            </w:r>
            <w:r>
              <w:rPr>
                <w:sz w:val="20"/>
              </w:rPr>
              <w:t>vs</w:t>
            </w:r>
            <w:r>
              <w:rPr>
                <w:spacing w:val="-6"/>
                <w:sz w:val="20"/>
              </w:rPr>
              <w:t xml:space="preserve"> </w:t>
            </w:r>
            <w:r>
              <w:rPr>
                <w:sz w:val="20"/>
              </w:rPr>
              <w:t>2.6%</w:t>
            </w:r>
            <w:r>
              <w:rPr>
                <w:spacing w:val="-7"/>
                <w:sz w:val="20"/>
              </w:rPr>
              <w:t xml:space="preserve"> </w:t>
            </w:r>
            <w:r>
              <w:rPr>
                <w:sz w:val="20"/>
              </w:rPr>
              <w:t>in</w:t>
            </w:r>
            <w:r>
              <w:rPr>
                <w:spacing w:val="-6"/>
                <w:sz w:val="20"/>
              </w:rPr>
              <w:t xml:space="preserve"> </w:t>
            </w:r>
            <w:r>
              <w:rPr>
                <w:sz w:val="20"/>
              </w:rPr>
              <w:t>control;</w:t>
            </w:r>
            <w:r>
              <w:rPr>
                <w:spacing w:val="-7"/>
                <w:sz w:val="20"/>
              </w:rPr>
              <w:t xml:space="preserve"> </w:t>
            </w:r>
            <w:r>
              <w:rPr>
                <w:sz w:val="20"/>
              </w:rPr>
              <w:t xml:space="preserve">p=0.01; adjusted </w:t>
            </w:r>
            <w:proofErr w:type="spellStart"/>
            <w:r>
              <w:rPr>
                <w:b/>
                <w:sz w:val="20"/>
              </w:rPr>
              <w:t>sHR</w:t>
            </w:r>
            <w:proofErr w:type="spellEnd"/>
            <w:r>
              <w:rPr>
                <w:b/>
                <w:sz w:val="20"/>
              </w:rPr>
              <w:t xml:space="preserve"> 0.74 (0.58- 0.95), p=0.002</w:t>
            </w:r>
          </w:p>
        </w:tc>
        <w:tc>
          <w:tcPr>
            <w:tcW w:w="2944" w:type="dxa"/>
            <w:vMerge/>
            <w:tcBorders>
              <w:top w:val="nil"/>
            </w:tcBorders>
            <w:shd w:val="clear" w:color="auto" w:fill="F1F1F1"/>
          </w:tcPr>
          <w:p w14:paraId="7A4C32F0" w14:textId="77777777" w:rsidR="00E13D3F" w:rsidRDefault="00E13D3F">
            <w:pPr>
              <w:rPr>
                <w:sz w:val="2"/>
                <w:szCs w:val="2"/>
              </w:rPr>
            </w:pPr>
          </w:p>
        </w:tc>
      </w:tr>
    </w:tbl>
    <w:p w14:paraId="7A4C32F2" w14:textId="77777777" w:rsidR="00E13D3F" w:rsidRDefault="00FB2D6A">
      <w:pPr>
        <w:tabs>
          <w:tab w:val="left" w:pos="4320"/>
          <w:tab w:val="left" w:pos="7201"/>
        </w:tabs>
        <w:spacing w:before="2"/>
        <w:ind w:left="1440"/>
        <w:rPr>
          <w:i/>
          <w:sz w:val="21"/>
        </w:rPr>
      </w:pPr>
      <w:r>
        <w:rPr>
          <w:sz w:val="18"/>
        </w:rPr>
        <w:t>FRAX:</w:t>
      </w:r>
      <w:r>
        <w:rPr>
          <w:spacing w:val="-4"/>
          <w:sz w:val="18"/>
        </w:rPr>
        <w:t xml:space="preserve"> </w:t>
      </w:r>
      <w:r>
        <w:rPr>
          <w:sz w:val="18"/>
        </w:rPr>
        <w:t>Fracture</w:t>
      </w:r>
      <w:r>
        <w:rPr>
          <w:spacing w:val="-3"/>
          <w:sz w:val="18"/>
        </w:rPr>
        <w:t xml:space="preserve"> </w:t>
      </w:r>
      <w:r>
        <w:rPr>
          <w:sz w:val="18"/>
        </w:rPr>
        <w:t>risk</w:t>
      </w:r>
      <w:r>
        <w:rPr>
          <w:spacing w:val="-3"/>
          <w:sz w:val="18"/>
        </w:rPr>
        <w:t xml:space="preserve"> </w:t>
      </w:r>
      <w:r>
        <w:rPr>
          <w:spacing w:val="-2"/>
          <w:sz w:val="18"/>
        </w:rPr>
        <w:t>assessment</w:t>
      </w:r>
      <w:r>
        <w:rPr>
          <w:sz w:val="18"/>
        </w:rPr>
        <w:tab/>
        <w:t>DXA:</w:t>
      </w:r>
      <w:r>
        <w:rPr>
          <w:spacing w:val="-2"/>
          <w:sz w:val="18"/>
        </w:rPr>
        <w:t xml:space="preserve"> </w:t>
      </w:r>
      <w:r>
        <w:rPr>
          <w:sz w:val="18"/>
        </w:rPr>
        <w:t>dual</w:t>
      </w:r>
      <w:r>
        <w:rPr>
          <w:spacing w:val="-2"/>
          <w:sz w:val="18"/>
        </w:rPr>
        <w:t xml:space="preserve"> </w:t>
      </w:r>
      <w:r>
        <w:rPr>
          <w:sz w:val="18"/>
        </w:rPr>
        <w:t>x-ray</w:t>
      </w:r>
      <w:r>
        <w:rPr>
          <w:spacing w:val="-1"/>
          <w:sz w:val="18"/>
        </w:rPr>
        <w:t xml:space="preserve"> </w:t>
      </w:r>
      <w:r>
        <w:rPr>
          <w:spacing w:val="-2"/>
          <w:sz w:val="18"/>
        </w:rPr>
        <w:t>absorptiometry</w:t>
      </w:r>
      <w:r>
        <w:rPr>
          <w:sz w:val="18"/>
        </w:rPr>
        <w:tab/>
      </w:r>
      <w:proofErr w:type="spellStart"/>
      <w:r>
        <w:rPr>
          <w:i/>
          <w:sz w:val="21"/>
        </w:rPr>
        <w:t>sHR</w:t>
      </w:r>
      <w:proofErr w:type="spellEnd"/>
      <w:r>
        <w:rPr>
          <w:i/>
          <w:sz w:val="21"/>
        </w:rPr>
        <w:t>=subgroup</w:t>
      </w:r>
      <w:r>
        <w:rPr>
          <w:i/>
          <w:spacing w:val="-12"/>
          <w:sz w:val="21"/>
        </w:rPr>
        <w:t xml:space="preserve"> </w:t>
      </w:r>
      <w:r>
        <w:rPr>
          <w:i/>
          <w:sz w:val="21"/>
        </w:rPr>
        <w:t>Hazard</w:t>
      </w:r>
      <w:r>
        <w:rPr>
          <w:i/>
          <w:spacing w:val="-8"/>
          <w:sz w:val="21"/>
        </w:rPr>
        <w:t xml:space="preserve"> </w:t>
      </w:r>
      <w:r>
        <w:rPr>
          <w:i/>
          <w:spacing w:val="-2"/>
          <w:sz w:val="21"/>
        </w:rPr>
        <w:t>ratio</w:t>
      </w:r>
    </w:p>
    <w:p w14:paraId="7A4C32F3" w14:textId="77777777" w:rsidR="00E13D3F" w:rsidRDefault="00E13D3F">
      <w:pPr>
        <w:pStyle w:val="BodyText"/>
        <w:spacing w:before="59"/>
        <w:ind w:left="0"/>
        <w:rPr>
          <w:i/>
          <w:sz w:val="18"/>
        </w:rPr>
      </w:pPr>
    </w:p>
    <w:p w14:paraId="7A4C32F4" w14:textId="77777777" w:rsidR="00E13D3F" w:rsidRDefault="00FB2D6A">
      <w:pPr>
        <w:pStyle w:val="Heading2"/>
        <w:spacing w:before="1"/>
      </w:pPr>
      <w:r>
        <w:rPr>
          <w:color w:val="2E5395"/>
          <w:spacing w:val="-2"/>
        </w:rPr>
        <w:t>Comments</w:t>
      </w:r>
    </w:p>
    <w:p w14:paraId="7A4C32F5" w14:textId="77777777" w:rsidR="00E13D3F" w:rsidRDefault="00FB2D6A">
      <w:pPr>
        <w:pStyle w:val="BodyText"/>
        <w:spacing w:before="23" w:line="276" w:lineRule="auto"/>
        <w:ind w:right="1137"/>
      </w:pPr>
      <w:r>
        <w:t>The</w:t>
      </w:r>
      <w:r>
        <w:rPr>
          <w:spacing w:val="-4"/>
        </w:rPr>
        <w:t xml:space="preserve"> </w:t>
      </w:r>
      <w:r>
        <w:t>Merlijn’s</w:t>
      </w:r>
      <w:r>
        <w:rPr>
          <w:spacing w:val="-4"/>
        </w:rPr>
        <w:t xml:space="preserve"> </w:t>
      </w:r>
      <w:r>
        <w:t>systematic</w:t>
      </w:r>
      <w:r>
        <w:rPr>
          <w:spacing w:val="-6"/>
        </w:rPr>
        <w:t xml:space="preserve"> </w:t>
      </w:r>
      <w:r>
        <w:t>review investigated</w:t>
      </w:r>
      <w:r>
        <w:rPr>
          <w:spacing w:val="-4"/>
        </w:rPr>
        <w:t xml:space="preserve"> </w:t>
      </w:r>
      <w:r>
        <w:t>the</w:t>
      </w:r>
      <w:r>
        <w:rPr>
          <w:spacing w:val="-5"/>
        </w:rPr>
        <w:t xml:space="preserve"> </w:t>
      </w:r>
      <w:r>
        <w:t>three</w:t>
      </w:r>
      <w:r>
        <w:rPr>
          <w:spacing w:val="-4"/>
        </w:rPr>
        <w:t xml:space="preserve"> </w:t>
      </w:r>
      <w:r>
        <w:t>most</w:t>
      </w:r>
      <w:r>
        <w:rPr>
          <w:spacing w:val="-4"/>
        </w:rPr>
        <w:t xml:space="preserve"> </w:t>
      </w:r>
      <w:r>
        <w:t>cited</w:t>
      </w:r>
      <w:r>
        <w:rPr>
          <w:spacing w:val="-2"/>
        </w:rPr>
        <w:t xml:space="preserve"> </w:t>
      </w:r>
      <w:r>
        <w:t>trials</w:t>
      </w:r>
      <w:r>
        <w:rPr>
          <w:spacing w:val="-3"/>
        </w:rPr>
        <w:t xml:space="preserve"> </w:t>
      </w:r>
      <w:r>
        <w:t>in</w:t>
      </w:r>
      <w:r>
        <w:rPr>
          <w:spacing w:val="-2"/>
        </w:rPr>
        <w:t xml:space="preserve"> </w:t>
      </w:r>
      <w:r>
        <w:t>the</w:t>
      </w:r>
      <w:r>
        <w:rPr>
          <w:spacing w:val="-2"/>
        </w:rPr>
        <w:t xml:space="preserve"> </w:t>
      </w:r>
      <w:r>
        <w:t>literature.</w:t>
      </w:r>
      <w:r>
        <w:rPr>
          <w:spacing w:val="-6"/>
        </w:rPr>
        <w:t xml:space="preserve"> </w:t>
      </w:r>
      <w:r>
        <w:t>The estimates from the two new trials made no substantial difference to their findings.</w:t>
      </w:r>
    </w:p>
    <w:p w14:paraId="7A4C32F6" w14:textId="77777777" w:rsidR="00E13D3F" w:rsidRDefault="00E13D3F">
      <w:pPr>
        <w:pStyle w:val="BodyText"/>
        <w:spacing w:before="85"/>
        <w:ind w:left="0"/>
      </w:pPr>
    </w:p>
    <w:p w14:paraId="7A4C32F7" w14:textId="77777777" w:rsidR="00E13D3F" w:rsidRDefault="00FB2D6A">
      <w:pPr>
        <w:pStyle w:val="Heading2"/>
      </w:pPr>
      <w:r>
        <w:rPr>
          <w:color w:val="2E5395"/>
          <w:spacing w:val="-2"/>
        </w:rPr>
        <w:t>Conclusion</w:t>
      </w:r>
    </w:p>
    <w:p w14:paraId="7A4C32F8" w14:textId="77777777" w:rsidR="00E13D3F" w:rsidRDefault="00FB2D6A">
      <w:pPr>
        <w:pStyle w:val="BodyText"/>
        <w:spacing w:before="26" w:line="276" w:lineRule="auto"/>
        <w:ind w:right="1450"/>
      </w:pPr>
      <w:r>
        <w:t>Osteoporosis risk assessment in community dwelling individuals (predominantly women) with</w:t>
      </w:r>
      <w:r>
        <w:rPr>
          <w:spacing w:val="-2"/>
        </w:rPr>
        <w:t xml:space="preserve"> </w:t>
      </w:r>
      <w:r>
        <w:t>or</w:t>
      </w:r>
      <w:r>
        <w:rPr>
          <w:spacing w:val="-3"/>
        </w:rPr>
        <w:t xml:space="preserve"> </w:t>
      </w:r>
      <w:r>
        <w:t>without</w:t>
      </w:r>
      <w:r>
        <w:rPr>
          <w:spacing w:val="-4"/>
        </w:rPr>
        <w:t xml:space="preserve"> </w:t>
      </w:r>
      <w:r>
        <w:t>an</w:t>
      </w:r>
      <w:r>
        <w:rPr>
          <w:spacing w:val="-4"/>
        </w:rPr>
        <w:t xml:space="preserve"> </w:t>
      </w:r>
      <w:r>
        <w:t>intervention</w:t>
      </w:r>
      <w:r>
        <w:rPr>
          <w:spacing w:val="-3"/>
        </w:rPr>
        <w:t xml:space="preserve"> </w:t>
      </w:r>
      <w:r>
        <w:t>does</w:t>
      </w:r>
      <w:r>
        <w:rPr>
          <w:spacing w:val="-5"/>
        </w:rPr>
        <w:t xml:space="preserve"> </w:t>
      </w:r>
      <w:r>
        <w:t>not</w:t>
      </w:r>
      <w:r>
        <w:rPr>
          <w:spacing w:val="-2"/>
        </w:rPr>
        <w:t xml:space="preserve"> </w:t>
      </w:r>
      <w:r>
        <w:t>reduce</w:t>
      </w:r>
      <w:r>
        <w:rPr>
          <w:spacing w:val="-5"/>
        </w:rPr>
        <w:t xml:space="preserve"> </w:t>
      </w:r>
      <w:r>
        <w:t>incident</w:t>
      </w:r>
      <w:r>
        <w:rPr>
          <w:spacing w:val="-4"/>
        </w:rPr>
        <w:t xml:space="preserve"> </w:t>
      </w:r>
      <w:r>
        <w:t>fractures</w:t>
      </w:r>
      <w:r>
        <w:rPr>
          <w:spacing w:val="-5"/>
        </w:rPr>
        <w:t xml:space="preserve"> </w:t>
      </w:r>
      <w:r>
        <w:t>overall</w:t>
      </w:r>
      <w:r>
        <w:rPr>
          <w:spacing w:val="-4"/>
        </w:rPr>
        <w:t xml:space="preserve"> </w:t>
      </w:r>
      <w:r>
        <w:t>but</w:t>
      </w:r>
      <w:r>
        <w:rPr>
          <w:spacing w:val="-4"/>
        </w:rPr>
        <w:t xml:space="preserve"> </w:t>
      </w:r>
      <w:r>
        <w:t>may</w:t>
      </w:r>
      <w:r>
        <w:rPr>
          <w:spacing w:val="-5"/>
        </w:rPr>
        <w:t xml:space="preserve"> </w:t>
      </w:r>
      <w:r>
        <w:t>benefit women and men at high baseline risk. There is no agreement on the frequency of osteoporosis risk assessment although 5–10-year intervals are considered cost-effective based on simulations studies.</w:t>
      </w:r>
    </w:p>
    <w:p w14:paraId="7A4C32F9" w14:textId="77777777" w:rsidR="00E13D3F" w:rsidRDefault="00E13D3F">
      <w:pPr>
        <w:pStyle w:val="BodyText"/>
        <w:spacing w:line="276" w:lineRule="auto"/>
        <w:sectPr w:rsidR="00E13D3F">
          <w:pgSz w:w="11910" w:h="16840"/>
          <w:pgMar w:top="1400" w:right="0" w:bottom="1200" w:left="0" w:header="0" w:footer="1000" w:gutter="0"/>
          <w:cols w:space="720"/>
        </w:sectPr>
      </w:pPr>
    </w:p>
    <w:p w14:paraId="7A4C32FA" w14:textId="77777777" w:rsidR="00E13D3F" w:rsidRDefault="00FB2D6A">
      <w:pPr>
        <w:pStyle w:val="Heading2"/>
        <w:spacing w:before="24"/>
      </w:pPr>
      <w:r>
        <w:rPr>
          <w:color w:val="2E5395"/>
          <w:spacing w:val="-2"/>
        </w:rPr>
        <w:lastRenderedPageBreak/>
        <w:t>References</w:t>
      </w:r>
    </w:p>
    <w:p w14:paraId="7A4C32FB" w14:textId="77777777" w:rsidR="00E13D3F" w:rsidRDefault="00FB2D6A" w:rsidP="00990D2B">
      <w:pPr>
        <w:pStyle w:val="ListParagraph"/>
        <w:numPr>
          <w:ilvl w:val="0"/>
          <w:numId w:val="3"/>
        </w:numPr>
        <w:tabs>
          <w:tab w:val="left" w:pos="1798"/>
          <w:tab w:val="left" w:pos="1800"/>
        </w:tabs>
        <w:spacing w:before="23" w:line="276" w:lineRule="auto"/>
        <w:ind w:right="1449"/>
      </w:pPr>
      <w:r>
        <w:t>Australian</w:t>
      </w:r>
      <w:r>
        <w:rPr>
          <w:spacing w:val="-3"/>
        </w:rPr>
        <w:t xml:space="preserve"> </w:t>
      </w:r>
      <w:r>
        <w:t>Bureau</w:t>
      </w:r>
      <w:r>
        <w:rPr>
          <w:spacing w:val="-5"/>
        </w:rPr>
        <w:t xml:space="preserve"> </w:t>
      </w:r>
      <w:r>
        <w:t>of</w:t>
      </w:r>
      <w:r>
        <w:rPr>
          <w:spacing w:val="-2"/>
        </w:rPr>
        <w:t xml:space="preserve"> </w:t>
      </w:r>
      <w:r>
        <w:t>Statistics</w:t>
      </w:r>
      <w:r>
        <w:rPr>
          <w:spacing w:val="-2"/>
        </w:rPr>
        <w:t xml:space="preserve"> </w:t>
      </w:r>
      <w:r>
        <w:t>2018.</w:t>
      </w:r>
      <w:r>
        <w:rPr>
          <w:spacing w:val="-2"/>
        </w:rPr>
        <w:t xml:space="preserve"> </w:t>
      </w:r>
      <w:r>
        <w:t>National</w:t>
      </w:r>
      <w:r>
        <w:rPr>
          <w:spacing w:val="-2"/>
        </w:rPr>
        <w:t xml:space="preserve"> </w:t>
      </w:r>
      <w:r>
        <w:t>Health</w:t>
      </w:r>
      <w:r>
        <w:rPr>
          <w:spacing w:val="-4"/>
        </w:rPr>
        <w:t xml:space="preserve"> </w:t>
      </w:r>
      <w:r>
        <w:t>Survey:</w:t>
      </w:r>
      <w:r>
        <w:rPr>
          <w:spacing w:val="-2"/>
        </w:rPr>
        <w:t xml:space="preserve"> </w:t>
      </w:r>
      <w:r>
        <w:t>First</w:t>
      </w:r>
      <w:r>
        <w:rPr>
          <w:spacing w:val="-3"/>
        </w:rPr>
        <w:t xml:space="preserve"> </w:t>
      </w:r>
      <w:r>
        <w:t>results</w:t>
      </w:r>
      <w:r>
        <w:rPr>
          <w:spacing w:val="-2"/>
        </w:rPr>
        <w:t xml:space="preserve"> </w:t>
      </w:r>
      <w:r>
        <w:t>2017-2018.</w:t>
      </w:r>
      <w:r>
        <w:rPr>
          <w:spacing w:val="-2"/>
        </w:rPr>
        <w:t xml:space="preserve"> </w:t>
      </w:r>
      <w:r>
        <w:t>ABS</w:t>
      </w:r>
      <w:r>
        <w:rPr>
          <w:spacing w:val="-4"/>
        </w:rPr>
        <w:t xml:space="preserve"> </w:t>
      </w:r>
      <w:r>
        <w:t>cat.</w:t>
      </w:r>
      <w:r>
        <w:rPr>
          <w:spacing w:val="-2"/>
        </w:rPr>
        <w:t xml:space="preserve"> </w:t>
      </w:r>
      <w:r>
        <w:t xml:space="preserve">no. 4364.0.55.001. Canberra: </w:t>
      </w:r>
      <w:hyperlink r:id="rId54" w:anchor="chronic-conditions">
        <w:r w:rsidR="00E13D3F">
          <w:rPr>
            <w:color w:val="0462C1"/>
            <w:u w:val="single" w:color="0462C1"/>
          </w:rPr>
          <w:t>https://www.abs.gov.au/statistics/health/health-conditions-and-</w:t>
        </w:r>
      </w:hyperlink>
      <w:hyperlink r:id="rId55" w:anchor="chronic-conditions">
        <w:r w:rsidR="00E13D3F">
          <w:rPr>
            <w:color w:val="0462C1"/>
            <w:spacing w:val="-2"/>
            <w:u w:val="single" w:color="0462C1"/>
          </w:rPr>
          <w:t>risks/national-health-survey-first-results/latest-release#chronic-conditions</w:t>
        </w:r>
      </w:hyperlink>
    </w:p>
    <w:p w14:paraId="7A4C32FC" w14:textId="77777777" w:rsidR="00E13D3F" w:rsidRDefault="00FB2D6A" w:rsidP="00990D2B">
      <w:pPr>
        <w:pStyle w:val="ListParagraph"/>
        <w:numPr>
          <w:ilvl w:val="0"/>
          <w:numId w:val="3"/>
        </w:numPr>
        <w:tabs>
          <w:tab w:val="left" w:pos="1798"/>
          <w:tab w:val="left" w:pos="1800"/>
        </w:tabs>
        <w:spacing w:line="276" w:lineRule="auto"/>
        <w:ind w:right="3350"/>
      </w:pPr>
      <w:r>
        <w:t>Australian</w:t>
      </w:r>
      <w:r>
        <w:rPr>
          <w:spacing w:val="-3"/>
        </w:rPr>
        <w:t xml:space="preserve"> </w:t>
      </w:r>
      <w:r>
        <w:t>Institute</w:t>
      </w:r>
      <w:r>
        <w:rPr>
          <w:spacing w:val="-4"/>
        </w:rPr>
        <w:t xml:space="preserve"> </w:t>
      </w:r>
      <w:r>
        <w:t>of</w:t>
      </w:r>
      <w:r>
        <w:rPr>
          <w:spacing w:val="-5"/>
        </w:rPr>
        <w:t xml:space="preserve"> </w:t>
      </w:r>
      <w:r>
        <w:t>Health</w:t>
      </w:r>
      <w:r>
        <w:rPr>
          <w:spacing w:val="-2"/>
        </w:rPr>
        <w:t xml:space="preserve"> </w:t>
      </w:r>
      <w:r>
        <w:t>and</w:t>
      </w:r>
      <w:r>
        <w:rPr>
          <w:spacing w:val="-3"/>
        </w:rPr>
        <w:t xml:space="preserve"> </w:t>
      </w:r>
      <w:r>
        <w:t>Welfare</w:t>
      </w:r>
      <w:r>
        <w:rPr>
          <w:spacing w:val="-2"/>
        </w:rPr>
        <w:t xml:space="preserve"> </w:t>
      </w:r>
      <w:r>
        <w:t>AIHW</w:t>
      </w:r>
      <w:r>
        <w:rPr>
          <w:spacing w:val="-4"/>
        </w:rPr>
        <w:t xml:space="preserve"> </w:t>
      </w:r>
      <w:r>
        <w:t>2020.</w:t>
      </w:r>
      <w:r>
        <w:rPr>
          <w:spacing w:val="-5"/>
        </w:rPr>
        <w:t xml:space="preserve"> </w:t>
      </w:r>
      <w:r>
        <w:t>Osteoporosis</w:t>
      </w:r>
      <w:r>
        <w:rPr>
          <w:spacing w:val="-5"/>
        </w:rPr>
        <w:t xml:space="preserve"> </w:t>
      </w:r>
      <w:r>
        <w:t xml:space="preserve">report. </w:t>
      </w:r>
      <w:hyperlink r:id="rId56">
        <w:r w:rsidR="00E13D3F">
          <w:rPr>
            <w:color w:val="0462C1"/>
            <w:spacing w:val="-2"/>
            <w:u w:val="single" w:color="0462C1"/>
          </w:rPr>
          <w:t>https://www.aihw.gov.au/reports/chronic-musculoskeletal-</w:t>
        </w:r>
      </w:hyperlink>
      <w:hyperlink r:id="rId57">
        <w:r w:rsidR="00E13D3F">
          <w:rPr>
            <w:color w:val="0462C1"/>
            <w:spacing w:val="-2"/>
            <w:u w:val="single" w:color="0462C1"/>
          </w:rPr>
          <w:t>conditions/osteoporosis/contents/what-is-osteoporosis</w:t>
        </w:r>
      </w:hyperlink>
    </w:p>
    <w:p w14:paraId="7A4C32FD" w14:textId="77777777" w:rsidR="00E13D3F" w:rsidRDefault="00FB2D6A" w:rsidP="00990D2B">
      <w:pPr>
        <w:pStyle w:val="ListParagraph"/>
        <w:numPr>
          <w:ilvl w:val="0"/>
          <w:numId w:val="3"/>
        </w:numPr>
        <w:tabs>
          <w:tab w:val="left" w:pos="1798"/>
          <w:tab w:val="left" w:pos="1800"/>
        </w:tabs>
        <w:spacing w:line="273" w:lineRule="auto"/>
        <w:ind w:right="1960"/>
      </w:pPr>
      <w:r>
        <w:t>The</w:t>
      </w:r>
      <w:r>
        <w:rPr>
          <w:spacing w:val="-2"/>
        </w:rPr>
        <w:t xml:space="preserve"> </w:t>
      </w:r>
      <w:r>
        <w:t>Royal</w:t>
      </w:r>
      <w:r>
        <w:rPr>
          <w:spacing w:val="-5"/>
        </w:rPr>
        <w:t xml:space="preserve"> </w:t>
      </w:r>
      <w:r>
        <w:t>Australian</w:t>
      </w:r>
      <w:r>
        <w:rPr>
          <w:spacing w:val="-3"/>
        </w:rPr>
        <w:t xml:space="preserve"> </w:t>
      </w:r>
      <w:r>
        <w:t>College</w:t>
      </w:r>
      <w:r>
        <w:rPr>
          <w:spacing w:val="-2"/>
        </w:rPr>
        <w:t xml:space="preserve"> </w:t>
      </w:r>
      <w:r>
        <w:t>of</w:t>
      </w:r>
      <w:r>
        <w:rPr>
          <w:spacing w:val="-5"/>
        </w:rPr>
        <w:t xml:space="preserve"> </w:t>
      </w:r>
      <w:r>
        <w:t>General</w:t>
      </w:r>
      <w:r>
        <w:rPr>
          <w:spacing w:val="-2"/>
        </w:rPr>
        <w:t xml:space="preserve"> </w:t>
      </w:r>
      <w:r>
        <w:t>Practitioners.</w:t>
      </w:r>
      <w:r>
        <w:rPr>
          <w:spacing w:val="-4"/>
        </w:rPr>
        <w:t xml:space="preserve"> </w:t>
      </w:r>
      <w:r>
        <w:t>Guidelines</w:t>
      </w:r>
      <w:r>
        <w:rPr>
          <w:spacing w:val="-1"/>
        </w:rPr>
        <w:t xml:space="preserve"> </w:t>
      </w:r>
      <w:r>
        <w:t>for</w:t>
      </w:r>
      <w:r>
        <w:rPr>
          <w:spacing w:val="-5"/>
        </w:rPr>
        <w:t xml:space="preserve"> </w:t>
      </w:r>
      <w:r>
        <w:t>preventive</w:t>
      </w:r>
      <w:r>
        <w:rPr>
          <w:spacing w:val="-2"/>
        </w:rPr>
        <w:t xml:space="preserve"> </w:t>
      </w:r>
      <w:r>
        <w:t>activities</w:t>
      </w:r>
      <w:r>
        <w:rPr>
          <w:spacing w:val="-1"/>
        </w:rPr>
        <w:t xml:space="preserve"> </w:t>
      </w:r>
      <w:r>
        <w:t>in general practice. 9th ed. East Melbourne, VIC: RACGP, 2016.</w:t>
      </w:r>
    </w:p>
    <w:p w14:paraId="7A4C32FE" w14:textId="77777777" w:rsidR="00E13D3F" w:rsidRDefault="00FB2D6A" w:rsidP="00990D2B">
      <w:pPr>
        <w:pStyle w:val="ListParagraph"/>
        <w:numPr>
          <w:ilvl w:val="0"/>
          <w:numId w:val="3"/>
        </w:numPr>
        <w:tabs>
          <w:tab w:val="left" w:pos="1800"/>
        </w:tabs>
        <w:spacing w:before="5" w:line="271" w:lineRule="auto"/>
        <w:ind w:right="2275"/>
        <w:rPr>
          <w:rFonts w:ascii="Segoe UI"/>
        </w:rPr>
      </w:pPr>
      <w:r>
        <w:rPr>
          <w:color w:val="202020"/>
        </w:rPr>
        <w:t>Merlijn,</w:t>
      </w:r>
      <w:r>
        <w:rPr>
          <w:color w:val="202020"/>
          <w:spacing w:val="-3"/>
        </w:rPr>
        <w:t xml:space="preserve"> </w:t>
      </w:r>
      <w:r>
        <w:rPr>
          <w:color w:val="202020"/>
        </w:rPr>
        <w:t>T.,</w:t>
      </w:r>
      <w:r>
        <w:rPr>
          <w:color w:val="202020"/>
          <w:spacing w:val="-1"/>
        </w:rPr>
        <w:t xml:space="preserve"> </w:t>
      </w:r>
      <w:r>
        <w:rPr>
          <w:color w:val="202020"/>
        </w:rPr>
        <w:t>Swart,</w:t>
      </w:r>
      <w:r>
        <w:rPr>
          <w:color w:val="202020"/>
          <w:spacing w:val="-1"/>
        </w:rPr>
        <w:t xml:space="preserve"> </w:t>
      </w:r>
      <w:r>
        <w:rPr>
          <w:color w:val="202020"/>
        </w:rPr>
        <w:t>K.,</w:t>
      </w:r>
      <w:r>
        <w:rPr>
          <w:color w:val="202020"/>
          <w:spacing w:val="-4"/>
        </w:rPr>
        <w:t xml:space="preserve"> </w:t>
      </w:r>
      <w:r>
        <w:rPr>
          <w:color w:val="202020"/>
        </w:rPr>
        <w:t>van</w:t>
      </w:r>
      <w:r>
        <w:rPr>
          <w:color w:val="202020"/>
          <w:spacing w:val="-2"/>
        </w:rPr>
        <w:t xml:space="preserve"> </w:t>
      </w:r>
      <w:r>
        <w:rPr>
          <w:color w:val="202020"/>
        </w:rPr>
        <w:t>der</w:t>
      </w:r>
      <w:r>
        <w:rPr>
          <w:color w:val="202020"/>
          <w:spacing w:val="-1"/>
        </w:rPr>
        <w:t xml:space="preserve"> </w:t>
      </w:r>
      <w:r>
        <w:rPr>
          <w:color w:val="202020"/>
        </w:rPr>
        <w:t>Horst,</w:t>
      </w:r>
      <w:r>
        <w:rPr>
          <w:color w:val="202020"/>
          <w:spacing w:val="-1"/>
        </w:rPr>
        <w:t xml:space="preserve"> </w:t>
      </w:r>
      <w:r>
        <w:rPr>
          <w:color w:val="202020"/>
        </w:rPr>
        <w:t>H.</w:t>
      </w:r>
      <w:r>
        <w:rPr>
          <w:color w:val="202020"/>
          <w:spacing w:val="-1"/>
        </w:rPr>
        <w:t xml:space="preserve"> </w:t>
      </w:r>
      <w:r>
        <w:rPr>
          <w:color w:val="202020"/>
        </w:rPr>
        <w:t>E.,</w:t>
      </w:r>
      <w:r>
        <w:rPr>
          <w:color w:val="202020"/>
          <w:spacing w:val="-4"/>
        </w:rPr>
        <w:t xml:space="preserve"> </w:t>
      </w:r>
      <w:proofErr w:type="spellStart"/>
      <w:r>
        <w:rPr>
          <w:color w:val="202020"/>
        </w:rPr>
        <w:t>Netelenbos</w:t>
      </w:r>
      <w:proofErr w:type="spellEnd"/>
      <w:r>
        <w:rPr>
          <w:color w:val="202020"/>
        </w:rPr>
        <w:t>,</w:t>
      </w:r>
      <w:r>
        <w:rPr>
          <w:color w:val="202020"/>
          <w:spacing w:val="-4"/>
        </w:rPr>
        <w:t xml:space="preserve"> </w:t>
      </w:r>
      <w:r>
        <w:rPr>
          <w:color w:val="202020"/>
        </w:rPr>
        <w:t>J.</w:t>
      </w:r>
      <w:r>
        <w:rPr>
          <w:color w:val="202020"/>
          <w:spacing w:val="-2"/>
        </w:rPr>
        <w:t xml:space="preserve"> </w:t>
      </w:r>
      <w:r>
        <w:rPr>
          <w:color w:val="202020"/>
        </w:rPr>
        <w:t>C.,</w:t>
      </w:r>
      <w:r>
        <w:rPr>
          <w:color w:val="202020"/>
          <w:spacing w:val="-1"/>
        </w:rPr>
        <w:t xml:space="preserve"> </w:t>
      </w:r>
      <w:r>
        <w:rPr>
          <w:color w:val="202020"/>
        </w:rPr>
        <w:t>&amp;</w:t>
      </w:r>
      <w:r>
        <w:rPr>
          <w:color w:val="202020"/>
          <w:spacing w:val="-2"/>
        </w:rPr>
        <w:t xml:space="preserve"> </w:t>
      </w:r>
      <w:r>
        <w:rPr>
          <w:color w:val="202020"/>
        </w:rPr>
        <w:t>Elders,</w:t>
      </w:r>
      <w:r>
        <w:rPr>
          <w:color w:val="202020"/>
          <w:spacing w:val="-3"/>
        </w:rPr>
        <w:t xml:space="preserve"> </w:t>
      </w:r>
      <w:r>
        <w:rPr>
          <w:color w:val="202020"/>
        </w:rPr>
        <w:t>P.</w:t>
      </w:r>
      <w:r>
        <w:rPr>
          <w:color w:val="202020"/>
          <w:spacing w:val="-1"/>
        </w:rPr>
        <w:t xml:space="preserve"> </w:t>
      </w:r>
      <w:r>
        <w:rPr>
          <w:color w:val="202020"/>
        </w:rPr>
        <w:t>(2020).</w:t>
      </w:r>
      <w:r>
        <w:rPr>
          <w:color w:val="202020"/>
          <w:spacing w:val="-1"/>
        </w:rPr>
        <w:t xml:space="preserve"> </w:t>
      </w:r>
      <w:r>
        <w:rPr>
          <w:color w:val="202020"/>
        </w:rPr>
        <w:t xml:space="preserve">Fracture prevention by screening for high fracture risk: a </w:t>
      </w:r>
      <w:r>
        <w:rPr>
          <w:b/>
          <w:color w:val="202020"/>
        </w:rPr>
        <w:t xml:space="preserve">systematic review </w:t>
      </w:r>
      <w:r>
        <w:rPr>
          <w:color w:val="202020"/>
        </w:rPr>
        <w:t>and meta-</w:t>
      </w:r>
    </w:p>
    <w:p w14:paraId="7A4C32FF" w14:textId="77777777" w:rsidR="00E13D3F" w:rsidRDefault="00FB2D6A">
      <w:pPr>
        <w:spacing w:before="7" w:line="278" w:lineRule="auto"/>
        <w:ind w:left="1800" w:right="1473"/>
      </w:pPr>
      <w:r>
        <w:rPr>
          <w:color w:val="202020"/>
        </w:rPr>
        <w:t>analysis.</w:t>
      </w:r>
      <w:r>
        <w:rPr>
          <w:color w:val="202020"/>
          <w:spacing w:val="-5"/>
        </w:rPr>
        <w:t xml:space="preserve"> </w:t>
      </w:r>
      <w:r>
        <w:rPr>
          <w:i/>
          <w:color w:val="202020"/>
        </w:rPr>
        <w:t>Osteoporosis</w:t>
      </w:r>
      <w:r>
        <w:rPr>
          <w:i/>
          <w:color w:val="202020"/>
          <w:spacing w:val="-4"/>
        </w:rPr>
        <w:t xml:space="preserve"> </w:t>
      </w:r>
      <w:r>
        <w:rPr>
          <w:i/>
          <w:color w:val="202020"/>
        </w:rPr>
        <w:t>international.</w:t>
      </w:r>
      <w:r>
        <w:rPr>
          <w:i/>
          <w:color w:val="202020"/>
          <w:spacing w:val="-5"/>
        </w:rPr>
        <w:t xml:space="preserve"> </w:t>
      </w:r>
      <w:r>
        <w:rPr>
          <w:i/>
          <w:color w:val="202020"/>
        </w:rPr>
        <w:t>2019;</w:t>
      </w:r>
      <w:r>
        <w:rPr>
          <w:i/>
          <w:color w:val="202020"/>
          <w:spacing w:val="-6"/>
        </w:rPr>
        <w:t xml:space="preserve"> </w:t>
      </w:r>
      <w:r>
        <w:rPr>
          <w:i/>
          <w:color w:val="202020"/>
        </w:rPr>
        <w:t>31</w:t>
      </w:r>
      <w:r>
        <w:rPr>
          <w:color w:val="202020"/>
        </w:rPr>
        <w:t>(2):</w:t>
      </w:r>
      <w:r>
        <w:rPr>
          <w:color w:val="202020"/>
          <w:spacing w:val="-6"/>
        </w:rPr>
        <w:t xml:space="preserve"> </w:t>
      </w:r>
      <w:r>
        <w:rPr>
          <w:color w:val="202020"/>
        </w:rPr>
        <w:t>251–257.</w:t>
      </w:r>
      <w:r>
        <w:rPr>
          <w:color w:val="202020"/>
          <w:spacing w:val="-5"/>
        </w:rPr>
        <w:t xml:space="preserve"> </w:t>
      </w:r>
      <w:hyperlink r:id="rId58">
        <w:r w:rsidR="00E13D3F">
          <w:rPr>
            <w:color w:val="0462C1"/>
            <w:u w:val="single" w:color="0462C1"/>
          </w:rPr>
          <w:t>https://doi.org/10.1007/s00198-019-</w:t>
        </w:r>
      </w:hyperlink>
      <w:hyperlink r:id="rId59">
        <w:r w:rsidR="00E13D3F">
          <w:rPr>
            <w:color w:val="0462C1"/>
            <w:spacing w:val="-2"/>
            <w:u w:val="single" w:color="0462C1"/>
          </w:rPr>
          <w:t>05226-w</w:t>
        </w:r>
      </w:hyperlink>
    </w:p>
    <w:p w14:paraId="7A4C3300" w14:textId="77777777" w:rsidR="00E13D3F" w:rsidRDefault="00FB2D6A" w:rsidP="00990D2B">
      <w:pPr>
        <w:pStyle w:val="ListParagraph"/>
        <w:numPr>
          <w:ilvl w:val="0"/>
          <w:numId w:val="3"/>
        </w:numPr>
        <w:tabs>
          <w:tab w:val="left" w:pos="1800"/>
        </w:tabs>
        <w:spacing w:line="273" w:lineRule="auto"/>
        <w:ind w:right="1794"/>
        <w:rPr>
          <w:rFonts w:ascii="Segoe UI"/>
        </w:rPr>
      </w:pPr>
      <w:r>
        <w:t>Shepstone</w:t>
      </w:r>
      <w:r>
        <w:rPr>
          <w:spacing w:val="-4"/>
        </w:rPr>
        <w:t xml:space="preserve"> </w:t>
      </w:r>
      <w:r>
        <w:t>L,</w:t>
      </w:r>
      <w:r>
        <w:rPr>
          <w:spacing w:val="-4"/>
        </w:rPr>
        <w:t xml:space="preserve"> </w:t>
      </w:r>
      <w:r>
        <w:t>Lenaghan</w:t>
      </w:r>
      <w:r>
        <w:rPr>
          <w:spacing w:val="-3"/>
        </w:rPr>
        <w:t xml:space="preserve"> </w:t>
      </w:r>
      <w:r>
        <w:t>E,</w:t>
      </w:r>
      <w:r>
        <w:rPr>
          <w:spacing w:val="-5"/>
        </w:rPr>
        <w:t xml:space="preserve"> </w:t>
      </w:r>
      <w:r>
        <w:t>Cooper</w:t>
      </w:r>
      <w:r>
        <w:rPr>
          <w:spacing w:val="-2"/>
        </w:rPr>
        <w:t xml:space="preserve"> </w:t>
      </w:r>
      <w:r>
        <w:t>C,</w:t>
      </w:r>
      <w:r>
        <w:rPr>
          <w:spacing w:val="-4"/>
        </w:rPr>
        <w:t xml:space="preserve"> </w:t>
      </w:r>
      <w:r>
        <w:t>et</w:t>
      </w:r>
      <w:r>
        <w:rPr>
          <w:spacing w:val="-2"/>
        </w:rPr>
        <w:t xml:space="preserve"> </w:t>
      </w:r>
      <w:r>
        <w:t>al;</w:t>
      </w:r>
      <w:r>
        <w:rPr>
          <w:spacing w:val="-2"/>
        </w:rPr>
        <w:t xml:space="preserve"> </w:t>
      </w:r>
      <w:r>
        <w:t>SCOOP</w:t>
      </w:r>
      <w:r>
        <w:rPr>
          <w:spacing w:val="-3"/>
        </w:rPr>
        <w:t xml:space="preserve"> </w:t>
      </w:r>
      <w:r>
        <w:t>Study</w:t>
      </w:r>
      <w:r>
        <w:rPr>
          <w:spacing w:val="-2"/>
        </w:rPr>
        <w:t xml:space="preserve"> </w:t>
      </w:r>
      <w:r>
        <w:t>Team.</w:t>
      </w:r>
      <w:r>
        <w:rPr>
          <w:spacing w:val="-2"/>
        </w:rPr>
        <w:t xml:space="preserve"> </w:t>
      </w:r>
      <w:r>
        <w:t>Screening</w:t>
      </w:r>
      <w:r>
        <w:rPr>
          <w:spacing w:val="-3"/>
        </w:rPr>
        <w:t xml:space="preserve"> </w:t>
      </w:r>
      <w:r>
        <w:t>in</w:t>
      </w:r>
      <w:r>
        <w:rPr>
          <w:spacing w:val="-5"/>
        </w:rPr>
        <w:t xml:space="preserve"> </w:t>
      </w:r>
      <w:r>
        <w:t>the</w:t>
      </w:r>
      <w:r>
        <w:rPr>
          <w:spacing w:val="-2"/>
        </w:rPr>
        <w:t xml:space="preserve"> </w:t>
      </w:r>
      <w:r>
        <w:t>community</w:t>
      </w:r>
      <w:r>
        <w:rPr>
          <w:spacing w:val="-4"/>
        </w:rPr>
        <w:t xml:space="preserve"> </w:t>
      </w:r>
      <w:r>
        <w:t xml:space="preserve">to reduce fractures in older women (SCOOP): a </w:t>
      </w:r>
      <w:proofErr w:type="spellStart"/>
      <w:r>
        <w:t>randomised</w:t>
      </w:r>
      <w:proofErr w:type="spellEnd"/>
      <w:r>
        <w:t xml:space="preserve"> controlled trial. Lancet. 2018;391 (10122):741-747.</w:t>
      </w:r>
      <w:r>
        <w:rPr>
          <w:spacing w:val="40"/>
        </w:rPr>
        <w:t xml:space="preserve"> </w:t>
      </w:r>
      <w:r>
        <w:rPr>
          <w:color w:val="0462C1"/>
          <w:u w:val="single" w:color="0462C1"/>
        </w:rPr>
        <w:t>doi:10.1016/S0140-6736(17)32640-5</w:t>
      </w:r>
    </w:p>
    <w:p w14:paraId="7A4C3301" w14:textId="77777777" w:rsidR="00E13D3F" w:rsidRDefault="00FB2D6A" w:rsidP="00990D2B">
      <w:pPr>
        <w:pStyle w:val="ListParagraph"/>
        <w:numPr>
          <w:ilvl w:val="0"/>
          <w:numId w:val="3"/>
        </w:numPr>
        <w:tabs>
          <w:tab w:val="left" w:pos="1800"/>
        </w:tabs>
        <w:spacing w:line="276" w:lineRule="auto"/>
        <w:ind w:right="2155"/>
        <w:rPr>
          <w:rFonts w:ascii="Segoe UI" w:hAnsi="Segoe UI"/>
        </w:rPr>
      </w:pPr>
      <w:r>
        <w:t>Rubin</w:t>
      </w:r>
      <w:r>
        <w:rPr>
          <w:spacing w:val="-4"/>
        </w:rPr>
        <w:t xml:space="preserve"> </w:t>
      </w:r>
      <w:r>
        <w:t>KH,</w:t>
      </w:r>
      <w:r>
        <w:rPr>
          <w:spacing w:val="-2"/>
        </w:rPr>
        <w:t xml:space="preserve"> </w:t>
      </w:r>
      <w:r>
        <w:t>Rothmann</w:t>
      </w:r>
      <w:r>
        <w:rPr>
          <w:spacing w:val="-5"/>
        </w:rPr>
        <w:t xml:space="preserve"> </w:t>
      </w:r>
      <w:r>
        <w:t>MJ, Holmberg</w:t>
      </w:r>
      <w:r>
        <w:rPr>
          <w:spacing w:val="-2"/>
        </w:rPr>
        <w:t xml:space="preserve"> </w:t>
      </w:r>
      <w:r>
        <w:t>T</w:t>
      </w:r>
      <w:r>
        <w:rPr>
          <w:spacing w:val="-4"/>
        </w:rPr>
        <w:t xml:space="preserve"> </w:t>
      </w:r>
      <w:r>
        <w:t>et</w:t>
      </w:r>
      <w:r>
        <w:rPr>
          <w:spacing w:val="-2"/>
        </w:rPr>
        <w:t xml:space="preserve"> </w:t>
      </w:r>
      <w:r>
        <w:t>al.,</w:t>
      </w:r>
      <w:r>
        <w:rPr>
          <w:spacing w:val="-5"/>
        </w:rPr>
        <w:t xml:space="preserve"> </w:t>
      </w:r>
      <w:r>
        <w:t>Effectiveness</w:t>
      </w:r>
      <w:r>
        <w:rPr>
          <w:spacing w:val="-4"/>
        </w:rPr>
        <w:t xml:space="preserve"> </w:t>
      </w:r>
      <w:r>
        <w:t>of</w:t>
      </w:r>
      <w:r>
        <w:rPr>
          <w:spacing w:val="-2"/>
        </w:rPr>
        <w:t xml:space="preserve"> </w:t>
      </w:r>
      <w:r>
        <w:t>a</w:t>
      </w:r>
      <w:r>
        <w:rPr>
          <w:spacing w:val="-4"/>
        </w:rPr>
        <w:t xml:space="preserve"> </w:t>
      </w:r>
      <w:r>
        <w:t>two-step</w:t>
      </w:r>
      <w:r>
        <w:rPr>
          <w:spacing w:val="-6"/>
        </w:rPr>
        <w:t xml:space="preserve"> </w:t>
      </w:r>
      <w:r>
        <w:t>population-based osteoporosis</w:t>
      </w:r>
      <w:r>
        <w:rPr>
          <w:spacing w:val="-3"/>
        </w:rPr>
        <w:t xml:space="preserve"> </w:t>
      </w:r>
      <w:r>
        <w:t>screening</w:t>
      </w:r>
      <w:r>
        <w:rPr>
          <w:spacing w:val="-4"/>
        </w:rPr>
        <w:t xml:space="preserve"> </w:t>
      </w:r>
      <w:r>
        <w:t>program</w:t>
      </w:r>
      <w:r>
        <w:rPr>
          <w:spacing w:val="-3"/>
        </w:rPr>
        <w:t xml:space="preserve"> </w:t>
      </w:r>
      <w:r>
        <w:t>using</w:t>
      </w:r>
      <w:r>
        <w:rPr>
          <w:spacing w:val="-4"/>
        </w:rPr>
        <w:t xml:space="preserve"> </w:t>
      </w:r>
      <w:r>
        <w:t>FRAX:</w:t>
      </w:r>
      <w:r>
        <w:rPr>
          <w:spacing w:val="-3"/>
        </w:rPr>
        <w:t xml:space="preserve"> </w:t>
      </w:r>
      <w:r>
        <w:t>the</w:t>
      </w:r>
      <w:r>
        <w:rPr>
          <w:spacing w:val="-3"/>
        </w:rPr>
        <w:t xml:space="preserve"> </w:t>
      </w:r>
      <w:r>
        <w:t>randomized</w:t>
      </w:r>
      <w:r>
        <w:rPr>
          <w:spacing w:val="-3"/>
        </w:rPr>
        <w:t xml:space="preserve"> </w:t>
      </w:r>
      <w:r>
        <w:t>Risk-stratified</w:t>
      </w:r>
      <w:r>
        <w:rPr>
          <w:spacing w:val="-7"/>
        </w:rPr>
        <w:t xml:space="preserve"> </w:t>
      </w:r>
      <w:r>
        <w:t xml:space="preserve">Osteoporosis Strategy Evaluation (ROSE) study. </w:t>
      </w:r>
      <w:proofErr w:type="spellStart"/>
      <w:r>
        <w:t>Osteoporos</w:t>
      </w:r>
      <w:proofErr w:type="spellEnd"/>
      <w:r>
        <w:t xml:space="preserve"> Int. 2018: 29:567–578. </w:t>
      </w:r>
      <w:hyperlink r:id="rId60">
        <w:r w:rsidR="00E13D3F">
          <w:rPr>
            <w:color w:val="0462C1"/>
            <w:spacing w:val="-2"/>
            <w:u w:val="single" w:color="0462C1"/>
          </w:rPr>
          <w:t>https://doi.org/10.1007/s00198-017-4326-3</w:t>
        </w:r>
      </w:hyperlink>
    </w:p>
    <w:p w14:paraId="7A4C3302" w14:textId="77777777" w:rsidR="00E13D3F" w:rsidRDefault="00FB2D6A" w:rsidP="00990D2B">
      <w:pPr>
        <w:pStyle w:val="ListParagraph"/>
        <w:numPr>
          <w:ilvl w:val="0"/>
          <w:numId w:val="3"/>
        </w:numPr>
        <w:tabs>
          <w:tab w:val="left" w:pos="1800"/>
        </w:tabs>
        <w:spacing w:line="271" w:lineRule="auto"/>
        <w:ind w:right="1573"/>
        <w:rPr>
          <w:rFonts w:ascii="Segoe UI"/>
        </w:rPr>
      </w:pPr>
      <w:r>
        <w:t xml:space="preserve">Merlijn, T., Swart, K. M., van Schoor, N. M., Heymans, M. W., van der </w:t>
      </w:r>
      <w:proofErr w:type="spellStart"/>
      <w:r>
        <w:t>Zwaard</w:t>
      </w:r>
      <w:proofErr w:type="spellEnd"/>
      <w:r>
        <w:t>, B. C., van der Heijden,</w:t>
      </w:r>
      <w:r>
        <w:rPr>
          <w:spacing w:val="-1"/>
        </w:rPr>
        <w:t xml:space="preserve"> </w:t>
      </w:r>
      <w:r>
        <w:t>A.</w:t>
      </w:r>
      <w:r>
        <w:rPr>
          <w:spacing w:val="-1"/>
        </w:rPr>
        <w:t xml:space="preserve"> </w:t>
      </w:r>
      <w:r>
        <w:t>A.,</w:t>
      </w:r>
      <w:r>
        <w:rPr>
          <w:spacing w:val="-1"/>
        </w:rPr>
        <w:t xml:space="preserve"> </w:t>
      </w:r>
      <w:r>
        <w:t>Rutters,</w:t>
      </w:r>
      <w:r>
        <w:rPr>
          <w:spacing w:val="-4"/>
        </w:rPr>
        <w:t xml:space="preserve"> </w:t>
      </w:r>
      <w:r>
        <w:t>F.,</w:t>
      </w:r>
      <w:r>
        <w:rPr>
          <w:spacing w:val="-1"/>
        </w:rPr>
        <w:t xml:space="preserve"> </w:t>
      </w:r>
      <w:r>
        <w:t>Lips,</w:t>
      </w:r>
      <w:r>
        <w:rPr>
          <w:spacing w:val="-1"/>
        </w:rPr>
        <w:t xml:space="preserve"> </w:t>
      </w:r>
      <w:r>
        <w:t>P.,</w:t>
      </w:r>
      <w:r>
        <w:rPr>
          <w:spacing w:val="-4"/>
        </w:rPr>
        <w:t xml:space="preserve"> </w:t>
      </w:r>
      <w:r>
        <w:t>van</w:t>
      </w:r>
      <w:r>
        <w:rPr>
          <w:spacing w:val="-2"/>
        </w:rPr>
        <w:t xml:space="preserve"> </w:t>
      </w:r>
      <w:r>
        <w:t>der</w:t>
      </w:r>
      <w:r>
        <w:rPr>
          <w:spacing w:val="-4"/>
        </w:rPr>
        <w:t xml:space="preserve"> </w:t>
      </w:r>
      <w:r>
        <w:t>Horst, H.</w:t>
      </w:r>
      <w:r>
        <w:rPr>
          <w:spacing w:val="-1"/>
        </w:rPr>
        <w:t xml:space="preserve"> </w:t>
      </w:r>
      <w:r>
        <w:t>E.,</w:t>
      </w:r>
      <w:r>
        <w:rPr>
          <w:spacing w:val="-6"/>
        </w:rPr>
        <w:t xml:space="preserve"> </w:t>
      </w:r>
      <w:proofErr w:type="spellStart"/>
      <w:r>
        <w:t>Niemeijer</w:t>
      </w:r>
      <w:proofErr w:type="spellEnd"/>
      <w:r>
        <w:t>,</w:t>
      </w:r>
      <w:r>
        <w:rPr>
          <w:spacing w:val="-1"/>
        </w:rPr>
        <w:t xml:space="preserve"> </w:t>
      </w:r>
      <w:r>
        <w:t>C.,</w:t>
      </w:r>
      <w:r>
        <w:rPr>
          <w:spacing w:val="-4"/>
        </w:rPr>
        <w:t xml:space="preserve"> </w:t>
      </w:r>
      <w:proofErr w:type="spellStart"/>
      <w:r>
        <w:t>Netelenbos</w:t>
      </w:r>
      <w:proofErr w:type="spellEnd"/>
      <w:r>
        <w:t>,</w:t>
      </w:r>
      <w:r>
        <w:rPr>
          <w:spacing w:val="-6"/>
        </w:rPr>
        <w:t xml:space="preserve"> </w:t>
      </w:r>
      <w:r>
        <w:t>J.</w:t>
      </w:r>
      <w:r>
        <w:rPr>
          <w:spacing w:val="-1"/>
        </w:rPr>
        <w:t xml:space="preserve"> </w:t>
      </w:r>
      <w:r>
        <w:t>C.,</w:t>
      </w:r>
      <w:r>
        <w:rPr>
          <w:spacing w:val="-1"/>
        </w:rPr>
        <w:t xml:space="preserve"> </w:t>
      </w:r>
      <w:r>
        <w:t>&amp; Elders,</w:t>
      </w:r>
    </w:p>
    <w:p w14:paraId="7A4C3303" w14:textId="77777777" w:rsidR="00E13D3F" w:rsidRDefault="00FB2D6A">
      <w:pPr>
        <w:spacing w:before="5"/>
        <w:ind w:left="1800"/>
      </w:pPr>
      <w:r>
        <w:t>P.</w:t>
      </w:r>
      <w:r>
        <w:rPr>
          <w:spacing w:val="-5"/>
        </w:rPr>
        <w:t xml:space="preserve"> </w:t>
      </w:r>
      <w:r>
        <w:t>J.</w:t>
      </w:r>
      <w:r>
        <w:rPr>
          <w:spacing w:val="-3"/>
        </w:rPr>
        <w:t xml:space="preserve"> </w:t>
      </w:r>
      <w:r>
        <w:t>(2019).</w:t>
      </w:r>
      <w:r>
        <w:rPr>
          <w:spacing w:val="-4"/>
        </w:rPr>
        <w:t xml:space="preserve"> </w:t>
      </w:r>
      <w:r>
        <w:t>The</w:t>
      </w:r>
      <w:r>
        <w:rPr>
          <w:spacing w:val="-3"/>
        </w:rPr>
        <w:t xml:space="preserve"> </w:t>
      </w:r>
      <w:r>
        <w:t>Effect</w:t>
      </w:r>
      <w:r>
        <w:rPr>
          <w:spacing w:val="-5"/>
        </w:rPr>
        <w:t xml:space="preserve"> </w:t>
      </w:r>
      <w:r>
        <w:t>of</w:t>
      </w:r>
      <w:r>
        <w:rPr>
          <w:spacing w:val="-5"/>
        </w:rPr>
        <w:t xml:space="preserve"> </w:t>
      </w:r>
      <w:r>
        <w:t>a</w:t>
      </w:r>
      <w:r>
        <w:rPr>
          <w:spacing w:val="-5"/>
        </w:rPr>
        <w:t xml:space="preserve"> </w:t>
      </w:r>
      <w:r>
        <w:t>Screening</w:t>
      </w:r>
      <w:r>
        <w:rPr>
          <w:spacing w:val="-4"/>
        </w:rPr>
        <w:t xml:space="preserve"> </w:t>
      </w:r>
      <w:r>
        <w:t>and</w:t>
      </w:r>
      <w:r>
        <w:rPr>
          <w:spacing w:val="-4"/>
        </w:rPr>
        <w:t xml:space="preserve"> </w:t>
      </w:r>
      <w:r>
        <w:t>Treatment</w:t>
      </w:r>
      <w:r>
        <w:rPr>
          <w:spacing w:val="-5"/>
        </w:rPr>
        <w:t xml:space="preserve"> </w:t>
      </w:r>
      <w:r>
        <w:t>Program</w:t>
      </w:r>
      <w:r>
        <w:rPr>
          <w:spacing w:val="-4"/>
        </w:rPr>
        <w:t xml:space="preserve"> </w:t>
      </w:r>
      <w:r>
        <w:t>for</w:t>
      </w:r>
      <w:r>
        <w:rPr>
          <w:spacing w:val="-6"/>
        </w:rPr>
        <w:t xml:space="preserve"> </w:t>
      </w:r>
      <w:r>
        <w:t>the</w:t>
      </w:r>
      <w:r>
        <w:rPr>
          <w:spacing w:val="-4"/>
        </w:rPr>
        <w:t xml:space="preserve"> </w:t>
      </w:r>
      <w:r>
        <w:t>Prevention</w:t>
      </w:r>
      <w:r>
        <w:rPr>
          <w:spacing w:val="-6"/>
        </w:rPr>
        <w:t xml:space="preserve"> </w:t>
      </w:r>
      <w:r>
        <w:t>of</w:t>
      </w:r>
      <w:r>
        <w:rPr>
          <w:spacing w:val="-3"/>
        </w:rPr>
        <w:t xml:space="preserve"> </w:t>
      </w:r>
      <w:r>
        <w:t>Fractures</w:t>
      </w:r>
      <w:r>
        <w:rPr>
          <w:spacing w:val="-1"/>
        </w:rPr>
        <w:t xml:space="preserve"> </w:t>
      </w:r>
      <w:r>
        <w:rPr>
          <w:spacing w:val="-5"/>
        </w:rPr>
        <w:t>in</w:t>
      </w:r>
    </w:p>
    <w:p w14:paraId="7A4C3304" w14:textId="77777777" w:rsidR="00E13D3F" w:rsidRDefault="00FB2D6A">
      <w:pPr>
        <w:spacing w:before="39" w:line="276" w:lineRule="auto"/>
        <w:ind w:left="1800" w:right="2130"/>
      </w:pPr>
      <w:r>
        <w:t>Older</w:t>
      </w:r>
      <w:r>
        <w:rPr>
          <w:spacing w:val="-3"/>
        </w:rPr>
        <w:t xml:space="preserve"> </w:t>
      </w:r>
      <w:r>
        <w:t>Women:</w:t>
      </w:r>
      <w:r>
        <w:rPr>
          <w:spacing w:val="-4"/>
        </w:rPr>
        <w:t xml:space="preserve"> </w:t>
      </w:r>
      <w:r>
        <w:t>A</w:t>
      </w:r>
      <w:r>
        <w:rPr>
          <w:spacing w:val="-3"/>
        </w:rPr>
        <w:t xml:space="preserve"> </w:t>
      </w:r>
      <w:r>
        <w:t>Randomized</w:t>
      </w:r>
      <w:r>
        <w:rPr>
          <w:spacing w:val="-3"/>
        </w:rPr>
        <w:t xml:space="preserve"> </w:t>
      </w:r>
      <w:r>
        <w:t>Pragmatic</w:t>
      </w:r>
      <w:r>
        <w:rPr>
          <w:spacing w:val="-5"/>
        </w:rPr>
        <w:t xml:space="preserve"> </w:t>
      </w:r>
      <w:r>
        <w:t>Trial.</w:t>
      </w:r>
      <w:r>
        <w:rPr>
          <w:spacing w:val="-4"/>
        </w:rPr>
        <w:t xml:space="preserve"> </w:t>
      </w:r>
      <w:r>
        <w:t>Journal</w:t>
      </w:r>
      <w:r>
        <w:rPr>
          <w:spacing w:val="-5"/>
        </w:rPr>
        <w:t xml:space="preserve"> </w:t>
      </w:r>
      <w:r>
        <w:t>of</w:t>
      </w:r>
      <w:r>
        <w:rPr>
          <w:spacing w:val="-3"/>
        </w:rPr>
        <w:t xml:space="preserve"> </w:t>
      </w:r>
      <w:r>
        <w:t>bone</w:t>
      </w:r>
      <w:r>
        <w:rPr>
          <w:spacing w:val="-3"/>
        </w:rPr>
        <w:t xml:space="preserve"> </w:t>
      </w:r>
      <w:r>
        <w:t>and</w:t>
      </w:r>
      <w:r>
        <w:rPr>
          <w:spacing w:val="-5"/>
        </w:rPr>
        <w:t xml:space="preserve"> </w:t>
      </w:r>
      <w:r>
        <w:t>mineral</w:t>
      </w:r>
      <w:r>
        <w:rPr>
          <w:spacing w:val="-3"/>
        </w:rPr>
        <w:t xml:space="preserve"> </w:t>
      </w:r>
      <w:r>
        <w:t xml:space="preserve">research. 2019; 34(11): 1993–2000. </w:t>
      </w:r>
      <w:hyperlink r:id="rId61">
        <w:r w:rsidR="00E13D3F">
          <w:rPr>
            <w:color w:val="0462C1"/>
            <w:u w:val="single" w:color="0462C1"/>
          </w:rPr>
          <w:t>https://doi.org/10.1002/jbmr.3815</w:t>
        </w:r>
      </w:hyperlink>
    </w:p>
    <w:p w14:paraId="7A4C3305" w14:textId="77777777" w:rsidR="00E13D3F" w:rsidRDefault="00FB2D6A" w:rsidP="00990D2B">
      <w:pPr>
        <w:pStyle w:val="ListParagraph"/>
        <w:numPr>
          <w:ilvl w:val="0"/>
          <w:numId w:val="3"/>
        </w:numPr>
        <w:tabs>
          <w:tab w:val="left" w:pos="1799"/>
        </w:tabs>
        <w:spacing w:before="2"/>
        <w:ind w:left="1799" w:hanging="359"/>
        <w:rPr>
          <w:rFonts w:ascii="Segoe UI" w:hAnsi="Segoe UI"/>
        </w:rPr>
      </w:pPr>
      <w:r>
        <w:rPr>
          <w:color w:val="202020"/>
        </w:rPr>
        <w:t>Rapp</w:t>
      </w:r>
      <w:r>
        <w:rPr>
          <w:color w:val="202020"/>
          <w:spacing w:val="-6"/>
        </w:rPr>
        <w:t xml:space="preserve"> </w:t>
      </w:r>
      <w:r>
        <w:rPr>
          <w:color w:val="202020"/>
        </w:rPr>
        <w:t>K,</w:t>
      </w:r>
      <w:r>
        <w:rPr>
          <w:color w:val="202020"/>
          <w:spacing w:val="-2"/>
        </w:rPr>
        <w:t xml:space="preserve"> </w:t>
      </w:r>
      <w:r>
        <w:rPr>
          <w:color w:val="202020"/>
        </w:rPr>
        <w:t>Lamb</w:t>
      </w:r>
      <w:r>
        <w:rPr>
          <w:color w:val="202020"/>
          <w:spacing w:val="-4"/>
        </w:rPr>
        <w:t xml:space="preserve"> </w:t>
      </w:r>
      <w:r>
        <w:rPr>
          <w:color w:val="202020"/>
        </w:rPr>
        <w:t>SE,</w:t>
      </w:r>
      <w:r>
        <w:rPr>
          <w:color w:val="202020"/>
          <w:spacing w:val="-2"/>
        </w:rPr>
        <w:t xml:space="preserve"> </w:t>
      </w:r>
      <w:proofErr w:type="spellStart"/>
      <w:r>
        <w:rPr>
          <w:color w:val="202020"/>
        </w:rPr>
        <w:t>Roigk</w:t>
      </w:r>
      <w:proofErr w:type="spellEnd"/>
      <w:r>
        <w:rPr>
          <w:color w:val="202020"/>
          <w:spacing w:val="-5"/>
        </w:rPr>
        <w:t xml:space="preserve"> </w:t>
      </w:r>
      <w:r>
        <w:rPr>
          <w:color w:val="202020"/>
        </w:rPr>
        <w:t>P,</w:t>
      </w:r>
      <w:r>
        <w:rPr>
          <w:color w:val="202020"/>
          <w:spacing w:val="-2"/>
        </w:rPr>
        <w:t xml:space="preserve"> </w:t>
      </w:r>
      <w:r>
        <w:rPr>
          <w:color w:val="202020"/>
        </w:rPr>
        <w:t>Becker</w:t>
      </w:r>
      <w:r>
        <w:rPr>
          <w:color w:val="202020"/>
          <w:spacing w:val="-5"/>
        </w:rPr>
        <w:t xml:space="preserve"> </w:t>
      </w:r>
      <w:r>
        <w:rPr>
          <w:color w:val="202020"/>
        </w:rPr>
        <w:t>C,</w:t>
      </w:r>
      <w:r>
        <w:rPr>
          <w:color w:val="202020"/>
          <w:spacing w:val="-4"/>
        </w:rPr>
        <w:t xml:space="preserve"> </w:t>
      </w:r>
      <w:proofErr w:type="spellStart"/>
      <w:r>
        <w:rPr>
          <w:color w:val="202020"/>
        </w:rPr>
        <w:t>Konnopka</w:t>
      </w:r>
      <w:proofErr w:type="spellEnd"/>
      <w:r>
        <w:rPr>
          <w:color w:val="202020"/>
          <w:spacing w:val="-3"/>
        </w:rPr>
        <w:t xml:space="preserve"> </w:t>
      </w:r>
      <w:r>
        <w:rPr>
          <w:color w:val="202020"/>
        </w:rPr>
        <w:t>C,</w:t>
      </w:r>
      <w:r>
        <w:rPr>
          <w:color w:val="202020"/>
          <w:spacing w:val="-5"/>
        </w:rPr>
        <w:t xml:space="preserve"> </w:t>
      </w:r>
      <w:r>
        <w:rPr>
          <w:color w:val="202020"/>
        </w:rPr>
        <w:t>König</w:t>
      </w:r>
      <w:r>
        <w:rPr>
          <w:color w:val="202020"/>
          <w:spacing w:val="-3"/>
        </w:rPr>
        <w:t xml:space="preserve"> </w:t>
      </w:r>
      <w:r>
        <w:rPr>
          <w:color w:val="202020"/>
        </w:rPr>
        <w:t>HH,</w:t>
      </w:r>
      <w:r>
        <w:rPr>
          <w:color w:val="202020"/>
          <w:spacing w:val="-3"/>
        </w:rPr>
        <w:t xml:space="preserve"> </w:t>
      </w:r>
      <w:r>
        <w:rPr>
          <w:color w:val="202020"/>
        </w:rPr>
        <w:t>Peter</w:t>
      </w:r>
      <w:r>
        <w:rPr>
          <w:color w:val="202020"/>
          <w:spacing w:val="-4"/>
        </w:rPr>
        <w:t xml:space="preserve"> </w:t>
      </w:r>
      <w:r>
        <w:rPr>
          <w:color w:val="202020"/>
        </w:rPr>
        <w:t>RS,</w:t>
      </w:r>
      <w:r>
        <w:rPr>
          <w:color w:val="202020"/>
          <w:spacing w:val="-3"/>
        </w:rPr>
        <w:t xml:space="preserve"> </w:t>
      </w:r>
      <w:proofErr w:type="spellStart"/>
      <w:r>
        <w:rPr>
          <w:color w:val="202020"/>
        </w:rPr>
        <w:t>Rothenbacher</w:t>
      </w:r>
      <w:proofErr w:type="spellEnd"/>
      <w:r>
        <w:rPr>
          <w:color w:val="202020"/>
          <w:spacing w:val="-2"/>
        </w:rPr>
        <w:t xml:space="preserve"> </w:t>
      </w:r>
      <w:r>
        <w:rPr>
          <w:color w:val="202020"/>
        </w:rPr>
        <w:t>D,</w:t>
      </w:r>
      <w:r>
        <w:rPr>
          <w:color w:val="202020"/>
          <w:spacing w:val="-5"/>
        </w:rPr>
        <w:t xml:space="preserve"> </w:t>
      </w:r>
      <w:proofErr w:type="spellStart"/>
      <w:r>
        <w:rPr>
          <w:color w:val="202020"/>
          <w:spacing w:val="-2"/>
        </w:rPr>
        <w:t>Büchele</w:t>
      </w:r>
      <w:proofErr w:type="spellEnd"/>
    </w:p>
    <w:p w14:paraId="7A4C3306" w14:textId="77777777" w:rsidR="00E13D3F" w:rsidRDefault="00FB2D6A">
      <w:pPr>
        <w:spacing w:before="39" w:line="276" w:lineRule="auto"/>
        <w:ind w:left="1800" w:right="1502"/>
      </w:pPr>
      <w:r>
        <w:rPr>
          <w:color w:val="202020"/>
        </w:rPr>
        <w:t>G.</w:t>
      </w:r>
      <w:r>
        <w:rPr>
          <w:color w:val="202020"/>
          <w:spacing w:val="-1"/>
        </w:rPr>
        <w:t xml:space="preserve"> </w:t>
      </w:r>
      <w:r>
        <w:rPr>
          <w:color w:val="202020"/>
        </w:rPr>
        <w:t>Effect</w:t>
      </w:r>
      <w:r>
        <w:rPr>
          <w:color w:val="202020"/>
          <w:spacing w:val="-3"/>
        </w:rPr>
        <w:t xml:space="preserve"> </w:t>
      </w:r>
      <w:r>
        <w:rPr>
          <w:color w:val="202020"/>
        </w:rPr>
        <w:t>of</w:t>
      </w:r>
      <w:r>
        <w:rPr>
          <w:color w:val="202020"/>
          <w:spacing w:val="-4"/>
        </w:rPr>
        <w:t xml:space="preserve"> </w:t>
      </w:r>
      <w:r>
        <w:rPr>
          <w:color w:val="202020"/>
        </w:rPr>
        <w:t>an</w:t>
      </w:r>
      <w:r>
        <w:rPr>
          <w:color w:val="202020"/>
          <w:spacing w:val="-4"/>
        </w:rPr>
        <w:t xml:space="preserve"> </w:t>
      </w:r>
      <w:r>
        <w:rPr>
          <w:color w:val="202020"/>
        </w:rPr>
        <w:t>osteoporotic</w:t>
      </w:r>
      <w:r>
        <w:rPr>
          <w:color w:val="202020"/>
          <w:spacing w:val="-1"/>
        </w:rPr>
        <w:t xml:space="preserve"> </w:t>
      </w:r>
      <w:r>
        <w:rPr>
          <w:color w:val="202020"/>
        </w:rPr>
        <w:t>fracture</w:t>
      </w:r>
      <w:r>
        <w:rPr>
          <w:color w:val="202020"/>
          <w:spacing w:val="-4"/>
        </w:rPr>
        <w:t xml:space="preserve"> </w:t>
      </w:r>
      <w:r>
        <w:rPr>
          <w:color w:val="202020"/>
        </w:rPr>
        <w:t>prevention</w:t>
      </w:r>
      <w:r>
        <w:rPr>
          <w:color w:val="202020"/>
          <w:spacing w:val="-2"/>
        </w:rPr>
        <w:t xml:space="preserve"> </w:t>
      </w:r>
      <w:r>
        <w:rPr>
          <w:color w:val="202020"/>
        </w:rPr>
        <w:t>program</w:t>
      </w:r>
      <w:r>
        <w:rPr>
          <w:color w:val="202020"/>
          <w:spacing w:val="-2"/>
        </w:rPr>
        <w:t xml:space="preserve"> </w:t>
      </w:r>
      <w:r>
        <w:rPr>
          <w:color w:val="202020"/>
        </w:rPr>
        <w:t>on</w:t>
      </w:r>
      <w:r>
        <w:rPr>
          <w:color w:val="202020"/>
          <w:spacing w:val="-2"/>
        </w:rPr>
        <w:t xml:space="preserve"> </w:t>
      </w:r>
      <w:r>
        <w:rPr>
          <w:color w:val="202020"/>
        </w:rPr>
        <w:t>fracture</w:t>
      </w:r>
      <w:r>
        <w:rPr>
          <w:color w:val="202020"/>
          <w:spacing w:val="-1"/>
        </w:rPr>
        <w:t xml:space="preserve"> </w:t>
      </w:r>
      <w:r>
        <w:rPr>
          <w:color w:val="202020"/>
        </w:rPr>
        <w:t>incidence</w:t>
      </w:r>
      <w:r>
        <w:rPr>
          <w:color w:val="202020"/>
          <w:spacing w:val="-1"/>
        </w:rPr>
        <w:t xml:space="preserve"> </w:t>
      </w:r>
      <w:r>
        <w:rPr>
          <w:color w:val="202020"/>
        </w:rPr>
        <w:t>in</w:t>
      </w:r>
      <w:r>
        <w:rPr>
          <w:color w:val="202020"/>
          <w:spacing w:val="-5"/>
        </w:rPr>
        <w:t xml:space="preserve"> </w:t>
      </w:r>
      <w:r>
        <w:rPr>
          <w:color w:val="202020"/>
        </w:rPr>
        <w:t>routine</w:t>
      </w:r>
      <w:r>
        <w:rPr>
          <w:color w:val="202020"/>
          <w:spacing w:val="-3"/>
        </w:rPr>
        <w:t xml:space="preserve"> </w:t>
      </w:r>
      <w:r>
        <w:rPr>
          <w:color w:val="202020"/>
        </w:rPr>
        <w:t>care:</w:t>
      </w:r>
      <w:r>
        <w:rPr>
          <w:color w:val="202020"/>
          <w:spacing w:val="-1"/>
        </w:rPr>
        <w:t xml:space="preserve"> </w:t>
      </w:r>
      <w:r>
        <w:rPr>
          <w:color w:val="202020"/>
        </w:rPr>
        <w:t>a cluster-randomized trial. BMC Med. 2022 Feb 4;20(1):49.</w:t>
      </w:r>
    </w:p>
    <w:p w14:paraId="7A4C3307" w14:textId="77777777" w:rsidR="00E13D3F" w:rsidRDefault="00FB2D6A" w:rsidP="00990D2B">
      <w:pPr>
        <w:pStyle w:val="ListParagraph"/>
        <w:numPr>
          <w:ilvl w:val="0"/>
          <w:numId w:val="3"/>
        </w:numPr>
        <w:tabs>
          <w:tab w:val="left" w:pos="1800"/>
        </w:tabs>
        <w:spacing w:line="276" w:lineRule="auto"/>
        <w:ind w:right="1777"/>
        <w:rPr>
          <w:rFonts w:ascii="Segoe UI"/>
        </w:rPr>
      </w:pPr>
      <w:r>
        <w:rPr>
          <w:color w:val="202020"/>
        </w:rPr>
        <w:t>Osaki M, Okuda R, Saeki Y, Okano T, Tsuda K, Nakamura T, Morio Y, Nagashima H, Hagino H. Efficiency of coordinator-based osteoporosis intervention in fragility fracture patients: a prospective</w:t>
      </w:r>
      <w:r>
        <w:rPr>
          <w:color w:val="202020"/>
          <w:spacing w:val="-5"/>
        </w:rPr>
        <w:t xml:space="preserve"> </w:t>
      </w:r>
      <w:r>
        <w:rPr>
          <w:color w:val="202020"/>
        </w:rPr>
        <w:t>randomized</w:t>
      </w:r>
      <w:r>
        <w:rPr>
          <w:color w:val="202020"/>
          <w:spacing w:val="-3"/>
        </w:rPr>
        <w:t xml:space="preserve"> </w:t>
      </w:r>
      <w:r>
        <w:rPr>
          <w:color w:val="202020"/>
        </w:rPr>
        <w:t>trial.</w:t>
      </w:r>
      <w:r>
        <w:rPr>
          <w:color w:val="202020"/>
          <w:spacing w:val="-4"/>
        </w:rPr>
        <w:t xml:space="preserve"> </w:t>
      </w:r>
      <w:proofErr w:type="spellStart"/>
      <w:r>
        <w:rPr>
          <w:color w:val="202020"/>
        </w:rPr>
        <w:t>Osteoporos</w:t>
      </w:r>
      <w:proofErr w:type="spellEnd"/>
      <w:r>
        <w:rPr>
          <w:color w:val="202020"/>
          <w:spacing w:val="-6"/>
        </w:rPr>
        <w:t xml:space="preserve"> </w:t>
      </w:r>
      <w:r>
        <w:rPr>
          <w:color w:val="202020"/>
        </w:rPr>
        <w:t>Int.</w:t>
      </w:r>
      <w:r>
        <w:rPr>
          <w:color w:val="202020"/>
          <w:spacing w:val="-3"/>
        </w:rPr>
        <w:t xml:space="preserve"> </w:t>
      </w:r>
      <w:r>
        <w:rPr>
          <w:color w:val="202020"/>
        </w:rPr>
        <w:t>2021</w:t>
      </w:r>
      <w:r>
        <w:rPr>
          <w:color w:val="202020"/>
          <w:spacing w:val="-5"/>
        </w:rPr>
        <w:t xml:space="preserve"> </w:t>
      </w:r>
      <w:r>
        <w:rPr>
          <w:color w:val="202020"/>
        </w:rPr>
        <w:t>Mar;32(3):495-503.</w:t>
      </w:r>
      <w:r>
        <w:rPr>
          <w:color w:val="202020"/>
          <w:spacing w:val="-3"/>
        </w:rPr>
        <w:t xml:space="preserve"> </w:t>
      </w:r>
      <w:proofErr w:type="spellStart"/>
      <w:r>
        <w:rPr>
          <w:color w:val="0462C1"/>
          <w:u w:val="single" w:color="0462C1"/>
        </w:rPr>
        <w:t>doi</w:t>
      </w:r>
      <w:proofErr w:type="spellEnd"/>
      <w:r>
        <w:rPr>
          <w:color w:val="0462C1"/>
          <w:u w:val="single" w:color="0462C1"/>
        </w:rPr>
        <w:t>:</w:t>
      </w:r>
      <w:r>
        <w:rPr>
          <w:color w:val="0462C1"/>
          <w:spacing w:val="-5"/>
          <w:u w:val="single" w:color="0462C1"/>
        </w:rPr>
        <w:t xml:space="preserve"> </w:t>
      </w:r>
      <w:r>
        <w:rPr>
          <w:color w:val="0462C1"/>
          <w:u w:val="single" w:color="0462C1"/>
        </w:rPr>
        <w:t>10.1007/s00198-</w:t>
      </w:r>
      <w:r>
        <w:rPr>
          <w:color w:val="0462C1"/>
          <w:spacing w:val="-2"/>
          <w:u w:val="single" w:color="0462C1"/>
        </w:rPr>
        <w:t>021-05825-6</w:t>
      </w:r>
    </w:p>
    <w:p w14:paraId="7A4C3308" w14:textId="77777777" w:rsidR="00E13D3F" w:rsidRDefault="00FB2D6A" w:rsidP="00990D2B">
      <w:pPr>
        <w:pStyle w:val="ListParagraph"/>
        <w:numPr>
          <w:ilvl w:val="0"/>
          <w:numId w:val="3"/>
        </w:numPr>
        <w:tabs>
          <w:tab w:val="left" w:pos="1800"/>
        </w:tabs>
        <w:spacing w:line="273" w:lineRule="auto"/>
        <w:ind w:right="1630"/>
        <w:rPr>
          <w:rFonts w:ascii="Segoe UI"/>
        </w:rPr>
      </w:pPr>
      <w:proofErr w:type="spellStart"/>
      <w:r>
        <w:rPr>
          <w:color w:val="202020"/>
        </w:rPr>
        <w:t>Kawalilak</w:t>
      </w:r>
      <w:proofErr w:type="spellEnd"/>
      <w:r>
        <w:rPr>
          <w:color w:val="202020"/>
        </w:rPr>
        <w:t xml:space="preserve"> CE, Johnston JD, </w:t>
      </w:r>
      <w:proofErr w:type="spellStart"/>
      <w:r>
        <w:rPr>
          <w:color w:val="202020"/>
        </w:rPr>
        <w:t>Olszynski</w:t>
      </w:r>
      <w:proofErr w:type="spellEnd"/>
      <w:r>
        <w:rPr>
          <w:color w:val="202020"/>
        </w:rPr>
        <w:t xml:space="preserve"> WP, </w:t>
      </w:r>
      <w:proofErr w:type="spellStart"/>
      <w:r>
        <w:rPr>
          <w:color w:val="202020"/>
        </w:rPr>
        <w:t>Kontulainen</w:t>
      </w:r>
      <w:proofErr w:type="spellEnd"/>
      <w:r>
        <w:rPr>
          <w:color w:val="202020"/>
        </w:rPr>
        <w:t xml:space="preserve"> SA. Least significant changes and monitoring</w:t>
      </w:r>
      <w:r>
        <w:rPr>
          <w:color w:val="202020"/>
          <w:spacing w:val="-4"/>
        </w:rPr>
        <w:t xml:space="preserve"> </w:t>
      </w:r>
      <w:r>
        <w:rPr>
          <w:color w:val="202020"/>
        </w:rPr>
        <w:t>time</w:t>
      </w:r>
      <w:r>
        <w:rPr>
          <w:color w:val="202020"/>
          <w:spacing w:val="-3"/>
        </w:rPr>
        <w:t xml:space="preserve"> </w:t>
      </w:r>
      <w:r>
        <w:rPr>
          <w:color w:val="202020"/>
        </w:rPr>
        <w:t>intervals</w:t>
      </w:r>
      <w:r>
        <w:rPr>
          <w:color w:val="202020"/>
          <w:spacing w:val="-3"/>
        </w:rPr>
        <w:t xml:space="preserve"> </w:t>
      </w:r>
      <w:r>
        <w:rPr>
          <w:color w:val="202020"/>
        </w:rPr>
        <w:t>for</w:t>
      </w:r>
      <w:r>
        <w:rPr>
          <w:color w:val="202020"/>
          <w:spacing w:val="-3"/>
        </w:rPr>
        <w:t xml:space="preserve"> </w:t>
      </w:r>
      <w:r>
        <w:rPr>
          <w:color w:val="202020"/>
        </w:rPr>
        <w:t>high-resolution</w:t>
      </w:r>
      <w:r>
        <w:rPr>
          <w:color w:val="202020"/>
          <w:spacing w:val="-4"/>
        </w:rPr>
        <w:t xml:space="preserve"> </w:t>
      </w:r>
      <w:proofErr w:type="spellStart"/>
      <w:r>
        <w:rPr>
          <w:color w:val="202020"/>
        </w:rPr>
        <w:t>pQCT</w:t>
      </w:r>
      <w:proofErr w:type="spellEnd"/>
      <w:r>
        <w:rPr>
          <w:color w:val="202020"/>
        </w:rPr>
        <w:t>-derived</w:t>
      </w:r>
      <w:r>
        <w:rPr>
          <w:color w:val="202020"/>
          <w:spacing w:val="-4"/>
        </w:rPr>
        <w:t xml:space="preserve"> </w:t>
      </w:r>
      <w:r>
        <w:rPr>
          <w:color w:val="202020"/>
        </w:rPr>
        <w:t>bone</w:t>
      </w:r>
      <w:r>
        <w:rPr>
          <w:color w:val="202020"/>
          <w:spacing w:val="-5"/>
        </w:rPr>
        <w:t xml:space="preserve"> </w:t>
      </w:r>
      <w:r>
        <w:rPr>
          <w:color w:val="202020"/>
        </w:rPr>
        <w:t>outcomes</w:t>
      </w:r>
      <w:r>
        <w:rPr>
          <w:color w:val="202020"/>
          <w:spacing w:val="-2"/>
        </w:rPr>
        <w:t xml:space="preserve"> </w:t>
      </w:r>
      <w:r>
        <w:rPr>
          <w:color w:val="202020"/>
        </w:rPr>
        <w:t>in</w:t>
      </w:r>
      <w:r>
        <w:rPr>
          <w:color w:val="202020"/>
          <w:spacing w:val="-5"/>
        </w:rPr>
        <w:t xml:space="preserve"> </w:t>
      </w:r>
      <w:r>
        <w:rPr>
          <w:color w:val="202020"/>
        </w:rPr>
        <w:t xml:space="preserve">postmenopausal women. J </w:t>
      </w:r>
      <w:proofErr w:type="spellStart"/>
      <w:r>
        <w:rPr>
          <w:color w:val="202020"/>
        </w:rPr>
        <w:t>Musculoskelet</w:t>
      </w:r>
      <w:proofErr w:type="spellEnd"/>
      <w:r>
        <w:rPr>
          <w:color w:val="202020"/>
        </w:rPr>
        <w:t xml:space="preserve"> Neuronal Interact. 2015 Jun;15(2):190-6</w:t>
      </w:r>
    </w:p>
    <w:p w14:paraId="7A4C3309" w14:textId="77777777" w:rsidR="00E13D3F" w:rsidRDefault="00FB2D6A" w:rsidP="00990D2B">
      <w:pPr>
        <w:pStyle w:val="ListParagraph"/>
        <w:numPr>
          <w:ilvl w:val="0"/>
          <w:numId w:val="3"/>
        </w:numPr>
        <w:tabs>
          <w:tab w:val="left" w:pos="1800"/>
        </w:tabs>
        <w:spacing w:before="2" w:line="273" w:lineRule="auto"/>
        <w:ind w:right="1709"/>
        <w:rPr>
          <w:rFonts w:ascii="Segoe UI"/>
        </w:rPr>
      </w:pPr>
      <w:proofErr w:type="spellStart"/>
      <w:r>
        <w:rPr>
          <w:color w:val="202020"/>
        </w:rPr>
        <w:t>Agten</w:t>
      </w:r>
      <w:proofErr w:type="spellEnd"/>
      <w:r>
        <w:rPr>
          <w:color w:val="202020"/>
        </w:rPr>
        <w:t xml:space="preserve"> CA, Ramme AJ, Kang S, Honig S, Chang G. Cost-effectiveness of Virtual Bone Strength Testing</w:t>
      </w:r>
      <w:r>
        <w:rPr>
          <w:color w:val="202020"/>
          <w:spacing w:val="-4"/>
        </w:rPr>
        <w:t xml:space="preserve"> </w:t>
      </w:r>
      <w:r>
        <w:rPr>
          <w:color w:val="202020"/>
        </w:rPr>
        <w:t>in</w:t>
      </w:r>
      <w:r>
        <w:rPr>
          <w:color w:val="202020"/>
          <w:spacing w:val="-3"/>
        </w:rPr>
        <w:t xml:space="preserve"> </w:t>
      </w:r>
      <w:r>
        <w:rPr>
          <w:color w:val="202020"/>
        </w:rPr>
        <w:t>Osteoporosis</w:t>
      </w:r>
      <w:r>
        <w:rPr>
          <w:color w:val="202020"/>
          <w:spacing w:val="-5"/>
        </w:rPr>
        <w:t xml:space="preserve"> </w:t>
      </w:r>
      <w:r>
        <w:rPr>
          <w:color w:val="202020"/>
        </w:rPr>
        <w:t>Screening</w:t>
      </w:r>
      <w:r>
        <w:rPr>
          <w:color w:val="202020"/>
          <w:spacing w:val="-3"/>
        </w:rPr>
        <w:t xml:space="preserve"> </w:t>
      </w:r>
      <w:r>
        <w:rPr>
          <w:color w:val="202020"/>
        </w:rPr>
        <w:t>Programs</w:t>
      </w:r>
      <w:r>
        <w:rPr>
          <w:color w:val="202020"/>
          <w:spacing w:val="-2"/>
        </w:rPr>
        <w:t xml:space="preserve"> </w:t>
      </w:r>
      <w:r>
        <w:rPr>
          <w:color w:val="202020"/>
        </w:rPr>
        <w:t>for</w:t>
      </w:r>
      <w:r>
        <w:rPr>
          <w:color w:val="202020"/>
          <w:spacing w:val="-4"/>
        </w:rPr>
        <w:t xml:space="preserve"> </w:t>
      </w:r>
      <w:r>
        <w:rPr>
          <w:color w:val="202020"/>
        </w:rPr>
        <w:t>Postmenopausal</w:t>
      </w:r>
      <w:r>
        <w:rPr>
          <w:color w:val="202020"/>
          <w:spacing w:val="-5"/>
        </w:rPr>
        <w:t xml:space="preserve"> </w:t>
      </w:r>
      <w:r>
        <w:rPr>
          <w:color w:val="202020"/>
        </w:rPr>
        <w:t>Women</w:t>
      </w:r>
      <w:r>
        <w:rPr>
          <w:color w:val="202020"/>
          <w:spacing w:val="-2"/>
        </w:rPr>
        <w:t xml:space="preserve"> </w:t>
      </w:r>
      <w:r>
        <w:rPr>
          <w:color w:val="202020"/>
        </w:rPr>
        <w:t>in</w:t>
      </w:r>
      <w:r>
        <w:rPr>
          <w:color w:val="202020"/>
          <w:spacing w:val="-6"/>
        </w:rPr>
        <w:t xml:space="preserve"> </w:t>
      </w:r>
      <w:r>
        <w:rPr>
          <w:color w:val="202020"/>
        </w:rPr>
        <w:t>the</w:t>
      </w:r>
      <w:r>
        <w:rPr>
          <w:color w:val="202020"/>
          <w:spacing w:val="-4"/>
        </w:rPr>
        <w:t xml:space="preserve"> </w:t>
      </w:r>
      <w:r>
        <w:rPr>
          <w:color w:val="202020"/>
        </w:rPr>
        <w:t>United</w:t>
      </w:r>
      <w:r>
        <w:rPr>
          <w:color w:val="202020"/>
          <w:spacing w:val="-2"/>
        </w:rPr>
        <w:t xml:space="preserve"> </w:t>
      </w:r>
      <w:r>
        <w:rPr>
          <w:color w:val="202020"/>
        </w:rPr>
        <w:t xml:space="preserve">States. Radiology. 2017 Nov;285(2):506-517. </w:t>
      </w:r>
      <w:proofErr w:type="spellStart"/>
      <w:r>
        <w:rPr>
          <w:color w:val="0462C1"/>
          <w:u w:val="single" w:color="0462C1"/>
        </w:rPr>
        <w:t>doi</w:t>
      </w:r>
      <w:proofErr w:type="spellEnd"/>
      <w:r>
        <w:rPr>
          <w:color w:val="0462C1"/>
          <w:u w:val="single" w:color="0462C1"/>
        </w:rPr>
        <w:t>: 10.1148/radiol.2017161259</w:t>
      </w:r>
    </w:p>
    <w:p w14:paraId="7A4C330A" w14:textId="77777777" w:rsidR="00E13D3F" w:rsidRDefault="00FB2D6A" w:rsidP="00990D2B">
      <w:pPr>
        <w:pStyle w:val="ListParagraph"/>
        <w:numPr>
          <w:ilvl w:val="0"/>
          <w:numId w:val="3"/>
        </w:numPr>
        <w:tabs>
          <w:tab w:val="left" w:pos="1800"/>
        </w:tabs>
        <w:spacing w:before="5" w:line="271" w:lineRule="auto"/>
        <w:ind w:right="1553"/>
        <w:rPr>
          <w:rFonts w:ascii="Segoe UI"/>
        </w:rPr>
      </w:pPr>
      <w:r>
        <w:rPr>
          <w:color w:val="202020"/>
        </w:rPr>
        <w:t>Nayak</w:t>
      </w:r>
      <w:r>
        <w:rPr>
          <w:color w:val="202020"/>
          <w:spacing w:val="-2"/>
        </w:rPr>
        <w:t xml:space="preserve"> </w:t>
      </w:r>
      <w:r>
        <w:rPr>
          <w:color w:val="202020"/>
        </w:rPr>
        <w:t>S,</w:t>
      </w:r>
      <w:r>
        <w:rPr>
          <w:color w:val="202020"/>
          <w:spacing w:val="-4"/>
        </w:rPr>
        <w:t xml:space="preserve"> </w:t>
      </w:r>
      <w:r>
        <w:rPr>
          <w:color w:val="202020"/>
        </w:rPr>
        <w:t>Greenspan</w:t>
      </w:r>
      <w:r>
        <w:rPr>
          <w:color w:val="202020"/>
          <w:spacing w:val="-3"/>
        </w:rPr>
        <w:t xml:space="preserve"> </w:t>
      </w:r>
      <w:r>
        <w:rPr>
          <w:color w:val="202020"/>
        </w:rPr>
        <w:t>SL.</w:t>
      </w:r>
      <w:r>
        <w:rPr>
          <w:color w:val="202020"/>
          <w:spacing w:val="-2"/>
        </w:rPr>
        <w:t xml:space="preserve"> </w:t>
      </w:r>
      <w:r>
        <w:rPr>
          <w:color w:val="202020"/>
        </w:rPr>
        <w:t>Cost-Effectiveness</w:t>
      </w:r>
      <w:r>
        <w:rPr>
          <w:color w:val="202020"/>
          <w:spacing w:val="-4"/>
        </w:rPr>
        <w:t xml:space="preserve"> </w:t>
      </w:r>
      <w:r>
        <w:rPr>
          <w:color w:val="202020"/>
        </w:rPr>
        <w:t>of</w:t>
      </w:r>
      <w:r>
        <w:rPr>
          <w:color w:val="202020"/>
          <w:spacing w:val="-2"/>
        </w:rPr>
        <w:t xml:space="preserve"> </w:t>
      </w:r>
      <w:r>
        <w:rPr>
          <w:color w:val="202020"/>
        </w:rPr>
        <w:t>Osteoporosis</w:t>
      </w:r>
      <w:r>
        <w:rPr>
          <w:color w:val="202020"/>
          <w:spacing w:val="-2"/>
        </w:rPr>
        <w:t xml:space="preserve"> </w:t>
      </w:r>
      <w:r>
        <w:rPr>
          <w:color w:val="202020"/>
        </w:rPr>
        <w:t>Screening</w:t>
      </w:r>
      <w:r>
        <w:rPr>
          <w:color w:val="202020"/>
          <w:spacing w:val="-3"/>
        </w:rPr>
        <w:t xml:space="preserve"> </w:t>
      </w:r>
      <w:r>
        <w:rPr>
          <w:color w:val="202020"/>
        </w:rPr>
        <w:t>Strategies</w:t>
      </w:r>
      <w:r>
        <w:rPr>
          <w:color w:val="202020"/>
          <w:spacing w:val="-2"/>
        </w:rPr>
        <w:t xml:space="preserve"> </w:t>
      </w:r>
      <w:r>
        <w:rPr>
          <w:color w:val="202020"/>
        </w:rPr>
        <w:t>for</w:t>
      </w:r>
      <w:r>
        <w:rPr>
          <w:color w:val="202020"/>
          <w:spacing w:val="-2"/>
        </w:rPr>
        <w:t xml:space="preserve"> </w:t>
      </w:r>
      <w:r>
        <w:rPr>
          <w:color w:val="202020"/>
        </w:rPr>
        <w:t>Men.</w:t>
      </w:r>
      <w:r>
        <w:rPr>
          <w:color w:val="202020"/>
          <w:spacing w:val="-3"/>
        </w:rPr>
        <w:t xml:space="preserve"> </w:t>
      </w:r>
      <w:r>
        <w:rPr>
          <w:color w:val="202020"/>
        </w:rPr>
        <w:t>J</w:t>
      </w:r>
      <w:r>
        <w:rPr>
          <w:color w:val="202020"/>
          <w:spacing w:val="-2"/>
        </w:rPr>
        <w:t xml:space="preserve"> </w:t>
      </w:r>
      <w:r>
        <w:rPr>
          <w:color w:val="202020"/>
        </w:rPr>
        <w:t xml:space="preserve">Bone Miner Res. 2016 Jun;31(6):1189-99. </w:t>
      </w:r>
      <w:proofErr w:type="spellStart"/>
      <w:r>
        <w:rPr>
          <w:color w:val="0462C1"/>
          <w:u w:val="single" w:color="0462C1"/>
        </w:rPr>
        <w:t>doi</w:t>
      </w:r>
      <w:proofErr w:type="spellEnd"/>
      <w:r>
        <w:rPr>
          <w:color w:val="0462C1"/>
          <w:u w:val="single" w:color="0462C1"/>
        </w:rPr>
        <w:t>: 10.1002/jbmr.2784</w:t>
      </w:r>
      <w:r>
        <w:rPr>
          <w:color w:val="0462C1"/>
          <w:spacing w:val="40"/>
          <w:u w:val="single" w:color="0462C1"/>
        </w:rPr>
        <w:t xml:space="preserve"> </w:t>
      </w:r>
    </w:p>
    <w:p w14:paraId="7A4C330B" w14:textId="77777777" w:rsidR="00E13D3F" w:rsidRDefault="00E13D3F">
      <w:pPr>
        <w:pStyle w:val="ListParagraph"/>
        <w:spacing w:line="271" w:lineRule="auto"/>
        <w:rPr>
          <w:rFonts w:ascii="Segoe UI"/>
        </w:rPr>
        <w:sectPr w:rsidR="00E13D3F">
          <w:pgSz w:w="11910" w:h="16840"/>
          <w:pgMar w:top="1400" w:right="0" w:bottom="1200" w:left="0" w:header="0" w:footer="1000" w:gutter="0"/>
          <w:cols w:space="720"/>
        </w:sectPr>
      </w:pPr>
    </w:p>
    <w:p w14:paraId="7A4C330C" w14:textId="77777777" w:rsidR="00E13D3F" w:rsidRDefault="00FB2D6A" w:rsidP="00990D2B">
      <w:pPr>
        <w:pStyle w:val="Heading1"/>
        <w:numPr>
          <w:ilvl w:val="0"/>
          <w:numId w:val="53"/>
        </w:numPr>
        <w:tabs>
          <w:tab w:val="left" w:pos="1841"/>
        </w:tabs>
        <w:ind w:left="1841" w:hanging="401"/>
        <w:rPr>
          <w:color w:val="2E5395"/>
          <w:u w:color="2E5395"/>
        </w:rPr>
      </w:pPr>
      <w:r>
        <w:rPr>
          <w:color w:val="2E5395"/>
          <w:spacing w:val="-7"/>
          <w:u w:color="2E5395"/>
        </w:rPr>
        <w:lastRenderedPageBreak/>
        <w:t xml:space="preserve"> </w:t>
      </w:r>
      <w:r>
        <w:rPr>
          <w:color w:val="2E5395"/>
          <w:u w:color="2E5395"/>
        </w:rPr>
        <w:t>The</w:t>
      </w:r>
      <w:r>
        <w:rPr>
          <w:color w:val="2E5395"/>
          <w:spacing w:val="-7"/>
          <w:u w:color="2E5395"/>
        </w:rPr>
        <w:t xml:space="preserve"> </w:t>
      </w:r>
      <w:r>
        <w:rPr>
          <w:color w:val="2E5395"/>
          <w:u w:color="2E5395"/>
        </w:rPr>
        <w:t>Health</w:t>
      </w:r>
      <w:r>
        <w:rPr>
          <w:color w:val="2E5395"/>
          <w:spacing w:val="-6"/>
          <w:u w:color="2E5395"/>
        </w:rPr>
        <w:t xml:space="preserve"> </w:t>
      </w:r>
      <w:r>
        <w:rPr>
          <w:color w:val="2E5395"/>
          <w:u w:color="2E5395"/>
        </w:rPr>
        <w:t>Assessment</w:t>
      </w:r>
      <w:r>
        <w:rPr>
          <w:color w:val="2E5395"/>
          <w:spacing w:val="-7"/>
          <w:u w:color="2E5395"/>
        </w:rPr>
        <w:t xml:space="preserve"> </w:t>
      </w:r>
      <w:r>
        <w:rPr>
          <w:color w:val="2E5395"/>
          <w:u w:color="2E5395"/>
        </w:rPr>
        <w:t>component:</w:t>
      </w:r>
      <w:r>
        <w:rPr>
          <w:color w:val="2E5395"/>
          <w:spacing w:val="-7"/>
          <w:u w:color="2E5395"/>
        </w:rPr>
        <w:t xml:space="preserve"> </w:t>
      </w:r>
      <w:r>
        <w:rPr>
          <w:color w:val="2E5395"/>
          <w:spacing w:val="-2"/>
          <w:u w:color="2E5395"/>
        </w:rPr>
        <w:t>Hearing</w:t>
      </w:r>
    </w:p>
    <w:p w14:paraId="7A4C330D" w14:textId="77777777" w:rsidR="00E13D3F" w:rsidRDefault="00FB2D6A">
      <w:pPr>
        <w:pStyle w:val="Heading2"/>
        <w:spacing w:before="72"/>
      </w:pPr>
      <w:r>
        <w:rPr>
          <w:color w:val="2E5395"/>
        </w:rPr>
        <w:t>Background</w:t>
      </w:r>
      <w:r>
        <w:rPr>
          <w:color w:val="2E5395"/>
          <w:spacing w:val="-11"/>
        </w:rPr>
        <w:t xml:space="preserve"> </w:t>
      </w:r>
      <w:r>
        <w:rPr>
          <w:color w:val="2E5395"/>
        </w:rPr>
        <w:t>and</w:t>
      </w:r>
      <w:r>
        <w:rPr>
          <w:color w:val="2E5395"/>
          <w:spacing w:val="-10"/>
        </w:rPr>
        <w:t xml:space="preserve"> </w:t>
      </w:r>
      <w:r>
        <w:rPr>
          <w:color w:val="2E5395"/>
          <w:spacing w:val="-2"/>
        </w:rPr>
        <w:t>Description</w:t>
      </w:r>
    </w:p>
    <w:p w14:paraId="7A4C330E" w14:textId="77777777" w:rsidR="00E13D3F" w:rsidRDefault="00FB2D6A">
      <w:pPr>
        <w:pStyle w:val="BodyText"/>
        <w:spacing w:before="23" w:line="276" w:lineRule="auto"/>
        <w:ind w:right="1450"/>
      </w:pPr>
      <w:r>
        <w:t>Hearing</w:t>
      </w:r>
      <w:r>
        <w:rPr>
          <w:spacing w:val="-2"/>
        </w:rPr>
        <w:t xml:space="preserve"> </w:t>
      </w:r>
      <w:r>
        <w:t>loss</w:t>
      </w:r>
      <w:r>
        <w:rPr>
          <w:spacing w:val="-4"/>
        </w:rPr>
        <w:t xml:space="preserve"> </w:t>
      </w:r>
      <w:r>
        <w:t>or</w:t>
      </w:r>
      <w:r>
        <w:rPr>
          <w:spacing w:val="-1"/>
        </w:rPr>
        <w:t xml:space="preserve"> </w:t>
      </w:r>
      <w:r>
        <w:t>a</w:t>
      </w:r>
      <w:r>
        <w:rPr>
          <w:spacing w:val="-4"/>
        </w:rPr>
        <w:t xml:space="preserve"> </w:t>
      </w:r>
      <w:r>
        <w:t>reduced</w:t>
      </w:r>
      <w:r>
        <w:rPr>
          <w:spacing w:val="-1"/>
        </w:rPr>
        <w:t xml:space="preserve"> </w:t>
      </w:r>
      <w:r>
        <w:t>ability</w:t>
      </w:r>
      <w:r>
        <w:rPr>
          <w:spacing w:val="-5"/>
        </w:rPr>
        <w:t xml:space="preserve"> </w:t>
      </w:r>
      <w:r>
        <w:t>to</w:t>
      </w:r>
      <w:r>
        <w:rPr>
          <w:spacing w:val="-3"/>
        </w:rPr>
        <w:t xml:space="preserve"> </w:t>
      </w:r>
      <w:r>
        <w:t>hear</w:t>
      </w:r>
      <w:r>
        <w:rPr>
          <w:spacing w:val="-4"/>
        </w:rPr>
        <w:t xml:space="preserve"> </w:t>
      </w:r>
      <w:r>
        <w:t>is</w:t>
      </w:r>
      <w:r>
        <w:rPr>
          <w:spacing w:val="-2"/>
        </w:rPr>
        <w:t xml:space="preserve"> </w:t>
      </w:r>
      <w:r>
        <w:t>a</w:t>
      </w:r>
      <w:r>
        <w:rPr>
          <w:spacing w:val="-4"/>
        </w:rPr>
        <w:t xml:space="preserve"> </w:t>
      </w:r>
      <w:r>
        <w:t>major</w:t>
      </w:r>
      <w:r>
        <w:rPr>
          <w:spacing w:val="-1"/>
        </w:rPr>
        <w:t xml:space="preserve"> </w:t>
      </w:r>
      <w:r>
        <w:t>public</w:t>
      </w:r>
      <w:r>
        <w:rPr>
          <w:spacing w:val="-5"/>
        </w:rPr>
        <w:t xml:space="preserve"> </w:t>
      </w:r>
      <w:r>
        <w:t>health</w:t>
      </w:r>
      <w:r>
        <w:rPr>
          <w:spacing w:val="-1"/>
        </w:rPr>
        <w:t xml:space="preserve"> </w:t>
      </w:r>
      <w:r>
        <w:t>issue</w:t>
      </w:r>
      <w:r>
        <w:rPr>
          <w:spacing w:val="-1"/>
        </w:rPr>
        <w:t xml:space="preserve"> </w:t>
      </w:r>
      <w:r>
        <w:t>estimated</w:t>
      </w:r>
      <w:r>
        <w:rPr>
          <w:spacing w:val="-3"/>
        </w:rPr>
        <w:t xml:space="preserve"> </w:t>
      </w:r>
      <w:r>
        <w:t>to</w:t>
      </w:r>
      <w:r>
        <w:rPr>
          <w:spacing w:val="-1"/>
        </w:rPr>
        <w:t xml:space="preserve"> </w:t>
      </w:r>
      <w:r>
        <w:t>affect</w:t>
      </w:r>
      <w:r>
        <w:rPr>
          <w:spacing w:val="-3"/>
        </w:rPr>
        <w:t xml:space="preserve"> </w:t>
      </w:r>
      <w:r>
        <w:t>7.8 million people by 2060 in Australia, mostly driven by age-related changes (1). Hearing loss can significantly affect people’s quality of life due to difficulty with communication that impacts relationships, employment and educational opportunities, mental health, and independent living.</w:t>
      </w:r>
      <w:r>
        <w:rPr>
          <w:spacing w:val="-2"/>
        </w:rPr>
        <w:t xml:space="preserve"> </w:t>
      </w:r>
      <w:r>
        <w:t>Even</w:t>
      </w:r>
      <w:r>
        <w:rPr>
          <w:spacing w:val="-2"/>
        </w:rPr>
        <w:t xml:space="preserve"> </w:t>
      </w:r>
      <w:r>
        <w:t>mild</w:t>
      </w:r>
      <w:r>
        <w:rPr>
          <w:spacing w:val="-2"/>
        </w:rPr>
        <w:t xml:space="preserve"> </w:t>
      </w:r>
      <w:r>
        <w:t>hearing</w:t>
      </w:r>
      <w:r>
        <w:rPr>
          <w:spacing w:val="-1"/>
        </w:rPr>
        <w:t xml:space="preserve"> </w:t>
      </w:r>
      <w:r>
        <w:t>loss</w:t>
      </w:r>
      <w:r>
        <w:rPr>
          <w:spacing w:val="-1"/>
        </w:rPr>
        <w:t xml:space="preserve"> </w:t>
      </w:r>
      <w:r>
        <w:t>is</w:t>
      </w:r>
      <w:r>
        <w:rPr>
          <w:spacing w:val="-1"/>
        </w:rPr>
        <w:t xml:space="preserve"> </w:t>
      </w:r>
      <w:r>
        <w:t>associated</w:t>
      </w:r>
      <w:r>
        <w:rPr>
          <w:spacing w:val="-2"/>
        </w:rPr>
        <w:t xml:space="preserve"> </w:t>
      </w:r>
      <w:r>
        <w:t>with increased social isolation</w:t>
      </w:r>
      <w:r>
        <w:rPr>
          <w:spacing w:val="-2"/>
        </w:rPr>
        <w:t xml:space="preserve"> </w:t>
      </w:r>
      <w:r>
        <w:t>(Odds Ratio 3.5,</w:t>
      </w:r>
      <w:r>
        <w:rPr>
          <w:spacing w:val="-3"/>
        </w:rPr>
        <w:t xml:space="preserve"> </w:t>
      </w:r>
      <w:r>
        <w:t>95% CI</w:t>
      </w:r>
      <w:r>
        <w:rPr>
          <w:spacing w:val="-3"/>
        </w:rPr>
        <w:t xml:space="preserve"> </w:t>
      </w:r>
      <w:r>
        <w:t>1.9-6.4); increased cognitive</w:t>
      </w:r>
      <w:r>
        <w:rPr>
          <w:spacing w:val="-3"/>
        </w:rPr>
        <w:t xml:space="preserve"> </w:t>
      </w:r>
      <w:r>
        <w:t>impairment (OR</w:t>
      </w:r>
      <w:r>
        <w:rPr>
          <w:spacing w:val="-2"/>
        </w:rPr>
        <w:t xml:space="preserve"> </w:t>
      </w:r>
      <w:r>
        <w:t>1.2</w:t>
      </w:r>
      <w:r>
        <w:rPr>
          <w:spacing w:val="-3"/>
        </w:rPr>
        <w:t xml:space="preserve"> </w:t>
      </w:r>
      <w:r>
        <w:t>95%</w:t>
      </w:r>
      <w:r>
        <w:rPr>
          <w:spacing w:val="-2"/>
        </w:rPr>
        <w:t xml:space="preserve"> </w:t>
      </w:r>
      <w:r>
        <w:t>CI</w:t>
      </w:r>
      <w:r>
        <w:rPr>
          <w:spacing w:val="-1"/>
        </w:rPr>
        <w:t xml:space="preserve"> </w:t>
      </w:r>
      <w:r>
        <w:t>1.2-4.7);</w:t>
      </w:r>
      <w:r>
        <w:rPr>
          <w:spacing w:val="-1"/>
        </w:rPr>
        <w:t xml:space="preserve"> </w:t>
      </w:r>
      <w:r>
        <w:t>increased depressive symptoms (OR 1.8 95% CI 1.2-2.8) and higher rates of hospitalizations and mortality (2).</w:t>
      </w:r>
    </w:p>
    <w:p w14:paraId="7A4C330F" w14:textId="77777777" w:rsidR="00E13D3F" w:rsidRDefault="00E13D3F">
      <w:pPr>
        <w:pStyle w:val="BodyText"/>
        <w:spacing w:before="44"/>
        <w:ind w:left="0"/>
      </w:pPr>
    </w:p>
    <w:p w14:paraId="7A4C3310" w14:textId="77777777" w:rsidR="00E13D3F" w:rsidRDefault="00FB2D6A">
      <w:pPr>
        <w:pStyle w:val="BodyText"/>
        <w:spacing w:line="276" w:lineRule="auto"/>
        <w:ind w:right="1450"/>
      </w:pPr>
      <w:r>
        <w:t>Identifying hearing loss can be challenging as individuals take time to recognise and accept that</w:t>
      </w:r>
      <w:r>
        <w:rPr>
          <w:spacing w:val="-1"/>
        </w:rPr>
        <w:t xml:space="preserve"> </w:t>
      </w:r>
      <w:r>
        <w:t>they</w:t>
      </w:r>
      <w:r>
        <w:rPr>
          <w:spacing w:val="-4"/>
        </w:rPr>
        <w:t xml:space="preserve"> </w:t>
      </w:r>
      <w:r>
        <w:t>have</w:t>
      </w:r>
      <w:r>
        <w:rPr>
          <w:spacing w:val="-1"/>
        </w:rPr>
        <w:t xml:space="preserve"> </w:t>
      </w:r>
      <w:r>
        <w:t>a</w:t>
      </w:r>
      <w:r>
        <w:rPr>
          <w:spacing w:val="-4"/>
        </w:rPr>
        <w:t xml:space="preserve"> </w:t>
      </w:r>
      <w:r>
        <w:t>difficulty.</w:t>
      </w:r>
      <w:r>
        <w:rPr>
          <w:spacing w:val="-3"/>
        </w:rPr>
        <w:t xml:space="preserve"> </w:t>
      </w:r>
      <w:r>
        <w:t>In</w:t>
      </w:r>
      <w:r>
        <w:rPr>
          <w:spacing w:val="-1"/>
        </w:rPr>
        <w:t xml:space="preserve"> </w:t>
      </w:r>
      <w:r>
        <w:t>people</w:t>
      </w:r>
      <w:r>
        <w:rPr>
          <w:spacing w:val="-4"/>
        </w:rPr>
        <w:t xml:space="preserve"> </w:t>
      </w:r>
      <w:r>
        <w:t>aged</w:t>
      </w:r>
      <w:r>
        <w:rPr>
          <w:spacing w:val="-3"/>
        </w:rPr>
        <w:t xml:space="preserve"> </w:t>
      </w:r>
      <w:r>
        <w:t>55</w:t>
      </w:r>
      <w:r>
        <w:rPr>
          <w:spacing w:val="-3"/>
        </w:rPr>
        <w:t xml:space="preserve"> </w:t>
      </w:r>
      <w:r>
        <w:t>to</w:t>
      </w:r>
      <w:r>
        <w:rPr>
          <w:spacing w:val="-1"/>
        </w:rPr>
        <w:t xml:space="preserve"> </w:t>
      </w:r>
      <w:r>
        <w:t>74</w:t>
      </w:r>
      <w:r>
        <w:rPr>
          <w:spacing w:val="-1"/>
        </w:rPr>
        <w:t xml:space="preserve"> </w:t>
      </w:r>
      <w:r>
        <w:t>years</w:t>
      </w:r>
      <w:r>
        <w:rPr>
          <w:spacing w:val="-4"/>
        </w:rPr>
        <w:t xml:space="preserve"> </w:t>
      </w:r>
      <w:r>
        <w:t>there</w:t>
      </w:r>
      <w:r>
        <w:rPr>
          <w:spacing w:val="-1"/>
        </w:rPr>
        <w:t xml:space="preserve"> </w:t>
      </w:r>
      <w:r>
        <w:t>is</w:t>
      </w:r>
      <w:r>
        <w:rPr>
          <w:spacing w:val="-4"/>
        </w:rPr>
        <w:t xml:space="preserve"> </w:t>
      </w:r>
      <w:r>
        <w:t>an</w:t>
      </w:r>
      <w:r>
        <w:rPr>
          <w:spacing w:val="-3"/>
        </w:rPr>
        <w:t xml:space="preserve"> </w:t>
      </w:r>
      <w:r>
        <w:t>average</w:t>
      </w:r>
      <w:r>
        <w:rPr>
          <w:spacing w:val="-1"/>
        </w:rPr>
        <w:t xml:space="preserve"> </w:t>
      </w:r>
      <w:r>
        <w:t>10-year</w:t>
      </w:r>
      <w:r>
        <w:rPr>
          <w:spacing w:val="-4"/>
        </w:rPr>
        <w:t xml:space="preserve"> </w:t>
      </w:r>
      <w:r>
        <w:t>delay</w:t>
      </w:r>
      <w:r>
        <w:rPr>
          <w:spacing w:val="-2"/>
        </w:rPr>
        <w:t xml:space="preserve"> </w:t>
      </w:r>
      <w:r>
        <w:t>in seeking help for their hearing loss (3, 4). Furthermore, only third of adults who report hearing loss gets referred and get hearing aid, and the rest are advised to wait until the symptoms get worse (5, 6).</w:t>
      </w:r>
    </w:p>
    <w:p w14:paraId="7A4C3311" w14:textId="77777777" w:rsidR="00E13D3F" w:rsidRDefault="00E13D3F">
      <w:pPr>
        <w:pStyle w:val="BodyText"/>
        <w:spacing w:before="45"/>
        <w:ind w:left="0"/>
      </w:pPr>
    </w:p>
    <w:p w14:paraId="7A4C3312" w14:textId="77777777" w:rsidR="00E13D3F" w:rsidRDefault="00FB2D6A">
      <w:pPr>
        <w:pStyle w:val="BodyText"/>
        <w:spacing w:line="276" w:lineRule="auto"/>
        <w:ind w:right="1466"/>
        <w:jc w:val="both"/>
      </w:pPr>
      <w:r>
        <w:t>Currently,</w:t>
      </w:r>
      <w:r>
        <w:rPr>
          <w:spacing w:val="-3"/>
        </w:rPr>
        <w:t xml:space="preserve"> </w:t>
      </w:r>
      <w:r>
        <w:t>Australian</w:t>
      </w:r>
      <w:r>
        <w:rPr>
          <w:spacing w:val="-2"/>
        </w:rPr>
        <w:t xml:space="preserve"> </w:t>
      </w:r>
      <w:r>
        <w:t>GPs</w:t>
      </w:r>
      <w:r>
        <w:rPr>
          <w:spacing w:val="-5"/>
        </w:rPr>
        <w:t xml:space="preserve"> </w:t>
      </w:r>
      <w:r>
        <w:t>are</w:t>
      </w:r>
      <w:r>
        <w:rPr>
          <w:spacing w:val="-2"/>
        </w:rPr>
        <w:t xml:space="preserve"> </w:t>
      </w:r>
      <w:r>
        <w:t>assessing</w:t>
      </w:r>
      <w:r>
        <w:rPr>
          <w:spacing w:val="-3"/>
        </w:rPr>
        <w:t xml:space="preserve"> </w:t>
      </w:r>
      <w:r>
        <w:t>hearing</w:t>
      </w:r>
      <w:r>
        <w:rPr>
          <w:spacing w:val="-5"/>
        </w:rPr>
        <w:t xml:space="preserve"> </w:t>
      </w:r>
      <w:r>
        <w:t>annually</w:t>
      </w:r>
      <w:r>
        <w:rPr>
          <w:spacing w:val="-3"/>
        </w:rPr>
        <w:t xml:space="preserve"> </w:t>
      </w:r>
      <w:r>
        <w:t>starting</w:t>
      </w:r>
      <w:r>
        <w:rPr>
          <w:spacing w:val="-3"/>
        </w:rPr>
        <w:t xml:space="preserve"> </w:t>
      </w:r>
      <w:r>
        <w:t>at</w:t>
      </w:r>
      <w:r>
        <w:rPr>
          <w:spacing w:val="-2"/>
        </w:rPr>
        <w:t xml:space="preserve"> </w:t>
      </w:r>
      <w:r>
        <w:t>age</w:t>
      </w:r>
      <w:r>
        <w:rPr>
          <w:spacing w:val="-5"/>
        </w:rPr>
        <w:t xml:space="preserve"> </w:t>
      </w:r>
      <w:r>
        <w:t>65,</w:t>
      </w:r>
      <w:r>
        <w:rPr>
          <w:spacing w:val="-7"/>
        </w:rPr>
        <w:t xml:space="preserve"> </w:t>
      </w:r>
      <w:r>
        <w:t>as</w:t>
      </w:r>
      <w:r>
        <w:rPr>
          <w:spacing w:val="-3"/>
        </w:rPr>
        <w:t xml:space="preserve"> </w:t>
      </w:r>
      <w:r>
        <w:t>recommended by the RACGP Guidelines</w:t>
      </w:r>
      <w:r>
        <w:rPr>
          <w:spacing w:val="-2"/>
        </w:rPr>
        <w:t xml:space="preserve"> </w:t>
      </w:r>
      <w:r>
        <w:t>for</w:t>
      </w:r>
      <w:r>
        <w:rPr>
          <w:spacing w:val="-1"/>
        </w:rPr>
        <w:t xml:space="preserve"> </w:t>
      </w:r>
      <w:r>
        <w:t>Preventive Activities</w:t>
      </w:r>
      <w:r>
        <w:rPr>
          <w:spacing w:val="-2"/>
        </w:rPr>
        <w:t xml:space="preserve"> </w:t>
      </w:r>
      <w:r>
        <w:t>in General</w:t>
      </w:r>
      <w:r>
        <w:rPr>
          <w:spacing w:val="-2"/>
        </w:rPr>
        <w:t xml:space="preserve"> </w:t>
      </w:r>
      <w:r>
        <w:t>Practice</w:t>
      </w:r>
      <w:r>
        <w:rPr>
          <w:spacing w:val="-2"/>
        </w:rPr>
        <w:t xml:space="preserve"> </w:t>
      </w:r>
      <w:r>
        <w:t>(the</w:t>
      </w:r>
      <w:r>
        <w:rPr>
          <w:spacing w:val="-2"/>
        </w:rPr>
        <w:t xml:space="preserve"> </w:t>
      </w:r>
      <w:r>
        <w:t>“Red Book”) using whisper test and or a single question about hearing difficulty (7).</w:t>
      </w:r>
    </w:p>
    <w:p w14:paraId="7A4C3313" w14:textId="77777777" w:rsidR="00E13D3F" w:rsidRDefault="00E13D3F">
      <w:pPr>
        <w:pStyle w:val="BodyText"/>
        <w:spacing w:before="115"/>
        <w:ind w:left="0"/>
      </w:pPr>
    </w:p>
    <w:p w14:paraId="7A4C3314" w14:textId="77777777" w:rsidR="00E13D3F" w:rsidRDefault="00FB2D6A">
      <w:pPr>
        <w:pStyle w:val="Heading2"/>
        <w:spacing w:before="1"/>
        <w:jc w:val="both"/>
      </w:pPr>
      <w:r>
        <w:rPr>
          <w:color w:val="2E5395"/>
        </w:rPr>
        <w:t>Evidence</w:t>
      </w:r>
      <w:r>
        <w:rPr>
          <w:color w:val="2E5395"/>
          <w:spacing w:val="-9"/>
        </w:rPr>
        <w:t xml:space="preserve"> </w:t>
      </w:r>
      <w:r>
        <w:rPr>
          <w:color w:val="2E5395"/>
        </w:rPr>
        <w:t>of</w:t>
      </w:r>
      <w:r>
        <w:rPr>
          <w:color w:val="2E5395"/>
          <w:spacing w:val="-10"/>
        </w:rPr>
        <w:t xml:space="preserve"> </w:t>
      </w:r>
      <w:r>
        <w:rPr>
          <w:color w:val="2E5395"/>
          <w:spacing w:val="-2"/>
        </w:rPr>
        <w:t>Effectiveness</w:t>
      </w:r>
    </w:p>
    <w:p w14:paraId="7A4C3315" w14:textId="77777777" w:rsidR="00E13D3F" w:rsidRDefault="00FB2D6A">
      <w:pPr>
        <w:pStyle w:val="BodyText"/>
        <w:spacing w:before="23" w:line="276" w:lineRule="auto"/>
        <w:ind w:right="1450"/>
      </w:pPr>
      <w:r>
        <w:t>In 2021 USPSTF reviewed (AMSTAR rating 8) the evidence for screening for age-related hearing</w:t>
      </w:r>
      <w:r>
        <w:rPr>
          <w:spacing w:val="-5"/>
        </w:rPr>
        <w:t xml:space="preserve"> </w:t>
      </w:r>
      <w:r>
        <w:t>loss</w:t>
      </w:r>
      <w:r>
        <w:rPr>
          <w:spacing w:val="-3"/>
        </w:rPr>
        <w:t xml:space="preserve"> </w:t>
      </w:r>
      <w:r>
        <w:t>in</w:t>
      </w:r>
      <w:r>
        <w:rPr>
          <w:spacing w:val="-4"/>
        </w:rPr>
        <w:t xml:space="preserve"> </w:t>
      </w:r>
      <w:r>
        <w:t>primary</w:t>
      </w:r>
      <w:r>
        <w:rPr>
          <w:spacing w:val="-3"/>
        </w:rPr>
        <w:t xml:space="preserve"> </w:t>
      </w:r>
      <w:r>
        <w:t>care</w:t>
      </w:r>
      <w:r>
        <w:rPr>
          <w:spacing w:val="-2"/>
        </w:rPr>
        <w:t xml:space="preserve"> </w:t>
      </w:r>
      <w:r>
        <w:t>settings</w:t>
      </w:r>
      <w:r>
        <w:rPr>
          <w:spacing w:val="-6"/>
        </w:rPr>
        <w:t xml:space="preserve"> </w:t>
      </w:r>
      <w:r>
        <w:t>and</w:t>
      </w:r>
      <w:r>
        <w:rPr>
          <w:spacing w:val="-2"/>
        </w:rPr>
        <w:t xml:space="preserve"> </w:t>
      </w:r>
      <w:r>
        <w:t>addressed</w:t>
      </w:r>
      <w:r>
        <w:rPr>
          <w:spacing w:val="-1"/>
        </w:rPr>
        <w:t xml:space="preserve"> </w:t>
      </w:r>
      <w:r>
        <w:t>several</w:t>
      </w:r>
      <w:r>
        <w:rPr>
          <w:spacing w:val="-2"/>
        </w:rPr>
        <w:t xml:space="preserve"> </w:t>
      </w:r>
      <w:r>
        <w:t>key</w:t>
      </w:r>
      <w:r>
        <w:rPr>
          <w:spacing w:val="-3"/>
        </w:rPr>
        <w:t xml:space="preserve"> </w:t>
      </w:r>
      <w:r>
        <w:t>questions</w:t>
      </w:r>
      <w:r>
        <w:rPr>
          <w:spacing w:val="-5"/>
        </w:rPr>
        <w:t xml:space="preserve"> </w:t>
      </w:r>
      <w:r>
        <w:t>on</w:t>
      </w:r>
      <w:r>
        <w:rPr>
          <w:spacing w:val="-3"/>
        </w:rPr>
        <w:t xml:space="preserve"> </w:t>
      </w:r>
      <w:r>
        <w:t>detection</w:t>
      </w:r>
      <w:r>
        <w:rPr>
          <w:spacing w:val="-2"/>
        </w:rPr>
        <w:t xml:space="preserve"> </w:t>
      </w:r>
      <w:r>
        <w:t>and treatment of hearing loss (2).</w:t>
      </w:r>
    </w:p>
    <w:p w14:paraId="7A4C3316" w14:textId="77777777" w:rsidR="00E13D3F" w:rsidRDefault="00FB2D6A">
      <w:pPr>
        <w:pStyle w:val="BodyText"/>
        <w:spacing w:line="276" w:lineRule="auto"/>
        <w:ind w:right="1494"/>
      </w:pPr>
      <w:r>
        <w:rPr>
          <w:b/>
        </w:rPr>
        <w:t>Direct Evidence</w:t>
      </w:r>
      <w:r>
        <w:t>: On the question of detection, they found one RCT, the Screening for Auditory Impairment—Which Hearing Assessment Test (SAI-WHAT) trial conducted in 2010 (n=2,305;</w:t>
      </w:r>
      <w:r>
        <w:rPr>
          <w:spacing w:val="-3"/>
        </w:rPr>
        <w:t xml:space="preserve"> </w:t>
      </w:r>
      <w:r>
        <w:t>94%</w:t>
      </w:r>
      <w:r>
        <w:rPr>
          <w:spacing w:val="-3"/>
        </w:rPr>
        <w:t xml:space="preserve"> </w:t>
      </w:r>
      <w:r>
        <w:t>male,</w:t>
      </w:r>
      <w:r>
        <w:rPr>
          <w:spacing w:val="-4"/>
        </w:rPr>
        <w:t xml:space="preserve"> </w:t>
      </w:r>
      <w:r>
        <w:t>mean</w:t>
      </w:r>
      <w:r>
        <w:rPr>
          <w:spacing w:val="-1"/>
        </w:rPr>
        <w:t xml:space="preserve"> </w:t>
      </w:r>
      <w:r>
        <w:t>age</w:t>
      </w:r>
      <w:r>
        <w:rPr>
          <w:spacing w:val="-4"/>
        </w:rPr>
        <w:t xml:space="preserve"> </w:t>
      </w:r>
      <w:r>
        <w:t>61;</w:t>
      </w:r>
      <w:r>
        <w:rPr>
          <w:spacing w:val="-4"/>
        </w:rPr>
        <w:t xml:space="preserve"> </w:t>
      </w:r>
      <w:r>
        <w:t>74%</w:t>
      </w:r>
      <w:r>
        <w:rPr>
          <w:spacing w:val="-3"/>
        </w:rPr>
        <w:t xml:space="preserve"> </w:t>
      </w:r>
      <w:r>
        <w:t>reported</w:t>
      </w:r>
      <w:r>
        <w:rPr>
          <w:spacing w:val="-3"/>
        </w:rPr>
        <w:t xml:space="preserve"> </w:t>
      </w:r>
      <w:r>
        <w:t>perceived</w:t>
      </w:r>
      <w:r>
        <w:rPr>
          <w:spacing w:val="-3"/>
        </w:rPr>
        <w:t xml:space="preserve"> </w:t>
      </w:r>
      <w:r>
        <w:t>hearing</w:t>
      </w:r>
      <w:r>
        <w:rPr>
          <w:spacing w:val="-4"/>
        </w:rPr>
        <w:t xml:space="preserve"> </w:t>
      </w:r>
      <w:r>
        <w:t>loss</w:t>
      </w:r>
      <w:r>
        <w:rPr>
          <w:spacing w:val="-2"/>
        </w:rPr>
        <w:t xml:space="preserve"> </w:t>
      </w:r>
      <w:r>
        <w:t>at</w:t>
      </w:r>
      <w:r>
        <w:rPr>
          <w:spacing w:val="-3"/>
        </w:rPr>
        <w:t xml:space="preserve"> </w:t>
      </w:r>
      <w:r>
        <w:t>baseline)</w:t>
      </w:r>
      <w:r>
        <w:rPr>
          <w:spacing w:val="-2"/>
        </w:rPr>
        <w:t xml:space="preserve"> </w:t>
      </w:r>
      <w:r>
        <w:t>(8).</w:t>
      </w:r>
      <w:r>
        <w:rPr>
          <w:spacing w:val="-3"/>
        </w:rPr>
        <w:t xml:space="preserve"> </w:t>
      </w:r>
      <w:r>
        <w:t>The trial compared 3 different screening strategies (</w:t>
      </w:r>
      <w:proofErr w:type="spellStart"/>
      <w:r>
        <w:t>AudioScope</w:t>
      </w:r>
      <w:proofErr w:type="spellEnd"/>
      <w:r>
        <w:t>; 10-item Hearing Handicap Inventory for the Elderly-Screening (HHIE-S) questionnaire; and combination of the two) with a non-screened control group. Screening was associated with greater hearing aid use (its primary outcome) at 1 year compared with no screening. However, there was no statistically significant difference in hearing-related QOL compared with no screening at 1 year. (Please note that this study participants were all eligible to receive free hearing aid through the Veterans Affairs Medical Center.)</w:t>
      </w:r>
    </w:p>
    <w:p w14:paraId="7A4C3317" w14:textId="77777777" w:rsidR="00E13D3F" w:rsidRDefault="00FB2D6A">
      <w:pPr>
        <w:pStyle w:val="BodyText"/>
        <w:spacing w:before="1" w:line="276" w:lineRule="auto"/>
        <w:ind w:right="1519"/>
      </w:pPr>
      <w:r>
        <w:rPr>
          <w:b/>
        </w:rPr>
        <w:t>Linked Evidence</w:t>
      </w:r>
      <w:r>
        <w:t>: For treatment of screen-detected or recently detected, untreated age-related hearing loss, the USPSTF found 6 trials (reported in 8 studies) that evaluated benefits of amplification (hearing aid) compared with no amplification over 6 weeks to 4 months.</w:t>
      </w:r>
      <w:r>
        <w:rPr>
          <w:spacing w:val="-4"/>
        </w:rPr>
        <w:t xml:space="preserve"> </w:t>
      </w:r>
      <w:r>
        <w:t>Four</w:t>
      </w:r>
      <w:r>
        <w:rPr>
          <w:spacing w:val="-2"/>
        </w:rPr>
        <w:t xml:space="preserve"> </w:t>
      </w:r>
      <w:r>
        <w:t>out</w:t>
      </w:r>
      <w:r>
        <w:rPr>
          <w:spacing w:val="-4"/>
        </w:rPr>
        <w:t xml:space="preserve"> </w:t>
      </w:r>
      <w:r>
        <w:t>of</w:t>
      </w:r>
      <w:r>
        <w:rPr>
          <w:spacing w:val="-4"/>
        </w:rPr>
        <w:t xml:space="preserve"> </w:t>
      </w:r>
      <w:r>
        <w:t>five</w:t>
      </w:r>
      <w:r>
        <w:rPr>
          <w:spacing w:val="-7"/>
        </w:rPr>
        <w:t xml:space="preserve"> </w:t>
      </w:r>
      <w:r>
        <w:t>trials</w:t>
      </w:r>
      <w:r>
        <w:rPr>
          <w:spacing w:val="-1"/>
        </w:rPr>
        <w:t xml:space="preserve"> </w:t>
      </w:r>
      <w:r>
        <w:t>found</w:t>
      </w:r>
      <w:r>
        <w:rPr>
          <w:spacing w:val="-4"/>
        </w:rPr>
        <w:t xml:space="preserve"> </w:t>
      </w:r>
      <w:r>
        <w:t>statistically</w:t>
      </w:r>
      <w:r>
        <w:rPr>
          <w:spacing w:val="-3"/>
        </w:rPr>
        <w:t xml:space="preserve"> </w:t>
      </w:r>
      <w:r>
        <w:t>significant</w:t>
      </w:r>
      <w:r>
        <w:rPr>
          <w:spacing w:val="-4"/>
        </w:rPr>
        <w:t xml:space="preserve"> </w:t>
      </w:r>
      <w:r>
        <w:t>benefit</w:t>
      </w:r>
      <w:r>
        <w:rPr>
          <w:spacing w:val="-2"/>
        </w:rPr>
        <w:t xml:space="preserve"> </w:t>
      </w:r>
      <w:r>
        <w:t>in</w:t>
      </w:r>
      <w:r>
        <w:rPr>
          <w:spacing w:val="-4"/>
        </w:rPr>
        <w:t xml:space="preserve"> </w:t>
      </w:r>
      <w:proofErr w:type="spellStart"/>
      <w:r>
        <w:t>favour</w:t>
      </w:r>
      <w:proofErr w:type="spellEnd"/>
      <w:r>
        <w:rPr>
          <w:spacing w:val="-2"/>
        </w:rPr>
        <w:t xml:space="preserve"> </w:t>
      </w:r>
      <w:r>
        <w:t>of</w:t>
      </w:r>
      <w:r>
        <w:rPr>
          <w:spacing w:val="-4"/>
        </w:rPr>
        <w:t xml:space="preserve"> </w:t>
      </w:r>
      <w:r>
        <w:t>hearing</w:t>
      </w:r>
      <w:r>
        <w:rPr>
          <w:spacing w:val="-3"/>
        </w:rPr>
        <w:t xml:space="preserve"> </w:t>
      </w:r>
      <w:r>
        <w:t>aids. One fair-quality RCT found that hearing aids resulted in near normalization of hearing-</w:t>
      </w:r>
    </w:p>
    <w:p w14:paraId="7A4C3318" w14:textId="77777777" w:rsidR="00E13D3F" w:rsidRDefault="00E13D3F">
      <w:pPr>
        <w:pStyle w:val="BodyText"/>
        <w:spacing w:line="276" w:lineRule="auto"/>
        <w:sectPr w:rsidR="00E13D3F">
          <w:pgSz w:w="11910" w:h="16840"/>
          <w:pgMar w:top="1400" w:right="0" w:bottom="1200" w:left="0" w:header="0" w:footer="1000" w:gutter="0"/>
          <w:cols w:space="720"/>
        </w:sectPr>
      </w:pPr>
    </w:p>
    <w:p w14:paraId="7A4C3319" w14:textId="77777777" w:rsidR="00E13D3F" w:rsidRDefault="00FB2D6A">
      <w:pPr>
        <w:pStyle w:val="BodyText"/>
        <w:spacing w:before="41" w:line="276" w:lineRule="auto"/>
        <w:ind w:right="1669"/>
      </w:pPr>
      <w:r>
        <w:lastRenderedPageBreak/>
        <w:t>related</w:t>
      </w:r>
      <w:r>
        <w:rPr>
          <w:spacing w:val="-2"/>
        </w:rPr>
        <w:t xml:space="preserve"> </w:t>
      </w:r>
      <w:r>
        <w:t>QOL</w:t>
      </w:r>
      <w:r>
        <w:rPr>
          <w:spacing w:val="-3"/>
        </w:rPr>
        <w:t xml:space="preserve"> </w:t>
      </w:r>
      <w:r>
        <w:t>and</w:t>
      </w:r>
      <w:r>
        <w:rPr>
          <w:spacing w:val="-4"/>
        </w:rPr>
        <w:t xml:space="preserve"> </w:t>
      </w:r>
      <w:r>
        <w:t>function</w:t>
      </w:r>
      <w:r>
        <w:rPr>
          <w:spacing w:val="-2"/>
        </w:rPr>
        <w:t xml:space="preserve"> </w:t>
      </w:r>
      <w:r>
        <w:t>(measured</w:t>
      </w:r>
      <w:r>
        <w:rPr>
          <w:spacing w:val="-4"/>
        </w:rPr>
        <w:t xml:space="preserve"> </w:t>
      </w:r>
      <w:r>
        <w:t>by</w:t>
      </w:r>
      <w:r>
        <w:rPr>
          <w:spacing w:val="-6"/>
        </w:rPr>
        <w:t xml:space="preserve"> </w:t>
      </w:r>
      <w:r>
        <w:t>the</w:t>
      </w:r>
      <w:r>
        <w:rPr>
          <w:spacing w:val="-5"/>
        </w:rPr>
        <w:t xml:space="preserve"> </w:t>
      </w:r>
      <w:r>
        <w:t>HHIE)</w:t>
      </w:r>
      <w:r>
        <w:rPr>
          <w:spacing w:val="-4"/>
        </w:rPr>
        <w:t xml:space="preserve"> </w:t>
      </w:r>
      <w:r>
        <w:t>among</w:t>
      </w:r>
      <w:r>
        <w:rPr>
          <w:spacing w:val="-3"/>
        </w:rPr>
        <w:t xml:space="preserve"> </w:t>
      </w:r>
      <w:r>
        <w:t>veterans</w:t>
      </w:r>
      <w:r>
        <w:rPr>
          <w:spacing w:val="-3"/>
        </w:rPr>
        <w:t xml:space="preserve"> </w:t>
      </w:r>
      <w:r>
        <w:t>identified</w:t>
      </w:r>
      <w:r>
        <w:rPr>
          <w:spacing w:val="-4"/>
        </w:rPr>
        <w:t xml:space="preserve"> </w:t>
      </w:r>
      <w:r>
        <w:t>by</w:t>
      </w:r>
      <w:r>
        <w:rPr>
          <w:spacing w:val="-3"/>
        </w:rPr>
        <w:t xml:space="preserve"> </w:t>
      </w:r>
      <w:r>
        <w:t>screening, based on &gt;40 dB hearing loss using a handheld audiometric device. Because this trial was conducted in a VA center and almost exclusively enrolled white males eligible for free hearing aids, its generalizability to other settings may be limited. A 2017 Cochrane review that included three of these studies</w:t>
      </w:r>
      <w:r>
        <w:rPr>
          <w:spacing w:val="-1"/>
        </w:rPr>
        <w:t xml:space="preserve"> </w:t>
      </w:r>
      <w:r>
        <w:t>also concluded that hearing</w:t>
      </w:r>
      <w:r>
        <w:rPr>
          <w:spacing w:val="-1"/>
        </w:rPr>
        <w:t xml:space="preserve"> </w:t>
      </w:r>
      <w:r>
        <w:t>aids</w:t>
      </w:r>
      <w:r>
        <w:rPr>
          <w:spacing w:val="-1"/>
        </w:rPr>
        <w:t xml:space="preserve"> </w:t>
      </w:r>
      <w:r>
        <w:t>significantly</w:t>
      </w:r>
      <w:r>
        <w:rPr>
          <w:spacing w:val="-2"/>
        </w:rPr>
        <w:t xml:space="preserve"> </w:t>
      </w:r>
      <w:r>
        <w:t>improve hearing-specific health-related QoL measured by the HHIE compared with the unaided/placebo condition (9).</w:t>
      </w:r>
    </w:p>
    <w:p w14:paraId="7A4C331A" w14:textId="77777777" w:rsidR="00E13D3F" w:rsidRDefault="00FB2D6A">
      <w:pPr>
        <w:pStyle w:val="BodyText"/>
        <w:spacing w:before="1" w:line="276" w:lineRule="auto"/>
        <w:ind w:right="1450"/>
      </w:pPr>
      <w:r>
        <w:t>The USPSTF also assessed diagnostic accuracies of commonly used screening tools (Table 11.1)</w:t>
      </w:r>
      <w:r>
        <w:rPr>
          <w:spacing w:val="-3"/>
        </w:rPr>
        <w:t xml:space="preserve"> </w:t>
      </w:r>
      <w:r>
        <w:t>(the</w:t>
      </w:r>
      <w:r>
        <w:rPr>
          <w:spacing w:val="-2"/>
        </w:rPr>
        <w:t xml:space="preserve"> </w:t>
      </w:r>
      <w:r>
        <w:t>range</w:t>
      </w:r>
      <w:r>
        <w:rPr>
          <w:spacing w:val="-2"/>
        </w:rPr>
        <w:t xml:space="preserve"> </w:t>
      </w:r>
      <w:r>
        <w:t>in</w:t>
      </w:r>
      <w:r>
        <w:rPr>
          <w:spacing w:val="-2"/>
        </w:rPr>
        <w:t xml:space="preserve"> </w:t>
      </w:r>
      <w:r>
        <w:t>square</w:t>
      </w:r>
      <w:r>
        <w:rPr>
          <w:spacing w:val="-2"/>
        </w:rPr>
        <w:t xml:space="preserve"> </w:t>
      </w:r>
      <w:r>
        <w:t>brackets</w:t>
      </w:r>
      <w:r>
        <w:rPr>
          <w:spacing w:val="-5"/>
        </w:rPr>
        <w:t xml:space="preserve"> </w:t>
      </w:r>
      <w:r>
        <w:t>are</w:t>
      </w:r>
      <w:r>
        <w:rPr>
          <w:spacing w:val="-4"/>
        </w:rPr>
        <w:t xml:space="preserve"> </w:t>
      </w:r>
      <w:r>
        <w:t>not</w:t>
      </w:r>
      <w:r>
        <w:rPr>
          <w:spacing w:val="-4"/>
        </w:rPr>
        <w:t xml:space="preserve"> </w:t>
      </w:r>
      <w:r>
        <w:t>pooled</w:t>
      </w:r>
      <w:r>
        <w:rPr>
          <w:spacing w:val="-2"/>
        </w:rPr>
        <w:t xml:space="preserve"> </w:t>
      </w:r>
      <w:r>
        <w:t>results).</w:t>
      </w:r>
      <w:r>
        <w:rPr>
          <w:spacing w:val="-4"/>
        </w:rPr>
        <w:t xml:space="preserve"> </w:t>
      </w:r>
      <w:r>
        <w:t>It</w:t>
      </w:r>
      <w:r>
        <w:rPr>
          <w:spacing w:val="-4"/>
        </w:rPr>
        <w:t xml:space="preserve"> </w:t>
      </w:r>
      <w:r>
        <w:t>shows</w:t>
      </w:r>
      <w:r>
        <w:rPr>
          <w:spacing w:val="-3"/>
        </w:rPr>
        <w:t xml:space="preserve"> </w:t>
      </w:r>
      <w:r>
        <w:t>that</w:t>
      </w:r>
      <w:r>
        <w:rPr>
          <w:spacing w:val="-4"/>
        </w:rPr>
        <w:t xml:space="preserve"> </w:t>
      </w:r>
      <w:r>
        <w:t>simple</w:t>
      </w:r>
      <w:r>
        <w:rPr>
          <w:spacing w:val="-2"/>
        </w:rPr>
        <w:t xml:space="preserve"> </w:t>
      </w:r>
      <w:r>
        <w:t xml:space="preserve">screening tools (singe question screening and whispered voice test) are more accurate than multi-question screening and </w:t>
      </w:r>
      <w:proofErr w:type="spellStart"/>
      <w:r>
        <w:t>AudioScope</w:t>
      </w:r>
      <w:proofErr w:type="spellEnd"/>
      <w:r>
        <w:t>.</w:t>
      </w:r>
    </w:p>
    <w:p w14:paraId="7A4C331B" w14:textId="77777777" w:rsidR="00E13D3F" w:rsidRDefault="00FB2D6A">
      <w:pPr>
        <w:spacing w:line="268" w:lineRule="exact"/>
        <w:ind w:left="1440"/>
      </w:pPr>
      <w:r>
        <w:rPr>
          <w:b/>
        </w:rPr>
        <w:t>Table</w:t>
      </w:r>
      <w:r>
        <w:rPr>
          <w:b/>
          <w:spacing w:val="-5"/>
        </w:rPr>
        <w:t xml:space="preserve"> </w:t>
      </w:r>
      <w:r>
        <w:rPr>
          <w:b/>
        </w:rPr>
        <w:t>11.1.</w:t>
      </w:r>
      <w:r>
        <w:rPr>
          <w:b/>
          <w:spacing w:val="-3"/>
        </w:rPr>
        <w:t xml:space="preserve"> </w:t>
      </w:r>
      <w:r>
        <w:t>Comparison</w:t>
      </w:r>
      <w:r>
        <w:rPr>
          <w:spacing w:val="-6"/>
        </w:rPr>
        <w:t xml:space="preserve"> </w:t>
      </w:r>
      <w:r>
        <w:t>of</w:t>
      </w:r>
      <w:r>
        <w:rPr>
          <w:spacing w:val="-6"/>
        </w:rPr>
        <w:t xml:space="preserve"> </w:t>
      </w:r>
      <w:r>
        <w:t>screening</w:t>
      </w:r>
      <w:r>
        <w:rPr>
          <w:spacing w:val="-4"/>
        </w:rPr>
        <w:t xml:space="preserve"> </w:t>
      </w:r>
      <w:r>
        <w:t>tool</w:t>
      </w:r>
      <w:r>
        <w:rPr>
          <w:spacing w:val="-3"/>
        </w:rPr>
        <w:t xml:space="preserve"> </w:t>
      </w:r>
      <w:r>
        <w:rPr>
          <w:spacing w:val="-2"/>
        </w:rPr>
        <w:t>accuracies</w:t>
      </w:r>
    </w:p>
    <w:tbl>
      <w:tblPr>
        <w:tblW w:w="0" w:type="auto"/>
        <w:tblInd w:w="145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3961"/>
        <w:gridCol w:w="1275"/>
        <w:gridCol w:w="1277"/>
        <w:gridCol w:w="1275"/>
        <w:gridCol w:w="1214"/>
      </w:tblGrid>
      <w:tr w:rsidR="00E13D3F" w14:paraId="7A4C331F" w14:textId="77777777">
        <w:trPr>
          <w:trHeight w:val="839"/>
        </w:trPr>
        <w:tc>
          <w:tcPr>
            <w:tcW w:w="3961" w:type="dxa"/>
          </w:tcPr>
          <w:p w14:paraId="7A4C331C" w14:textId="77777777" w:rsidR="00E13D3F" w:rsidRDefault="00FB2D6A">
            <w:pPr>
              <w:pStyle w:val="TableParagraph"/>
              <w:spacing w:before="1"/>
              <w:ind w:left="107"/>
              <w:rPr>
                <w:b/>
                <w:sz w:val="20"/>
              </w:rPr>
            </w:pPr>
            <w:r>
              <w:rPr>
                <w:b/>
                <w:spacing w:val="-2"/>
                <w:sz w:val="20"/>
              </w:rPr>
              <w:t>Screening</w:t>
            </w:r>
            <w:r>
              <w:rPr>
                <w:b/>
                <w:spacing w:val="5"/>
                <w:sz w:val="20"/>
              </w:rPr>
              <w:t xml:space="preserve"> </w:t>
            </w:r>
            <w:r>
              <w:rPr>
                <w:b/>
                <w:spacing w:val="-2"/>
                <w:sz w:val="20"/>
              </w:rPr>
              <w:t>tools</w:t>
            </w:r>
          </w:p>
        </w:tc>
        <w:tc>
          <w:tcPr>
            <w:tcW w:w="2552" w:type="dxa"/>
            <w:gridSpan w:val="2"/>
          </w:tcPr>
          <w:p w14:paraId="7A4C331D" w14:textId="77777777" w:rsidR="00E13D3F" w:rsidRDefault="00FB2D6A">
            <w:pPr>
              <w:pStyle w:val="TableParagraph"/>
              <w:spacing w:before="1"/>
              <w:ind w:left="796" w:right="454" w:hanging="428"/>
              <w:rPr>
                <w:b/>
                <w:sz w:val="20"/>
              </w:rPr>
            </w:pPr>
            <w:r>
              <w:rPr>
                <w:b/>
                <w:sz w:val="20"/>
              </w:rPr>
              <w:t>For</w:t>
            </w:r>
            <w:r>
              <w:rPr>
                <w:b/>
                <w:spacing w:val="-12"/>
                <w:sz w:val="20"/>
              </w:rPr>
              <w:t xml:space="preserve"> </w:t>
            </w:r>
            <w:r>
              <w:rPr>
                <w:b/>
                <w:sz w:val="20"/>
              </w:rPr>
              <w:t>mild</w:t>
            </w:r>
            <w:r>
              <w:rPr>
                <w:b/>
                <w:spacing w:val="-11"/>
                <w:sz w:val="20"/>
              </w:rPr>
              <w:t xml:space="preserve"> </w:t>
            </w:r>
            <w:r>
              <w:rPr>
                <w:b/>
                <w:sz w:val="20"/>
              </w:rPr>
              <w:t>hearing</w:t>
            </w:r>
            <w:r>
              <w:rPr>
                <w:b/>
                <w:spacing w:val="-11"/>
                <w:sz w:val="20"/>
              </w:rPr>
              <w:t xml:space="preserve"> </w:t>
            </w:r>
            <w:r>
              <w:rPr>
                <w:b/>
                <w:sz w:val="20"/>
              </w:rPr>
              <w:t xml:space="preserve">loss </w:t>
            </w:r>
            <w:r>
              <w:rPr>
                <w:b/>
                <w:spacing w:val="-2"/>
                <w:sz w:val="20"/>
              </w:rPr>
              <w:t>(&gt;20-25dB)</w:t>
            </w:r>
          </w:p>
        </w:tc>
        <w:tc>
          <w:tcPr>
            <w:tcW w:w="2489" w:type="dxa"/>
            <w:gridSpan w:val="2"/>
          </w:tcPr>
          <w:p w14:paraId="7A4C331E" w14:textId="77777777" w:rsidR="00E13D3F" w:rsidRDefault="00FB2D6A">
            <w:pPr>
              <w:pStyle w:val="TableParagraph"/>
              <w:spacing w:before="1"/>
              <w:ind w:left="157" w:right="153"/>
              <w:jc w:val="center"/>
              <w:rPr>
                <w:b/>
                <w:sz w:val="20"/>
              </w:rPr>
            </w:pPr>
            <w:r>
              <w:rPr>
                <w:b/>
                <w:sz w:val="20"/>
              </w:rPr>
              <w:t>For</w:t>
            </w:r>
            <w:r>
              <w:rPr>
                <w:b/>
                <w:spacing w:val="-12"/>
                <w:sz w:val="20"/>
              </w:rPr>
              <w:t xml:space="preserve"> </w:t>
            </w:r>
            <w:r>
              <w:rPr>
                <w:b/>
                <w:sz w:val="20"/>
              </w:rPr>
              <w:t>moderate</w:t>
            </w:r>
            <w:r>
              <w:rPr>
                <w:b/>
                <w:spacing w:val="-11"/>
                <w:sz w:val="20"/>
              </w:rPr>
              <w:t xml:space="preserve"> </w:t>
            </w:r>
            <w:r>
              <w:rPr>
                <w:b/>
                <w:sz w:val="20"/>
              </w:rPr>
              <w:t>hearing</w:t>
            </w:r>
            <w:r>
              <w:rPr>
                <w:b/>
                <w:spacing w:val="-11"/>
                <w:sz w:val="20"/>
              </w:rPr>
              <w:t xml:space="preserve"> </w:t>
            </w:r>
            <w:r>
              <w:rPr>
                <w:b/>
                <w:sz w:val="20"/>
              </w:rPr>
              <w:t xml:space="preserve">loss (&gt;35-40 dB over 2-4 </w:t>
            </w:r>
            <w:r>
              <w:rPr>
                <w:b/>
                <w:spacing w:val="-2"/>
                <w:sz w:val="20"/>
              </w:rPr>
              <w:t>frequencies)</w:t>
            </w:r>
          </w:p>
        </w:tc>
      </w:tr>
      <w:tr w:rsidR="00E13D3F" w14:paraId="7A4C3325" w14:textId="77777777">
        <w:trPr>
          <w:trHeight w:val="270"/>
        </w:trPr>
        <w:tc>
          <w:tcPr>
            <w:tcW w:w="3961" w:type="dxa"/>
            <w:shd w:val="clear" w:color="auto" w:fill="F1F1F1"/>
          </w:tcPr>
          <w:p w14:paraId="7A4C3320" w14:textId="77777777" w:rsidR="00E13D3F" w:rsidRDefault="00E13D3F">
            <w:pPr>
              <w:pStyle w:val="TableParagraph"/>
              <w:rPr>
                <w:rFonts w:ascii="Times New Roman"/>
                <w:sz w:val="20"/>
              </w:rPr>
            </w:pPr>
          </w:p>
        </w:tc>
        <w:tc>
          <w:tcPr>
            <w:tcW w:w="1275" w:type="dxa"/>
            <w:shd w:val="clear" w:color="auto" w:fill="F1F1F1"/>
          </w:tcPr>
          <w:p w14:paraId="7A4C3321" w14:textId="77777777" w:rsidR="00E13D3F" w:rsidRDefault="00FB2D6A">
            <w:pPr>
              <w:pStyle w:val="TableParagraph"/>
              <w:spacing w:before="1"/>
              <w:ind w:left="1" w:right="40"/>
              <w:jc w:val="center"/>
              <w:rPr>
                <w:sz w:val="20"/>
              </w:rPr>
            </w:pPr>
            <w:r>
              <w:rPr>
                <w:spacing w:val="-2"/>
                <w:sz w:val="20"/>
              </w:rPr>
              <w:t>Sensitivity</w:t>
            </w:r>
          </w:p>
        </w:tc>
        <w:tc>
          <w:tcPr>
            <w:tcW w:w="1277" w:type="dxa"/>
            <w:shd w:val="clear" w:color="auto" w:fill="F1F1F1"/>
          </w:tcPr>
          <w:p w14:paraId="7A4C3322" w14:textId="77777777" w:rsidR="00E13D3F" w:rsidRDefault="00FB2D6A">
            <w:pPr>
              <w:pStyle w:val="TableParagraph"/>
              <w:spacing w:before="1"/>
              <w:ind w:left="2" w:right="41"/>
              <w:jc w:val="center"/>
              <w:rPr>
                <w:sz w:val="20"/>
              </w:rPr>
            </w:pPr>
            <w:r>
              <w:rPr>
                <w:spacing w:val="-2"/>
                <w:sz w:val="20"/>
              </w:rPr>
              <w:t>Specificity</w:t>
            </w:r>
          </w:p>
        </w:tc>
        <w:tc>
          <w:tcPr>
            <w:tcW w:w="1275" w:type="dxa"/>
            <w:shd w:val="clear" w:color="auto" w:fill="F1F1F1"/>
          </w:tcPr>
          <w:p w14:paraId="7A4C3323" w14:textId="77777777" w:rsidR="00E13D3F" w:rsidRDefault="00FB2D6A">
            <w:pPr>
              <w:pStyle w:val="TableParagraph"/>
              <w:spacing w:before="1"/>
              <w:ind w:right="40"/>
              <w:jc w:val="center"/>
              <w:rPr>
                <w:sz w:val="20"/>
              </w:rPr>
            </w:pPr>
            <w:r>
              <w:rPr>
                <w:spacing w:val="-2"/>
                <w:sz w:val="20"/>
              </w:rPr>
              <w:t>Sensitivity</w:t>
            </w:r>
          </w:p>
        </w:tc>
        <w:tc>
          <w:tcPr>
            <w:tcW w:w="1214" w:type="dxa"/>
            <w:shd w:val="clear" w:color="auto" w:fill="F1F1F1"/>
          </w:tcPr>
          <w:p w14:paraId="7A4C3324" w14:textId="77777777" w:rsidR="00E13D3F" w:rsidRDefault="00FB2D6A">
            <w:pPr>
              <w:pStyle w:val="TableParagraph"/>
              <w:spacing w:before="1"/>
              <w:ind w:right="39"/>
              <w:jc w:val="center"/>
              <w:rPr>
                <w:sz w:val="20"/>
              </w:rPr>
            </w:pPr>
            <w:r>
              <w:rPr>
                <w:spacing w:val="-2"/>
                <w:sz w:val="20"/>
              </w:rPr>
              <w:t>Specificity</w:t>
            </w:r>
          </w:p>
        </w:tc>
      </w:tr>
      <w:tr w:rsidR="00E13D3F" w14:paraId="7A4C332B" w14:textId="77777777">
        <w:trPr>
          <w:trHeight w:val="359"/>
        </w:trPr>
        <w:tc>
          <w:tcPr>
            <w:tcW w:w="3961" w:type="dxa"/>
          </w:tcPr>
          <w:p w14:paraId="7A4C3326" w14:textId="77777777" w:rsidR="00E13D3F" w:rsidRDefault="00FB2D6A">
            <w:pPr>
              <w:pStyle w:val="TableParagraph"/>
              <w:spacing w:before="1"/>
              <w:ind w:left="107"/>
              <w:rPr>
                <w:b/>
                <w:sz w:val="20"/>
              </w:rPr>
            </w:pPr>
            <w:r>
              <w:rPr>
                <w:b/>
                <w:sz w:val="20"/>
              </w:rPr>
              <w:t>Clinical</w:t>
            </w:r>
            <w:r>
              <w:rPr>
                <w:b/>
                <w:spacing w:val="-8"/>
                <w:sz w:val="20"/>
              </w:rPr>
              <w:t xml:space="preserve"> </w:t>
            </w:r>
            <w:r>
              <w:rPr>
                <w:b/>
                <w:sz w:val="20"/>
              </w:rPr>
              <w:t>tests</w:t>
            </w:r>
            <w:r>
              <w:rPr>
                <w:b/>
                <w:spacing w:val="-7"/>
                <w:sz w:val="20"/>
              </w:rPr>
              <w:t xml:space="preserve"> </w:t>
            </w:r>
            <w:r>
              <w:rPr>
                <w:b/>
                <w:sz w:val="20"/>
              </w:rPr>
              <w:t>(whispered</w:t>
            </w:r>
            <w:r>
              <w:rPr>
                <w:b/>
                <w:spacing w:val="-6"/>
                <w:sz w:val="20"/>
              </w:rPr>
              <w:t xml:space="preserve"> </w:t>
            </w:r>
            <w:r>
              <w:rPr>
                <w:b/>
                <w:sz w:val="20"/>
              </w:rPr>
              <w:t>voice</w:t>
            </w:r>
            <w:r>
              <w:rPr>
                <w:b/>
                <w:spacing w:val="-6"/>
                <w:sz w:val="20"/>
              </w:rPr>
              <w:t xml:space="preserve"> </w:t>
            </w:r>
            <w:r>
              <w:rPr>
                <w:b/>
                <w:spacing w:val="-2"/>
                <w:sz w:val="20"/>
              </w:rPr>
              <w:t>test)</w:t>
            </w:r>
          </w:p>
        </w:tc>
        <w:tc>
          <w:tcPr>
            <w:tcW w:w="1275" w:type="dxa"/>
          </w:tcPr>
          <w:p w14:paraId="7A4C3327" w14:textId="77777777" w:rsidR="00E13D3F" w:rsidRDefault="00FB2D6A">
            <w:pPr>
              <w:pStyle w:val="TableParagraph"/>
              <w:spacing w:before="1"/>
              <w:ind w:left="3" w:right="40"/>
              <w:jc w:val="center"/>
              <w:rPr>
                <w:sz w:val="20"/>
              </w:rPr>
            </w:pPr>
            <w:r>
              <w:rPr>
                <w:spacing w:val="-5"/>
                <w:sz w:val="20"/>
              </w:rPr>
              <w:t>94%</w:t>
            </w:r>
          </w:p>
        </w:tc>
        <w:tc>
          <w:tcPr>
            <w:tcW w:w="1277" w:type="dxa"/>
          </w:tcPr>
          <w:p w14:paraId="7A4C3328" w14:textId="77777777" w:rsidR="00E13D3F" w:rsidRDefault="00FB2D6A">
            <w:pPr>
              <w:pStyle w:val="TableParagraph"/>
              <w:spacing w:before="1"/>
              <w:ind w:left="2" w:right="41"/>
              <w:jc w:val="center"/>
              <w:rPr>
                <w:sz w:val="20"/>
              </w:rPr>
            </w:pPr>
            <w:r>
              <w:rPr>
                <w:spacing w:val="-5"/>
                <w:sz w:val="20"/>
              </w:rPr>
              <w:t>87%</w:t>
            </w:r>
          </w:p>
        </w:tc>
        <w:tc>
          <w:tcPr>
            <w:tcW w:w="1275" w:type="dxa"/>
          </w:tcPr>
          <w:p w14:paraId="7A4C3329" w14:textId="77777777" w:rsidR="00E13D3F" w:rsidRDefault="00FB2D6A">
            <w:pPr>
              <w:pStyle w:val="TableParagraph"/>
              <w:spacing w:before="1"/>
              <w:ind w:right="40"/>
              <w:jc w:val="center"/>
              <w:rPr>
                <w:sz w:val="20"/>
              </w:rPr>
            </w:pPr>
            <w:r>
              <w:rPr>
                <w:spacing w:val="-2"/>
                <w:sz w:val="20"/>
              </w:rPr>
              <w:t>[30-</w:t>
            </w:r>
            <w:r>
              <w:rPr>
                <w:spacing w:val="-4"/>
                <w:sz w:val="20"/>
              </w:rPr>
              <w:t>60%]</w:t>
            </w:r>
          </w:p>
        </w:tc>
        <w:tc>
          <w:tcPr>
            <w:tcW w:w="1214" w:type="dxa"/>
          </w:tcPr>
          <w:p w14:paraId="7A4C332A" w14:textId="77777777" w:rsidR="00E13D3F" w:rsidRDefault="00FB2D6A">
            <w:pPr>
              <w:pStyle w:val="TableParagraph"/>
              <w:spacing w:before="1"/>
              <w:ind w:left="3" w:right="39"/>
              <w:jc w:val="center"/>
              <w:rPr>
                <w:sz w:val="20"/>
              </w:rPr>
            </w:pPr>
            <w:r>
              <w:rPr>
                <w:spacing w:val="-2"/>
                <w:sz w:val="20"/>
              </w:rPr>
              <w:t>[80-</w:t>
            </w:r>
            <w:r>
              <w:rPr>
                <w:spacing w:val="-4"/>
                <w:sz w:val="20"/>
              </w:rPr>
              <w:t>98%]</w:t>
            </w:r>
          </w:p>
        </w:tc>
      </w:tr>
      <w:tr w:rsidR="00E13D3F" w14:paraId="7A4C3331" w14:textId="77777777">
        <w:trPr>
          <w:trHeight w:val="489"/>
        </w:trPr>
        <w:tc>
          <w:tcPr>
            <w:tcW w:w="3961" w:type="dxa"/>
            <w:shd w:val="clear" w:color="auto" w:fill="F1F1F1"/>
          </w:tcPr>
          <w:p w14:paraId="7A4C332C" w14:textId="77777777" w:rsidR="00E13D3F" w:rsidRDefault="00FB2D6A">
            <w:pPr>
              <w:pStyle w:val="TableParagraph"/>
              <w:spacing w:line="240" w:lineRule="atLeast"/>
              <w:ind w:left="107"/>
              <w:rPr>
                <w:b/>
                <w:sz w:val="20"/>
              </w:rPr>
            </w:pPr>
            <w:r>
              <w:rPr>
                <w:b/>
                <w:sz w:val="20"/>
              </w:rPr>
              <w:t>Single</w:t>
            </w:r>
            <w:r>
              <w:rPr>
                <w:b/>
                <w:spacing w:val="-8"/>
                <w:sz w:val="20"/>
              </w:rPr>
              <w:t xml:space="preserve"> </w:t>
            </w:r>
            <w:r>
              <w:rPr>
                <w:b/>
                <w:sz w:val="20"/>
              </w:rPr>
              <w:t>question</w:t>
            </w:r>
            <w:r>
              <w:rPr>
                <w:b/>
                <w:spacing w:val="-8"/>
                <w:sz w:val="20"/>
              </w:rPr>
              <w:t xml:space="preserve"> </w:t>
            </w:r>
            <w:r>
              <w:rPr>
                <w:b/>
                <w:sz w:val="20"/>
              </w:rPr>
              <w:t>screening</w:t>
            </w:r>
            <w:r>
              <w:rPr>
                <w:b/>
                <w:spacing w:val="-10"/>
                <w:sz w:val="20"/>
              </w:rPr>
              <w:t xml:space="preserve"> </w:t>
            </w:r>
            <w:r>
              <w:rPr>
                <w:b/>
                <w:sz w:val="20"/>
              </w:rPr>
              <w:t>(Do</w:t>
            </w:r>
            <w:r>
              <w:rPr>
                <w:b/>
                <w:spacing w:val="-8"/>
                <w:sz w:val="20"/>
              </w:rPr>
              <w:t xml:space="preserve"> </w:t>
            </w:r>
            <w:r>
              <w:rPr>
                <w:b/>
                <w:sz w:val="20"/>
              </w:rPr>
              <w:t>you</w:t>
            </w:r>
            <w:r>
              <w:rPr>
                <w:b/>
                <w:spacing w:val="-8"/>
                <w:sz w:val="20"/>
              </w:rPr>
              <w:t xml:space="preserve"> </w:t>
            </w:r>
            <w:r>
              <w:rPr>
                <w:b/>
                <w:sz w:val="20"/>
              </w:rPr>
              <w:t>have difficulty hearing?)</w:t>
            </w:r>
          </w:p>
        </w:tc>
        <w:tc>
          <w:tcPr>
            <w:tcW w:w="1275" w:type="dxa"/>
            <w:shd w:val="clear" w:color="auto" w:fill="F1F1F1"/>
          </w:tcPr>
          <w:p w14:paraId="7A4C332D" w14:textId="77777777" w:rsidR="00E13D3F" w:rsidRDefault="00FB2D6A">
            <w:pPr>
              <w:pStyle w:val="TableParagraph"/>
              <w:spacing w:before="1"/>
              <w:ind w:left="3" w:right="40"/>
              <w:jc w:val="center"/>
              <w:rPr>
                <w:sz w:val="20"/>
              </w:rPr>
            </w:pPr>
            <w:r>
              <w:rPr>
                <w:spacing w:val="-5"/>
                <w:sz w:val="20"/>
              </w:rPr>
              <w:t>66%</w:t>
            </w:r>
          </w:p>
        </w:tc>
        <w:tc>
          <w:tcPr>
            <w:tcW w:w="1277" w:type="dxa"/>
            <w:shd w:val="clear" w:color="auto" w:fill="F1F1F1"/>
          </w:tcPr>
          <w:p w14:paraId="7A4C332E" w14:textId="77777777" w:rsidR="00E13D3F" w:rsidRDefault="00FB2D6A">
            <w:pPr>
              <w:pStyle w:val="TableParagraph"/>
              <w:spacing w:before="1"/>
              <w:ind w:left="2" w:right="41"/>
              <w:jc w:val="center"/>
              <w:rPr>
                <w:sz w:val="20"/>
              </w:rPr>
            </w:pPr>
            <w:r>
              <w:rPr>
                <w:spacing w:val="-5"/>
                <w:sz w:val="20"/>
              </w:rPr>
              <w:t>76%</w:t>
            </w:r>
          </w:p>
        </w:tc>
        <w:tc>
          <w:tcPr>
            <w:tcW w:w="1275" w:type="dxa"/>
            <w:shd w:val="clear" w:color="auto" w:fill="F1F1F1"/>
          </w:tcPr>
          <w:p w14:paraId="7A4C332F" w14:textId="77777777" w:rsidR="00E13D3F" w:rsidRDefault="00FB2D6A">
            <w:pPr>
              <w:pStyle w:val="TableParagraph"/>
              <w:spacing w:before="1"/>
              <w:ind w:left="2" w:right="40"/>
              <w:jc w:val="center"/>
              <w:rPr>
                <w:sz w:val="20"/>
              </w:rPr>
            </w:pPr>
            <w:r>
              <w:rPr>
                <w:spacing w:val="-5"/>
                <w:sz w:val="20"/>
              </w:rPr>
              <w:t>80%</w:t>
            </w:r>
          </w:p>
        </w:tc>
        <w:tc>
          <w:tcPr>
            <w:tcW w:w="1214" w:type="dxa"/>
            <w:shd w:val="clear" w:color="auto" w:fill="F1F1F1"/>
          </w:tcPr>
          <w:p w14:paraId="7A4C3330" w14:textId="77777777" w:rsidR="00E13D3F" w:rsidRDefault="00FB2D6A">
            <w:pPr>
              <w:pStyle w:val="TableParagraph"/>
              <w:spacing w:before="1"/>
              <w:ind w:right="39"/>
              <w:jc w:val="center"/>
              <w:rPr>
                <w:sz w:val="20"/>
              </w:rPr>
            </w:pPr>
            <w:r>
              <w:rPr>
                <w:spacing w:val="-5"/>
                <w:sz w:val="20"/>
              </w:rPr>
              <w:t>74%</w:t>
            </w:r>
          </w:p>
        </w:tc>
      </w:tr>
      <w:tr w:rsidR="00E13D3F" w14:paraId="7A4C3337" w14:textId="77777777">
        <w:trPr>
          <w:trHeight w:val="374"/>
        </w:trPr>
        <w:tc>
          <w:tcPr>
            <w:tcW w:w="3961" w:type="dxa"/>
          </w:tcPr>
          <w:p w14:paraId="7A4C3332" w14:textId="77777777" w:rsidR="00E13D3F" w:rsidRDefault="00FB2D6A">
            <w:pPr>
              <w:pStyle w:val="TableParagraph"/>
              <w:spacing w:before="1"/>
              <w:ind w:left="107"/>
              <w:rPr>
                <w:b/>
                <w:sz w:val="20"/>
              </w:rPr>
            </w:pPr>
            <w:r>
              <w:rPr>
                <w:b/>
                <w:spacing w:val="-2"/>
                <w:sz w:val="20"/>
              </w:rPr>
              <w:t>Screening</w:t>
            </w:r>
            <w:r>
              <w:rPr>
                <w:b/>
                <w:spacing w:val="9"/>
                <w:sz w:val="20"/>
              </w:rPr>
              <w:t xml:space="preserve"> </w:t>
            </w:r>
            <w:r>
              <w:rPr>
                <w:b/>
                <w:spacing w:val="-2"/>
                <w:sz w:val="20"/>
              </w:rPr>
              <w:t>questionnaire</w:t>
            </w:r>
            <w:r>
              <w:rPr>
                <w:b/>
                <w:spacing w:val="12"/>
                <w:sz w:val="20"/>
              </w:rPr>
              <w:t xml:space="preserve"> </w:t>
            </w:r>
            <w:r>
              <w:rPr>
                <w:b/>
                <w:spacing w:val="-2"/>
                <w:sz w:val="20"/>
              </w:rPr>
              <w:t>(10-item</w:t>
            </w:r>
            <w:r>
              <w:rPr>
                <w:b/>
                <w:spacing w:val="12"/>
                <w:sz w:val="20"/>
              </w:rPr>
              <w:t xml:space="preserve"> </w:t>
            </w:r>
            <w:r>
              <w:rPr>
                <w:b/>
                <w:spacing w:val="-2"/>
                <w:sz w:val="20"/>
              </w:rPr>
              <w:t>HHIE-</w:t>
            </w:r>
            <w:r>
              <w:rPr>
                <w:b/>
                <w:spacing w:val="-5"/>
                <w:sz w:val="20"/>
              </w:rPr>
              <w:t>S)</w:t>
            </w:r>
          </w:p>
        </w:tc>
        <w:tc>
          <w:tcPr>
            <w:tcW w:w="1275" w:type="dxa"/>
          </w:tcPr>
          <w:p w14:paraId="7A4C3333" w14:textId="77777777" w:rsidR="00E13D3F" w:rsidRDefault="00FB2D6A">
            <w:pPr>
              <w:pStyle w:val="TableParagraph"/>
              <w:spacing w:before="1"/>
              <w:ind w:left="1" w:right="40"/>
              <w:jc w:val="center"/>
              <w:rPr>
                <w:sz w:val="20"/>
              </w:rPr>
            </w:pPr>
            <w:r>
              <w:rPr>
                <w:spacing w:val="-2"/>
                <w:sz w:val="20"/>
              </w:rPr>
              <w:t>[34-</w:t>
            </w:r>
            <w:r>
              <w:rPr>
                <w:spacing w:val="-4"/>
                <w:sz w:val="20"/>
              </w:rPr>
              <w:t>58%]</w:t>
            </w:r>
          </w:p>
        </w:tc>
        <w:tc>
          <w:tcPr>
            <w:tcW w:w="1277" w:type="dxa"/>
          </w:tcPr>
          <w:p w14:paraId="7A4C3334" w14:textId="77777777" w:rsidR="00E13D3F" w:rsidRDefault="00FB2D6A">
            <w:pPr>
              <w:pStyle w:val="TableParagraph"/>
              <w:spacing w:before="1"/>
              <w:ind w:right="41"/>
              <w:jc w:val="center"/>
              <w:rPr>
                <w:sz w:val="20"/>
              </w:rPr>
            </w:pPr>
            <w:r>
              <w:rPr>
                <w:spacing w:val="-2"/>
                <w:sz w:val="20"/>
              </w:rPr>
              <w:t>[76-</w:t>
            </w:r>
            <w:r>
              <w:rPr>
                <w:spacing w:val="-4"/>
                <w:sz w:val="20"/>
              </w:rPr>
              <w:t>95%]</w:t>
            </w:r>
          </w:p>
        </w:tc>
        <w:tc>
          <w:tcPr>
            <w:tcW w:w="1275" w:type="dxa"/>
          </w:tcPr>
          <w:p w14:paraId="7A4C3335" w14:textId="77777777" w:rsidR="00E13D3F" w:rsidRDefault="00FB2D6A">
            <w:pPr>
              <w:pStyle w:val="TableParagraph"/>
              <w:spacing w:before="1"/>
              <w:ind w:left="2" w:right="40"/>
              <w:jc w:val="center"/>
              <w:rPr>
                <w:sz w:val="20"/>
              </w:rPr>
            </w:pPr>
            <w:r>
              <w:rPr>
                <w:spacing w:val="-5"/>
                <w:sz w:val="20"/>
              </w:rPr>
              <w:t>68%</w:t>
            </w:r>
          </w:p>
        </w:tc>
        <w:tc>
          <w:tcPr>
            <w:tcW w:w="1214" w:type="dxa"/>
          </w:tcPr>
          <w:p w14:paraId="7A4C3336" w14:textId="77777777" w:rsidR="00E13D3F" w:rsidRDefault="00FB2D6A">
            <w:pPr>
              <w:pStyle w:val="TableParagraph"/>
              <w:spacing w:before="1"/>
              <w:ind w:right="39"/>
              <w:jc w:val="center"/>
              <w:rPr>
                <w:sz w:val="20"/>
              </w:rPr>
            </w:pPr>
            <w:r>
              <w:rPr>
                <w:spacing w:val="-5"/>
                <w:sz w:val="20"/>
              </w:rPr>
              <w:t>78%</w:t>
            </w:r>
          </w:p>
        </w:tc>
      </w:tr>
      <w:tr w:rsidR="00E13D3F" w14:paraId="7A4C333D" w14:textId="77777777">
        <w:trPr>
          <w:trHeight w:val="489"/>
        </w:trPr>
        <w:tc>
          <w:tcPr>
            <w:tcW w:w="3961" w:type="dxa"/>
            <w:shd w:val="clear" w:color="auto" w:fill="F1F1F1"/>
          </w:tcPr>
          <w:p w14:paraId="7A4C3338" w14:textId="77777777" w:rsidR="00E13D3F" w:rsidRDefault="00FB2D6A">
            <w:pPr>
              <w:pStyle w:val="TableParagraph"/>
              <w:spacing w:line="240" w:lineRule="atLeast"/>
              <w:ind w:left="107"/>
              <w:rPr>
                <w:b/>
                <w:sz w:val="20"/>
              </w:rPr>
            </w:pPr>
            <w:r>
              <w:rPr>
                <w:b/>
                <w:sz w:val="20"/>
              </w:rPr>
              <w:t>Handheld</w:t>
            </w:r>
            <w:r>
              <w:rPr>
                <w:b/>
                <w:spacing w:val="-12"/>
                <w:sz w:val="20"/>
              </w:rPr>
              <w:t xml:space="preserve"> </w:t>
            </w:r>
            <w:r>
              <w:rPr>
                <w:b/>
                <w:sz w:val="20"/>
              </w:rPr>
              <w:t>or</w:t>
            </w:r>
            <w:r>
              <w:rPr>
                <w:b/>
                <w:spacing w:val="-11"/>
                <w:sz w:val="20"/>
              </w:rPr>
              <w:t xml:space="preserve"> </w:t>
            </w:r>
            <w:r>
              <w:rPr>
                <w:b/>
                <w:sz w:val="20"/>
              </w:rPr>
              <w:t>Mobile-Based</w:t>
            </w:r>
            <w:r>
              <w:rPr>
                <w:b/>
                <w:spacing w:val="-11"/>
                <w:sz w:val="20"/>
              </w:rPr>
              <w:t xml:space="preserve"> </w:t>
            </w:r>
            <w:r>
              <w:rPr>
                <w:b/>
                <w:sz w:val="20"/>
              </w:rPr>
              <w:t>Audiometric Devices (</w:t>
            </w:r>
            <w:proofErr w:type="spellStart"/>
            <w:r>
              <w:rPr>
                <w:b/>
                <w:sz w:val="20"/>
              </w:rPr>
              <w:t>AudioScope</w:t>
            </w:r>
            <w:proofErr w:type="spellEnd"/>
            <w:r>
              <w:rPr>
                <w:b/>
                <w:sz w:val="20"/>
              </w:rPr>
              <w:t>)</w:t>
            </w:r>
          </w:p>
        </w:tc>
        <w:tc>
          <w:tcPr>
            <w:tcW w:w="1275" w:type="dxa"/>
            <w:shd w:val="clear" w:color="auto" w:fill="F1F1F1"/>
          </w:tcPr>
          <w:p w14:paraId="7A4C3339" w14:textId="77777777" w:rsidR="00E13D3F" w:rsidRDefault="00FB2D6A">
            <w:pPr>
              <w:pStyle w:val="TableParagraph"/>
              <w:spacing w:before="1"/>
              <w:ind w:left="1" w:right="40"/>
              <w:jc w:val="center"/>
              <w:rPr>
                <w:sz w:val="20"/>
              </w:rPr>
            </w:pPr>
            <w:r>
              <w:rPr>
                <w:spacing w:val="-2"/>
                <w:sz w:val="20"/>
              </w:rPr>
              <w:t>[64-</w:t>
            </w:r>
            <w:r>
              <w:rPr>
                <w:spacing w:val="-4"/>
                <w:sz w:val="20"/>
              </w:rPr>
              <w:t>93%]</w:t>
            </w:r>
          </w:p>
        </w:tc>
        <w:tc>
          <w:tcPr>
            <w:tcW w:w="1277" w:type="dxa"/>
            <w:shd w:val="clear" w:color="auto" w:fill="F1F1F1"/>
          </w:tcPr>
          <w:p w14:paraId="7A4C333A" w14:textId="77777777" w:rsidR="00E13D3F" w:rsidRDefault="00FB2D6A">
            <w:pPr>
              <w:pStyle w:val="TableParagraph"/>
              <w:spacing w:before="1"/>
              <w:ind w:right="41"/>
              <w:jc w:val="center"/>
              <w:rPr>
                <w:sz w:val="20"/>
              </w:rPr>
            </w:pPr>
            <w:r>
              <w:rPr>
                <w:spacing w:val="-2"/>
                <w:sz w:val="20"/>
              </w:rPr>
              <w:t>[70-</w:t>
            </w:r>
            <w:r>
              <w:rPr>
                <w:spacing w:val="-4"/>
                <w:sz w:val="20"/>
              </w:rPr>
              <w:t>91%]</w:t>
            </w:r>
          </w:p>
        </w:tc>
        <w:tc>
          <w:tcPr>
            <w:tcW w:w="1275" w:type="dxa"/>
            <w:shd w:val="clear" w:color="auto" w:fill="F1F1F1"/>
          </w:tcPr>
          <w:p w14:paraId="7A4C333B" w14:textId="77777777" w:rsidR="00E13D3F" w:rsidRDefault="00FB2D6A">
            <w:pPr>
              <w:pStyle w:val="TableParagraph"/>
              <w:spacing w:before="1"/>
              <w:ind w:right="40"/>
              <w:jc w:val="center"/>
              <w:rPr>
                <w:sz w:val="20"/>
              </w:rPr>
            </w:pPr>
            <w:r>
              <w:rPr>
                <w:spacing w:val="-2"/>
                <w:sz w:val="20"/>
              </w:rPr>
              <w:t>[94-100%]</w:t>
            </w:r>
          </w:p>
        </w:tc>
        <w:tc>
          <w:tcPr>
            <w:tcW w:w="1214" w:type="dxa"/>
            <w:shd w:val="clear" w:color="auto" w:fill="F1F1F1"/>
          </w:tcPr>
          <w:p w14:paraId="7A4C333C" w14:textId="77777777" w:rsidR="00E13D3F" w:rsidRDefault="00FB2D6A">
            <w:pPr>
              <w:pStyle w:val="TableParagraph"/>
              <w:spacing w:before="1"/>
              <w:ind w:left="3" w:right="39"/>
              <w:jc w:val="center"/>
              <w:rPr>
                <w:sz w:val="20"/>
              </w:rPr>
            </w:pPr>
            <w:r>
              <w:rPr>
                <w:spacing w:val="-2"/>
                <w:sz w:val="20"/>
              </w:rPr>
              <w:t>[24-</w:t>
            </w:r>
            <w:r>
              <w:rPr>
                <w:spacing w:val="-4"/>
                <w:sz w:val="20"/>
              </w:rPr>
              <w:t>80%]</w:t>
            </w:r>
          </w:p>
        </w:tc>
      </w:tr>
    </w:tbl>
    <w:p w14:paraId="7A4C333E" w14:textId="77777777" w:rsidR="00E13D3F" w:rsidRDefault="00E13D3F">
      <w:pPr>
        <w:pStyle w:val="BodyText"/>
        <w:spacing w:before="2"/>
        <w:ind w:left="0"/>
        <w:rPr>
          <w:sz w:val="22"/>
        </w:rPr>
      </w:pPr>
    </w:p>
    <w:p w14:paraId="7A4C333F" w14:textId="77777777" w:rsidR="00E13D3F" w:rsidRDefault="00FB2D6A">
      <w:pPr>
        <w:pStyle w:val="BodyText"/>
        <w:spacing w:line="276" w:lineRule="auto"/>
        <w:ind w:right="1450"/>
      </w:pPr>
      <w:r>
        <w:t>The</w:t>
      </w:r>
      <w:r>
        <w:rPr>
          <w:spacing w:val="-2"/>
        </w:rPr>
        <w:t xml:space="preserve"> </w:t>
      </w:r>
      <w:r>
        <w:t>USPSTF</w:t>
      </w:r>
      <w:r>
        <w:rPr>
          <w:spacing w:val="-4"/>
        </w:rPr>
        <w:t xml:space="preserve"> </w:t>
      </w:r>
      <w:r>
        <w:t>did</w:t>
      </w:r>
      <w:r>
        <w:rPr>
          <w:spacing w:val="-4"/>
        </w:rPr>
        <w:t xml:space="preserve"> </w:t>
      </w:r>
      <w:r>
        <w:t>not</w:t>
      </w:r>
      <w:r>
        <w:rPr>
          <w:spacing w:val="-4"/>
        </w:rPr>
        <w:t xml:space="preserve"> </w:t>
      </w:r>
      <w:r>
        <w:t>find</w:t>
      </w:r>
      <w:r>
        <w:rPr>
          <w:spacing w:val="-4"/>
        </w:rPr>
        <w:t xml:space="preserve"> </w:t>
      </w:r>
      <w:r>
        <w:t>any</w:t>
      </w:r>
      <w:r>
        <w:rPr>
          <w:spacing w:val="-3"/>
        </w:rPr>
        <w:t xml:space="preserve"> </w:t>
      </w:r>
      <w:r>
        <w:t>studies</w:t>
      </w:r>
      <w:r>
        <w:rPr>
          <w:spacing w:val="-4"/>
        </w:rPr>
        <w:t xml:space="preserve"> </w:t>
      </w:r>
      <w:r>
        <w:t>on</w:t>
      </w:r>
      <w:r>
        <w:rPr>
          <w:spacing w:val="-4"/>
        </w:rPr>
        <w:t xml:space="preserve"> </w:t>
      </w:r>
      <w:r>
        <w:t>the</w:t>
      </w:r>
      <w:r>
        <w:rPr>
          <w:spacing w:val="-4"/>
        </w:rPr>
        <w:t xml:space="preserve"> </w:t>
      </w:r>
      <w:r>
        <w:t>harms</w:t>
      </w:r>
      <w:r>
        <w:rPr>
          <w:spacing w:val="-4"/>
        </w:rPr>
        <w:t xml:space="preserve"> </w:t>
      </w:r>
      <w:r>
        <w:t>associated</w:t>
      </w:r>
      <w:r>
        <w:rPr>
          <w:spacing w:val="-2"/>
        </w:rPr>
        <w:t xml:space="preserve"> </w:t>
      </w:r>
      <w:r>
        <w:t>with</w:t>
      </w:r>
      <w:r>
        <w:rPr>
          <w:spacing w:val="-4"/>
        </w:rPr>
        <w:t xml:space="preserve"> </w:t>
      </w:r>
      <w:r>
        <w:t>screening</w:t>
      </w:r>
      <w:r>
        <w:rPr>
          <w:spacing w:val="-3"/>
        </w:rPr>
        <w:t xml:space="preserve"> </w:t>
      </w:r>
      <w:r>
        <w:t>for</w:t>
      </w:r>
      <w:r>
        <w:rPr>
          <w:spacing w:val="-4"/>
        </w:rPr>
        <w:t xml:space="preserve"> </w:t>
      </w:r>
      <w:r>
        <w:t>hearing</w:t>
      </w:r>
      <w:r>
        <w:rPr>
          <w:spacing w:val="-3"/>
        </w:rPr>
        <w:t xml:space="preserve"> </w:t>
      </w:r>
      <w:r>
        <w:t>loss in adults and treatment with hearing aid.</w:t>
      </w:r>
    </w:p>
    <w:p w14:paraId="7A4C3340" w14:textId="77777777" w:rsidR="00E13D3F" w:rsidRDefault="00FB2D6A">
      <w:pPr>
        <w:pStyle w:val="Heading2"/>
        <w:spacing w:before="41"/>
      </w:pPr>
      <w:r>
        <w:rPr>
          <w:color w:val="2E5395"/>
        </w:rPr>
        <w:t>Starting</w:t>
      </w:r>
      <w:r>
        <w:rPr>
          <w:color w:val="2E5395"/>
          <w:spacing w:val="-8"/>
        </w:rPr>
        <w:t xml:space="preserve"> </w:t>
      </w:r>
      <w:r>
        <w:rPr>
          <w:color w:val="2E5395"/>
        </w:rPr>
        <w:t>and</w:t>
      </w:r>
      <w:r>
        <w:rPr>
          <w:color w:val="2E5395"/>
          <w:spacing w:val="-8"/>
        </w:rPr>
        <w:t xml:space="preserve"> </w:t>
      </w:r>
      <w:r>
        <w:rPr>
          <w:color w:val="2E5395"/>
        </w:rPr>
        <w:t>Stopping</w:t>
      </w:r>
      <w:r>
        <w:rPr>
          <w:color w:val="2E5395"/>
          <w:spacing w:val="-8"/>
        </w:rPr>
        <w:t xml:space="preserve"> </w:t>
      </w:r>
      <w:r>
        <w:rPr>
          <w:color w:val="2E5395"/>
          <w:spacing w:val="-4"/>
        </w:rPr>
        <w:t>Ages</w:t>
      </w:r>
    </w:p>
    <w:p w14:paraId="7A4C3341" w14:textId="77777777" w:rsidR="00E13D3F" w:rsidRDefault="00FB2D6A">
      <w:pPr>
        <w:pStyle w:val="BodyText"/>
        <w:spacing w:before="24" w:line="276" w:lineRule="auto"/>
        <w:ind w:right="1450"/>
      </w:pPr>
      <w:r>
        <w:t>Hearing impairment affects around 14% of adults (20-69 years of age) with highest prevalence in adults aged 60-69 years (39%). The SAI-WHAT trial of screening (described above) conducted post hoc analyses of hearing-related function for subpopulations defined by age. There were no differences between screened and non-screened groups in the proportion</w:t>
      </w:r>
      <w:r>
        <w:rPr>
          <w:spacing w:val="-4"/>
        </w:rPr>
        <w:t xml:space="preserve"> </w:t>
      </w:r>
      <w:r>
        <w:t>who</w:t>
      </w:r>
      <w:r>
        <w:rPr>
          <w:spacing w:val="-3"/>
        </w:rPr>
        <w:t xml:space="preserve"> </w:t>
      </w:r>
      <w:r>
        <w:t>experienced</w:t>
      </w:r>
      <w:r>
        <w:rPr>
          <w:spacing w:val="-2"/>
        </w:rPr>
        <w:t xml:space="preserve"> </w:t>
      </w:r>
      <w:r>
        <w:t>improvement</w:t>
      </w:r>
      <w:r>
        <w:rPr>
          <w:spacing w:val="-5"/>
        </w:rPr>
        <w:t xml:space="preserve"> </w:t>
      </w:r>
      <w:r>
        <w:t>on</w:t>
      </w:r>
      <w:r>
        <w:rPr>
          <w:spacing w:val="-5"/>
        </w:rPr>
        <w:t xml:space="preserve"> </w:t>
      </w:r>
      <w:r>
        <w:t>the</w:t>
      </w:r>
      <w:r>
        <w:rPr>
          <w:spacing w:val="-6"/>
        </w:rPr>
        <w:t xml:space="preserve"> </w:t>
      </w:r>
      <w:r>
        <w:t>Inner</w:t>
      </w:r>
      <w:r>
        <w:rPr>
          <w:spacing w:val="-5"/>
        </w:rPr>
        <w:t xml:space="preserve"> </w:t>
      </w:r>
      <w:r>
        <w:t>Effectiveness</w:t>
      </w:r>
      <w:r>
        <w:rPr>
          <w:spacing w:val="-6"/>
        </w:rPr>
        <w:t xml:space="preserve"> </w:t>
      </w:r>
      <w:r>
        <w:t>of</w:t>
      </w:r>
      <w:r>
        <w:rPr>
          <w:spacing w:val="-5"/>
        </w:rPr>
        <w:t xml:space="preserve"> </w:t>
      </w:r>
      <w:r>
        <w:t>Aural</w:t>
      </w:r>
      <w:r>
        <w:rPr>
          <w:spacing w:val="-3"/>
        </w:rPr>
        <w:t xml:space="preserve"> </w:t>
      </w:r>
      <w:r>
        <w:t>Rehabilitation scale when groups were stratified by age (50-64 years vs. ≥65 years) and by whether they had perceived hearing loss at baseline.</w:t>
      </w:r>
    </w:p>
    <w:p w14:paraId="7A4C3342" w14:textId="77777777" w:rsidR="00E13D3F" w:rsidRDefault="00FB2D6A">
      <w:pPr>
        <w:pStyle w:val="Heading2"/>
        <w:spacing w:before="41"/>
      </w:pPr>
      <w:r>
        <w:rPr>
          <w:color w:val="2E5395"/>
        </w:rPr>
        <w:t>Interval</w:t>
      </w:r>
      <w:r>
        <w:rPr>
          <w:color w:val="2E5395"/>
          <w:spacing w:val="-6"/>
        </w:rPr>
        <w:t xml:space="preserve"> </w:t>
      </w:r>
      <w:r>
        <w:rPr>
          <w:color w:val="2E5395"/>
        </w:rPr>
        <w:t>for</w:t>
      </w:r>
      <w:r>
        <w:rPr>
          <w:color w:val="2E5395"/>
          <w:spacing w:val="-8"/>
        </w:rPr>
        <w:t xml:space="preserve"> </w:t>
      </w:r>
      <w:r>
        <w:rPr>
          <w:color w:val="2E5395"/>
          <w:spacing w:val="-2"/>
        </w:rPr>
        <w:t>Assessment</w:t>
      </w:r>
    </w:p>
    <w:p w14:paraId="7A4C3343" w14:textId="77777777" w:rsidR="00E13D3F" w:rsidRDefault="00FB2D6A">
      <w:pPr>
        <w:pStyle w:val="BodyText"/>
        <w:spacing w:before="24" w:line="276" w:lineRule="auto"/>
        <w:ind w:right="1519"/>
      </w:pPr>
      <w:r>
        <w:t>Current</w:t>
      </w:r>
      <w:r>
        <w:rPr>
          <w:spacing w:val="-3"/>
        </w:rPr>
        <w:t xml:space="preserve"> </w:t>
      </w:r>
      <w:r>
        <w:t>US</w:t>
      </w:r>
      <w:r>
        <w:rPr>
          <w:spacing w:val="-3"/>
        </w:rPr>
        <w:t xml:space="preserve"> </w:t>
      </w:r>
      <w:r>
        <w:t>guideline</w:t>
      </w:r>
      <w:r>
        <w:rPr>
          <w:spacing w:val="-5"/>
        </w:rPr>
        <w:t xml:space="preserve"> </w:t>
      </w:r>
      <w:r>
        <w:t>for</w:t>
      </w:r>
      <w:r>
        <w:rPr>
          <w:spacing w:val="-6"/>
        </w:rPr>
        <w:t xml:space="preserve"> </w:t>
      </w:r>
      <w:r>
        <w:t>hearing</w:t>
      </w:r>
      <w:r>
        <w:rPr>
          <w:spacing w:val="-5"/>
        </w:rPr>
        <w:t xml:space="preserve"> </w:t>
      </w:r>
      <w:r>
        <w:t>assessment</w:t>
      </w:r>
      <w:r>
        <w:rPr>
          <w:spacing w:val="-3"/>
        </w:rPr>
        <w:t xml:space="preserve"> </w:t>
      </w:r>
      <w:r>
        <w:t>recommends</w:t>
      </w:r>
      <w:r>
        <w:rPr>
          <w:spacing w:val="-5"/>
        </w:rPr>
        <w:t xml:space="preserve"> </w:t>
      </w:r>
      <w:r>
        <w:t>assessment</w:t>
      </w:r>
      <w:r>
        <w:rPr>
          <w:spacing w:val="-3"/>
        </w:rPr>
        <w:t xml:space="preserve"> </w:t>
      </w:r>
      <w:r>
        <w:t>once</w:t>
      </w:r>
      <w:r>
        <w:rPr>
          <w:spacing w:val="-3"/>
        </w:rPr>
        <w:t xml:space="preserve"> </w:t>
      </w:r>
      <w:r>
        <w:t>a</w:t>
      </w:r>
      <w:r>
        <w:rPr>
          <w:spacing w:val="-5"/>
        </w:rPr>
        <w:t xml:space="preserve"> </w:t>
      </w:r>
      <w:r>
        <w:t>decade</w:t>
      </w:r>
      <w:r>
        <w:rPr>
          <w:spacing w:val="-5"/>
        </w:rPr>
        <w:t xml:space="preserve"> </w:t>
      </w:r>
      <w:r>
        <w:t>until 60 years of age and then 3 yearly checks. However, it is not based on clear evidence.</w:t>
      </w:r>
    </w:p>
    <w:p w14:paraId="7A4C3344" w14:textId="77777777" w:rsidR="00E13D3F" w:rsidRDefault="00FB2D6A">
      <w:pPr>
        <w:pStyle w:val="BodyText"/>
        <w:spacing w:before="1" w:line="276" w:lineRule="auto"/>
        <w:ind w:right="1611"/>
      </w:pPr>
      <w:r>
        <w:t>Combined</w:t>
      </w:r>
      <w:r>
        <w:rPr>
          <w:spacing w:val="-4"/>
        </w:rPr>
        <w:t xml:space="preserve"> </w:t>
      </w:r>
      <w:r>
        <w:t>with</w:t>
      </w:r>
      <w:r>
        <w:rPr>
          <w:spacing w:val="-4"/>
        </w:rPr>
        <w:t xml:space="preserve"> </w:t>
      </w:r>
      <w:r>
        <w:t>the</w:t>
      </w:r>
      <w:r>
        <w:rPr>
          <w:spacing w:val="-5"/>
        </w:rPr>
        <w:t xml:space="preserve"> </w:t>
      </w:r>
      <w:r>
        <w:t>Red</w:t>
      </w:r>
      <w:r>
        <w:rPr>
          <w:spacing w:val="-4"/>
        </w:rPr>
        <w:t xml:space="preserve"> </w:t>
      </w:r>
      <w:r>
        <w:t>book</w:t>
      </w:r>
      <w:r>
        <w:rPr>
          <w:spacing w:val="-4"/>
        </w:rPr>
        <w:t xml:space="preserve"> </w:t>
      </w:r>
      <w:r>
        <w:t>guidance,</w:t>
      </w:r>
      <w:r>
        <w:rPr>
          <w:spacing w:val="-5"/>
        </w:rPr>
        <w:t xml:space="preserve"> </w:t>
      </w:r>
      <w:r>
        <w:t>hearing</w:t>
      </w:r>
      <w:r>
        <w:rPr>
          <w:spacing w:val="-5"/>
        </w:rPr>
        <w:t xml:space="preserve"> </w:t>
      </w:r>
      <w:r>
        <w:t>assessment</w:t>
      </w:r>
      <w:r>
        <w:rPr>
          <w:spacing w:val="-4"/>
        </w:rPr>
        <w:t xml:space="preserve"> </w:t>
      </w:r>
      <w:r>
        <w:t>is</w:t>
      </w:r>
      <w:r>
        <w:rPr>
          <w:spacing w:val="-3"/>
        </w:rPr>
        <w:t xml:space="preserve"> </w:t>
      </w:r>
      <w:r>
        <w:t>recommended</w:t>
      </w:r>
      <w:r>
        <w:rPr>
          <w:spacing w:val="-2"/>
        </w:rPr>
        <w:t xml:space="preserve"> </w:t>
      </w:r>
      <w:r>
        <w:t>at</w:t>
      </w:r>
      <w:r>
        <w:rPr>
          <w:spacing w:val="-2"/>
        </w:rPr>
        <w:t xml:space="preserve"> </w:t>
      </w:r>
      <w:r>
        <w:t>least</w:t>
      </w:r>
      <w:r>
        <w:rPr>
          <w:spacing w:val="-2"/>
        </w:rPr>
        <w:t xml:space="preserve"> </w:t>
      </w:r>
      <w:r>
        <w:t>every 2-3 years over the age of 60.</w:t>
      </w:r>
    </w:p>
    <w:p w14:paraId="7A4C3345" w14:textId="77777777" w:rsidR="00E13D3F" w:rsidRDefault="00FB2D6A">
      <w:pPr>
        <w:pStyle w:val="Heading2"/>
        <w:spacing w:before="41"/>
      </w:pPr>
      <w:r>
        <w:rPr>
          <w:color w:val="2E5395"/>
          <w:spacing w:val="-2"/>
        </w:rPr>
        <w:t>Subpopulations</w:t>
      </w:r>
    </w:p>
    <w:p w14:paraId="7A4C3346" w14:textId="77777777" w:rsidR="00E13D3F" w:rsidRDefault="00FB2D6A">
      <w:pPr>
        <w:pStyle w:val="BodyText"/>
        <w:spacing w:before="24" w:line="276" w:lineRule="auto"/>
        <w:ind w:right="1450"/>
      </w:pPr>
      <w:r>
        <w:t>Aboriginal and Torres Strait Islander children have a significantly higher rate of ear disease, which</w:t>
      </w:r>
      <w:r>
        <w:rPr>
          <w:spacing w:val="-4"/>
        </w:rPr>
        <w:t xml:space="preserve"> </w:t>
      </w:r>
      <w:r>
        <w:t>result</w:t>
      </w:r>
      <w:r>
        <w:rPr>
          <w:spacing w:val="-2"/>
        </w:rPr>
        <w:t xml:space="preserve"> </w:t>
      </w:r>
      <w:r>
        <w:t>in</w:t>
      </w:r>
      <w:r>
        <w:rPr>
          <w:spacing w:val="-4"/>
        </w:rPr>
        <w:t xml:space="preserve"> </w:t>
      </w:r>
      <w:r>
        <w:t>hearing</w:t>
      </w:r>
      <w:r>
        <w:rPr>
          <w:spacing w:val="-3"/>
        </w:rPr>
        <w:t xml:space="preserve"> </w:t>
      </w:r>
      <w:r>
        <w:t>loss</w:t>
      </w:r>
      <w:r>
        <w:rPr>
          <w:spacing w:val="-3"/>
        </w:rPr>
        <w:t xml:space="preserve"> </w:t>
      </w:r>
      <w:r>
        <w:t>much</w:t>
      </w:r>
      <w:r>
        <w:rPr>
          <w:spacing w:val="-4"/>
        </w:rPr>
        <w:t xml:space="preserve"> </w:t>
      </w:r>
      <w:r>
        <w:t>earlier,</w:t>
      </w:r>
      <w:r>
        <w:rPr>
          <w:spacing w:val="-3"/>
        </w:rPr>
        <w:t xml:space="preserve"> </w:t>
      </w:r>
      <w:r>
        <w:t>more</w:t>
      </w:r>
      <w:r>
        <w:rPr>
          <w:spacing w:val="-4"/>
        </w:rPr>
        <w:t xml:space="preserve"> </w:t>
      </w:r>
      <w:r>
        <w:t>persistently</w:t>
      </w:r>
      <w:r>
        <w:rPr>
          <w:spacing w:val="-3"/>
        </w:rPr>
        <w:t xml:space="preserve"> </w:t>
      </w:r>
      <w:r>
        <w:t>and</w:t>
      </w:r>
      <w:r>
        <w:rPr>
          <w:spacing w:val="-4"/>
        </w:rPr>
        <w:t xml:space="preserve"> </w:t>
      </w:r>
      <w:r>
        <w:t>more</w:t>
      </w:r>
      <w:r>
        <w:rPr>
          <w:spacing w:val="-4"/>
        </w:rPr>
        <w:t xml:space="preserve"> </w:t>
      </w:r>
      <w:r>
        <w:t>severely</w:t>
      </w:r>
      <w:r>
        <w:rPr>
          <w:spacing w:val="-3"/>
        </w:rPr>
        <w:t xml:space="preserve"> </w:t>
      </w:r>
      <w:r>
        <w:t>than</w:t>
      </w:r>
      <w:r>
        <w:rPr>
          <w:spacing w:val="-4"/>
        </w:rPr>
        <w:t xml:space="preserve"> </w:t>
      </w:r>
      <w:r>
        <w:t>the</w:t>
      </w:r>
      <w:r>
        <w:rPr>
          <w:spacing w:val="-2"/>
        </w:rPr>
        <w:t xml:space="preserve"> </w:t>
      </w:r>
      <w:r>
        <w:t>rest of the population. In 2019, Department of Health and Aged Care has published a strategic</w:t>
      </w:r>
    </w:p>
    <w:p w14:paraId="7A4C3347" w14:textId="77777777" w:rsidR="00E13D3F" w:rsidRDefault="00E13D3F">
      <w:pPr>
        <w:pStyle w:val="BodyText"/>
        <w:spacing w:line="276" w:lineRule="auto"/>
        <w:sectPr w:rsidR="00E13D3F">
          <w:pgSz w:w="11910" w:h="16840"/>
          <w:pgMar w:top="1380" w:right="0" w:bottom="1200" w:left="0" w:header="0" w:footer="1000" w:gutter="0"/>
          <w:cols w:space="720"/>
        </w:sectPr>
      </w:pPr>
    </w:p>
    <w:p w14:paraId="7A4C3348" w14:textId="77777777" w:rsidR="00E13D3F" w:rsidRDefault="00FB2D6A">
      <w:pPr>
        <w:pStyle w:val="BodyText"/>
        <w:spacing w:before="41" w:line="276" w:lineRule="auto"/>
        <w:ind w:right="1519"/>
      </w:pPr>
      <w:r>
        <w:lastRenderedPageBreak/>
        <w:t>Roadmap</w:t>
      </w:r>
      <w:r>
        <w:rPr>
          <w:spacing w:val="-4"/>
        </w:rPr>
        <w:t xml:space="preserve"> </w:t>
      </w:r>
      <w:r>
        <w:t>for</w:t>
      </w:r>
      <w:r>
        <w:rPr>
          <w:spacing w:val="-4"/>
        </w:rPr>
        <w:t xml:space="preserve"> </w:t>
      </w:r>
      <w:r>
        <w:t>Hearing</w:t>
      </w:r>
      <w:r>
        <w:rPr>
          <w:spacing w:val="-3"/>
        </w:rPr>
        <w:t xml:space="preserve"> </w:t>
      </w:r>
      <w:r>
        <w:t>Health,</w:t>
      </w:r>
      <w:r>
        <w:rPr>
          <w:spacing w:val="-5"/>
        </w:rPr>
        <w:t xml:space="preserve"> </w:t>
      </w:r>
      <w:r>
        <w:t>which</w:t>
      </w:r>
      <w:r>
        <w:rPr>
          <w:spacing w:val="-2"/>
        </w:rPr>
        <w:t xml:space="preserve"> </w:t>
      </w:r>
      <w:r>
        <w:t>sets</w:t>
      </w:r>
      <w:r>
        <w:rPr>
          <w:spacing w:val="-3"/>
        </w:rPr>
        <w:t xml:space="preserve"> </w:t>
      </w:r>
      <w:r>
        <w:t>out</w:t>
      </w:r>
      <w:r>
        <w:rPr>
          <w:spacing w:val="-4"/>
        </w:rPr>
        <w:t xml:space="preserve"> </w:t>
      </w:r>
      <w:r>
        <w:t>the</w:t>
      </w:r>
      <w:r>
        <w:rPr>
          <w:spacing w:val="-2"/>
        </w:rPr>
        <w:t xml:space="preserve"> </w:t>
      </w:r>
      <w:r>
        <w:t>short</w:t>
      </w:r>
      <w:r>
        <w:rPr>
          <w:spacing w:val="-4"/>
        </w:rPr>
        <w:t xml:space="preserve"> </w:t>
      </w:r>
      <w:r>
        <w:t>to</w:t>
      </w:r>
      <w:r>
        <w:rPr>
          <w:spacing w:val="-2"/>
        </w:rPr>
        <w:t xml:space="preserve"> </w:t>
      </w:r>
      <w:r>
        <w:t>long</w:t>
      </w:r>
      <w:r>
        <w:rPr>
          <w:spacing w:val="-3"/>
        </w:rPr>
        <w:t xml:space="preserve"> </w:t>
      </w:r>
      <w:r>
        <w:t>term</w:t>
      </w:r>
      <w:r>
        <w:rPr>
          <w:spacing w:val="-3"/>
        </w:rPr>
        <w:t xml:space="preserve"> </w:t>
      </w:r>
      <w:r>
        <w:t>goals</w:t>
      </w:r>
      <w:r>
        <w:rPr>
          <w:spacing w:val="-3"/>
        </w:rPr>
        <w:t xml:space="preserve"> </w:t>
      </w:r>
      <w:r>
        <w:t>to</w:t>
      </w:r>
      <w:r>
        <w:rPr>
          <w:spacing w:val="-2"/>
        </w:rPr>
        <w:t xml:space="preserve"> </w:t>
      </w:r>
      <w:r>
        <w:t>close</w:t>
      </w:r>
      <w:r>
        <w:rPr>
          <w:spacing w:val="-4"/>
        </w:rPr>
        <w:t xml:space="preserve"> </w:t>
      </w:r>
      <w:r>
        <w:t>this</w:t>
      </w:r>
      <w:r>
        <w:rPr>
          <w:spacing w:val="-3"/>
        </w:rPr>
        <w:t xml:space="preserve"> </w:t>
      </w:r>
      <w:r>
        <w:t>gap</w:t>
      </w:r>
      <w:r>
        <w:rPr>
          <w:spacing w:val="-2"/>
        </w:rPr>
        <w:t xml:space="preserve"> </w:t>
      </w:r>
      <w:r>
        <w:t xml:space="preserve">in hearing health for Aboriginal and Torres Strait islander people (10). Main actions of the roadmap focus on reducing ear infections in early childhood, equitable access to primary and </w:t>
      </w:r>
      <w:proofErr w:type="spellStart"/>
      <w:r>
        <w:t>specialised</w:t>
      </w:r>
      <w:proofErr w:type="spellEnd"/>
      <w:r>
        <w:t xml:space="preserve"> health services and hearing aids. The RACGP Red Book recommends that hearing</w:t>
      </w:r>
      <w:r>
        <w:rPr>
          <w:spacing w:val="-4"/>
        </w:rPr>
        <w:t xml:space="preserve"> </w:t>
      </w:r>
      <w:r>
        <w:t>assessment</w:t>
      </w:r>
      <w:r>
        <w:rPr>
          <w:spacing w:val="-2"/>
        </w:rPr>
        <w:t xml:space="preserve"> </w:t>
      </w:r>
      <w:r>
        <w:t>should</w:t>
      </w:r>
      <w:r>
        <w:rPr>
          <w:spacing w:val="-2"/>
        </w:rPr>
        <w:t xml:space="preserve"> </w:t>
      </w:r>
      <w:r>
        <w:t>start</w:t>
      </w:r>
      <w:r>
        <w:rPr>
          <w:spacing w:val="-3"/>
        </w:rPr>
        <w:t xml:space="preserve"> </w:t>
      </w:r>
      <w:r>
        <w:t>10-years</w:t>
      </w:r>
      <w:r>
        <w:rPr>
          <w:spacing w:val="-2"/>
        </w:rPr>
        <w:t xml:space="preserve"> </w:t>
      </w:r>
      <w:r>
        <w:t>earlier</w:t>
      </w:r>
      <w:r>
        <w:rPr>
          <w:spacing w:val="-3"/>
        </w:rPr>
        <w:t xml:space="preserve"> </w:t>
      </w:r>
      <w:r>
        <w:t>than</w:t>
      </w:r>
      <w:r>
        <w:rPr>
          <w:spacing w:val="-2"/>
        </w:rPr>
        <w:t xml:space="preserve"> </w:t>
      </w:r>
      <w:r>
        <w:t>general</w:t>
      </w:r>
      <w:r>
        <w:rPr>
          <w:spacing w:val="-2"/>
        </w:rPr>
        <w:t xml:space="preserve"> </w:t>
      </w:r>
      <w:r>
        <w:t>population</w:t>
      </w:r>
      <w:r>
        <w:rPr>
          <w:spacing w:val="-2"/>
        </w:rPr>
        <w:t xml:space="preserve"> </w:t>
      </w:r>
      <w:r>
        <w:t>for</w:t>
      </w:r>
      <w:r>
        <w:rPr>
          <w:spacing w:val="-2"/>
        </w:rPr>
        <w:t xml:space="preserve"> </w:t>
      </w:r>
      <w:r>
        <w:t>Aboriginal</w:t>
      </w:r>
      <w:r>
        <w:rPr>
          <w:spacing w:val="-4"/>
        </w:rPr>
        <w:t xml:space="preserve"> </w:t>
      </w:r>
      <w:r>
        <w:t>and Torres Strait Islander people.</w:t>
      </w:r>
    </w:p>
    <w:p w14:paraId="7A4C3349" w14:textId="77777777" w:rsidR="00E13D3F" w:rsidRDefault="00FB2D6A">
      <w:pPr>
        <w:pStyle w:val="Heading2"/>
        <w:spacing w:before="40"/>
      </w:pPr>
      <w:r>
        <w:rPr>
          <w:color w:val="2E5395"/>
          <w:spacing w:val="-2"/>
        </w:rPr>
        <w:t>Conclusion</w:t>
      </w:r>
    </w:p>
    <w:p w14:paraId="7A4C334A" w14:textId="77777777" w:rsidR="00E13D3F" w:rsidRDefault="00FB2D6A">
      <w:pPr>
        <w:pStyle w:val="BodyText"/>
        <w:spacing w:before="26" w:line="276" w:lineRule="auto"/>
        <w:ind w:right="1672"/>
      </w:pPr>
      <w:r>
        <w:t>Given the impact hearing loss can have on the health and quality of life of the aging population,</w:t>
      </w:r>
      <w:r>
        <w:rPr>
          <w:spacing w:val="-5"/>
        </w:rPr>
        <w:t xml:space="preserve"> </w:t>
      </w:r>
      <w:r>
        <w:t>our</w:t>
      </w:r>
      <w:r>
        <w:rPr>
          <w:spacing w:val="-5"/>
        </w:rPr>
        <w:t xml:space="preserve"> </w:t>
      </w:r>
      <w:r>
        <w:t>findings</w:t>
      </w:r>
      <w:r>
        <w:rPr>
          <w:spacing w:val="-5"/>
        </w:rPr>
        <w:t xml:space="preserve"> </w:t>
      </w:r>
      <w:r>
        <w:t>suggest</w:t>
      </w:r>
      <w:r>
        <w:rPr>
          <w:spacing w:val="-4"/>
        </w:rPr>
        <w:t xml:space="preserve"> </w:t>
      </w:r>
      <w:r>
        <w:t>that assessing</w:t>
      </w:r>
      <w:r>
        <w:rPr>
          <w:spacing w:val="-3"/>
        </w:rPr>
        <w:t xml:space="preserve"> </w:t>
      </w:r>
      <w:r>
        <w:t>hearing</w:t>
      </w:r>
      <w:r>
        <w:rPr>
          <w:spacing w:val="-5"/>
        </w:rPr>
        <w:t xml:space="preserve"> </w:t>
      </w:r>
      <w:r>
        <w:t>with</w:t>
      </w:r>
      <w:r>
        <w:rPr>
          <w:spacing w:val="-2"/>
        </w:rPr>
        <w:t xml:space="preserve"> </w:t>
      </w:r>
      <w:r>
        <w:t>a</w:t>
      </w:r>
      <w:r>
        <w:rPr>
          <w:spacing w:val="-3"/>
        </w:rPr>
        <w:t xml:space="preserve"> </w:t>
      </w:r>
      <w:r>
        <w:t>single</w:t>
      </w:r>
      <w:r>
        <w:rPr>
          <w:spacing w:val="-5"/>
        </w:rPr>
        <w:t xml:space="preserve"> </w:t>
      </w:r>
      <w:r>
        <w:t>question</w:t>
      </w:r>
      <w:r>
        <w:rPr>
          <w:spacing w:val="-1"/>
        </w:rPr>
        <w:t xml:space="preserve"> </w:t>
      </w:r>
      <w:r>
        <w:t>or</w:t>
      </w:r>
      <w:r>
        <w:rPr>
          <w:spacing w:val="-2"/>
        </w:rPr>
        <w:t xml:space="preserve"> </w:t>
      </w:r>
      <w:r>
        <w:t>whisper test every 2-3 years starting at age 60 and referring to hearing aid could help preserve quality of life in the elderly population.</w:t>
      </w:r>
    </w:p>
    <w:p w14:paraId="7A4C334B" w14:textId="77777777" w:rsidR="00E13D3F" w:rsidRDefault="00E13D3F">
      <w:pPr>
        <w:pStyle w:val="BodyText"/>
        <w:spacing w:before="86"/>
        <w:ind w:left="0"/>
      </w:pPr>
    </w:p>
    <w:p w14:paraId="7A4C334C" w14:textId="77777777" w:rsidR="00E13D3F" w:rsidRDefault="00FB2D6A">
      <w:pPr>
        <w:pStyle w:val="Heading2"/>
      </w:pPr>
      <w:r>
        <w:rPr>
          <w:color w:val="2E5395"/>
          <w:spacing w:val="-2"/>
        </w:rPr>
        <w:t>References</w:t>
      </w:r>
    </w:p>
    <w:p w14:paraId="7A4C334D" w14:textId="77777777" w:rsidR="00E13D3F" w:rsidRDefault="00FB2D6A" w:rsidP="00990D2B">
      <w:pPr>
        <w:pStyle w:val="ListParagraph"/>
        <w:numPr>
          <w:ilvl w:val="0"/>
          <w:numId w:val="2"/>
        </w:numPr>
        <w:tabs>
          <w:tab w:val="left" w:pos="1800"/>
        </w:tabs>
        <w:spacing w:before="21"/>
        <w:ind w:right="2176"/>
      </w:pPr>
      <w:r>
        <w:t xml:space="preserve">Department of Health and Aged Care. Ear health in Australia 2022 [Available from: </w:t>
      </w:r>
      <w:hyperlink r:id="rId62">
        <w:r w:rsidR="00E13D3F">
          <w:rPr>
            <w:spacing w:val="-2"/>
          </w:rPr>
          <w:t>https://www.health.gov.au/health-topics/ear-</w:t>
        </w:r>
      </w:hyperlink>
      <w:r>
        <w:rPr>
          <w:spacing w:val="-2"/>
        </w:rPr>
        <w:t>health/about#:~:text=In%20Australia%3A,have%20noise%2Drelated%20ear%20damage.</w:t>
      </w:r>
    </w:p>
    <w:p w14:paraId="7A4C334E" w14:textId="77777777" w:rsidR="00E13D3F" w:rsidRDefault="00FB2D6A" w:rsidP="00990D2B">
      <w:pPr>
        <w:pStyle w:val="ListParagraph"/>
        <w:numPr>
          <w:ilvl w:val="0"/>
          <w:numId w:val="2"/>
        </w:numPr>
        <w:tabs>
          <w:tab w:val="left" w:pos="1800"/>
        </w:tabs>
        <w:spacing w:before="2"/>
        <w:ind w:right="1506"/>
      </w:pPr>
      <w:r>
        <w:t>Feltner C, Wallace I, Kistler C, Coker-Schwimmer M, Jonas DE, Middleton JC. Screening for Hearing Loss in Older Adults: An Evidence Review for the U.S. Preventive Services Task Force. Comparative</w:t>
      </w:r>
      <w:r>
        <w:rPr>
          <w:spacing w:val="-3"/>
        </w:rPr>
        <w:t xml:space="preserve"> </w:t>
      </w:r>
      <w:r>
        <w:t>Effectiveness</w:t>
      </w:r>
      <w:r>
        <w:rPr>
          <w:spacing w:val="-5"/>
        </w:rPr>
        <w:t xml:space="preserve"> </w:t>
      </w:r>
      <w:r>
        <w:t>Review</w:t>
      </w:r>
      <w:r>
        <w:rPr>
          <w:spacing w:val="-3"/>
        </w:rPr>
        <w:t xml:space="preserve"> </w:t>
      </w:r>
      <w:r>
        <w:t>No.</w:t>
      </w:r>
      <w:r>
        <w:rPr>
          <w:spacing w:val="-3"/>
        </w:rPr>
        <w:t xml:space="preserve"> </w:t>
      </w:r>
      <w:r>
        <w:t>200.</w:t>
      </w:r>
      <w:r>
        <w:rPr>
          <w:spacing w:val="-3"/>
        </w:rPr>
        <w:t xml:space="preserve"> </w:t>
      </w:r>
      <w:r>
        <w:t>AHRQ</w:t>
      </w:r>
      <w:r>
        <w:rPr>
          <w:spacing w:val="-5"/>
        </w:rPr>
        <w:t xml:space="preserve"> </w:t>
      </w:r>
      <w:r>
        <w:t>Publication</w:t>
      </w:r>
      <w:r>
        <w:rPr>
          <w:spacing w:val="-4"/>
        </w:rPr>
        <w:t xml:space="preserve"> </w:t>
      </w:r>
      <w:r>
        <w:t>No.</w:t>
      </w:r>
      <w:r>
        <w:rPr>
          <w:spacing w:val="-3"/>
        </w:rPr>
        <w:t xml:space="preserve"> </w:t>
      </w:r>
      <w:r>
        <w:t>20-05269-EF-1.</w:t>
      </w:r>
      <w:r>
        <w:rPr>
          <w:spacing w:val="-6"/>
        </w:rPr>
        <w:t xml:space="preserve"> </w:t>
      </w:r>
      <w:r>
        <w:t>Rockville,</w:t>
      </w:r>
      <w:r>
        <w:rPr>
          <w:spacing w:val="-5"/>
        </w:rPr>
        <w:t xml:space="preserve"> </w:t>
      </w:r>
      <w:r>
        <w:t>MD: Agency for Healthcare Research and Quality; 2021.</w:t>
      </w:r>
    </w:p>
    <w:p w14:paraId="7A4C334F" w14:textId="77777777" w:rsidR="00E13D3F" w:rsidRDefault="00FB2D6A" w:rsidP="00990D2B">
      <w:pPr>
        <w:pStyle w:val="ListParagraph"/>
        <w:numPr>
          <w:ilvl w:val="0"/>
          <w:numId w:val="2"/>
        </w:numPr>
        <w:tabs>
          <w:tab w:val="left" w:pos="1800"/>
        </w:tabs>
        <w:ind w:right="1844"/>
        <w:jc w:val="both"/>
      </w:pPr>
      <w:r>
        <w:t>Davis A, Smith P, Ferguson M, Stephens D, Gianopoulos I. Acceptability, benefit and costs of early</w:t>
      </w:r>
      <w:r>
        <w:rPr>
          <w:spacing w:val="-2"/>
        </w:rPr>
        <w:t xml:space="preserve"> </w:t>
      </w:r>
      <w:r>
        <w:t>screening</w:t>
      </w:r>
      <w:r>
        <w:rPr>
          <w:spacing w:val="-3"/>
        </w:rPr>
        <w:t xml:space="preserve"> </w:t>
      </w:r>
      <w:r>
        <w:t>for</w:t>
      </w:r>
      <w:r>
        <w:rPr>
          <w:spacing w:val="-2"/>
        </w:rPr>
        <w:t xml:space="preserve"> </w:t>
      </w:r>
      <w:r>
        <w:t>hearing</w:t>
      </w:r>
      <w:r>
        <w:rPr>
          <w:spacing w:val="-3"/>
        </w:rPr>
        <w:t xml:space="preserve"> </w:t>
      </w:r>
      <w:r>
        <w:t>disability:</w:t>
      </w:r>
      <w:r>
        <w:rPr>
          <w:spacing w:val="-2"/>
        </w:rPr>
        <w:t xml:space="preserve"> </w:t>
      </w:r>
      <w:r>
        <w:t>a</w:t>
      </w:r>
      <w:r>
        <w:rPr>
          <w:spacing w:val="-4"/>
        </w:rPr>
        <w:t xml:space="preserve"> </w:t>
      </w:r>
      <w:r>
        <w:t>study</w:t>
      </w:r>
      <w:r>
        <w:rPr>
          <w:spacing w:val="-4"/>
        </w:rPr>
        <w:t xml:space="preserve"> </w:t>
      </w:r>
      <w:r>
        <w:t>of</w:t>
      </w:r>
      <w:r>
        <w:rPr>
          <w:spacing w:val="-2"/>
        </w:rPr>
        <w:t xml:space="preserve"> </w:t>
      </w:r>
      <w:r>
        <w:t>potential</w:t>
      </w:r>
      <w:r>
        <w:rPr>
          <w:spacing w:val="-3"/>
        </w:rPr>
        <w:t xml:space="preserve"> </w:t>
      </w:r>
      <w:r>
        <w:t>screening</w:t>
      </w:r>
      <w:r>
        <w:rPr>
          <w:spacing w:val="-5"/>
        </w:rPr>
        <w:t xml:space="preserve"> </w:t>
      </w:r>
      <w:r>
        <w:t>tests</w:t>
      </w:r>
      <w:r>
        <w:rPr>
          <w:spacing w:val="-4"/>
        </w:rPr>
        <w:t xml:space="preserve"> </w:t>
      </w:r>
      <w:r>
        <w:t>and</w:t>
      </w:r>
      <w:r>
        <w:rPr>
          <w:spacing w:val="-6"/>
        </w:rPr>
        <w:t xml:space="preserve"> </w:t>
      </w:r>
      <w:r>
        <w:t>models.</w:t>
      </w:r>
      <w:r>
        <w:rPr>
          <w:spacing w:val="-2"/>
        </w:rPr>
        <w:t xml:space="preserve"> </w:t>
      </w:r>
      <w:r>
        <w:t>Health Technol Assess. 2007;11(42):1-294.</w:t>
      </w:r>
    </w:p>
    <w:p w14:paraId="7A4C3350" w14:textId="77777777" w:rsidR="00E13D3F" w:rsidRDefault="00FB2D6A" w:rsidP="00990D2B">
      <w:pPr>
        <w:pStyle w:val="ListParagraph"/>
        <w:numPr>
          <w:ilvl w:val="0"/>
          <w:numId w:val="2"/>
        </w:numPr>
        <w:tabs>
          <w:tab w:val="left" w:pos="1800"/>
        </w:tabs>
        <w:ind w:right="1741"/>
        <w:jc w:val="both"/>
      </w:pPr>
      <w:r>
        <w:t>Simpson</w:t>
      </w:r>
      <w:r>
        <w:rPr>
          <w:spacing w:val="-3"/>
        </w:rPr>
        <w:t xml:space="preserve"> </w:t>
      </w:r>
      <w:r>
        <w:t>AN,</w:t>
      </w:r>
      <w:r>
        <w:rPr>
          <w:spacing w:val="-5"/>
        </w:rPr>
        <w:t xml:space="preserve"> </w:t>
      </w:r>
      <w:r>
        <w:t>Matthews</w:t>
      </w:r>
      <w:r>
        <w:rPr>
          <w:spacing w:val="-1"/>
        </w:rPr>
        <w:t xml:space="preserve"> </w:t>
      </w:r>
      <w:r>
        <w:t>LJ,</w:t>
      </w:r>
      <w:r>
        <w:rPr>
          <w:spacing w:val="-7"/>
        </w:rPr>
        <w:t xml:space="preserve"> </w:t>
      </w:r>
      <w:proofErr w:type="spellStart"/>
      <w:r>
        <w:t>Cassarly</w:t>
      </w:r>
      <w:proofErr w:type="spellEnd"/>
      <w:r>
        <w:rPr>
          <w:spacing w:val="-2"/>
        </w:rPr>
        <w:t xml:space="preserve"> </w:t>
      </w:r>
      <w:r>
        <w:t>C,</w:t>
      </w:r>
      <w:r>
        <w:rPr>
          <w:spacing w:val="-2"/>
        </w:rPr>
        <w:t xml:space="preserve"> </w:t>
      </w:r>
      <w:proofErr w:type="spellStart"/>
      <w:r>
        <w:t>Dubno</w:t>
      </w:r>
      <w:proofErr w:type="spellEnd"/>
      <w:r>
        <w:rPr>
          <w:spacing w:val="-1"/>
        </w:rPr>
        <w:t xml:space="preserve"> </w:t>
      </w:r>
      <w:r>
        <w:t>JR.</w:t>
      </w:r>
      <w:r>
        <w:rPr>
          <w:spacing w:val="-3"/>
        </w:rPr>
        <w:t xml:space="preserve"> </w:t>
      </w:r>
      <w:r>
        <w:t>Time</w:t>
      </w:r>
      <w:r>
        <w:rPr>
          <w:spacing w:val="-6"/>
        </w:rPr>
        <w:t xml:space="preserve"> </w:t>
      </w:r>
      <w:r>
        <w:t>From</w:t>
      </w:r>
      <w:r>
        <w:rPr>
          <w:spacing w:val="-4"/>
        </w:rPr>
        <w:t xml:space="preserve"> </w:t>
      </w:r>
      <w:r>
        <w:t>Hearing Aid</w:t>
      </w:r>
      <w:r>
        <w:rPr>
          <w:spacing w:val="-3"/>
        </w:rPr>
        <w:t xml:space="preserve"> </w:t>
      </w:r>
      <w:r>
        <w:t>Candidacy</w:t>
      </w:r>
      <w:r>
        <w:rPr>
          <w:spacing w:val="-2"/>
        </w:rPr>
        <w:t xml:space="preserve"> </w:t>
      </w:r>
      <w:r>
        <w:t>to</w:t>
      </w:r>
      <w:r>
        <w:rPr>
          <w:spacing w:val="-1"/>
        </w:rPr>
        <w:t xml:space="preserve"> </w:t>
      </w:r>
      <w:r>
        <w:t>Hearing Aid Adoption: A Longitudinal Cohort Study. Ear Hear. 2019;40(3):468-76.</w:t>
      </w:r>
    </w:p>
    <w:p w14:paraId="7A4C3351" w14:textId="77777777" w:rsidR="00E13D3F" w:rsidRDefault="00FB2D6A" w:rsidP="00990D2B">
      <w:pPr>
        <w:pStyle w:val="ListParagraph"/>
        <w:numPr>
          <w:ilvl w:val="0"/>
          <w:numId w:val="2"/>
        </w:numPr>
        <w:tabs>
          <w:tab w:val="left" w:pos="1800"/>
        </w:tabs>
        <w:ind w:right="2021"/>
      </w:pPr>
      <w:proofErr w:type="spellStart"/>
      <w:r>
        <w:t>Benova</w:t>
      </w:r>
      <w:proofErr w:type="spellEnd"/>
      <w:r>
        <w:rPr>
          <w:spacing w:val="-3"/>
        </w:rPr>
        <w:t xml:space="preserve"> </w:t>
      </w:r>
      <w:r>
        <w:t>L,</w:t>
      </w:r>
      <w:r>
        <w:rPr>
          <w:spacing w:val="-3"/>
        </w:rPr>
        <w:t xml:space="preserve"> </w:t>
      </w:r>
      <w:r>
        <w:t>Grundy</w:t>
      </w:r>
      <w:r>
        <w:rPr>
          <w:spacing w:val="-4"/>
        </w:rPr>
        <w:t xml:space="preserve"> </w:t>
      </w:r>
      <w:r>
        <w:t>E,</w:t>
      </w:r>
      <w:r>
        <w:rPr>
          <w:spacing w:val="-4"/>
        </w:rPr>
        <w:t xml:space="preserve"> </w:t>
      </w:r>
      <w:proofErr w:type="spellStart"/>
      <w:r>
        <w:t>Ploubidis</w:t>
      </w:r>
      <w:proofErr w:type="spellEnd"/>
      <w:r>
        <w:rPr>
          <w:spacing w:val="-3"/>
        </w:rPr>
        <w:t xml:space="preserve"> </w:t>
      </w:r>
      <w:r>
        <w:t>GB.</w:t>
      </w:r>
      <w:r>
        <w:rPr>
          <w:spacing w:val="-3"/>
        </w:rPr>
        <w:t xml:space="preserve"> </w:t>
      </w:r>
      <w:r>
        <w:t>Socioeconomic</w:t>
      </w:r>
      <w:r>
        <w:rPr>
          <w:spacing w:val="-3"/>
        </w:rPr>
        <w:t xml:space="preserve"> </w:t>
      </w:r>
      <w:r>
        <w:t>position</w:t>
      </w:r>
      <w:r>
        <w:rPr>
          <w:spacing w:val="-4"/>
        </w:rPr>
        <w:t xml:space="preserve"> </w:t>
      </w:r>
      <w:r>
        <w:t>and</w:t>
      </w:r>
      <w:r>
        <w:rPr>
          <w:spacing w:val="-4"/>
        </w:rPr>
        <w:t xml:space="preserve"> </w:t>
      </w:r>
      <w:r>
        <w:t>health-seeking</w:t>
      </w:r>
      <w:r>
        <w:rPr>
          <w:spacing w:val="-4"/>
        </w:rPr>
        <w:t xml:space="preserve"> </w:t>
      </w:r>
      <w:r>
        <w:t>behavior</w:t>
      </w:r>
      <w:r>
        <w:rPr>
          <w:spacing w:val="-3"/>
        </w:rPr>
        <w:t xml:space="preserve"> </w:t>
      </w:r>
      <w:r>
        <w:t>for hearing loss among older adults in England. Journals of Gerontology. 2015;70(3):443-52.</w:t>
      </w:r>
    </w:p>
    <w:p w14:paraId="7A4C3352" w14:textId="77777777" w:rsidR="00E13D3F" w:rsidRDefault="00FB2D6A" w:rsidP="00990D2B">
      <w:pPr>
        <w:pStyle w:val="ListParagraph"/>
        <w:numPr>
          <w:ilvl w:val="0"/>
          <w:numId w:val="2"/>
        </w:numPr>
        <w:tabs>
          <w:tab w:val="left" w:pos="1800"/>
        </w:tabs>
        <w:ind w:right="1766"/>
      </w:pPr>
      <w:proofErr w:type="spellStart"/>
      <w:r>
        <w:t>Tahden</w:t>
      </w:r>
      <w:proofErr w:type="spellEnd"/>
      <w:r>
        <w:t xml:space="preserve"> MAS, Gieseler A, Meis M, Wagener KC, </w:t>
      </w:r>
      <w:proofErr w:type="spellStart"/>
      <w:r>
        <w:t>Colonius</w:t>
      </w:r>
      <w:proofErr w:type="spellEnd"/>
      <w:r>
        <w:t xml:space="preserve"> H. What Keeps Older Adults With Hearing</w:t>
      </w:r>
      <w:r>
        <w:rPr>
          <w:spacing w:val="-5"/>
        </w:rPr>
        <w:t xml:space="preserve"> </w:t>
      </w:r>
      <w:r>
        <w:t>Impairment</w:t>
      </w:r>
      <w:r>
        <w:rPr>
          <w:spacing w:val="-4"/>
        </w:rPr>
        <w:t xml:space="preserve"> </w:t>
      </w:r>
      <w:r>
        <w:t>From</w:t>
      </w:r>
      <w:r>
        <w:rPr>
          <w:spacing w:val="-5"/>
        </w:rPr>
        <w:t xml:space="preserve"> </w:t>
      </w:r>
      <w:r>
        <w:t>Adopting</w:t>
      </w:r>
      <w:r>
        <w:rPr>
          <w:spacing w:val="-5"/>
        </w:rPr>
        <w:t xml:space="preserve"> </w:t>
      </w:r>
      <w:r>
        <w:t>Hearing</w:t>
      </w:r>
      <w:r>
        <w:rPr>
          <w:spacing w:val="-5"/>
        </w:rPr>
        <w:t xml:space="preserve"> </w:t>
      </w:r>
      <w:r>
        <w:t>Aids?</w:t>
      </w:r>
      <w:r>
        <w:rPr>
          <w:spacing w:val="-6"/>
        </w:rPr>
        <w:t xml:space="preserve"> </w:t>
      </w:r>
      <w:r>
        <w:t>Trends</w:t>
      </w:r>
      <w:r>
        <w:rPr>
          <w:spacing w:val="-4"/>
        </w:rPr>
        <w:t xml:space="preserve"> </w:t>
      </w:r>
      <w:r>
        <w:t>Hear.</w:t>
      </w:r>
      <w:r>
        <w:rPr>
          <w:spacing w:val="-4"/>
        </w:rPr>
        <w:t xml:space="preserve"> </w:t>
      </w:r>
      <w:r>
        <w:t>2018;22:2331216518809737.</w:t>
      </w:r>
    </w:p>
    <w:p w14:paraId="7A4C3353" w14:textId="77777777" w:rsidR="00E13D3F" w:rsidRDefault="00FB2D6A" w:rsidP="00990D2B">
      <w:pPr>
        <w:pStyle w:val="ListParagraph"/>
        <w:numPr>
          <w:ilvl w:val="0"/>
          <w:numId w:val="2"/>
        </w:numPr>
        <w:tabs>
          <w:tab w:val="left" w:pos="1800"/>
        </w:tabs>
        <w:spacing w:before="1"/>
        <w:ind w:right="1959"/>
      </w:pPr>
      <w:r>
        <w:t>The</w:t>
      </w:r>
      <w:r>
        <w:rPr>
          <w:spacing w:val="-2"/>
        </w:rPr>
        <w:t xml:space="preserve"> </w:t>
      </w:r>
      <w:r>
        <w:t>Royal</w:t>
      </w:r>
      <w:r>
        <w:rPr>
          <w:spacing w:val="-5"/>
        </w:rPr>
        <w:t xml:space="preserve"> </w:t>
      </w:r>
      <w:r>
        <w:t>Australian</w:t>
      </w:r>
      <w:r>
        <w:rPr>
          <w:spacing w:val="-3"/>
        </w:rPr>
        <w:t xml:space="preserve"> </w:t>
      </w:r>
      <w:r>
        <w:t>College</w:t>
      </w:r>
      <w:r>
        <w:rPr>
          <w:spacing w:val="-2"/>
        </w:rPr>
        <w:t xml:space="preserve"> </w:t>
      </w:r>
      <w:r>
        <w:t>of</w:t>
      </w:r>
      <w:r>
        <w:rPr>
          <w:spacing w:val="-5"/>
        </w:rPr>
        <w:t xml:space="preserve"> </w:t>
      </w:r>
      <w:r>
        <w:t>General</w:t>
      </w:r>
      <w:r>
        <w:rPr>
          <w:spacing w:val="-2"/>
        </w:rPr>
        <w:t xml:space="preserve"> </w:t>
      </w:r>
      <w:r>
        <w:t>Practitioners.</w:t>
      </w:r>
      <w:r>
        <w:rPr>
          <w:spacing w:val="-5"/>
        </w:rPr>
        <w:t xml:space="preserve"> </w:t>
      </w:r>
      <w:r>
        <w:t>Guidelines</w:t>
      </w:r>
      <w:r>
        <w:rPr>
          <w:spacing w:val="-1"/>
        </w:rPr>
        <w:t xml:space="preserve"> </w:t>
      </w:r>
      <w:r>
        <w:t>for</w:t>
      </w:r>
      <w:r>
        <w:rPr>
          <w:spacing w:val="-5"/>
        </w:rPr>
        <w:t xml:space="preserve"> </w:t>
      </w:r>
      <w:r>
        <w:t>preventive</w:t>
      </w:r>
      <w:r>
        <w:rPr>
          <w:spacing w:val="-2"/>
        </w:rPr>
        <w:t xml:space="preserve"> </w:t>
      </w:r>
      <w:r>
        <w:t>activities</w:t>
      </w:r>
      <w:r>
        <w:rPr>
          <w:spacing w:val="-1"/>
        </w:rPr>
        <w:t xml:space="preserve"> </w:t>
      </w:r>
      <w:r>
        <w:t>in general practice. 9th ed. East Melbourne, VIC: RACGP, 2016.</w:t>
      </w:r>
    </w:p>
    <w:p w14:paraId="7A4C3354" w14:textId="77777777" w:rsidR="00E13D3F" w:rsidRDefault="00FB2D6A" w:rsidP="00990D2B">
      <w:pPr>
        <w:pStyle w:val="ListParagraph"/>
        <w:numPr>
          <w:ilvl w:val="0"/>
          <w:numId w:val="2"/>
        </w:numPr>
        <w:tabs>
          <w:tab w:val="left" w:pos="1800"/>
        </w:tabs>
        <w:ind w:right="1581"/>
      </w:pPr>
      <w:r>
        <w:t>Yueh</w:t>
      </w:r>
      <w:r>
        <w:rPr>
          <w:spacing w:val="-1"/>
        </w:rPr>
        <w:t xml:space="preserve"> </w:t>
      </w:r>
      <w:r>
        <w:t>B,</w:t>
      </w:r>
      <w:r>
        <w:rPr>
          <w:spacing w:val="-1"/>
        </w:rPr>
        <w:t xml:space="preserve"> </w:t>
      </w:r>
      <w:r>
        <w:t>Collins</w:t>
      </w:r>
      <w:r>
        <w:rPr>
          <w:spacing w:val="-3"/>
        </w:rPr>
        <w:t xml:space="preserve"> </w:t>
      </w:r>
      <w:r>
        <w:t>MP,</w:t>
      </w:r>
      <w:r>
        <w:rPr>
          <w:spacing w:val="-4"/>
        </w:rPr>
        <w:t xml:space="preserve"> </w:t>
      </w:r>
      <w:r>
        <w:t>Souza</w:t>
      </w:r>
      <w:r>
        <w:rPr>
          <w:spacing w:val="-3"/>
        </w:rPr>
        <w:t xml:space="preserve"> </w:t>
      </w:r>
      <w:r>
        <w:t>PE,</w:t>
      </w:r>
      <w:r>
        <w:rPr>
          <w:spacing w:val="-1"/>
        </w:rPr>
        <w:t xml:space="preserve"> </w:t>
      </w:r>
      <w:r>
        <w:t>Boyko EJ,</w:t>
      </w:r>
      <w:r>
        <w:rPr>
          <w:spacing w:val="-4"/>
        </w:rPr>
        <w:t xml:space="preserve"> </w:t>
      </w:r>
      <w:proofErr w:type="spellStart"/>
      <w:r>
        <w:t>Loovis</w:t>
      </w:r>
      <w:proofErr w:type="spellEnd"/>
      <w:r>
        <w:rPr>
          <w:spacing w:val="-1"/>
        </w:rPr>
        <w:t xml:space="preserve"> </w:t>
      </w:r>
      <w:r>
        <w:t>CF,</w:t>
      </w:r>
      <w:r>
        <w:rPr>
          <w:spacing w:val="-4"/>
        </w:rPr>
        <w:t xml:space="preserve"> </w:t>
      </w:r>
      <w:r>
        <w:t>Heagerty</w:t>
      </w:r>
      <w:r>
        <w:rPr>
          <w:spacing w:val="-2"/>
        </w:rPr>
        <w:t xml:space="preserve"> </w:t>
      </w:r>
      <w:r>
        <w:t>PJ,</w:t>
      </w:r>
      <w:r>
        <w:rPr>
          <w:spacing w:val="-3"/>
        </w:rPr>
        <w:t xml:space="preserve"> </w:t>
      </w:r>
      <w:r>
        <w:t>et</w:t>
      </w:r>
      <w:r>
        <w:rPr>
          <w:spacing w:val="-1"/>
        </w:rPr>
        <w:t xml:space="preserve"> </w:t>
      </w:r>
      <w:r>
        <w:t>al.</w:t>
      </w:r>
      <w:r>
        <w:rPr>
          <w:spacing w:val="-4"/>
        </w:rPr>
        <w:t xml:space="preserve"> </w:t>
      </w:r>
      <w:r>
        <w:t>Long-term effectiveness</w:t>
      </w:r>
      <w:r>
        <w:rPr>
          <w:spacing w:val="-4"/>
        </w:rPr>
        <w:t xml:space="preserve"> </w:t>
      </w:r>
      <w:r>
        <w:t xml:space="preserve">of screening for hearing loss: the screening for auditory impairment--which hearing assessment test (SAI-WHAT) randomized trial. J Am </w:t>
      </w:r>
      <w:proofErr w:type="spellStart"/>
      <w:r>
        <w:t>Geriatr</w:t>
      </w:r>
      <w:proofErr w:type="spellEnd"/>
      <w:r>
        <w:t xml:space="preserve"> Soc. 2010;58(3):427-34.</w:t>
      </w:r>
    </w:p>
    <w:p w14:paraId="7A4C3355" w14:textId="77777777" w:rsidR="00E13D3F" w:rsidRDefault="00FB2D6A" w:rsidP="00990D2B">
      <w:pPr>
        <w:pStyle w:val="ListParagraph"/>
        <w:numPr>
          <w:ilvl w:val="0"/>
          <w:numId w:val="2"/>
        </w:numPr>
        <w:tabs>
          <w:tab w:val="left" w:pos="1800"/>
        </w:tabs>
        <w:ind w:right="1631"/>
      </w:pPr>
      <w:r>
        <w:t>Ferguson</w:t>
      </w:r>
      <w:r>
        <w:rPr>
          <w:spacing w:val="-5"/>
        </w:rPr>
        <w:t xml:space="preserve"> </w:t>
      </w:r>
      <w:r>
        <w:t>MA,</w:t>
      </w:r>
      <w:r>
        <w:rPr>
          <w:spacing w:val="-2"/>
        </w:rPr>
        <w:t xml:space="preserve"> </w:t>
      </w:r>
      <w:proofErr w:type="spellStart"/>
      <w:r>
        <w:t>Kitterick</w:t>
      </w:r>
      <w:proofErr w:type="spellEnd"/>
      <w:r>
        <w:rPr>
          <w:spacing w:val="-4"/>
        </w:rPr>
        <w:t xml:space="preserve"> </w:t>
      </w:r>
      <w:r>
        <w:t>PT,</w:t>
      </w:r>
      <w:r>
        <w:rPr>
          <w:spacing w:val="-4"/>
        </w:rPr>
        <w:t xml:space="preserve"> </w:t>
      </w:r>
      <w:r>
        <w:t>Chong</w:t>
      </w:r>
      <w:r>
        <w:rPr>
          <w:spacing w:val="-3"/>
        </w:rPr>
        <w:t xml:space="preserve"> </w:t>
      </w:r>
      <w:r>
        <w:t>LY,</w:t>
      </w:r>
      <w:r>
        <w:rPr>
          <w:spacing w:val="-4"/>
        </w:rPr>
        <w:t xml:space="preserve"> </w:t>
      </w:r>
      <w:r>
        <w:t>Edmondson-Jones</w:t>
      </w:r>
      <w:r>
        <w:rPr>
          <w:spacing w:val="-1"/>
        </w:rPr>
        <w:t xml:space="preserve"> </w:t>
      </w:r>
      <w:r>
        <w:t>M,</w:t>
      </w:r>
      <w:r>
        <w:rPr>
          <w:spacing w:val="-2"/>
        </w:rPr>
        <w:t xml:space="preserve"> </w:t>
      </w:r>
      <w:r>
        <w:t>Barker</w:t>
      </w:r>
      <w:r>
        <w:rPr>
          <w:spacing w:val="-2"/>
        </w:rPr>
        <w:t xml:space="preserve"> </w:t>
      </w:r>
      <w:r>
        <w:t>F,</w:t>
      </w:r>
      <w:r>
        <w:rPr>
          <w:spacing w:val="-2"/>
        </w:rPr>
        <w:t xml:space="preserve"> </w:t>
      </w:r>
      <w:r>
        <w:t>Hoare</w:t>
      </w:r>
      <w:r>
        <w:rPr>
          <w:spacing w:val="-5"/>
        </w:rPr>
        <w:t xml:space="preserve"> </w:t>
      </w:r>
      <w:r>
        <w:t>DJ.</w:t>
      </w:r>
      <w:r>
        <w:rPr>
          <w:spacing w:val="-2"/>
        </w:rPr>
        <w:t xml:space="preserve"> </w:t>
      </w:r>
      <w:r>
        <w:t>Hearing</w:t>
      </w:r>
      <w:r>
        <w:rPr>
          <w:spacing w:val="-3"/>
        </w:rPr>
        <w:t xml:space="preserve"> </w:t>
      </w:r>
      <w:r>
        <w:t>aids</w:t>
      </w:r>
      <w:r>
        <w:rPr>
          <w:spacing w:val="-2"/>
        </w:rPr>
        <w:t xml:space="preserve"> </w:t>
      </w:r>
      <w:r>
        <w:t>for mild to moderate hearing loss in adults. Cochrane Database Syst Rev. 2017;9(9):Cd012023.</w:t>
      </w:r>
    </w:p>
    <w:p w14:paraId="7A4C3356" w14:textId="77777777" w:rsidR="00E13D3F" w:rsidRDefault="00FB2D6A" w:rsidP="00990D2B">
      <w:pPr>
        <w:pStyle w:val="ListParagraph"/>
        <w:numPr>
          <w:ilvl w:val="0"/>
          <w:numId w:val="2"/>
        </w:numPr>
        <w:tabs>
          <w:tab w:val="left" w:pos="1800"/>
        </w:tabs>
        <w:ind w:right="1471"/>
      </w:pPr>
      <w:r>
        <w:t>Hearing</w:t>
      </w:r>
      <w:r>
        <w:rPr>
          <w:spacing w:val="-3"/>
        </w:rPr>
        <w:t xml:space="preserve"> </w:t>
      </w:r>
      <w:r>
        <w:t>Health</w:t>
      </w:r>
      <w:r>
        <w:rPr>
          <w:spacing w:val="-2"/>
        </w:rPr>
        <w:t xml:space="preserve"> </w:t>
      </w:r>
      <w:r>
        <w:t>Sector</w:t>
      </w:r>
      <w:r>
        <w:rPr>
          <w:spacing w:val="-3"/>
        </w:rPr>
        <w:t xml:space="preserve"> </w:t>
      </w:r>
      <w:r>
        <w:t>Committee.</w:t>
      </w:r>
      <w:r>
        <w:rPr>
          <w:spacing w:val="-2"/>
        </w:rPr>
        <w:t xml:space="preserve"> </w:t>
      </w:r>
      <w:r>
        <w:t>Roadmap</w:t>
      </w:r>
      <w:r>
        <w:rPr>
          <w:spacing w:val="-3"/>
        </w:rPr>
        <w:t xml:space="preserve"> </w:t>
      </w:r>
      <w:r>
        <w:t>for</w:t>
      </w:r>
      <w:r>
        <w:rPr>
          <w:spacing w:val="-2"/>
        </w:rPr>
        <w:t xml:space="preserve"> </w:t>
      </w:r>
      <w:r>
        <w:t>Hearing</w:t>
      </w:r>
      <w:r>
        <w:rPr>
          <w:spacing w:val="-3"/>
        </w:rPr>
        <w:t xml:space="preserve"> </w:t>
      </w:r>
      <w:r>
        <w:t>Health.</w:t>
      </w:r>
      <w:r>
        <w:rPr>
          <w:spacing w:val="-4"/>
        </w:rPr>
        <w:t xml:space="preserve"> </w:t>
      </w:r>
      <w:r>
        <w:t>Department</w:t>
      </w:r>
      <w:r>
        <w:rPr>
          <w:spacing w:val="-4"/>
        </w:rPr>
        <w:t xml:space="preserve"> </w:t>
      </w:r>
      <w:r>
        <w:t>of</w:t>
      </w:r>
      <w:r>
        <w:rPr>
          <w:spacing w:val="-4"/>
        </w:rPr>
        <w:t xml:space="preserve"> </w:t>
      </w:r>
      <w:r>
        <w:t>Health</w:t>
      </w:r>
      <w:r>
        <w:rPr>
          <w:spacing w:val="-2"/>
        </w:rPr>
        <w:t xml:space="preserve"> </w:t>
      </w:r>
      <w:r>
        <w:t>and</w:t>
      </w:r>
      <w:r>
        <w:rPr>
          <w:spacing w:val="-3"/>
        </w:rPr>
        <w:t xml:space="preserve"> </w:t>
      </w:r>
      <w:r>
        <w:t>Aged Care; 2019.</w:t>
      </w:r>
    </w:p>
    <w:p w14:paraId="7A4C3357" w14:textId="77777777" w:rsidR="00E13D3F" w:rsidRDefault="00E13D3F">
      <w:pPr>
        <w:pStyle w:val="ListParagraph"/>
        <w:sectPr w:rsidR="00E13D3F">
          <w:pgSz w:w="11910" w:h="16840"/>
          <w:pgMar w:top="1380" w:right="0" w:bottom="1200" w:left="0" w:header="0" w:footer="1000" w:gutter="0"/>
          <w:cols w:space="720"/>
        </w:sectPr>
      </w:pPr>
    </w:p>
    <w:p w14:paraId="7A4C3358" w14:textId="77777777" w:rsidR="00E13D3F" w:rsidRDefault="00FB2D6A" w:rsidP="00990D2B">
      <w:pPr>
        <w:pStyle w:val="Heading1"/>
        <w:numPr>
          <w:ilvl w:val="0"/>
          <w:numId w:val="53"/>
        </w:numPr>
        <w:tabs>
          <w:tab w:val="left" w:pos="1841"/>
        </w:tabs>
        <w:ind w:left="1841" w:hanging="401"/>
        <w:rPr>
          <w:color w:val="2E5395"/>
          <w:u w:color="2E5395"/>
        </w:rPr>
      </w:pPr>
      <w:r>
        <w:rPr>
          <w:color w:val="2E5395"/>
          <w:spacing w:val="-7"/>
          <w:u w:color="2E5395"/>
        </w:rPr>
        <w:lastRenderedPageBreak/>
        <w:t xml:space="preserve"> </w:t>
      </w:r>
      <w:r>
        <w:rPr>
          <w:color w:val="2E5395"/>
          <w:u w:color="2E5395"/>
        </w:rPr>
        <w:t>The</w:t>
      </w:r>
      <w:r>
        <w:rPr>
          <w:color w:val="2E5395"/>
          <w:spacing w:val="-6"/>
          <w:u w:color="2E5395"/>
        </w:rPr>
        <w:t xml:space="preserve"> </w:t>
      </w:r>
      <w:r>
        <w:rPr>
          <w:color w:val="2E5395"/>
          <w:u w:color="2E5395"/>
        </w:rPr>
        <w:t>Health</w:t>
      </w:r>
      <w:r>
        <w:rPr>
          <w:color w:val="2E5395"/>
          <w:spacing w:val="-7"/>
          <w:u w:color="2E5395"/>
        </w:rPr>
        <w:t xml:space="preserve"> </w:t>
      </w:r>
      <w:r>
        <w:rPr>
          <w:color w:val="2E5395"/>
          <w:u w:color="2E5395"/>
        </w:rPr>
        <w:t>Assessment</w:t>
      </w:r>
      <w:r>
        <w:rPr>
          <w:color w:val="2E5395"/>
          <w:spacing w:val="-8"/>
          <w:u w:color="2E5395"/>
        </w:rPr>
        <w:t xml:space="preserve"> </w:t>
      </w:r>
      <w:r>
        <w:rPr>
          <w:color w:val="2E5395"/>
          <w:u w:color="2E5395"/>
        </w:rPr>
        <w:t>component:</w:t>
      </w:r>
      <w:r>
        <w:rPr>
          <w:color w:val="2E5395"/>
          <w:spacing w:val="-7"/>
          <w:u w:color="2E5395"/>
        </w:rPr>
        <w:t xml:space="preserve"> </w:t>
      </w:r>
      <w:r>
        <w:rPr>
          <w:color w:val="2E5395"/>
          <w:spacing w:val="-2"/>
          <w:u w:color="2E5395"/>
        </w:rPr>
        <w:t>Vision</w:t>
      </w:r>
    </w:p>
    <w:p w14:paraId="7A4C3359" w14:textId="77777777" w:rsidR="00E13D3F" w:rsidRDefault="00FB2D6A">
      <w:pPr>
        <w:pStyle w:val="Heading2"/>
        <w:spacing w:before="72"/>
      </w:pPr>
      <w:r>
        <w:rPr>
          <w:color w:val="2E5395"/>
        </w:rPr>
        <w:t>Background</w:t>
      </w:r>
      <w:r>
        <w:rPr>
          <w:color w:val="2E5395"/>
          <w:spacing w:val="-9"/>
        </w:rPr>
        <w:t xml:space="preserve"> </w:t>
      </w:r>
      <w:r>
        <w:rPr>
          <w:color w:val="2E5395"/>
        </w:rPr>
        <w:t>and</w:t>
      </w:r>
      <w:r>
        <w:rPr>
          <w:color w:val="2E5395"/>
          <w:spacing w:val="-10"/>
        </w:rPr>
        <w:t xml:space="preserve"> </w:t>
      </w:r>
      <w:r>
        <w:rPr>
          <w:color w:val="2E5395"/>
          <w:spacing w:val="-2"/>
        </w:rPr>
        <w:t>Description</w:t>
      </w:r>
    </w:p>
    <w:p w14:paraId="7A4C335A" w14:textId="77777777" w:rsidR="00E13D3F" w:rsidRDefault="00FB2D6A">
      <w:pPr>
        <w:pStyle w:val="BodyText"/>
        <w:spacing w:before="23" w:line="276" w:lineRule="auto"/>
        <w:ind w:right="1545"/>
      </w:pPr>
      <w:r>
        <w:t>With each decade of life after 40 years, age eye disease and visual impairment increase three-fold. Of the half a million people in Australia who are vision impaired or blind, more than</w:t>
      </w:r>
      <w:r>
        <w:rPr>
          <w:spacing w:val="-2"/>
        </w:rPr>
        <w:t xml:space="preserve"> </w:t>
      </w:r>
      <w:r>
        <w:t>70%</w:t>
      </w:r>
      <w:r>
        <w:rPr>
          <w:spacing w:val="-3"/>
        </w:rPr>
        <w:t xml:space="preserve"> </w:t>
      </w:r>
      <w:r>
        <w:t>are</w:t>
      </w:r>
      <w:r>
        <w:rPr>
          <w:spacing w:val="-4"/>
        </w:rPr>
        <w:t xml:space="preserve"> </w:t>
      </w:r>
      <w:r>
        <w:t>over</w:t>
      </w:r>
      <w:r>
        <w:rPr>
          <w:spacing w:val="-5"/>
        </w:rPr>
        <w:t xml:space="preserve"> </w:t>
      </w:r>
      <w:r>
        <w:t>the</w:t>
      </w:r>
      <w:r>
        <w:rPr>
          <w:spacing w:val="-5"/>
        </w:rPr>
        <w:t xml:space="preserve"> </w:t>
      </w:r>
      <w:r>
        <w:t>age</w:t>
      </w:r>
      <w:r>
        <w:rPr>
          <w:spacing w:val="-2"/>
        </w:rPr>
        <w:t xml:space="preserve"> </w:t>
      </w:r>
      <w:r>
        <w:t>of</w:t>
      </w:r>
      <w:r>
        <w:rPr>
          <w:spacing w:val="-4"/>
        </w:rPr>
        <w:t xml:space="preserve"> </w:t>
      </w:r>
      <w:r>
        <w:t>65</w:t>
      </w:r>
      <w:r>
        <w:rPr>
          <w:spacing w:val="-1"/>
        </w:rPr>
        <w:t xml:space="preserve"> </w:t>
      </w:r>
      <w:r>
        <w:t>(1).</w:t>
      </w:r>
      <w:r>
        <w:rPr>
          <w:spacing w:val="-4"/>
        </w:rPr>
        <w:t xml:space="preserve"> </w:t>
      </w:r>
      <w:r>
        <w:t>Approximately</w:t>
      </w:r>
      <w:r>
        <w:rPr>
          <w:spacing w:val="-3"/>
        </w:rPr>
        <w:t xml:space="preserve"> </w:t>
      </w:r>
      <w:r>
        <w:t>80%</w:t>
      </w:r>
      <w:r>
        <w:rPr>
          <w:spacing w:val="-3"/>
        </w:rPr>
        <w:t xml:space="preserve"> </w:t>
      </w:r>
      <w:r>
        <w:t>of</w:t>
      </w:r>
      <w:r>
        <w:rPr>
          <w:spacing w:val="-4"/>
        </w:rPr>
        <w:t xml:space="preserve"> </w:t>
      </w:r>
      <w:r>
        <w:t>blindness</w:t>
      </w:r>
      <w:r>
        <w:rPr>
          <w:spacing w:val="-3"/>
        </w:rPr>
        <w:t xml:space="preserve"> </w:t>
      </w:r>
      <w:r>
        <w:t>and</w:t>
      </w:r>
      <w:r>
        <w:rPr>
          <w:spacing w:val="-4"/>
        </w:rPr>
        <w:t xml:space="preserve"> </w:t>
      </w:r>
      <w:r>
        <w:t>vision</w:t>
      </w:r>
      <w:r>
        <w:rPr>
          <w:spacing w:val="-1"/>
        </w:rPr>
        <w:t xml:space="preserve"> </w:t>
      </w:r>
      <w:r>
        <w:t>impairment is preventable or treatable if detected early. The top five causes of vision impairment are:</w:t>
      </w:r>
    </w:p>
    <w:p w14:paraId="7A4C335B" w14:textId="77777777" w:rsidR="00E13D3F" w:rsidRDefault="00FB2D6A">
      <w:pPr>
        <w:pStyle w:val="BodyText"/>
        <w:spacing w:before="1"/>
      </w:pPr>
      <w:r>
        <w:t>(1)</w:t>
      </w:r>
      <w:r>
        <w:rPr>
          <w:spacing w:val="-6"/>
        </w:rPr>
        <w:t xml:space="preserve"> </w:t>
      </w:r>
      <w:r>
        <w:t>uncorrected</w:t>
      </w:r>
      <w:r>
        <w:rPr>
          <w:spacing w:val="-3"/>
        </w:rPr>
        <w:t xml:space="preserve"> </w:t>
      </w:r>
      <w:r>
        <w:t>refractive</w:t>
      </w:r>
      <w:r>
        <w:rPr>
          <w:spacing w:val="-2"/>
        </w:rPr>
        <w:t xml:space="preserve"> </w:t>
      </w:r>
      <w:r>
        <w:t>error</w:t>
      </w:r>
      <w:r>
        <w:rPr>
          <w:spacing w:val="-2"/>
        </w:rPr>
        <w:t xml:space="preserve"> </w:t>
      </w:r>
      <w:r>
        <w:t>(62%),</w:t>
      </w:r>
      <w:r>
        <w:rPr>
          <w:spacing w:val="-2"/>
        </w:rPr>
        <w:t xml:space="preserve"> </w:t>
      </w:r>
      <w:r>
        <w:t>(2)</w:t>
      </w:r>
      <w:r>
        <w:rPr>
          <w:spacing w:val="-4"/>
        </w:rPr>
        <w:t xml:space="preserve"> </w:t>
      </w:r>
      <w:r>
        <w:t>cataract</w:t>
      </w:r>
      <w:r>
        <w:rPr>
          <w:spacing w:val="-1"/>
        </w:rPr>
        <w:t xml:space="preserve"> </w:t>
      </w:r>
      <w:r>
        <w:t>(42%),</w:t>
      </w:r>
      <w:r>
        <w:rPr>
          <w:spacing w:val="-3"/>
        </w:rPr>
        <w:t xml:space="preserve"> </w:t>
      </w:r>
      <w:r>
        <w:t>(3)</w:t>
      </w:r>
      <w:r>
        <w:rPr>
          <w:spacing w:val="-3"/>
        </w:rPr>
        <w:t xml:space="preserve"> </w:t>
      </w:r>
      <w:r>
        <w:t>age-related</w:t>
      </w:r>
      <w:r>
        <w:rPr>
          <w:spacing w:val="-5"/>
        </w:rPr>
        <w:t xml:space="preserve"> </w:t>
      </w:r>
      <w:r>
        <w:rPr>
          <w:spacing w:val="-2"/>
        </w:rPr>
        <w:t>macular</w:t>
      </w:r>
    </w:p>
    <w:p w14:paraId="7A4C335C" w14:textId="77777777" w:rsidR="00E13D3F" w:rsidRDefault="00FB2D6A">
      <w:pPr>
        <w:pStyle w:val="BodyText"/>
        <w:spacing w:before="43" w:line="276" w:lineRule="auto"/>
        <w:ind w:right="1471"/>
      </w:pPr>
      <w:r>
        <w:t>degeneration (30%), (4) diabetic retinopathy (16%), and (5) glaucoma (16%) – the latter three</w:t>
      </w:r>
      <w:r>
        <w:rPr>
          <w:spacing w:val="-1"/>
        </w:rPr>
        <w:t xml:space="preserve"> </w:t>
      </w:r>
      <w:r>
        <w:t>also</w:t>
      </w:r>
      <w:r>
        <w:rPr>
          <w:spacing w:val="-4"/>
        </w:rPr>
        <w:t xml:space="preserve"> </w:t>
      </w:r>
      <w:r>
        <w:t>causing</w:t>
      </w:r>
      <w:r>
        <w:rPr>
          <w:spacing w:val="-4"/>
        </w:rPr>
        <w:t xml:space="preserve"> </w:t>
      </w:r>
      <w:r>
        <w:t>most</w:t>
      </w:r>
      <w:r>
        <w:rPr>
          <w:spacing w:val="-5"/>
        </w:rPr>
        <w:t xml:space="preserve"> </w:t>
      </w:r>
      <w:r>
        <w:t>blindness</w:t>
      </w:r>
      <w:r>
        <w:rPr>
          <w:spacing w:val="-2"/>
        </w:rPr>
        <w:t xml:space="preserve"> </w:t>
      </w:r>
      <w:r>
        <w:t>in</w:t>
      </w:r>
      <w:r>
        <w:rPr>
          <w:spacing w:val="-3"/>
        </w:rPr>
        <w:t xml:space="preserve"> </w:t>
      </w:r>
      <w:r>
        <w:t>people</w:t>
      </w:r>
      <w:r>
        <w:rPr>
          <w:spacing w:val="-3"/>
        </w:rPr>
        <w:t xml:space="preserve"> </w:t>
      </w:r>
      <w:r>
        <w:t>over</w:t>
      </w:r>
      <w:r>
        <w:rPr>
          <w:spacing w:val="-4"/>
        </w:rPr>
        <w:t xml:space="preserve"> </w:t>
      </w:r>
      <w:r>
        <w:t>65.</w:t>
      </w:r>
      <w:r>
        <w:rPr>
          <w:spacing w:val="-3"/>
        </w:rPr>
        <w:t xml:space="preserve"> </w:t>
      </w:r>
      <w:r>
        <w:t>Smoking</w:t>
      </w:r>
      <w:r>
        <w:rPr>
          <w:spacing w:val="-4"/>
        </w:rPr>
        <w:t xml:space="preserve"> </w:t>
      </w:r>
      <w:r>
        <w:t>(current</w:t>
      </w:r>
      <w:r>
        <w:rPr>
          <w:spacing w:val="-3"/>
        </w:rPr>
        <w:t xml:space="preserve"> </w:t>
      </w:r>
      <w:r>
        <w:t>or</w:t>
      </w:r>
      <w:r>
        <w:rPr>
          <w:spacing w:val="-3"/>
        </w:rPr>
        <w:t xml:space="preserve"> </w:t>
      </w:r>
      <w:r>
        <w:t>previous)</w:t>
      </w:r>
      <w:r>
        <w:rPr>
          <w:spacing w:val="-3"/>
        </w:rPr>
        <w:t xml:space="preserve"> </w:t>
      </w:r>
      <w:r>
        <w:t>increases the risk of age-related macular degeneration (2). Family history plays important role in</w:t>
      </w:r>
      <w:r>
        <w:rPr>
          <w:spacing w:val="40"/>
        </w:rPr>
        <w:t xml:space="preserve"> </w:t>
      </w:r>
      <w:r>
        <w:t>visual impairment; such history should be sought.</w:t>
      </w:r>
    </w:p>
    <w:p w14:paraId="7A4C335D" w14:textId="77777777" w:rsidR="00E13D3F" w:rsidRDefault="00FB2D6A">
      <w:pPr>
        <w:pStyle w:val="BodyText"/>
        <w:spacing w:before="160" w:line="276" w:lineRule="auto"/>
        <w:ind w:right="1450"/>
      </w:pPr>
      <w:r>
        <w:t>Some people with visual impairment are unaware of their problems. More than half of participants of National Eye Health Survey 2016 who were found to have an eye condition did not know they had that condition before the survey (3). Vision impairment also contributes to isolation, depression, and poorer social relationships, and is strongly associated</w:t>
      </w:r>
      <w:r>
        <w:rPr>
          <w:spacing w:val="-4"/>
        </w:rPr>
        <w:t xml:space="preserve"> </w:t>
      </w:r>
      <w:r>
        <w:t>with</w:t>
      </w:r>
      <w:r>
        <w:rPr>
          <w:spacing w:val="-4"/>
        </w:rPr>
        <w:t xml:space="preserve"> </w:t>
      </w:r>
      <w:r>
        <w:t>falls</w:t>
      </w:r>
      <w:r>
        <w:rPr>
          <w:spacing w:val="-4"/>
        </w:rPr>
        <w:t xml:space="preserve"> </w:t>
      </w:r>
      <w:r>
        <w:t>and</w:t>
      </w:r>
      <w:r>
        <w:rPr>
          <w:spacing w:val="-5"/>
        </w:rPr>
        <w:t xml:space="preserve"> </w:t>
      </w:r>
      <w:r>
        <w:t>hip</w:t>
      </w:r>
      <w:r>
        <w:rPr>
          <w:spacing w:val="-4"/>
        </w:rPr>
        <w:t xml:space="preserve"> </w:t>
      </w:r>
      <w:r>
        <w:t>fractures (4).</w:t>
      </w:r>
      <w:r>
        <w:rPr>
          <w:spacing w:val="-4"/>
        </w:rPr>
        <w:t xml:space="preserve"> </w:t>
      </w:r>
      <w:r>
        <w:t>Hence</w:t>
      </w:r>
      <w:r>
        <w:rPr>
          <w:spacing w:val="-4"/>
        </w:rPr>
        <w:t xml:space="preserve"> </w:t>
      </w:r>
      <w:r>
        <w:t>assessments</w:t>
      </w:r>
      <w:r>
        <w:rPr>
          <w:spacing w:val="-4"/>
        </w:rPr>
        <w:t xml:space="preserve"> </w:t>
      </w:r>
      <w:r>
        <w:t>might</w:t>
      </w:r>
      <w:r>
        <w:rPr>
          <w:spacing w:val="-2"/>
        </w:rPr>
        <w:t xml:space="preserve"> </w:t>
      </w:r>
      <w:r>
        <w:t>determine</w:t>
      </w:r>
      <w:r>
        <w:rPr>
          <w:spacing w:val="-4"/>
        </w:rPr>
        <w:t xml:space="preserve"> </w:t>
      </w:r>
      <w:r>
        <w:t>whether</w:t>
      </w:r>
      <w:r>
        <w:rPr>
          <w:spacing w:val="-4"/>
        </w:rPr>
        <w:t xml:space="preserve"> </w:t>
      </w:r>
      <w:r>
        <w:t xml:space="preserve">the patient is wearing up-to-date prescription spectacles, and whether there is a possibility of falls because the patient is no longer capable of managing a bifocal, trifocal, or multifocal </w:t>
      </w:r>
      <w:r>
        <w:rPr>
          <w:spacing w:val="-2"/>
        </w:rPr>
        <w:t>prescription.</w:t>
      </w:r>
    </w:p>
    <w:p w14:paraId="7A4C335E" w14:textId="77777777" w:rsidR="00E13D3F" w:rsidRDefault="00FB2D6A">
      <w:pPr>
        <w:pStyle w:val="BodyText"/>
        <w:spacing w:before="161" w:line="276" w:lineRule="auto"/>
        <w:ind w:right="1450"/>
      </w:pPr>
      <w:r>
        <w:t>Currently, Australian GPs are assessing vision annually starting at age 65 if symptomatic or when requested by patients, as recommended by the RACGP Guidelines for preventive activities in general practice (the Red Book) using Snellen chart (5). There is also mandatory health</w:t>
      </w:r>
      <w:r>
        <w:rPr>
          <w:spacing w:val="-2"/>
        </w:rPr>
        <w:t xml:space="preserve"> </w:t>
      </w:r>
      <w:r>
        <w:t>assessment</w:t>
      </w:r>
      <w:r>
        <w:rPr>
          <w:spacing w:val="-4"/>
        </w:rPr>
        <w:t xml:space="preserve"> </w:t>
      </w:r>
      <w:r>
        <w:t>for</w:t>
      </w:r>
      <w:r>
        <w:rPr>
          <w:spacing w:val="-2"/>
        </w:rPr>
        <w:t xml:space="preserve"> </w:t>
      </w:r>
      <w:r>
        <w:t>people</w:t>
      </w:r>
      <w:r>
        <w:rPr>
          <w:spacing w:val="-4"/>
        </w:rPr>
        <w:t xml:space="preserve"> </w:t>
      </w:r>
      <w:r>
        <w:t>over</w:t>
      </w:r>
      <w:r>
        <w:rPr>
          <w:spacing w:val="-5"/>
        </w:rPr>
        <w:t xml:space="preserve"> </w:t>
      </w:r>
      <w:r>
        <w:t>75</w:t>
      </w:r>
      <w:r>
        <w:rPr>
          <w:spacing w:val="-4"/>
        </w:rPr>
        <w:t xml:space="preserve"> </w:t>
      </w:r>
      <w:r>
        <w:t>to</w:t>
      </w:r>
      <w:r>
        <w:rPr>
          <w:spacing w:val="-4"/>
        </w:rPr>
        <w:t xml:space="preserve"> </w:t>
      </w:r>
      <w:r>
        <w:t>maintain</w:t>
      </w:r>
      <w:r>
        <w:rPr>
          <w:spacing w:val="-6"/>
        </w:rPr>
        <w:t xml:space="preserve"> </w:t>
      </w:r>
      <w:r>
        <w:t>driver’s</w:t>
      </w:r>
      <w:r>
        <w:rPr>
          <w:spacing w:val="-3"/>
        </w:rPr>
        <w:t xml:space="preserve"> </w:t>
      </w:r>
      <w:proofErr w:type="spellStart"/>
      <w:r>
        <w:t>licence</w:t>
      </w:r>
      <w:proofErr w:type="spellEnd"/>
      <w:r>
        <w:rPr>
          <w:spacing w:val="-2"/>
        </w:rPr>
        <w:t xml:space="preserve"> </w:t>
      </w:r>
      <w:r>
        <w:t>in</w:t>
      </w:r>
      <w:r>
        <w:rPr>
          <w:spacing w:val="-2"/>
        </w:rPr>
        <w:t xml:space="preserve"> </w:t>
      </w:r>
      <w:r>
        <w:t>ACT,</w:t>
      </w:r>
      <w:r>
        <w:rPr>
          <w:spacing w:val="-2"/>
        </w:rPr>
        <w:t xml:space="preserve"> </w:t>
      </w:r>
      <w:r>
        <w:t>SA, QLD,</w:t>
      </w:r>
      <w:r>
        <w:rPr>
          <w:spacing w:val="-4"/>
        </w:rPr>
        <w:t xml:space="preserve"> </w:t>
      </w:r>
      <w:r>
        <w:t>NSW,</w:t>
      </w:r>
      <w:r>
        <w:rPr>
          <w:spacing w:val="-2"/>
        </w:rPr>
        <w:t xml:space="preserve"> </w:t>
      </w:r>
      <w:r>
        <w:t>and WA, which includes vision checks.</w:t>
      </w:r>
    </w:p>
    <w:p w14:paraId="7A4C335F" w14:textId="77777777" w:rsidR="00E13D3F" w:rsidRDefault="00FB2D6A">
      <w:pPr>
        <w:pStyle w:val="Heading2"/>
        <w:spacing w:before="162"/>
      </w:pPr>
      <w:r>
        <w:rPr>
          <w:color w:val="2E5395"/>
        </w:rPr>
        <w:t>Evidence</w:t>
      </w:r>
      <w:r>
        <w:rPr>
          <w:color w:val="2E5395"/>
          <w:spacing w:val="-9"/>
        </w:rPr>
        <w:t xml:space="preserve"> </w:t>
      </w:r>
      <w:r>
        <w:rPr>
          <w:color w:val="2E5395"/>
        </w:rPr>
        <w:t>of</w:t>
      </w:r>
      <w:r>
        <w:rPr>
          <w:color w:val="2E5395"/>
          <w:spacing w:val="-9"/>
        </w:rPr>
        <w:t xml:space="preserve"> </w:t>
      </w:r>
      <w:r>
        <w:rPr>
          <w:color w:val="2E5395"/>
          <w:spacing w:val="-2"/>
        </w:rPr>
        <w:t>Effectiveness</w:t>
      </w:r>
    </w:p>
    <w:p w14:paraId="7A4C3360" w14:textId="77777777" w:rsidR="00E13D3F" w:rsidRDefault="00FB2D6A">
      <w:pPr>
        <w:pStyle w:val="BodyText"/>
        <w:spacing w:before="23" w:line="276" w:lineRule="auto"/>
        <w:ind w:right="1494"/>
      </w:pPr>
      <w:r>
        <w:t>In 2022 USPSTF reviewed (AMSTAR rating 8) the evidence for screening for impaired visual acuity in asymptomatic older adults (6). “Asymptomatic” individuals are defined as those without known impaired visual acuity (based on current corrected vision) who have not sought care for evaluation of vision problems. Impaired visual acuity has been defined as visual</w:t>
      </w:r>
      <w:r>
        <w:rPr>
          <w:spacing w:val="-2"/>
        </w:rPr>
        <w:t xml:space="preserve"> </w:t>
      </w:r>
      <w:r>
        <w:t>acuity</w:t>
      </w:r>
      <w:r>
        <w:rPr>
          <w:spacing w:val="-3"/>
        </w:rPr>
        <w:t xml:space="preserve"> </w:t>
      </w:r>
      <w:r>
        <w:t>of</w:t>
      </w:r>
      <w:r>
        <w:rPr>
          <w:spacing w:val="-4"/>
        </w:rPr>
        <w:t xml:space="preserve"> </w:t>
      </w:r>
      <w:r>
        <w:t>worse</w:t>
      </w:r>
      <w:r>
        <w:rPr>
          <w:spacing w:val="-4"/>
        </w:rPr>
        <w:t xml:space="preserve"> </w:t>
      </w:r>
      <w:r>
        <w:t>than</w:t>
      </w:r>
      <w:r>
        <w:rPr>
          <w:spacing w:val="-2"/>
        </w:rPr>
        <w:t xml:space="preserve"> </w:t>
      </w:r>
      <w:r>
        <w:t>20/405</w:t>
      </w:r>
      <w:r>
        <w:rPr>
          <w:spacing w:val="-4"/>
        </w:rPr>
        <w:t xml:space="preserve"> </w:t>
      </w:r>
      <w:r>
        <w:t>or</w:t>
      </w:r>
      <w:r>
        <w:rPr>
          <w:spacing w:val="-2"/>
        </w:rPr>
        <w:t xml:space="preserve"> </w:t>
      </w:r>
      <w:r>
        <w:t>20/506</w:t>
      </w:r>
      <w:r>
        <w:rPr>
          <w:spacing w:val="-4"/>
        </w:rPr>
        <w:t xml:space="preserve"> </w:t>
      </w:r>
      <w:r>
        <w:t>but</w:t>
      </w:r>
      <w:r>
        <w:rPr>
          <w:spacing w:val="-4"/>
        </w:rPr>
        <w:t xml:space="preserve"> </w:t>
      </w:r>
      <w:r>
        <w:t>better</w:t>
      </w:r>
      <w:r>
        <w:rPr>
          <w:spacing w:val="-4"/>
        </w:rPr>
        <w:t xml:space="preserve"> </w:t>
      </w:r>
      <w:r>
        <w:t>than</w:t>
      </w:r>
      <w:r>
        <w:rPr>
          <w:spacing w:val="-4"/>
        </w:rPr>
        <w:t xml:space="preserve"> </w:t>
      </w:r>
      <w:r>
        <w:t>20/200</w:t>
      </w:r>
      <w:r>
        <w:rPr>
          <w:spacing w:val="-2"/>
        </w:rPr>
        <w:t xml:space="preserve"> </w:t>
      </w:r>
      <w:r>
        <w:t>(the</w:t>
      </w:r>
      <w:r>
        <w:rPr>
          <w:spacing w:val="-4"/>
        </w:rPr>
        <w:t xml:space="preserve"> </w:t>
      </w:r>
      <w:r>
        <w:t>threshold for</w:t>
      </w:r>
      <w:r>
        <w:rPr>
          <w:spacing w:val="-2"/>
        </w:rPr>
        <w:t xml:space="preserve"> </w:t>
      </w:r>
      <w:r>
        <w:t>legal blindness). The review focused on uncorrected refractive error, cataract, age-related macular degeneration (AMD), but not diabetic retinopathy, which is a part of diabetes follow up.</w:t>
      </w:r>
    </w:p>
    <w:p w14:paraId="7A4C3361" w14:textId="77777777" w:rsidR="00E13D3F" w:rsidRDefault="00FB2D6A">
      <w:pPr>
        <w:pStyle w:val="BodyText"/>
        <w:spacing w:before="161" w:line="276" w:lineRule="auto"/>
        <w:ind w:right="1450"/>
      </w:pPr>
      <w:r>
        <w:t>The USPSTF found one new RCT (n=188) to add to the previous evidence summary. Four trials (n=4,819) found no differences in visual acuity or other clinical outcomes between screening in primary care-applicable settings compared with no screening, usual care, or delayed screening of older adults. In all trials, vision screening was part of a larger, multicomponent health screen for older adults including other assessments (e.g., hearing, mobility,</w:t>
      </w:r>
      <w:r>
        <w:rPr>
          <w:spacing w:val="-6"/>
        </w:rPr>
        <w:t xml:space="preserve"> </w:t>
      </w:r>
      <w:r>
        <w:t>cognition);</w:t>
      </w:r>
      <w:r>
        <w:rPr>
          <w:spacing w:val="-5"/>
        </w:rPr>
        <w:t xml:space="preserve"> </w:t>
      </w:r>
      <w:r>
        <w:t>however,</w:t>
      </w:r>
      <w:r>
        <w:rPr>
          <w:spacing w:val="-3"/>
        </w:rPr>
        <w:t xml:space="preserve"> </w:t>
      </w:r>
      <w:r>
        <w:t>effects</w:t>
      </w:r>
      <w:r>
        <w:rPr>
          <w:spacing w:val="-3"/>
        </w:rPr>
        <w:t xml:space="preserve"> </w:t>
      </w:r>
      <w:r>
        <w:t>of</w:t>
      </w:r>
      <w:r>
        <w:rPr>
          <w:spacing w:val="-2"/>
        </w:rPr>
        <w:t xml:space="preserve"> </w:t>
      </w:r>
      <w:r>
        <w:t>vision</w:t>
      </w:r>
      <w:r>
        <w:rPr>
          <w:spacing w:val="-4"/>
        </w:rPr>
        <w:t xml:space="preserve"> </w:t>
      </w:r>
      <w:r>
        <w:t>screening</w:t>
      </w:r>
      <w:r>
        <w:rPr>
          <w:spacing w:val="-5"/>
        </w:rPr>
        <w:t xml:space="preserve"> </w:t>
      </w:r>
      <w:r>
        <w:t>compared</w:t>
      </w:r>
      <w:r>
        <w:rPr>
          <w:spacing w:val="-4"/>
        </w:rPr>
        <w:t xml:space="preserve"> </w:t>
      </w:r>
      <w:r>
        <w:t>with</w:t>
      </w:r>
      <w:r>
        <w:rPr>
          <w:spacing w:val="-4"/>
        </w:rPr>
        <w:t xml:space="preserve"> </w:t>
      </w:r>
      <w:r>
        <w:t>no</w:t>
      </w:r>
      <w:r>
        <w:rPr>
          <w:spacing w:val="-2"/>
        </w:rPr>
        <w:t xml:space="preserve"> </w:t>
      </w:r>
      <w:r>
        <w:t>screening</w:t>
      </w:r>
      <w:r>
        <w:rPr>
          <w:spacing w:val="-5"/>
        </w:rPr>
        <w:t xml:space="preserve"> </w:t>
      </w:r>
      <w:r>
        <w:t>were</w:t>
      </w:r>
    </w:p>
    <w:p w14:paraId="7A4C3362" w14:textId="77777777" w:rsidR="00E13D3F" w:rsidRDefault="00E13D3F">
      <w:pPr>
        <w:pStyle w:val="BodyText"/>
        <w:spacing w:line="276" w:lineRule="auto"/>
        <w:sectPr w:rsidR="00E13D3F">
          <w:pgSz w:w="11910" w:h="16840"/>
          <w:pgMar w:top="1400" w:right="0" w:bottom="1200" w:left="0" w:header="0" w:footer="1000" w:gutter="0"/>
          <w:cols w:space="720"/>
        </w:sectPr>
      </w:pPr>
    </w:p>
    <w:p w14:paraId="7A4C3363" w14:textId="77777777" w:rsidR="00E13D3F" w:rsidRDefault="00FB2D6A">
      <w:pPr>
        <w:pStyle w:val="BodyText"/>
        <w:spacing w:before="41" w:line="276" w:lineRule="auto"/>
        <w:ind w:right="1450"/>
      </w:pPr>
      <w:r>
        <w:lastRenderedPageBreak/>
        <w:t>evaluated separately. In the largest (n=3,249) trial, universal vision screening identified about 10 times as many patients with impaired visual acuity and correctable impairment compared</w:t>
      </w:r>
      <w:r>
        <w:rPr>
          <w:spacing w:val="-3"/>
        </w:rPr>
        <w:t xml:space="preserve"> </w:t>
      </w:r>
      <w:r>
        <w:t>with</w:t>
      </w:r>
      <w:r>
        <w:rPr>
          <w:spacing w:val="-3"/>
        </w:rPr>
        <w:t xml:space="preserve"> </w:t>
      </w:r>
      <w:r>
        <w:t>targeted</w:t>
      </w:r>
      <w:r>
        <w:rPr>
          <w:spacing w:val="-3"/>
        </w:rPr>
        <w:t xml:space="preserve"> </w:t>
      </w:r>
      <w:r>
        <w:t>screening,</w:t>
      </w:r>
      <w:r>
        <w:rPr>
          <w:spacing w:val="-4"/>
        </w:rPr>
        <w:t xml:space="preserve"> </w:t>
      </w:r>
      <w:r>
        <w:t>but</w:t>
      </w:r>
      <w:r>
        <w:rPr>
          <w:spacing w:val="-1"/>
        </w:rPr>
        <w:t xml:space="preserve"> </w:t>
      </w:r>
      <w:r>
        <w:t>at</w:t>
      </w:r>
      <w:r>
        <w:rPr>
          <w:spacing w:val="-3"/>
        </w:rPr>
        <w:t xml:space="preserve"> </w:t>
      </w:r>
      <w:r>
        <w:t>3-</w:t>
      </w:r>
      <w:r>
        <w:rPr>
          <w:spacing w:val="-3"/>
        </w:rPr>
        <w:t xml:space="preserve"> </w:t>
      </w:r>
      <w:r>
        <w:t>to</w:t>
      </w:r>
      <w:r>
        <w:rPr>
          <w:spacing w:val="-4"/>
        </w:rPr>
        <w:t xml:space="preserve"> </w:t>
      </w:r>
      <w:r>
        <w:t>5-year</w:t>
      </w:r>
      <w:r>
        <w:rPr>
          <w:spacing w:val="-1"/>
        </w:rPr>
        <w:t xml:space="preserve"> </w:t>
      </w:r>
      <w:r>
        <w:t>follow</w:t>
      </w:r>
      <w:r>
        <w:rPr>
          <w:spacing w:val="-2"/>
        </w:rPr>
        <w:t xml:space="preserve"> </w:t>
      </w:r>
      <w:r>
        <w:t>up</w:t>
      </w:r>
      <w:r>
        <w:rPr>
          <w:spacing w:val="-1"/>
        </w:rPr>
        <w:t xml:space="preserve"> </w:t>
      </w:r>
      <w:r>
        <w:t>there</w:t>
      </w:r>
      <w:r>
        <w:rPr>
          <w:spacing w:val="-4"/>
        </w:rPr>
        <w:t xml:space="preserve"> </w:t>
      </w:r>
      <w:r>
        <w:t>was</w:t>
      </w:r>
      <w:r>
        <w:rPr>
          <w:spacing w:val="-4"/>
        </w:rPr>
        <w:t xml:space="preserve"> </w:t>
      </w:r>
      <w:r>
        <w:t>no</w:t>
      </w:r>
      <w:r>
        <w:rPr>
          <w:spacing w:val="-3"/>
        </w:rPr>
        <w:t xml:space="preserve"> </w:t>
      </w:r>
      <w:r>
        <w:t>difference</w:t>
      </w:r>
      <w:r>
        <w:rPr>
          <w:spacing w:val="-1"/>
        </w:rPr>
        <w:t xml:space="preserve"> </w:t>
      </w:r>
      <w:r>
        <w:t>in the likelihood of visual acuity worse than 20/60 (relative risk [RR], 1.07 [95% confidence interval [CI], 0.84 to 1.36]). All trials were rated fair quality.</w:t>
      </w:r>
    </w:p>
    <w:p w14:paraId="7A4C3364" w14:textId="77777777" w:rsidR="00E13D3F" w:rsidRDefault="00FB2D6A">
      <w:pPr>
        <w:pStyle w:val="BodyText"/>
        <w:spacing w:before="161" w:line="276" w:lineRule="auto"/>
        <w:ind w:right="1502"/>
      </w:pPr>
      <w:r>
        <w:t>Compared with a complete examination by an ophthalmologist, visual acuity tests (3 studies;</w:t>
      </w:r>
      <w:r>
        <w:rPr>
          <w:spacing w:val="-2"/>
        </w:rPr>
        <w:t xml:space="preserve"> </w:t>
      </w:r>
      <w:r>
        <w:t>n=6,493)</w:t>
      </w:r>
      <w:r>
        <w:rPr>
          <w:spacing w:val="-4"/>
        </w:rPr>
        <w:t xml:space="preserve"> </w:t>
      </w:r>
      <w:r>
        <w:t>were</w:t>
      </w:r>
      <w:r>
        <w:rPr>
          <w:spacing w:val="-3"/>
        </w:rPr>
        <w:t xml:space="preserve"> </w:t>
      </w:r>
      <w:r>
        <w:t>associated</w:t>
      </w:r>
      <w:r>
        <w:rPr>
          <w:spacing w:val="-2"/>
        </w:rPr>
        <w:t xml:space="preserve"> </w:t>
      </w:r>
      <w:r>
        <w:t>with suboptimal diagnostic</w:t>
      </w:r>
      <w:r>
        <w:rPr>
          <w:spacing w:val="-1"/>
        </w:rPr>
        <w:t xml:space="preserve"> </w:t>
      </w:r>
      <w:r>
        <w:t>accuracy</w:t>
      </w:r>
      <w:r>
        <w:rPr>
          <w:spacing w:val="-2"/>
        </w:rPr>
        <w:t xml:space="preserve"> </w:t>
      </w:r>
      <w:r>
        <w:t>for identifying</w:t>
      </w:r>
      <w:r>
        <w:rPr>
          <w:spacing w:val="-1"/>
        </w:rPr>
        <w:t xml:space="preserve"> </w:t>
      </w:r>
      <w:r>
        <w:t>visual conditions</w:t>
      </w:r>
      <w:r>
        <w:rPr>
          <w:spacing w:val="-3"/>
        </w:rPr>
        <w:t xml:space="preserve"> </w:t>
      </w:r>
      <w:r>
        <w:t>(sensitivity</w:t>
      </w:r>
      <w:r>
        <w:rPr>
          <w:spacing w:val="-3"/>
        </w:rPr>
        <w:t xml:space="preserve"> </w:t>
      </w:r>
      <w:r>
        <w:t>0.27</w:t>
      </w:r>
      <w:r>
        <w:rPr>
          <w:spacing w:val="-4"/>
        </w:rPr>
        <w:t xml:space="preserve"> </w:t>
      </w:r>
      <w:r>
        <w:t>to</w:t>
      </w:r>
      <w:r>
        <w:rPr>
          <w:spacing w:val="-2"/>
        </w:rPr>
        <w:t xml:space="preserve"> </w:t>
      </w:r>
      <w:r>
        <w:t>0.75</w:t>
      </w:r>
      <w:r>
        <w:rPr>
          <w:spacing w:val="-2"/>
        </w:rPr>
        <w:t xml:space="preserve"> </w:t>
      </w:r>
      <w:r>
        <w:t>and</w:t>
      </w:r>
      <w:r>
        <w:rPr>
          <w:spacing w:val="-4"/>
        </w:rPr>
        <w:t xml:space="preserve"> </w:t>
      </w:r>
      <w:r>
        <w:t>specificity</w:t>
      </w:r>
      <w:r>
        <w:rPr>
          <w:spacing w:val="-6"/>
        </w:rPr>
        <w:t xml:space="preserve"> </w:t>
      </w:r>
      <w:r>
        <w:t>0.51</w:t>
      </w:r>
      <w:r>
        <w:rPr>
          <w:spacing w:val="-4"/>
        </w:rPr>
        <w:t xml:space="preserve"> </w:t>
      </w:r>
      <w:r>
        <w:t>to</w:t>
      </w:r>
      <w:r>
        <w:rPr>
          <w:spacing w:val="-5"/>
        </w:rPr>
        <w:t xml:space="preserve"> </w:t>
      </w:r>
      <w:r>
        <w:t>0.87);</w:t>
      </w:r>
      <w:r>
        <w:rPr>
          <w:spacing w:val="-5"/>
        </w:rPr>
        <w:t xml:space="preserve"> </w:t>
      </w:r>
      <w:r>
        <w:t>evidence</w:t>
      </w:r>
      <w:r>
        <w:rPr>
          <w:spacing w:val="-4"/>
        </w:rPr>
        <w:t xml:space="preserve"> </w:t>
      </w:r>
      <w:r>
        <w:t>on</w:t>
      </w:r>
      <w:r>
        <w:rPr>
          <w:spacing w:val="-1"/>
        </w:rPr>
        <w:t xml:space="preserve"> </w:t>
      </w:r>
      <w:r>
        <w:t>other</w:t>
      </w:r>
      <w:r>
        <w:rPr>
          <w:spacing w:val="-2"/>
        </w:rPr>
        <w:t xml:space="preserve"> </w:t>
      </w:r>
      <w:r>
        <w:t>screening tests was limited.</w:t>
      </w:r>
    </w:p>
    <w:p w14:paraId="7A4C3365" w14:textId="77777777" w:rsidR="00E13D3F" w:rsidRDefault="00FB2D6A">
      <w:pPr>
        <w:pStyle w:val="BodyText"/>
        <w:spacing w:before="160" w:line="276" w:lineRule="auto"/>
        <w:ind w:right="1450"/>
      </w:pPr>
      <w:r>
        <w:t>Three studies (n=5,203) found that a screening question was not accurate for identifying older</w:t>
      </w:r>
      <w:r>
        <w:rPr>
          <w:spacing w:val="-5"/>
        </w:rPr>
        <w:t xml:space="preserve"> </w:t>
      </w:r>
      <w:r>
        <w:t>persons</w:t>
      </w:r>
      <w:r>
        <w:rPr>
          <w:spacing w:val="-6"/>
        </w:rPr>
        <w:t xml:space="preserve"> </w:t>
      </w:r>
      <w:r>
        <w:t>with</w:t>
      </w:r>
      <w:r>
        <w:rPr>
          <w:spacing w:val="-3"/>
        </w:rPr>
        <w:t xml:space="preserve"> </w:t>
      </w:r>
      <w:r>
        <w:t>impaired</w:t>
      </w:r>
      <w:r>
        <w:rPr>
          <w:spacing w:val="-3"/>
        </w:rPr>
        <w:t xml:space="preserve"> </w:t>
      </w:r>
      <w:r>
        <w:t>visual</w:t>
      </w:r>
      <w:r>
        <w:rPr>
          <w:spacing w:val="-3"/>
        </w:rPr>
        <w:t xml:space="preserve"> </w:t>
      </w:r>
      <w:r>
        <w:t>acuity</w:t>
      </w:r>
      <w:r>
        <w:rPr>
          <w:spacing w:val="-4"/>
        </w:rPr>
        <w:t xml:space="preserve"> </w:t>
      </w:r>
      <w:r>
        <w:t>compared</w:t>
      </w:r>
      <w:r>
        <w:rPr>
          <w:spacing w:val="-5"/>
        </w:rPr>
        <w:t xml:space="preserve"> </w:t>
      </w:r>
      <w:r>
        <w:t>with</w:t>
      </w:r>
      <w:r>
        <w:rPr>
          <w:spacing w:val="-3"/>
        </w:rPr>
        <w:t xml:space="preserve"> </w:t>
      </w:r>
      <w:r>
        <w:t>a</w:t>
      </w:r>
      <w:r>
        <w:rPr>
          <w:spacing w:val="-4"/>
        </w:rPr>
        <w:t xml:space="preserve"> </w:t>
      </w:r>
      <w:r>
        <w:t>visual</w:t>
      </w:r>
      <w:r>
        <w:rPr>
          <w:spacing w:val="-3"/>
        </w:rPr>
        <w:t xml:space="preserve"> </w:t>
      </w:r>
      <w:r>
        <w:t>acuity</w:t>
      </w:r>
      <w:r>
        <w:rPr>
          <w:spacing w:val="-4"/>
        </w:rPr>
        <w:t xml:space="preserve"> </w:t>
      </w:r>
      <w:r>
        <w:t>eye</w:t>
      </w:r>
      <w:r>
        <w:rPr>
          <w:spacing w:val="-3"/>
        </w:rPr>
        <w:t xml:space="preserve"> </w:t>
      </w:r>
      <w:r>
        <w:t>chart</w:t>
      </w:r>
      <w:r>
        <w:rPr>
          <w:spacing w:val="-3"/>
        </w:rPr>
        <w:t xml:space="preserve"> </w:t>
      </w:r>
      <w:r>
        <w:t>(sensitivity 0.17 to 0.81 and specificity 0.19 to 0.84).</w:t>
      </w:r>
    </w:p>
    <w:p w14:paraId="7A4C3366" w14:textId="77777777" w:rsidR="00E13D3F" w:rsidRDefault="00FB2D6A">
      <w:pPr>
        <w:pStyle w:val="BodyText"/>
        <w:spacing w:before="161" w:line="276" w:lineRule="auto"/>
        <w:ind w:right="1137"/>
      </w:pPr>
      <w:r>
        <w:t>No</w:t>
      </w:r>
      <w:r>
        <w:rPr>
          <w:spacing w:val="-4"/>
        </w:rPr>
        <w:t xml:space="preserve"> </w:t>
      </w:r>
      <w:r>
        <w:t>trial</w:t>
      </w:r>
      <w:r>
        <w:rPr>
          <w:spacing w:val="-2"/>
        </w:rPr>
        <w:t xml:space="preserve"> </w:t>
      </w:r>
      <w:r>
        <w:t>comparing</w:t>
      </w:r>
      <w:r>
        <w:rPr>
          <w:spacing w:val="-3"/>
        </w:rPr>
        <w:t xml:space="preserve"> </w:t>
      </w:r>
      <w:r>
        <w:t>screening</w:t>
      </w:r>
      <w:r>
        <w:rPr>
          <w:spacing w:val="-5"/>
        </w:rPr>
        <w:t xml:space="preserve"> </w:t>
      </w:r>
      <w:r>
        <w:t>with</w:t>
      </w:r>
      <w:r>
        <w:rPr>
          <w:spacing w:val="-4"/>
        </w:rPr>
        <w:t xml:space="preserve"> </w:t>
      </w:r>
      <w:r>
        <w:t>no</w:t>
      </w:r>
      <w:r>
        <w:rPr>
          <w:spacing w:val="-2"/>
        </w:rPr>
        <w:t xml:space="preserve"> </w:t>
      </w:r>
      <w:r>
        <w:t>screening,</w:t>
      </w:r>
      <w:r>
        <w:rPr>
          <w:spacing w:val="-5"/>
        </w:rPr>
        <w:t xml:space="preserve"> </w:t>
      </w:r>
      <w:r>
        <w:t>usual</w:t>
      </w:r>
      <w:r>
        <w:rPr>
          <w:spacing w:val="-2"/>
        </w:rPr>
        <w:t xml:space="preserve"> </w:t>
      </w:r>
      <w:r>
        <w:t>care,</w:t>
      </w:r>
      <w:r>
        <w:rPr>
          <w:spacing w:val="-5"/>
        </w:rPr>
        <w:t xml:space="preserve"> </w:t>
      </w:r>
      <w:r>
        <w:t>or</w:t>
      </w:r>
      <w:r>
        <w:rPr>
          <w:spacing w:val="-4"/>
        </w:rPr>
        <w:t xml:space="preserve"> </w:t>
      </w:r>
      <w:r>
        <w:t>delayed</w:t>
      </w:r>
      <w:r>
        <w:rPr>
          <w:spacing w:val="-2"/>
        </w:rPr>
        <w:t xml:space="preserve"> </w:t>
      </w:r>
      <w:r>
        <w:t>screening</w:t>
      </w:r>
      <w:r>
        <w:rPr>
          <w:spacing w:val="-5"/>
        </w:rPr>
        <w:t xml:space="preserve"> </w:t>
      </w:r>
      <w:r>
        <w:t xml:space="preserve">reported </w:t>
      </w:r>
      <w:r>
        <w:rPr>
          <w:spacing w:val="-2"/>
        </w:rPr>
        <w:t>harms.</w:t>
      </w:r>
    </w:p>
    <w:p w14:paraId="7A4C3367" w14:textId="77777777" w:rsidR="00E13D3F" w:rsidRDefault="00FB2D6A">
      <w:pPr>
        <w:pStyle w:val="Heading2"/>
        <w:spacing w:before="161"/>
      </w:pPr>
      <w:r>
        <w:rPr>
          <w:color w:val="2E5395"/>
        </w:rPr>
        <w:t>Starting</w:t>
      </w:r>
      <w:r>
        <w:rPr>
          <w:color w:val="2E5395"/>
          <w:spacing w:val="-8"/>
        </w:rPr>
        <w:t xml:space="preserve"> </w:t>
      </w:r>
      <w:r>
        <w:rPr>
          <w:color w:val="2E5395"/>
        </w:rPr>
        <w:t>and</w:t>
      </w:r>
      <w:r>
        <w:rPr>
          <w:color w:val="2E5395"/>
          <w:spacing w:val="-8"/>
        </w:rPr>
        <w:t xml:space="preserve"> </w:t>
      </w:r>
      <w:r>
        <w:rPr>
          <w:color w:val="2E5395"/>
        </w:rPr>
        <w:t>Stopping</w:t>
      </w:r>
      <w:r>
        <w:rPr>
          <w:color w:val="2E5395"/>
          <w:spacing w:val="-8"/>
        </w:rPr>
        <w:t xml:space="preserve"> </w:t>
      </w:r>
      <w:r>
        <w:rPr>
          <w:color w:val="2E5395"/>
          <w:spacing w:val="-4"/>
        </w:rPr>
        <w:t>Ages</w:t>
      </w:r>
    </w:p>
    <w:p w14:paraId="7A4C3368" w14:textId="77777777" w:rsidR="00E13D3F" w:rsidRDefault="00FB2D6A">
      <w:pPr>
        <w:pStyle w:val="BodyText"/>
        <w:spacing w:before="24" w:line="276" w:lineRule="auto"/>
        <w:ind w:right="1450"/>
      </w:pPr>
      <w:r>
        <w:t>Vision impairment and blindness increases significantly with advanced age: more than 37% of Australians aged ≥90 years had bilateral vision loss, 27% of those aged 80-89 years had unilateral</w:t>
      </w:r>
      <w:r>
        <w:rPr>
          <w:spacing w:val="-4"/>
        </w:rPr>
        <w:t xml:space="preserve"> </w:t>
      </w:r>
      <w:r>
        <w:t>vision</w:t>
      </w:r>
      <w:r>
        <w:rPr>
          <w:spacing w:val="-1"/>
        </w:rPr>
        <w:t xml:space="preserve"> </w:t>
      </w:r>
      <w:r>
        <w:t>loss</w:t>
      </w:r>
      <w:r>
        <w:rPr>
          <w:spacing w:val="-2"/>
        </w:rPr>
        <w:t xml:space="preserve"> </w:t>
      </w:r>
      <w:r>
        <w:t>and</w:t>
      </w:r>
      <w:r>
        <w:rPr>
          <w:spacing w:val="-3"/>
        </w:rPr>
        <w:t xml:space="preserve"> </w:t>
      </w:r>
      <w:r>
        <w:t>42%</w:t>
      </w:r>
      <w:r>
        <w:rPr>
          <w:spacing w:val="-3"/>
        </w:rPr>
        <w:t xml:space="preserve"> </w:t>
      </w:r>
      <w:r>
        <w:t>of</w:t>
      </w:r>
      <w:r>
        <w:rPr>
          <w:spacing w:val="-3"/>
        </w:rPr>
        <w:t xml:space="preserve"> </w:t>
      </w:r>
      <w:r>
        <w:t>those</w:t>
      </w:r>
      <w:r>
        <w:rPr>
          <w:spacing w:val="-2"/>
        </w:rPr>
        <w:t xml:space="preserve"> </w:t>
      </w:r>
      <w:r>
        <w:t>aged</w:t>
      </w:r>
      <w:r>
        <w:rPr>
          <w:spacing w:val="-3"/>
        </w:rPr>
        <w:t xml:space="preserve"> </w:t>
      </w:r>
      <w:r>
        <w:t>≥80</w:t>
      </w:r>
      <w:r>
        <w:rPr>
          <w:spacing w:val="-3"/>
        </w:rPr>
        <w:t xml:space="preserve"> </w:t>
      </w:r>
      <w:r>
        <w:t>years</w:t>
      </w:r>
      <w:r>
        <w:rPr>
          <w:spacing w:val="-2"/>
        </w:rPr>
        <w:t xml:space="preserve"> </w:t>
      </w:r>
      <w:r>
        <w:t>had</w:t>
      </w:r>
      <w:r>
        <w:rPr>
          <w:spacing w:val="-3"/>
        </w:rPr>
        <w:t xml:space="preserve"> </w:t>
      </w:r>
      <w:r>
        <w:t>NVI.</w:t>
      </w:r>
      <w:r>
        <w:rPr>
          <w:spacing w:val="-3"/>
        </w:rPr>
        <w:t xml:space="preserve"> </w:t>
      </w:r>
      <w:r>
        <w:t>These</w:t>
      </w:r>
      <w:r>
        <w:rPr>
          <w:spacing w:val="-3"/>
        </w:rPr>
        <w:t xml:space="preserve"> </w:t>
      </w:r>
      <w:r>
        <w:t>proportions</w:t>
      </w:r>
      <w:r>
        <w:rPr>
          <w:spacing w:val="-2"/>
        </w:rPr>
        <w:t xml:space="preserve"> </w:t>
      </w:r>
      <w:r>
        <w:t>were</w:t>
      </w:r>
      <w:r>
        <w:rPr>
          <w:spacing w:val="-3"/>
        </w:rPr>
        <w:t xml:space="preserve"> </w:t>
      </w:r>
      <w:r>
        <w:t>7.5,</w:t>
      </w:r>
    </w:p>
    <w:p w14:paraId="7A4C3369" w14:textId="77777777" w:rsidR="00E13D3F" w:rsidRDefault="00FB2D6A">
      <w:pPr>
        <w:pStyle w:val="BodyText"/>
        <w:spacing w:line="276" w:lineRule="auto"/>
        <w:ind w:right="1479"/>
        <w:jc w:val="both"/>
      </w:pPr>
      <w:r>
        <w:t>3.4</w:t>
      </w:r>
      <w:r>
        <w:rPr>
          <w:spacing w:val="-1"/>
        </w:rPr>
        <w:t xml:space="preserve"> </w:t>
      </w:r>
      <w:r>
        <w:t>and</w:t>
      </w:r>
      <w:r>
        <w:rPr>
          <w:spacing w:val="-1"/>
        </w:rPr>
        <w:t xml:space="preserve"> </w:t>
      </w:r>
      <w:r>
        <w:t>2.9-fold</w:t>
      </w:r>
      <w:r>
        <w:rPr>
          <w:spacing w:val="-3"/>
        </w:rPr>
        <w:t xml:space="preserve"> </w:t>
      </w:r>
      <w:r>
        <w:t>higher,</w:t>
      </w:r>
      <w:r>
        <w:rPr>
          <w:spacing w:val="-2"/>
        </w:rPr>
        <w:t xml:space="preserve"> </w:t>
      </w:r>
      <w:r>
        <w:t>respectively,</w:t>
      </w:r>
      <w:r>
        <w:rPr>
          <w:spacing w:val="-5"/>
        </w:rPr>
        <w:t xml:space="preserve"> </w:t>
      </w:r>
      <w:r>
        <w:t>than</w:t>
      </w:r>
      <w:r>
        <w:rPr>
          <w:spacing w:val="-3"/>
        </w:rPr>
        <w:t xml:space="preserve"> </w:t>
      </w:r>
      <w:r>
        <w:t>for</w:t>
      </w:r>
      <w:r>
        <w:rPr>
          <w:spacing w:val="-3"/>
        </w:rPr>
        <w:t xml:space="preserve"> </w:t>
      </w:r>
      <w:r>
        <w:t>participants</w:t>
      </w:r>
      <w:r>
        <w:rPr>
          <w:spacing w:val="-4"/>
        </w:rPr>
        <w:t xml:space="preserve"> </w:t>
      </w:r>
      <w:r>
        <w:t>aged</w:t>
      </w:r>
      <w:r>
        <w:rPr>
          <w:spacing w:val="-3"/>
        </w:rPr>
        <w:t xml:space="preserve"> </w:t>
      </w:r>
      <w:r>
        <w:t>50-59</w:t>
      </w:r>
      <w:r>
        <w:rPr>
          <w:spacing w:val="-3"/>
        </w:rPr>
        <w:t xml:space="preserve"> </w:t>
      </w:r>
      <w:r>
        <w:t>years.</w:t>
      </w:r>
      <w:r>
        <w:rPr>
          <w:spacing w:val="-3"/>
        </w:rPr>
        <w:t xml:space="preserve"> </w:t>
      </w:r>
      <w:r>
        <w:t>The</w:t>
      </w:r>
      <w:r>
        <w:rPr>
          <w:spacing w:val="-1"/>
        </w:rPr>
        <w:t xml:space="preserve"> </w:t>
      </w:r>
      <w:r>
        <w:t>age-related increases in Indigenous Australians were similarly pronounced, with those aged 80-89 years having a prevalence of bilateral vision loss of 56%, those aged 70-79 years having a</w:t>
      </w:r>
    </w:p>
    <w:p w14:paraId="7A4C336A" w14:textId="77777777" w:rsidR="00E13D3F" w:rsidRDefault="00FB2D6A">
      <w:pPr>
        <w:pStyle w:val="BodyText"/>
        <w:spacing w:line="276" w:lineRule="auto"/>
        <w:ind w:right="1450"/>
      </w:pPr>
      <w:r>
        <w:t>prevalence</w:t>
      </w:r>
      <w:r>
        <w:rPr>
          <w:spacing w:val="-2"/>
        </w:rPr>
        <w:t xml:space="preserve"> </w:t>
      </w:r>
      <w:r>
        <w:t>of</w:t>
      </w:r>
      <w:r>
        <w:rPr>
          <w:spacing w:val="-2"/>
        </w:rPr>
        <w:t xml:space="preserve"> </w:t>
      </w:r>
      <w:r>
        <w:t>unilateral</w:t>
      </w:r>
      <w:r>
        <w:rPr>
          <w:spacing w:val="-4"/>
        </w:rPr>
        <w:t xml:space="preserve"> </w:t>
      </w:r>
      <w:r>
        <w:t>vision</w:t>
      </w:r>
      <w:r>
        <w:rPr>
          <w:spacing w:val="-1"/>
        </w:rPr>
        <w:t xml:space="preserve"> </w:t>
      </w:r>
      <w:r>
        <w:t>loss</w:t>
      </w:r>
      <w:r>
        <w:rPr>
          <w:spacing w:val="-4"/>
        </w:rPr>
        <w:t xml:space="preserve"> </w:t>
      </w:r>
      <w:r>
        <w:t>of</w:t>
      </w:r>
      <w:r>
        <w:rPr>
          <w:spacing w:val="-4"/>
        </w:rPr>
        <w:t xml:space="preserve"> </w:t>
      </w:r>
      <w:r>
        <w:t>34%,</w:t>
      </w:r>
      <w:r>
        <w:rPr>
          <w:spacing w:val="-3"/>
        </w:rPr>
        <w:t xml:space="preserve"> </w:t>
      </w:r>
      <w:r>
        <w:t>and</w:t>
      </w:r>
      <w:r>
        <w:rPr>
          <w:spacing w:val="-4"/>
        </w:rPr>
        <w:t xml:space="preserve"> </w:t>
      </w:r>
      <w:r>
        <w:t>those</w:t>
      </w:r>
      <w:r>
        <w:rPr>
          <w:spacing w:val="-2"/>
        </w:rPr>
        <w:t xml:space="preserve"> </w:t>
      </w:r>
      <w:r>
        <w:t>aged</w:t>
      </w:r>
      <w:r>
        <w:rPr>
          <w:spacing w:val="-4"/>
        </w:rPr>
        <w:t xml:space="preserve"> </w:t>
      </w:r>
      <w:r>
        <w:t>≥70</w:t>
      </w:r>
      <w:r>
        <w:rPr>
          <w:spacing w:val="-2"/>
        </w:rPr>
        <w:t xml:space="preserve"> </w:t>
      </w:r>
      <w:r>
        <w:t>years</w:t>
      </w:r>
      <w:r>
        <w:rPr>
          <w:spacing w:val="-4"/>
        </w:rPr>
        <w:t xml:space="preserve"> </w:t>
      </w:r>
      <w:r>
        <w:t>having</w:t>
      </w:r>
      <w:r>
        <w:rPr>
          <w:spacing w:val="-3"/>
        </w:rPr>
        <w:t xml:space="preserve"> </w:t>
      </w:r>
      <w:r>
        <w:t>a prevalence</w:t>
      </w:r>
      <w:r>
        <w:rPr>
          <w:spacing w:val="-4"/>
        </w:rPr>
        <w:t xml:space="preserve"> </w:t>
      </w:r>
      <w:r>
        <w:t>of NVI of 53%, which were 7.8, 4.3 and 1.7 times higher than those aged 40-49 years. This significant upward trend in the prevalence of vision loss with age suggests that both Indigenous</w:t>
      </w:r>
      <w:r>
        <w:rPr>
          <w:spacing w:val="-2"/>
        </w:rPr>
        <w:t xml:space="preserve"> </w:t>
      </w:r>
      <w:r>
        <w:t>and</w:t>
      </w:r>
      <w:r>
        <w:rPr>
          <w:spacing w:val="-3"/>
        </w:rPr>
        <w:t xml:space="preserve"> </w:t>
      </w:r>
      <w:r>
        <w:t>non-Indigenous</w:t>
      </w:r>
      <w:r>
        <w:rPr>
          <w:spacing w:val="-4"/>
        </w:rPr>
        <w:t xml:space="preserve"> </w:t>
      </w:r>
      <w:r>
        <w:t>Australians</w:t>
      </w:r>
      <w:r>
        <w:rPr>
          <w:spacing w:val="-4"/>
        </w:rPr>
        <w:t xml:space="preserve"> </w:t>
      </w:r>
      <w:r>
        <w:t>should</w:t>
      </w:r>
      <w:r>
        <w:rPr>
          <w:spacing w:val="-1"/>
        </w:rPr>
        <w:t xml:space="preserve"> </w:t>
      </w:r>
      <w:r>
        <w:t>receive</w:t>
      </w:r>
      <w:r>
        <w:rPr>
          <w:spacing w:val="-4"/>
        </w:rPr>
        <w:t xml:space="preserve"> </w:t>
      </w:r>
      <w:r>
        <w:t>more</w:t>
      </w:r>
      <w:r>
        <w:rPr>
          <w:spacing w:val="-3"/>
        </w:rPr>
        <w:t xml:space="preserve"> </w:t>
      </w:r>
      <w:r>
        <w:t>frequent</w:t>
      </w:r>
      <w:r>
        <w:rPr>
          <w:spacing w:val="-3"/>
        </w:rPr>
        <w:t xml:space="preserve"> </w:t>
      </w:r>
      <w:r>
        <w:t>eye</w:t>
      </w:r>
      <w:r>
        <w:rPr>
          <w:spacing w:val="-1"/>
        </w:rPr>
        <w:t xml:space="preserve"> </w:t>
      </w:r>
      <w:r>
        <w:t>examinations as they age (7).</w:t>
      </w:r>
    </w:p>
    <w:p w14:paraId="7A4C336B" w14:textId="77777777" w:rsidR="00E13D3F" w:rsidRDefault="00FB2D6A">
      <w:pPr>
        <w:pStyle w:val="Heading2"/>
        <w:spacing w:before="163"/>
      </w:pPr>
      <w:r>
        <w:rPr>
          <w:color w:val="2E5395"/>
        </w:rPr>
        <w:t>Interval</w:t>
      </w:r>
      <w:r>
        <w:rPr>
          <w:color w:val="2E5395"/>
          <w:spacing w:val="-6"/>
        </w:rPr>
        <w:t xml:space="preserve"> </w:t>
      </w:r>
      <w:r>
        <w:rPr>
          <w:color w:val="2E5395"/>
        </w:rPr>
        <w:t>for</w:t>
      </w:r>
      <w:r>
        <w:rPr>
          <w:color w:val="2E5395"/>
          <w:spacing w:val="-7"/>
        </w:rPr>
        <w:t xml:space="preserve"> </w:t>
      </w:r>
      <w:r>
        <w:rPr>
          <w:color w:val="2E5395"/>
          <w:spacing w:val="-2"/>
        </w:rPr>
        <w:t>Assessment</w:t>
      </w:r>
    </w:p>
    <w:p w14:paraId="7A4C336C" w14:textId="77777777" w:rsidR="00E13D3F" w:rsidRDefault="00FB2D6A">
      <w:pPr>
        <w:pStyle w:val="BodyText"/>
        <w:spacing w:before="21" w:line="276" w:lineRule="auto"/>
        <w:ind w:right="1455"/>
      </w:pPr>
      <w:r>
        <w:t>A 2006 Cochrane review (5 trials, n=3494) concluded that there is no evidence that community-based</w:t>
      </w:r>
      <w:r>
        <w:rPr>
          <w:spacing w:val="-3"/>
        </w:rPr>
        <w:t xml:space="preserve"> </w:t>
      </w:r>
      <w:r>
        <w:t>screening</w:t>
      </w:r>
      <w:r>
        <w:rPr>
          <w:spacing w:val="-6"/>
        </w:rPr>
        <w:t xml:space="preserve"> </w:t>
      </w:r>
      <w:r>
        <w:t>of</w:t>
      </w:r>
      <w:r>
        <w:rPr>
          <w:spacing w:val="-4"/>
        </w:rPr>
        <w:t xml:space="preserve"> </w:t>
      </w:r>
      <w:r>
        <w:t>asymptomatic</w:t>
      </w:r>
      <w:r>
        <w:rPr>
          <w:spacing w:val="-7"/>
        </w:rPr>
        <w:t xml:space="preserve"> </w:t>
      </w:r>
      <w:r>
        <w:t>older</w:t>
      </w:r>
      <w:r>
        <w:rPr>
          <w:spacing w:val="-5"/>
        </w:rPr>
        <w:t xml:space="preserve"> </w:t>
      </w:r>
      <w:r>
        <w:t>people</w:t>
      </w:r>
      <w:r>
        <w:rPr>
          <w:spacing w:val="-3"/>
        </w:rPr>
        <w:t xml:space="preserve"> </w:t>
      </w:r>
      <w:r>
        <w:t>results</w:t>
      </w:r>
      <w:r>
        <w:rPr>
          <w:spacing w:val="-4"/>
        </w:rPr>
        <w:t xml:space="preserve"> </w:t>
      </w:r>
      <w:r>
        <w:t>in</w:t>
      </w:r>
      <w:r>
        <w:rPr>
          <w:spacing w:val="-5"/>
        </w:rPr>
        <w:t xml:space="preserve"> </w:t>
      </w:r>
      <w:r>
        <w:t>improvements</w:t>
      </w:r>
      <w:r>
        <w:rPr>
          <w:spacing w:val="-4"/>
        </w:rPr>
        <w:t xml:space="preserve"> </w:t>
      </w:r>
      <w:r>
        <w:t>in</w:t>
      </w:r>
      <w:r>
        <w:rPr>
          <w:spacing w:val="-3"/>
        </w:rPr>
        <w:t xml:space="preserve"> </w:t>
      </w:r>
      <w:r>
        <w:t>vision two to four years after screening compared to elderly people who were not screened (8). In one of the included studies, the risk of having visual impairment in either eye was similar with universal and targeted screening, three to five years after screening. For glaucoma patients,</w:t>
      </w:r>
      <w:r>
        <w:rPr>
          <w:spacing w:val="-1"/>
        </w:rPr>
        <w:t xml:space="preserve"> </w:t>
      </w:r>
      <w:r>
        <w:t>based on intraocular pressure readings,</w:t>
      </w:r>
      <w:r>
        <w:rPr>
          <w:spacing w:val="-1"/>
        </w:rPr>
        <w:t xml:space="preserve"> </w:t>
      </w:r>
      <w:r>
        <w:t>there was not sufficient data</w:t>
      </w:r>
      <w:r>
        <w:rPr>
          <w:spacing w:val="-1"/>
        </w:rPr>
        <w:t xml:space="preserve"> </w:t>
      </w:r>
      <w:r>
        <w:t>to</w:t>
      </w:r>
      <w:r>
        <w:rPr>
          <w:spacing w:val="-1"/>
        </w:rPr>
        <w:t xml:space="preserve"> </w:t>
      </w:r>
      <w:r>
        <w:t>determine the optimal follow up interval. However, the findings also suggest that there is no clear benefit from intensive monitoring (9). For diabetic retinopathy, a simulation model predicted that for type 2 diabetic patients without evidence of diabetic retinopathy implementing a 2-year screening interval does not increase their risk of vision loss (10).</w:t>
      </w:r>
    </w:p>
    <w:p w14:paraId="7A4C336D" w14:textId="77777777" w:rsidR="00E13D3F" w:rsidRDefault="00E13D3F">
      <w:pPr>
        <w:pStyle w:val="BodyText"/>
        <w:spacing w:line="276" w:lineRule="auto"/>
        <w:sectPr w:rsidR="00E13D3F">
          <w:pgSz w:w="11910" w:h="16840"/>
          <w:pgMar w:top="1380" w:right="0" w:bottom="1200" w:left="0" w:header="0" w:footer="1000" w:gutter="0"/>
          <w:cols w:space="720"/>
        </w:sectPr>
      </w:pPr>
    </w:p>
    <w:p w14:paraId="7A4C336E" w14:textId="77777777" w:rsidR="00E13D3F" w:rsidRDefault="00FB2D6A">
      <w:pPr>
        <w:pStyle w:val="Heading2"/>
        <w:spacing w:before="24"/>
      </w:pPr>
      <w:r>
        <w:rPr>
          <w:color w:val="2E5395"/>
          <w:spacing w:val="-2"/>
        </w:rPr>
        <w:lastRenderedPageBreak/>
        <w:t>Subpopulations</w:t>
      </w:r>
    </w:p>
    <w:p w14:paraId="7A4C336F" w14:textId="77777777" w:rsidR="00E13D3F" w:rsidRDefault="00FB2D6A">
      <w:pPr>
        <w:pStyle w:val="BodyText"/>
        <w:spacing w:before="23" w:line="276" w:lineRule="auto"/>
        <w:ind w:right="1137"/>
      </w:pPr>
      <w:r>
        <w:t>According</w:t>
      </w:r>
      <w:r>
        <w:rPr>
          <w:spacing w:val="-1"/>
        </w:rPr>
        <w:t xml:space="preserve"> </w:t>
      </w:r>
      <w:r>
        <w:t>to the National Eye Health Survey</w:t>
      </w:r>
      <w:r>
        <w:rPr>
          <w:spacing w:val="-1"/>
        </w:rPr>
        <w:t xml:space="preserve"> </w:t>
      </w:r>
      <w:r>
        <w:t>2016, the prevalence of blindness and vision impairment is almost three times higher in indigenous Australians than non-indigenous Australians</w:t>
      </w:r>
      <w:r>
        <w:rPr>
          <w:spacing w:val="-4"/>
        </w:rPr>
        <w:t xml:space="preserve"> </w:t>
      </w:r>
      <w:r>
        <w:t>(17.7%</w:t>
      </w:r>
      <w:r>
        <w:rPr>
          <w:spacing w:val="-2"/>
        </w:rPr>
        <w:t xml:space="preserve"> </w:t>
      </w:r>
      <w:r>
        <w:t>and</w:t>
      </w:r>
      <w:r>
        <w:rPr>
          <w:spacing w:val="-5"/>
        </w:rPr>
        <w:t xml:space="preserve"> </w:t>
      </w:r>
      <w:r>
        <w:t>6.4%)</w:t>
      </w:r>
      <w:r>
        <w:rPr>
          <w:spacing w:val="-1"/>
        </w:rPr>
        <w:t xml:space="preserve"> </w:t>
      </w:r>
      <w:r>
        <w:t>(11).</w:t>
      </w:r>
      <w:r>
        <w:rPr>
          <w:spacing w:val="-5"/>
        </w:rPr>
        <w:t xml:space="preserve"> </w:t>
      </w:r>
      <w:r>
        <w:t>Vision</w:t>
      </w:r>
      <w:r>
        <w:rPr>
          <w:spacing w:val="-3"/>
        </w:rPr>
        <w:t xml:space="preserve"> </w:t>
      </w:r>
      <w:r>
        <w:t>impairment</w:t>
      </w:r>
      <w:r>
        <w:rPr>
          <w:spacing w:val="-5"/>
        </w:rPr>
        <w:t xml:space="preserve"> </w:t>
      </w:r>
      <w:r>
        <w:t>further</w:t>
      </w:r>
      <w:r>
        <w:rPr>
          <w:spacing w:val="-3"/>
        </w:rPr>
        <w:t xml:space="preserve"> </w:t>
      </w:r>
      <w:r>
        <w:t>increases</w:t>
      </w:r>
      <w:r>
        <w:rPr>
          <w:spacing w:val="-6"/>
        </w:rPr>
        <w:t xml:space="preserve"> </w:t>
      </w:r>
      <w:r>
        <w:t>among</w:t>
      </w:r>
      <w:r>
        <w:rPr>
          <w:spacing w:val="-4"/>
        </w:rPr>
        <w:t xml:space="preserve"> </w:t>
      </w:r>
      <w:r>
        <w:t>indigenous people from more remote geographical areas.</w:t>
      </w:r>
    </w:p>
    <w:p w14:paraId="7A4C3370" w14:textId="77777777" w:rsidR="00E13D3F" w:rsidRDefault="00FB2D6A">
      <w:pPr>
        <w:pStyle w:val="Heading2"/>
        <w:spacing w:before="162"/>
      </w:pPr>
      <w:r>
        <w:rPr>
          <w:color w:val="2E5395"/>
          <w:spacing w:val="-2"/>
        </w:rPr>
        <w:t>Conclusion</w:t>
      </w:r>
    </w:p>
    <w:p w14:paraId="7A4C3371" w14:textId="77777777" w:rsidR="00E13D3F" w:rsidRDefault="00FB2D6A">
      <w:pPr>
        <w:pStyle w:val="BodyText"/>
        <w:spacing w:before="23" w:line="276" w:lineRule="auto"/>
        <w:ind w:right="1494"/>
      </w:pPr>
      <w:r>
        <w:t>Vision assessment in asymptomatic people does not appear to improve longer term vision outcomes. However, given the steep increase in vision impairment with advanced age and the impact that delay in detecting vision impairment and blindness can have on the health and</w:t>
      </w:r>
      <w:r>
        <w:rPr>
          <w:spacing w:val="-3"/>
        </w:rPr>
        <w:t xml:space="preserve"> </w:t>
      </w:r>
      <w:r>
        <w:t>quality</w:t>
      </w:r>
      <w:r>
        <w:rPr>
          <w:spacing w:val="-2"/>
        </w:rPr>
        <w:t xml:space="preserve"> </w:t>
      </w:r>
      <w:r>
        <w:t>of</w:t>
      </w:r>
      <w:r>
        <w:rPr>
          <w:spacing w:val="-1"/>
        </w:rPr>
        <w:t xml:space="preserve"> </w:t>
      </w:r>
      <w:r>
        <w:t>life</w:t>
      </w:r>
      <w:r>
        <w:rPr>
          <w:spacing w:val="-3"/>
        </w:rPr>
        <w:t xml:space="preserve"> </w:t>
      </w:r>
      <w:r>
        <w:t>of</w:t>
      </w:r>
      <w:r>
        <w:rPr>
          <w:spacing w:val="-3"/>
        </w:rPr>
        <w:t xml:space="preserve"> </w:t>
      </w:r>
      <w:r>
        <w:t>the</w:t>
      </w:r>
      <w:r>
        <w:rPr>
          <w:spacing w:val="-3"/>
        </w:rPr>
        <w:t xml:space="preserve"> </w:t>
      </w:r>
      <w:r>
        <w:t>aging population,</w:t>
      </w:r>
      <w:r>
        <w:rPr>
          <w:spacing w:val="-4"/>
        </w:rPr>
        <w:t xml:space="preserve"> </w:t>
      </w:r>
      <w:r>
        <w:t>our</w:t>
      </w:r>
      <w:r>
        <w:rPr>
          <w:spacing w:val="-4"/>
        </w:rPr>
        <w:t xml:space="preserve"> </w:t>
      </w:r>
      <w:r>
        <w:t>findings</w:t>
      </w:r>
      <w:r>
        <w:rPr>
          <w:spacing w:val="-3"/>
        </w:rPr>
        <w:t xml:space="preserve"> </w:t>
      </w:r>
      <w:r>
        <w:t>suggest</w:t>
      </w:r>
      <w:r>
        <w:rPr>
          <w:spacing w:val="-3"/>
        </w:rPr>
        <w:t xml:space="preserve"> </w:t>
      </w:r>
      <w:r>
        <w:t>that</w:t>
      </w:r>
      <w:r>
        <w:rPr>
          <w:spacing w:val="-1"/>
        </w:rPr>
        <w:t xml:space="preserve"> </w:t>
      </w:r>
      <w:r>
        <w:t>assessing</w:t>
      </w:r>
      <w:r>
        <w:rPr>
          <w:spacing w:val="-2"/>
        </w:rPr>
        <w:t xml:space="preserve"> </w:t>
      </w:r>
      <w:r>
        <w:t>vision</w:t>
      </w:r>
      <w:r>
        <w:rPr>
          <w:spacing w:val="-3"/>
        </w:rPr>
        <w:t xml:space="preserve"> </w:t>
      </w:r>
      <w:r>
        <w:t>every</w:t>
      </w:r>
      <w:r>
        <w:rPr>
          <w:spacing w:val="-4"/>
        </w:rPr>
        <w:t xml:space="preserve"> </w:t>
      </w:r>
      <w:r>
        <w:t>2-3 years starting at age 65 and referring to vision services could help preserve quality of life in the elderly population.</w:t>
      </w:r>
    </w:p>
    <w:p w14:paraId="7A4C3372" w14:textId="77777777" w:rsidR="00E13D3F" w:rsidRDefault="00E13D3F">
      <w:pPr>
        <w:pStyle w:val="BodyText"/>
        <w:ind w:left="0"/>
      </w:pPr>
    </w:p>
    <w:p w14:paraId="7A4C3373" w14:textId="77777777" w:rsidR="00E13D3F" w:rsidRDefault="00E13D3F">
      <w:pPr>
        <w:pStyle w:val="BodyText"/>
        <w:spacing w:before="74"/>
        <w:ind w:left="0"/>
      </w:pPr>
    </w:p>
    <w:p w14:paraId="7A4C3374" w14:textId="77777777" w:rsidR="00E13D3F" w:rsidRDefault="00FB2D6A">
      <w:pPr>
        <w:pStyle w:val="Heading2"/>
      </w:pPr>
      <w:r>
        <w:rPr>
          <w:color w:val="2E5395"/>
          <w:spacing w:val="-2"/>
        </w:rPr>
        <w:t>References</w:t>
      </w:r>
    </w:p>
    <w:p w14:paraId="7A4C3375" w14:textId="77777777" w:rsidR="00E13D3F" w:rsidRDefault="00FB2D6A" w:rsidP="00990D2B">
      <w:pPr>
        <w:pStyle w:val="ListParagraph"/>
        <w:numPr>
          <w:ilvl w:val="0"/>
          <w:numId w:val="1"/>
        </w:numPr>
        <w:tabs>
          <w:tab w:val="left" w:pos="1798"/>
          <w:tab w:val="left" w:pos="1800"/>
        </w:tabs>
        <w:spacing w:before="21" w:line="276" w:lineRule="auto"/>
        <w:ind w:right="1881"/>
      </w:pPr>
      <w:r>
        <w:t xml:space="preserve">Vision 2020 Australia. A snapshot of blindness and low vision services in Australia </w:t>
      </w:r>
      <w:hyperlink r:id="rId63">
        <w:r w:rsidR="00E13D3F">
          <w:rPr>
            <w:spacing w:val="-2"/>
          </w:rPr>
          <w:t>https://www.vision2020australia.org.au/resources/a-snapshot-of-blindness-and-low-vision-</w:t>
        </w:r>
      </w:hyperlink>
      <w:r>
        <w:t>services-in-australia/2015 [</w:t>
      </w:r>
    </w:p>
    <w:p w14:paraId="7A4C3376" w14:textId="77777777" w:rsidR="00E13D3F" w:rsidRDefault="00FB2D6A" w:rsidP="00990D2B">
      <w:pPr>
        <w:pStyle w:val="ListParagraph"/>
        <w:numPr>
          <w:ilvl w:val="0"/>
          <w:numId w:val="1"/>
        </w:numPr>
        <w:tabs>
          <w:tab w:val="left" w:pos="1798"/>
          <w:tab w:val="left" w:pos="1800"/>
        </w:tabs>
        <w:spacing w:line="276" w:lineRule="auto"/>
        <w:ind w:right="2100"/>
      </w:pPr>
      <w:r>
        <w:t>Mitchell</w:t>
      </w:r>
      <w:r>
        <w:rPr>
          <w:spacing w:val="-4"/>
        </w:rPr>
        <w:t xml:space="preserve"> </w:t>
      </w:r>
      <w:r>
        <w:t>P,</w:t>
      </w:r>
      <w:r>
        <w:rPr>
          <w:spacing w:val="-4"/>
        </w:rPr>
        <w:t xml:space="preserve"> </w:t>
      </w:r>
      <w:r>
        <w:t>Wang</w:t>
      </w:r>
      <w:r>
        <w:rPr>
          <w:spacing w:val="-2"/>
        </w:rPr>
        <w:t xml:space="preserve"> </w:t>
      </w:r>
      <w:r>
        <w:t>JJ,</w:t>
      </w:r>
      <w:r>
        <w:rPr>
          <w:spacing w:val="-1"/>
        </w:rPr>
        <w:t xml:space="preserve"> </w:t>
      </w:r>
      <w:r>
        <w:t>Smith</w:t>
      </w:r>
      <w:r>
        <w:rPr>
          <w:spacing w:val="-4"/>
        </w:rPr>
        <w:t xml:space="preserve"> </w:t>
      </w:r>
      <w:r>
        <w:t>W,</w:t>
      </w:r>
      <w:r>
        <w:rPr>
          <w:spacing w:val="-1"/>
        </w:rPr>
        <w:t xml:space="preserve"> </w:t>
      </w:r>
      <w:r>
        <w:t>Leeder</w:t>
      </w:r>
      <w:r>
        <w:rPr>
          <w:spacing w:val="-3"/>
        </w:rPr>
        <w:t xml:space="preserve"> </w:t>
      </w:r>
      <w:r>
        <w:t>SR.</w:t>
      </w:r>
      <w:r>
        <w:rPr>
          <w:spacing w:val="-1"/>
        </w:rPr>
        <w:t xml:space="preserve"> </w:t>
      </w:r>
      <w:r>
        <w:t>Smoking</w:t>
      </w:r>
      <w:r>
        <w:rPr>
          <w:spacing w:val="-2"/>
        </w:rPr>
        <w:t xml:space="preserve"> </w:t>
      </w:r>
      <w:r>
        <w:t>and</w:t>
      </w:r>
      <w:r>
        <w:rPr>
          <w:spacing w:val="-5"/>
        </w:rPr>
        <w:t xml:space="preserve"> </w:t>
      </w:r>
      <w:r>
        <w:t>the</w:t>
      </w:r>
      <w:r>
        <w:rPr>
          <w:spacing w:val="-3"/>
        </w:rPr>
        <w:t xml:space="preserve"> </w:t>
      </w:r>
      <w:r>
        <w:t>5-year</w:t>
      </w:r>
      <w:r>
        <w:rPr>
          <w:spacing w:val="-1"/>
        </w:rPr>
        <w:t xml:space="preserve"> </w:t>
      </w:r>
      <w:r>
        <w:t>incidence</w:t>
      </w:r>
      <w:r>
        <w:rPr>
          <w:spacing w:val="-1"/>
        </w:rPr>
        <w:t xml:space="preserve"> </w:t>
      </w:r>
      <w:r>
        <w:t>of</w:t>
      </w:r>
      <w:r>
        <w:rPr>
          <w:spacing w:val="-4"/>
        </w:rPr>
        <w:t xml:space="preserve"> </w:t>
      </w:r>
      <w:r>
        <w:t xml:space="preserve">age-related maculopathy: the Blue Mountains Eye Study. Arch </w:t>
      </w:r>
      <w:proofErr w:type="spellStart"/>
      <w:r>
        <w:t>Ophthalmol</w:t>
      </w:r>
      <w:proofErr w:type="spellEnd"/>
      <w:r>
        <w:t>. 2002;120(10):1357-63.</w:t>
      </w:r>
    </w:p>
    <w:p w14:paraId="7A4C3377" w14:textId="77777777" w:rsidR="00E13D3F" w:rsidRDefault="00FB2D6A" w:rsidP="00990D2B">
      <w:pPr>
        <w:pStyle w:val="ListParagraph"/>
        <w:numPr>
          <w:ilvl w:val="0"/>
          <w:numId w:val="1"/>
        </w:numPr>
        <w:tabs>
          <w:tab w:val="left" w:pos="1798"/>
          <w:tab w:val="left" w:pos="1800"/>
        </w:tabs>
        <w:spacing w:before="2" w:line="273" w:lineRule="auto"/>
        <w:ind w:right="1679"/>
      </w:pPr>
      <w:r>
        <w:t>Vision</w:t>
      </w:r>
      <w:r>
        <w:rPr>
          <w:spacing w:val="-3"/>
        </w:rPr>
        <w:t xml:space="preserve"> </w:t>
      </w:r>
      <w:r>
        <w:t>2020</w:t>
      </w:r>
      <w:r>
        <w:rPr>
          <w:spacing w:val="-2"/>
        </w:rPr>
        <w:t xml:space="preserve"> </w:t>
      </w:r>
      <w:r>
        <w:t>Australia,</w:t>
      </w:r>
      <w:r>
        <w:rPr>
          <w:spacing w:val="-2"/>
        </w:rPr>
        <w:t xml:space="preserve"> </w:t>
      </w:r>
      <w:r>
        <w:t>Centre</w:t>
      </w:r>
      <w:r>
        <w:rPr>
          <w:spacing w:val="-2"/>
        </w:rPr>
        <w:t xml:space="preserve"> </w:t>
      </w:r>
      <w:r>
        <w:t>for</w:t>
      </w:r>
      <w:r>
        <w:rPr>
          <w:spacing w:val="-5"/>
        </w:rPr>
        <w:t xml:space="preserve"> </w:t>
      </w:r>
      <w:r>
        <w:t>Eye</w:t>
      </w:r>
      <w:r>
        <w:rPr>
          <w:spacing w:val="-2"/>
        </w:rPr>
        <w:t xml:space="preserve"> </w:t>
      </w:r>
      <w:r>
        <w:t>Research</w:t>
      </w:r>
      <w:r>
        <w:rPr>
          <w:spacing w:val="-2"/>
        </w:rPr>
        <w:t xml:space="preserve"> </w:t>
      </w:r>
      <w:r>
        <w:t>Australia.</w:t>
      </w:r>
      <w:r>
        <w:rPr>
          <w:spacing w:val="-3"/>
        </w:rPr>
        <w:t xml:space="preserve"> </w:t>
      </w:r>
      <w:r>
        <w:t>The</w:t>
      </w:r>
      <w:r>
        <w:rPr>
          <w:spacing w:val="-2"/>
        </w:rPr>
        <w:t xml:space="preserve"> </w:t>
      </w:r>
      <w:r>
        <w:t>National</w:t>
      </w:r>
      <w:r>
        <w:rPr>
          <w:spacing w:val="-2"/>
        </w:rPr>
        <w:t xml:space="preserve"> </w:t>
      </w:r>
      <w:r>
        <w:t>Eye</w:t>
      </w:r>
      <w:r>
        <w:rPr>
          <w:spacing w:val="-2"/>
        </w:rPr>
        <w:t xml:space="preserve"> </w:t>
      </w:r>
      <w:r>
        <w:t>Health</w:t>
      </w:r>
      <w:r>
        <w:rPr>
          <w:spacing w:val="-5"/>
        </w:rPr>
        <w:t xml:space="preserve"> </w:t>
      </w:r>
      <w:r>
        <w:t>Survey</w:t>
      </w:r>
      <w:r>
        <w:rPr>
          <w:spacing w:val="-2"/>
        </w:rPr>
        <w:t xml:space="preserve"> </w:t>
      </w:r>
      <w:r>
        <w:t>2016. Melbourne, VIC; 2016.</w:t>
      </w:r>
    </w:p>
    <w:p w14:paraId="7A4C3378" w14:textId="77777777" w:rsidR="00E13D3F" w:rsidRDefault="00FB2D6A" w:rsidP="00990D2B">
      <w:pPr>
        <w:pStyle w:val="ListParagraph"/>
        <w:numPr>
          <w:ilvl w:val="0"/>
          <w:numId w:val="1"/>
        </w:numPr>
        <w:tabs>
          <w:tab w:val="left" w:pos="1798"/>
          <w:tab w:val="left" w:pos="1800"/>
        </w:tabs>
        <w:spacing w:before="5" w:line="276" w:lineRule="auto"/>
        <w:ind w:right="2255"/>
      </w:pPr>
      <w:r>
        <w:t>Taylor</w:t>
      </w:r>
      <w:r>
        <w:rPr>
          <w:spacing w:val="-2"/>
        </w:rPr>
        <w:t xml:space="preserve"> </w:t>
      </w:r>
      <w:r>
        <w:t>HR,</w:t>
      </w:r>
      <w:r>
        <w:rPr>
          <w:spacing w:val="-4"/>
        </w:rPr>
        <w:t xml:space="preserve"> </w:t>
      </w:r>
      <w:r>
        <w:t>Keeffe</w:t>
      </w:r>
      <w:r>
        <w:rPr>
          <w:spacing w:val="-1"/>
        </w:rPr>
        <w:t xml:space="preserve"> </w:t>
      </w:r>
      <w:r>
        <w:t>JE.</w:t>
      </w:r>
      <w:r>
        <w:rPr>
          <w:spacing w:val="-4"/>
        </w:rPr>
        <w:t xml:space="preserve"> </w:t>
      </w:r>
      <w:r>
        <w:t>Updates</w:t>
      </w:r>
      <w:r>
        <w:rPr>
          <w:spacing w:val="-1"/>
        </w:rPr>
        <w:t xml:space="preserve"> </w:t>
      </w:r>
      <w:r>
        <w:t>in</w:t>
      </w:r>
      <w:r>
        <w:rPr>
          <w:spacing w:val="-6"/>
        </w:rPr>
        <w:t xml:space="preserve"> </w:t>
      </w:r>
      <w:r>
        <w:t>medicine:</w:t>
      </w:r>
      <w:r>
        <w:rPr>
          <w:spacing w:val="-2"/>
        </w:rPr>
        <w:t xml:space="preserve"> </w:t>
      </w:r>
      <w:r>
        <w:t>Ophthalmology.</w:t>
      </w:r>
      <w:r>
        <w:rPr>
          <w:spacing w:val="-5"/>
        </w:rPr>
        <w:t xml:space="preserve"> </w:t>
      </w:r>
      <w:r>
        <w:t>Medical</w:t>
      </w:r>
      <w:r>
        <w:rPr>
          <w:spacing w:val="-5"/>
        </w:rPr>
        <w:t xml:space="preserve"> </w:t>
      </w:r>
      <w:r>
        <w:t>Journal</w:t>
      </w:r>
      <w:r>
        <w:rPr>
          <w:spacing w:val="-5"/>
        </w:rPr>
        <w:t xml:space="preserve"> </w:t>
      </w:r>
      <w:r>
        <w:t>of</w:t>
      </w:r>
      <w:r>
        <w:rPr>
          <w:spacing w:val="-2"/>
        </w:rPr>
        <w:t xml:space="preserve"> </w:t>
      </w:r>
      <w:r>
        <w:t xml:space="preserve">Australia. </w:t>
      </w:r>
      <w:r>
        <w:rPr>
          <w:spacing w:val="-2"/>
        </w:rPr>
        <w:t>2002;176(1).</w:t>
      </w:r>
    </w:p>
    <w:p w14:paraId="7A4C3379" w14:textId="77777777" w:rsidR="00E13D3F" w:rsidRDefault="00FB2D6A" w:rsidP="00990D2B">
      <w:pPr>
        <w:pStyle w:val="ListParagraph"/>
        <w:numPr>
          <w:ilvl w:val="0"/>
          <w:numId w:val="1"/>
        </w:numPr>
        <w:tabs>
          <w:tab w:val="left" w:pos="1798"/>
          <w:tab w:val="left" w:pos="1800"/>
        </w:tabs>
        <w:spacing w:line="276" w:lineRule="auto"/>
        <w:ind w:right="1960"/>
      </w:pPr>
      <w:r>
        <w:t>The</w:t>
      </w:r>
      <w:r>
        <w:rPr>
          <w:spacing w:val="-2"/>
        </w:rPr>
        <w:t xml:space="preserve"> </w:t>
      </w:r>
      <w:r>
        <w:t>Royal</w:t>
      </w:r>
      <w:r>
        <w:rPr>
          <w:spacing w:val="-5"/>
        </w:rPr>
        <w:t xml:space="preserve"> </w:t>
      </w:r>
      <w:r>
        <w:t>Australian</w:t>
      </w:r>
      <w:r>
        <w:rPr>
          <w:spacing w:val="-3"/>
        </w:rPr>
        <w:t xml:space="preserve"> </w:t>
      </w:r>
      <w:r>
        <w:t>College</w:t>
      </w:r>
      <w:r>
        <w:rPr>
          <w:spacing w:val="-2"/>
        </w:rPr>
        <w:t xml:space="preserve"> </w:t>
      </w:r>
      <w:r>
        <w:t>of</w:t>
      </w:r>
      <w:r>
        <w:rPr>
          <w:spacing w:val="-5"/>
        </w:rPr>
        <w:t xml:space="preserve"> </w:t>
      </w:r>
      <w:r>
        <w:t>General</w:t>
      </w:r>
      <w:r>
        <w:rPr>
          <w:spacing w:val="-2"/>
        </w:rPr>
        <w:t xml:space="preserve"> </w:t>
      </w:r>
      <w:r>
        <w:t>Practitioners.</w:t>
      </w:r>
      <w:r>
        <w:rPr>
          <w:spacing w:val="-4"/>
        </w:rPr>
        <w:t xml:space="preserve"> </w:t>
      </w:r>
      <w:r>
        <w:t>Guidelines</w:t>
      </w:r>
      <w:r>
        <w:rPr>
          <w:spacing w:val="-1"/>
        </w:rPr>
        <w:t xml:space="preserve"> </w:t>
      </w:r>
      <w:r>
        <w:t>for</w:t>
      </w:r>
      <w:r>
        <w:rPr>
          <w:spacing w:val="-5"/>
        </w:rPr>
        <w:t xml:space="preserve"> </w:t>
      </w:r>
      <w:r>
        <w:t>preventive</w:t>
      </w:r>
      <w:r>
        <w:rPr>
          <w:spacing w:val="-2"/>
        </w:rPr>
        <w:t xml:space="preserve"> </w:t>
      </w:r>
      <w:r>
        <w:t>activities</w:t>
      </w:r>
      <w:r>
        <w:rPr>
          <w:spacing w:val="-1"/>
        </w:rPr>
        <w:t xml:space="preserve"> </w:t>
      </w:r>
      <w:r>
        <w:t>in general practice. 9th ed. East Melbourne, VIC: RACGP, 2016.</w:t>
      </w:r>
    </w:p>
    <w:p w14:paraId="7A4C337A" w14:textId="77777777" w:rsidR="00E13D3F" w:rsidRDefault="00FB2D6A" w:rsidP="00990D2B">
      <w:pPr>
        <w:pStyle w:val="ListParagraph"/>
        <w:numPr>
          <w:ilvl w:val="0"/>
          <w:numId w:val="1"/>
        </w:numPr>
        <w:tabs>
          <w:tab w:val="left" w:pos="1798"/>
          <w:tab w:val="left" w:pos="1800"/>
        </w:tabs>
        <w:spacing w:line="276" w:lineRule="auto"/>
        <w:ind w:right="1737"/>
      </w:pPr>
      <w:r>
        <w:t xml:space="preserve">Chou R, </w:t>
      </w:r>
      <w:proofErr w:type="spellStart"/>
      <w:r>
        <w:t>Bougatsos</w:t>
      </w:r>
      <w:proofErr w:type="spellEnd"/>
      <w:r>
        <w:t xml:space="preserve"> C, Jungbauer R, </w:t>
      </w:r>
      <w:proofErr w:type="spellStart"/>
      <w:r>
        <w:t>Grusing</w:t>
      </w:r>
      <w:proofErr w:type="spellEnd"/>
      <w:r>
        <w:t xml:space="preserve"> S, Blazina I, Selph S, et al. Screening for Impaired Visual</w:t>
      </w:r>
      <w:r>
        <w:rPr>
          <w:spacing w:val="-2"/>
        </w:rPr>
        <w:t xml:space="preserve"> </w:t>
      </w:r>
      <w:r>
        <w:t>Acuity</w:t>
      </w:r>
      <w:r>
        <w:rPr>
          <w:spacing w:val="-2"/>
        </w:rPr>
        <w:t xml:space="preserve"> </w:t>
      </w:r>
      <w:r>
        <w:t>in</w:t>
      </w:r>
      <w:r>
        <w:rPr>
          <w:spacing w:val="-5"/>
        </w:rPr>
        <w:t xml:space="preserve"> </w:t>
      </w:r>
      <w:r>
        <w:t>Older</w:t>
      </w:r>
      <w:r>
        <w:rPr>
          <w:spacing w:val="-2"/>
        </w:rPr>
        <w:t xml:space="preserve"> </w:t>
      </w:r>
      <w:r>
        <w:t>Adults:</w:t>
      </w:r>
      <w:r>
        <w:rPr>
          <w:spacing w:val="-2"/>
        </w:rPr>
        <w:t xml:space="preserve"> </w:t>
      </w:r>
      <w:r>
        <w:t>A</w:t>
      </w:r>
      <w:r>
        <w:rPr>
          <w:spacing w:val="-2"/>
        </w:rPr>
        <w:t xml:space="preserve"> </w:t>
      </w:r>
      <w:r>
        <w:t>Systematic</w:t>
      </w:r>
      <w:r>
        <w:rPr>
          <w:spacing w:val="-2"/>
        </w:rPr>
        <w:t xml:space="preserve"> </w:t>
      </w:r>
      <w:r>
        <w:t>Review</w:t>
      </w:r>
      <w:r>
        <w:rPr>
          <w:spacing w:val="-2"/>
        </w:rPr>
        <w:t xml:space="preserve"> </w:t>
      </w:r>
      <w:r>
        <w:t>for</w:t>
      </w:r>
      <w:r>
        <w:rPr>
          <w:spacing w:val="-4"/>
        </w:rPr>
        <w:t xml:space="preserve"> </w:t>
      </w:r>
      <w:r>
        <w:t>the</w:t>
      </w:r>
      <w:r>
        <w:rPr>
          <w:spacing w:val="-2"/>
        </w:rPr>
        <w:t xml:space="preserve"> </w:t>
      </w:r>
      <w:r>
        <w:t>U.S.</w:t>
      </w:r>
      <w:r>
        <w:rPr>
          <w:spacing w:val="-3"/>
        </w:rPr>
        <w:t xml:space="preserve"> </w:t>
      </w:r>
      <w:r>
        <w:t>Preventive</w:t>
      </w:r>
      <w:r>
        <w:rPr>
          <w:spacing w:val="-2"/>
        </w:rPr>
        <w:t xml:space="preserve"> </w:t>
      </w:r>
      <w:r>
        <w:t>Services</w:t>
      </w:r>
      <w:r>
        <w:rPr>
          <w:spacing w:val="-2"/>
        </w:rPr>
        <w:t xml:space="preserve"> </w:t>
      </w:r>
      <w:r>
        <w:t>Task</w:t>
      </w:r>
      <w:r>
        <w:rPr>
          <w:spacing w:val="-4"/>
        </w:rPr>
        <w:t xml:space="preserve"> </w:t>
      </w:r>
      <w:r>
        <w:t>Force. Evidence Synthesis No. 213. AHRQ Publication No. 21-05285-EF-1. Rockville, MD: Agency for Healthcare Research and Quality; 2022.</w:t>
      </w:r>
    </w:p>
    <w:p w14:paraId="7A4C337B" w14:textId="77777777" w:rsidR="00E13D3F" w:rsidRDefault="00FB2D6A" w:rsidP="00990D2B">
      <w:pPr>
        <w:pStyle w:val="ListParagraph"/>
        <w:numPr>
          <w:ilvl w:val="0"/>
          <w:numId w:val="1"/>
        </w:numPr>
        <w:tabs>
          <w:tab w:val="left" w:pos="1798"/>
          <w:tab w:val="left" w:pos="1800"/>
        </w:tabs>
        <w:spacing w:before="1" w:line="273" w:lineRule="auto"/>
        <w:ind w:right="2000"/>
      </w:pPr>
      <w:r>
        <w:t>Foreman</w:t>
      </w:r>
      <w:r>
        <w:rPr>
          <w:spacing w:val="-2"/>
        </w:rPr>
        <w:t xml:space="preserve"> </w:t>
      </w:r>
      <w:r>
        <w:t>J.</w:t>
      </w:r>
      <w:r>
        <w:rPr>
          <w:spacing w:val="-2"/>
        </w:rPr>
        <w:t xml:space="preserve"> </w:t>
      </w:r>
      <w:r>
        <w:t>The</w:t>
      </w:r>
      <w:r>
        <w:rPr>
          <w:spacing w:val="-2"/>
        </w:rPr>
        <w:t xml:space="preserve"> </w:t>
      </w:r>
      <w:r>
        <w:t>prevalence</w:t>
      </w:r>
      <w:r>
        <w:rPr>
          <w:spacing w:val="-5"/>
        </w:rPr>
        <w:t xml:space="preserve"> </w:t>
      </w:r>
      <w:r>
        <w:t>and</w:t>
      </w:r>
      <w:r>
        <w:rPr>
          <w:spacing w:val="-2"/>
        </w:rPr>
        <w:t xml:space="preserve"> </w:t>
      </w:r>
      <w:r>
        <w:t>causes</w:t>
      </w:r>
      <w:r>
        <w:rPr>
          <w:spacing w:val="-3"/>
        </w:rPr>
        <w:t xml:space="preserve"> </w:t>
      </w:r>
      <w:r>
        <w:t>of</w:t>
      </w:r>
      <w:r>
        <w:rPr>
          <w:spacing w:val="-3"/>
        </w:rPr>
        <w:t xml:space="preserve"> </w:t>
      </w:r>
      <w:r>
        <w:t>vision</w:t>
      </w:r>
      <w:r>
        <w:rPr>
          <w:spacing w:val="-5"/>
        </w:rPr>
        <w:t xml:space="preserve"> </w:t>
      </w:r>
      <w:r>
        <w:t>impairment</w:t>
      </w:r>
      <w:r>
        <w:rPr>
          <w:spacing w:val="-4"/>
        </w:rPr>
        <w:t xml:space="preserve"> </w:t>
      </w:r>
      <w:r>
        <w:t>and</w:t>
      </w:r>
      <w:r>
        <w:rPr>
          <w:spacing w:val="-3"/>
        </w:rPr>
        <w:t xml:space="preserve"> </w:t>
      </w:r>
      <w:r>
        <w:t>blindness in</w:t>
      </w:r>
      <w:r>
        <w:rPr>
          <w:spacing w:val="-3"/>
        </w:rPr>
        <w:t xml:space="preserve"> </w:t>
      </w:r>
      <w:r>
        <w:t>Australia:</w:t>
      </w:r>
      <w:r>
        <w:rPr>
          <w:spacing w:val="-1"/>
        </w:rPr>
        <w:t xml:space="preserve"> </w:t>
      </w:r>
      <w:r>
        <w:t>The National Eye Health Survey: The University of Melbourne; 2018.</w:t>
      </w:r>
    </w:p>
    <w:p w14:paraId="7A4C337C" w14:textId="77777777" w:rsidR="00E13D3F" w:rsidRDefault="00FB2D6A" w:rsidP="00990D2B">
      <w:pPr>
        <w:pStyle w:val="ListParagraph"/>
        <w:numPr>
          <w:ilvl w:val="0"/>
          <w:numId w:val="1"/>
        </w:numPr>
        <w:tabs>
          <w:tab w:val="left" w:pos="1798"/>
          <w:tab w:val="left" w:pos="1800"/>
        </w:tabs>
        <w:spacing w:before="4" w:line="278" w:lineRule="auto"/>
        <w:ind w:right="1535"/>
      </w:pPr>
      <w:r>
        <w:t>Smeeth</w:t>
      </w:r>
      <w:r>
        <w:rPr>
          <w:spacing w:val="-2"/>
        </w:rPr>
        <w:t xml:space="preserve"> </w:t>
      </w:r>
      <w:r>
        <w:t>L,</w:t>
      </w:r>
      <w:r>
        <w:rPr>
          <w:spacing w:val="-5"/>
        </w:rPr>
        <w:t xml:space="preserve"> </w:t>
      </w:r>
      <w:r>
        <w:t>Iliffe</w:t>
      </w:r>
      <w:r>
        <w:rPr>
          <w:spacing w:val="-2"/>
        </w:rPr>
        <w:t xml:space="preserve"> </w:t>
      </w:r>
      <w:r>
        <w:t>S.</w:t>
      </w:r>
      <w:r>
        <w:rPr>
          <w:spacing w:val="-2"/>
        </w:rPr>
        <w:t xml:space="preserve"> </w:t>
      </w:r>
      <w:r>
        <w:t>Community</w:t>
      </w:r>
      <w:r>
        <w:rPr>
          <w:spacing w:val="-2"/>
        </w:rPr>
        <w:t xml:space="preserve"> </w:t>
      </w:r>
      <w:r>
        <w:t>screening</w:t>
      </w:r>
      <w:r>
        <w:rPr>
          <w:spacing w:val="-3"/>
        </w:rPr>
        <w:t xml:space="preserve"> </w:t>
      </w:r>
      <w:r>
        <w:t>for</w:t>
      </w:r>
      <w:r>
        <w:rPr>
          <w:spacing w:val="-4"/>
        </w:rPr>
        <w:t xml:space="preserve"> </w:t>
      </w:r>
      <w:r>
        <w:t>visual</w:t>
      </w:r>
      <w:r>
        <w:rPr>
          <w:spacing w:val="-2"/>
        </w:rPr>
        <w:t xml:space="preserve"> </w:t>
      </w:r>
      <w:r>
        <w:t>impairment</w:t>
      </w:r>
      <w:r>
        <w:rPr>
          <w:spacing w:val="-4"/>
        </w:rPr>
        <w:t xml:space="preserve"> </w:t>
      </w:r>
      <w:r>
        <w:t>in</w:t>
      </w:r>
      <w:r>
        <w:rPr>
          <w:spacing w:val="-2"/>
        </w:rPr>
        <w:t xml:space="preserve"> </w:t>
      </w:r>
      <w:r>
        <w:t>the</w:t>
      </w:r>
      <w:r>
        <w:rPr>
          <w:spacing w:val="-4"/>
        </w:rPr>
        <w:t xml:space="preserve"> </w:t>
      </w:r>
      <w:r>
        <w:t>elderly.</w:t>
      </w:r>
      <w:r>
        <w:rPr>
          <w:spacing w:val="-5"/>
        </w:rPr>
        <w:t xml:space="preserve"> </w:t>
      </w:r>
      <w:r>
        <w:t>Cochrane</w:t>
      </w:r>
      <w:r>
        <w:rPr>
          <w:spacing w:val="-2"/>
        </w:rPr>
        <w:t xml:space="preserve"> </w:t>
      </w:r>
      <w:r>
        <w:t>Database Syst Rev. 2006(3):Cd001054.</w:t>
      </w:r>
    </w:p>
    <w:p w14:paraId="7A4C337D" w14:textId="77777777" w:rsidR="00E13D3F" w:rsidRDefault="00FB2D6A" w:rsidP="00990D2B">
      <w:pPr>
        <w:pStyle w:val="ListParagraph"/>
        <w:numPr>
          <w:ilvl w:val="0"/>
          <w:numId w:val="1"/>
        </w:numPr>
        <w:tabs>
          <w:tab w:val="left" w:pos="1798"/>
          <w:tab w:val="left" w:pos="1800"/>
        </w:tabs>
        <w:spacing w:line="276" w:lineRule="auto"/>
        <w:ind w:right="1830"/>
      </w:pPr>
      <w:r>
        <w:t xml:space="preserve">Burr JM, Botello-Pinzon P, </w:t>
      </w:r>
      <w:proofErr w:type="spellStart"/>
      <w:r>
        <w:t>Takwoingi</w:t>
      </w:r>
      <w:proofErr w:type="spellEnd"/>
      <w:r>
        <w:t xml:space="preserve"> Y, Hernández R, Vazquez-Montes M, Elders A, et al. Surveillance</w:t>
      </w:r>
      <w:r>
        <w:rPr>
          <w:spacing w:val="-2"/>
        </w:rPr>
        <w:t xml:space="preserve"> </w:t>
      </w:r>
      <w:r>
        <w:t>for</w:t>
      </w:r>
      <w:r>
        <w:rPr>
          <w:spacing w:val="-5"/>
        </w:rPr>
        <w:t xml:space="preserve"> </w:t>
      </w:r>
      <w:r>
        <w:t>ocular</w:t>
      </w:r>
      <w:r>
        <w:rPr>
          <w:spacing w:val="-6"/>
        </w:rPr>
        <w:t xml:space="preserve"> </w:t>
      </w:r>
      <w:r>
        <w:t>hypertension:</w:t>
      </w:r>
      <w:r>
        <w:rPr>
          <w:spacing w:val="-3"/>
        </w:rPr>
        <w:t xml:space="preserve"> </w:t>
      </w:r>
      <w:r>
        <w:t>an</w:t>
      </w:r>
      <w:r>
        <w:rPr>
          <w:spacing w:val="-6"/>
        </w:rPr>
        <w:t xml:space="preserve"> </w:t>
      </w:r>
      <w:r>
        <w:t>evidence</w:t>
      </w:r>
      <w:r>
        <w:rPr>
          <w:spacing w:val="-5"/>
        </w:rPr>
        <w:t xml:space="preserve"> </w:t>
      </w:r>
      <w:r>
        <w:t>synthesis</w:t>
      </w:r>
      <w:r>
        <w:rPr>
          <w:spacing w:val="-3"/>
        </w:rPr>
        <w:t xml:space="preserve"> </w:t>
      </w:r>
      <w:r>
        <w:t>and</w:t>
      </w:r>
      <w:r>
        <w:rPr>
          <w:spacing w:val="-5"/>
        </w:rPr>
        <w:t xml:space="preserve"> </w:t>
      </w:r>
      <w:r>
        <w:t>economic</w:t>
      </w:r>
      <w:r>
        <w:rPr>
          <w:spacing w:val="-3"/>
        </w:rPr>
        <w:t xml:space="preserve"> </w:t>
      </w:r>
      <w:r>
        <w:t>evaluation.</w:t>
      </w:r>
      <w:r>
        <w:rPr>
          <w:spacing w:val="-3"/>
        </w:rPr>
        <w:t xml:space="preserve"> </w:t>
      </w:r>
      <w:r>
        <w:t>Health Technol Assess. 2012;16(29):1-271, iii-iv.</w:t>
      </w:r>
    </w:p>
    <w:p w14:paraId="7A4C337E" w14:textId="77777777" w:rsidR="00E13D3F" w:rsidRDefault="00FB2D6A" w:rsidP="00990D2B">
      <w:pPr>
        <w:pStyle w:val="ListParagraph"/>
        <w:numPr>
          <w:ilvl w:val="0"/>
          <w:numId w:val="1"/>
        </w:numPr>
        <w:tabs>
          <w:tab w:val="left" w:pos="1798"/>
          <w:tab w:val="left" w:pos="1800"/>
        </w:tabs>
        <w:spacing w:line="276" w:lineRule="auto"/>
        <w:ind w:right="1961"/>
      </w:pPr>
      <w:r>
        <w:t>Chalk</w:t>
      </w:r>
      <w:r>
        <w:rPr>
          <w:spacing w:val="-1"/>
        </w:rPr>
        <w:t xml:space="preserve"> </w:t>
      </w:r>
      <w:r>
        <w:t>D,</w:t>
      </w:r>
      <w:r>
        <w:rPr>
          <w:spacing w:val="-4"/>
        </w:rPr>
        <w:t xml:space="preserve"> </w:t>
      </w:r>
      <w:r>
        <w:t>Pitt</w:t>
      </w:r>
      <w:r>
        <w:rPr>
          <w:spacing w:val="-3"/>
        </w:rPr>
        <w:t xml:space="preserve"> </w:t>
      </w:r>
      <w:r>
        <w:t>M,</w:t>
      </w:r>
      <w:r>
        <w:rPr>
          <w:spacing w:val="-1"/>
        </w:rPr>
        <w:t xml:space="preserve"> </w:t>
      </w:r>
      <w:r>
        <w:t>Vaidya</w:t>
      </w:r>
      <w:r>
        <w:rPr>
          <w:spacing w:val="-1"/>
        </w:rPr>
        <w:t xml:space="preserve"> </w:t>
      </w:r>
      <w:r>
        <w:t>B, Stein</w:t>
      </w:r>
      <w:r>
        <w:rPr>
          <w:spacing w:val="-3"/>
        </w:rPr>
        <w:t xml:space="preserve"> </w:t>
      </w:r>
      <w:r>
        <w:t>K.</w:t>
      </w:r>
      <w:r>
        <w:rPr>
          <w:spacing w:val="-1"/>
        </w:rPr>
        <w:t xml:space="preserve"> </w:t>
      </w:r>
      <w:r>
        <w:t>Can</w:t>
      </w:r>
      <w:r>
        <w:rPr>
          <w:spacing w:val="-5"/>
        </w:rPr>
        <w:t xml:space="preserve"> </w:t>
      </w:r>
      <w:r>
        <w:t>the</w:t>
      </w:r>
      <w:r>
        <w:rPr>
          <w:spacing w:val="-1"/>
        </w:rPr>
        <w:t xml:space="preserve"> </w:t>
      </w:r>
      <w:r>
        <w:t>retinal</w:t>
      </w:r>
      <w:r>
        <w:rPr>
          <w:spacing w:val="-1"/>
        </w:rPr>
        <w:t xml:space="preserve"> </w:t>
      </w:r>
      <w:r>
        <w:t>screening</w:t>
      </w:r>
      <w:r>
        <w:rPr>
          <w:spacing w:val="-2"/>
        </w:rPr>
        <w:t xml:space="preserve"> </w:t>
      </w:r>
      <w:r>
        <w:t>interval</w:t>
      </w:r>
      <w:r>
        <w:rPr>
          <w:spacing w:val="-4"/>
        </w:rPr>
        <w:t xml:space="preserve"> </w:t>
      </w:r>
      <w:r>
        <w:t>be</w:t>
      </w:r>
      <w:r>
        <w:rPr>
          <w:spacing w:val="-1"/>
        </w:rPr>
        <w:t xml:space="preserve"> </w:t>
      </w:r>
      <w:r>
        <w:t>safely</w:t>
      </w:r>
      <w:r>
        <w:rPr>
          <w:spacing w:val="-1"/>
        </w:rPr>
        <w:t xml:space="preserve"> </w:t>
      </w:r>
      <w:r>
        <w:t>increased</w:t>
      </w:r>
      <w:r>
        <w:rPr>
          <w:spacing w:val="-2"/>
        </w:rPr>
        <w:t xml:space="preserve"> </w:t>
      </w:r>
      <w:r>
        <w:t>to</w:t>
      </w:r>
      <w:r>
        <w:rPr>
          <w:spacing w:val="-2"/>
        </w:rPr>
        <w:t xml:space="preserve"> </w:t>
      </w:r>
      <w:r>
        <w:t>2 years for type 2 diabetic patients without retinopathy? Diabetes Care. 2012;35(8):1663-8.</w:t>
      </w:r>
    </w:p>
    <w:p w14:paraId="7A4C3C25" w14:textId="1DCCABDA" w:rsidR="00E13D3F" w:rsidRDefault="00FB2D6A" w:rsidP="008931D3">
      <w:pPr>
        <w:pStyle w:val="ListParagraph"/>
        <w:numPr>
          <w:ilvl w:val="0"/>
          <w:numId w:val="1"/>
        </w:numPr>
        <w:tabs>
          <w:tab w:val="left" w:pos="1798"/>
          <w:tab w:val="left" w:pos="1800"/>
        </w:tabs>
        <w:spacing w:line="271" w:lineRule="auto"/>
        <w:ind w:right="1474"/>
      </w:pPr>
      <w:r w:rsidRPr="008931D3">
        <w:t>Foreman</w:t>
      </w:r>
      <w:r w:rsidRPr="008931D3">
        <w:rPr>
          <w:spacing w:val="-2"/>
        </w:rPr>
        <w:t xml:space="preserve"> </w:t>
      </w:r>
      <w:r w:rsidRPr="008931D3">
        <w:t>J,</w:t>
      </w:r>
      <w:r w:rsidRPr="008931D3">
        <w:rPr>
          <w:spacing w:val="-3"/>
        </w:rPr>
        <w:t xml:space="preserve"> </w:t>
      </w:r>
      <w:r w:rsidRPr="008931D3">
        <w:t>Xie</w:t>
      </w:r>
      <w:r w:rsidRPr="008931D3">
        <w:rPr>
          <w:spacing w:val="-1"/>
        </w:rPr>
        <w:t xml:space="preserve"> </w:t>
      </w:r>
      <w:r w:rsidRPr="008931D3">
        <w:t>J,</w:t>
      </w:r>
      <w:r w:rsidRPr="008931D3">
        <w:rPr>
          <w:spacing w:val="-3"/>
        </w:rPr>
        <w:t xml:space="preserve"> </w:t>
      </w:r>
      <w:r w:rsidRPr="008931D3">
        <w:t>Keel</w:t>
      </w:r>
      <w:r w:rsidRPr="008931D3">
        <w:rPr>
          <w:spacing w:val="-4"/>
        </w:rPr>
        <w:t xml:space="preserve"> </w:t>
      </w:r>
      <w:r w:rsidRPr="008931D3">
        <w:t>S,</w:t>
      </w:r>
      <w:r w:rsidRPr="008931D3">
        <w:rPr>
          <w:spacing w:val="-3"/>
        </w:rPr>
        <w:t xml:space="preserve"> </w:t>
      </w:r>
      <w:r w:rsidRPr="008931D3">
        <w:t>van</w:t>
      </w:r>
      <w:r w:rsidRPr="008931D3">
        <w:rPr>
          <w:spacing w:val="-2"/>
        </w:rPr>
        <w:t xml:space="preserve"> </w:t>
      </w:r>
      <w:r w:rsidRPr="008931D3">
        <w:t>Wijngaarden</w:t>
      </w:r>
      <w:r w:rsidRPr="008931D3">
        <w:rPr>
          <w:spacing w:val="-1"/>
        </w:rPr>
        <w:t xml:space="preserve"> </w:t>
      </w:r>
      <w:r w:rsidRPr="008931D3">
        <w:t>P,</w:t>
      </w:r>
      <w:r w:rsidRPr="008931D3">
        <w:rPr>
          <w:spacing w:val="-1"/>
        </w:rPr>
        <w:t xml:space="preserve"> </w:t>
      </w:r>
      <w:r w:rsidRPr="008931D3">
        <w:t>Sandhu</w:t>
      </w:r>
      <w:r w:rsidRPr="008931D3">
        <w:rPr>
          <w:spacing w:val="-2"/>
        </w:rPr>
        <w:t xml:space="preserve"> </w:t>
      </w:r>
      <w:r w:rsidRPr="008931D3">
        <w:t>SS,</w:t>
      </w:r>
      <w:r w:rsidRPr="008931D3">
        <w:rPr>
          <w:spacing w:val="-1"/>
        </w:rPr>
        <w:t xml:space="preserve"> </w:t>
      </w:r>
      <w:r w:rsidRPr="008931D3">
        <w:t>Ang</w:t>
      </w:r>
      <w:r w:rsidRPr="008931D3">
        <w:rPr>
          <w:spacing w:val="-2"/>
        </w:rPr>
        <w:t xml:space="preserve"> </w:t>
      </w:r>
      <w:r w:rsidRPr="008931D3">
        <w:t>GS,</w:t>
      </w:r>
      <w:r w:rsidRPr="008931D3">
        <w:rPr>
          <w:spacing w:val="-1"/>
        </w:rPr>
        <w:t xml:space="preserve"> </w:t>
      </w:r>
      <w:r w:rsidRPr="008931D3">
        <w:t>et</w:t>
      </w:r>
      <w:r w:rsidRPr="008931D3">
        <w:rPr>
          <w:spacing w:val="-3"/>
        </w:rPr>
        <w:t xml:space="preserve"> </w:t>
      </w:r>
      <w:r w:rsidRPr="008931D3">
        <w:t>al.</w:t>
      </w:r>
      <w:r w:rsidRPr="008931D3">
        <w:rPr>
          <w:spacing w:val="-1"/>
        </w:rPr>
        <w:t xml:space="preserve"> </w:t>
      </w:r>
      <w:r w:rsidRPr="008931D3">
        <w:t>The</w:t>
      </w:r>
      <w:r w:rsidRPr="008931D3">
        <w:rPr>
          <w:spacing w:val="-3"/>
        </w:rPr>
        <w:t xml:space="preserve"> </w:t>
      </w:r>
      <w:r w:rsidRPr="008931D3">
        <w:t>Prevalence</w:t>
      </w:r>
      <w:r w:rsidRPr="008931D3">
        <w:rPr>
          <w:spacing w:val="-1"/>
        </w:rPr>
        <w:t xml:space="preserve"> </w:t>
      </w:r>
      <w:r w:rsidRPr="008931D3">
        <w:t>and</w:t>
      </w:r>
      <w:r w:rsidRPr="008931D3">
        <w:rPr>
          <w:spacing w:val="-2"/>
        </w:rPr>
        <w:t xml:space="preserve"> </w:t>
      </w:r>
      <w:r w:rsidRPr="008931D3">
        <w:t>Causes of Vision Loss in Indigenous and Non-Indigenous Australians: The National Eye Health Survey. Ophthalmology. 2017;124(12):1743-52.</w:t>
      </w:r>
    </w:p>
    <w:sectPr w:rsidR="00E13D3F" w:rsidSect="00A10402">
      <w:footerReference w:type="default" r:id="rId64"/>
      <w:pgSz w:w="11910" w:h="16840"/>
      <w:pgMar w:top="1400" w:right="0" w:bottom="1200" w:left="0"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60D93" w14:textId="77777777" w:rsidR="00B0741F" w:rsidRDefault="00B0741F">
      <w:r>
        <w:separator/>
      </w:r>
    </w:p>
  </w:endnote>
  <w:endnote w:type="continuationSeparator" w:id="0">
    <w:p w14:paraId="7D0E4507" w14:textId="77777777" w:rsidR="00B0741F" w:rsidRDefault="00B07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F9C2C" w14:textId="77777777" w:rsidR="00295CDA" w:rsidRDefault="00295CDA">
    <w:pPr>
      <w:pStyle w:val="Footer"/>
    </w:pPr>
    <w:r>
      <w:rPr>
        <w:noProof/>
      </w:rPr>
      <mc:AlternateContent>
        <mc:Choice Requires="wps">
          <w:drawing>
            <wp:anchor distT="0" distB="0" distL="0" distR="0" simplePos="0" relativeHeight="251658244" behindDoc="0" locked="0" layoutInCell="1" allowOverlap="1" wp14:anchorId="35184C39" wp14:editId="43AE9F8A">
              <wp:simplePos x="635" y="635"/>
              <wp:positionH relativeFrom="page">
                <wp:align>center</wp:align>
              </wp:positionH>
              <wp:positionV relativeFrom="page">
                <wp:align>bottom</wp:align>
              </wp:positionV>
              <wp:extent cx="609600" cy="485775"/>
              <wp:effectExtent l="0" t="0" r="0" b="0"/>
              <wp:wrapNone/>
              <wp:docPr id="212923340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2F4F34D1" w14:textId="77777777" w:rsidR="00295CDA" w:rsidRPr="009D333E" w:rsidRDefault="00295CDA">
                          <w:pPr>
                            <w:rPr>
                              <w:rFonts w:ascii="Aptos" w:eastAsia="Aptos" w:hAnsi="Aptos" w:cs="Aptos"/>
                              <w:noProof/>
                              <w:color w:val="FF0000"/>
                              <w:sz w:val="24"/>
                            </w:rPr>
                          </w:pPr>
                          <w:r w:rsidRPr="009D333E">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184C39" id="_x0000_t202" coordsize="21600,21600" o:spt="202" path="m,l,21600r21600,l21600,xe">
              <v:stroke joinstyle="miter"/>
              <v:path gradientshapeok="t" o:connecttype="rect"/>
            </v:shapetype>
            <v:shape id="Text Box 6" o:spid="_x0000_s1027" type="#_x0000_t202" alt="OFFICIAL" style="position:absolute;margin-left:0;margin-top:0;width:48pt;height:38.2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" filled="f" stroked="f">
              <v:textbox style="mso-fit-shape-to-text:t" inset="0,0,0,15pt">
                <w:txbxContent>
                  <w:p w14:paraId="2F4F34D1" w14:textId="77777777" w:rsidR="00295CDA" w:rsidRPr="009D333E" w:rsidRDefault="00295CDA">
                    <w:pPr>
                      <w:rPr>
                        <w:rFonts w:ascii="Aptos" w:eastAsia="Aptos" w:hAnsi="Aptos" w:cs="Aptos"/>
                        <w:noProof/>
                        <w:color w:val="FF0000"/>
                        <w:sz w:val="24"/>
                      </w:rPr>
                    </w:pPr>
                    <w:r w:rsidRPr="009D333E">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0295CDA" w14:paraId="048A83D0" w14:textId="77777777">
      <w:trPr>
        <w:trHeight w:val="300"/>
      </w:trPr>
      <w:tc>
        <w:tcPr>
          <w:tcW w:w="3020" w:type="dxa"/>
        </w:tcPr>
        <w:p w14:paraId="6CD4142A" w14:textId="77777777" w:rsidR="00295CDA" w:rsidRDefault="00295CDA">
          <w:pPr>
            <w:pStyle w:val="Header"/>
            <w:ind w:left="-115"/>
          </w:pPr>
          <w:r>
            <w:rPr>
              <w:noProof/>
            </w:rPr>
            <mc:AlternateContent>
              <mc:Choice Requires="wps">
                <w:drawing>
                  <wp:anchor distT="0" distB="0" distL="0" distR="0" simplePos="0" relativeHeight="251658245" behindDoc="0" locked="0" layoutInCell="1" allowOverlap="1" wp14:anchorId="73142AD9" wp14:editId="4529B66E">
                    <wp:simplePos x="635" y="635"/>
                    <wp:positionH relativeFrom="page">
                      <wp:align>center</wp:align>
                    </wp:positionH>
                    <wp:positionV relativeFrom="page">
                      <wp:align>bottom</wp:align>
                    </wp:positionV>
                    <wp:extent cx="609600" cy="485775"/>
                    <wp:effectExtent l="0" t="0" r="0" b="0"/>
                    <wp:wrapNone/>
                    <wp:docPr id="1002738339"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72A489F3" w14:textId="77777777" w:rsidR="00295CDA" w:rsidRPr="009D333E" w:rsidRDefault="00295CDA">
                                <w:pPr>
                                  <w:rPr>
                                    <w:rFonts w:ascii="Aptos" w:eastAsia="Aptos" w:hAnsi="Aptos" w:cs="Aptos"/>
                                    <w:noProof/>
                                    <w:color w:val="FF0000"/>
                                    <w:sz w:val="24"/>
                                  </w:rPr>
                                </w:pPr>
                                <w:r w:rsidRPr="009D333E">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142AD9" id="_x0000_t202" coordsize="21600,21600" o:spt="202" path="m,l,21600r21600,l21600,xe">
                    <v:stroke joinstyle="miter"/>
                    <v:path gradientshapeok="t" o:connecttype="rect"/>
                  </v:shapetype>
                  <v:shape id="Text Box 7" o:spid="_x0000_s1028" type="#_x0000_t202" alt="OFFICIAL" style="position:absolute;left:0;text-align:left;margin-left:0;margin-top:0;width:48pt;height:38.2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Dm7DgIAABwEAAAOAAAAZHJzL2Uyb0RvYy54bWysU8Fu2zAMvQ/YPwi6L3aCJW2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" filled="f" stroked="f">
                    <v:textbox style="mso-fit-shape-to-text:t" inset="0,0,0,15pt">
                      <w:txbxContent>
                        <w:p w14:paraId="72A489F3" w14:textId="77777777" w:rsidR="00295CDA" w:rsidRPr="009D333E" w:rsidRDefault="00295CDA">
                          <w:pPr>
                            <w:rPr>
                              <w:rFonts w:ascii="Aptos" w:eastAsia="Aptos" w:hAnsi="Aptos" w:cs="Aptos"/>
                              <w:noProof/>
                              <w:color w:val="FF0000"/>
                              <w:sz w:val="24"/>
                            </w:rPr>
                          </w:pPr>
                          <w:r w:rsidRPr="009D333E">
                            <w:rPr>
                              <w:rFonts w:ascii="Aptos" w:eastAsia="Aptos" w:hAnsi="Aptos" w:cs="Aptos"/>
                              <w:noProof/>
                              <w:color w:val="FF0000"/>
                              <w:sz w:val="24"/>
                            </w:rPr>
                            <w:t>OFFICIAL</w:t>
                          </w:r>
                        </w:p>
                      </w:txbxContent>
                    </v:textbox>
                    <w10:wrap anchorx="page" anchory="page"/>
                  </v:shape>
                </w:pict>
              </mc:Fallback>
            </mc:AlternateContent>
          </w:r>
        </w:p>
      </w:tc>
      <w:tc>
        <w:tcPr>
          <w:tcW w:w="3020" w:type="dxa"/>
        </w:tcPr>
        <w:p w14:paraId="1F168A4B" w14:textId="77777777" w:rsidR="00295CDA" w:rsidRDefault="00295CDA">
          <w:pPr>
            <w:pStyle w:val="Header"/>
            <w:jc w:val="center"/>
          </w:pPr>
        </w:p>
      </w:tc>
      <w:tc>
        <w:tcPr>
          <w:tcW w:w="3020" w:type="dxa"/>
        </w:tcPr>
        <w:p w14:paraId="3EC41C9D" w14:textId="77777777" w:rsidR="00295CDA" w:rsidRDefault="00295CDA">
          <w:pPr>
            <w:pStyle w:val="Header"/>
            <w:ind w:right="-115"/>
            <w:jc w:val="right"/>
          </w:pPr>
        </w:p>
      </w:tc>
    </w:tr>
  </w:tbl>
  <w:p w14:paraId="50EF6EB2" w14:textId="77777777" w:rsidR="00295CDA" w:rsidRDefault="00295C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4633E" w14:textId="77777777" w:rsidR="00295CDA" w:rsidRDefault="00295CD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C3CB2" w14:textId="6818E0CD" w:rsidR="00E13D3F" w:rsidRDefault="00FB2D6A">
    <w:pPr>
      <w:pStyle w:val="BodyText"/>
      <w:spacing w:line="14" w:lineRule="auto"/>
      <w:ind w:left="0"/>
      <w:rPr>
        <w:sz w:val="20"/>
      </w:rPr>
    </w:pPr>
    <w:r>
      <w:rPr>
        <w:noProof/>
        <w:sz w:val="20"/>
      </w:rPr>
      <mc:AlternateContent>
        <mc:Choice Requires="wps">
          <w:drawing>
            <wp:anchor distT="0" distB="0" distL="0" distR="0" simplePos="0" relativeHeight="251658241" behindDoc="1" locked="0" layoutInCell="1" allowOverlap="1" wp14:anchorId="7A4C3CB5" wp14:editId="7E4F4FA0">
              <wp:simplePos x="0" y="0"/>
              <wp:positionH relativeFrom="page">
                <wp:posOffset>6493002</wp:posOffset>
              </wp:positionH>
              <wp:positionV relativeFrom="page">
                <wp:posOffset>9917379</wp:posOffset>
              </wp:positionV>
              <wp:extent cx="207010"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7A4C3CD8" w14:textId="77777777" w:rsidR="00E13D3F" w:rsidRDefault="00FB2D6A">
                          <w:pPr>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7A4C3CB5" id="_x0000_t202" coordsize="21600,21600" o:spt="202" path="m,l,21600r21600,l21600,xe">
              <v:stroke joinstyle="miter"/>
              <v:path gradientshapeok="t" o:connecttype="rect"/>
            </v:shapetype>
            <v:shape id="Textbox 5" o:spid="_x0000_s1029" type="#_x0000_t202" style="position:absolute;margin-left:511.25pt;margin-top:780.9pt;width:16.3pt;height:13.0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" filled="f" stroked="f">
              <v:textbox inset="0,0,0,0">
                <w:txbxContent>
                  <w:p w14:paraId="7A4C3CD8" w14:textId="77777777" w:rsidR="00E13D3F" w:rsidRDefault="00FB2D6A">
                    <w:pPr>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C3CB4" w14:textId="0523F2AF" w:rsidR="00E13D3F" w:rsidRDefault="00FB2D6A">
    <w:pPr>
      <w:pStyle w:val="BodyText"/>
      <w:spacing w:line="14" w:lineRule="auto"/>
      <w:ind w:left="0"/>
      <w:rPr>
        <w:sz w:val="20"/>
      </w:rPr>
    </w:pPr>
    <w:r>
      <w:rPr>
        <w:noProof/>
        <w:sz w:val="20"/>
      </w:rPr>
      <mc:AlternateContent>
        <mc:Choice Requires="wps">
          <w:drawing>
            <wp:anchor distT="0" distB="0" distL="0" distR="0" simplePos="0" relativeHeight="251658242" behindDoc="1" locked="0" layoutInCell="1" allowOverlap="1" wp14:anchorId="7A4C3CB7" wp14:editId="3C0C7678">
              <wp:simplePos x="0" y="0"/>
              <wp:positionH relativeFrom="page">
                <wp:posOffset>896416</wp:posOffset>
              </wp:positionH>
              <wp:positionV relativeFrom="page">
                <wp:posOffset>9884359</wp:posOffset>
              </wp:positionV>
              <wp:extent cx="5769610" cy="6350"/>
              <wp:effectExtent l="0" t="0" r="0" b="0"/>
              <wp:wrapNone/>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6350"/>
                      </a:xfrm>
                      <a:custGeom>
                        <a:avLst/>
                        <a:gdLst/>
                        <a:ahLst/>
                        <a:cxnLst/>
                        <a:rect l="l" t="t" r="r" b="b"/>
                        <a:pathLst>
                          <a:path w="5769610" h="6350">
                            <a:moveTo>
                              <a:pt x="5769229" y="0"/>
                            </a:moveTo>
                            <a:lnTo>
                              <a:pt x="0" y="0"/>
                            </a:lnTo>
                            <a:lnTo>
                              <a:pt x="0" y="6095"/>
                            </a:lnTo>
                            <a:lnTo>
                              <a:pt x="5769229" y="6095"/>
                            </a:lnTo>
                            <a:lnTo>
                              <a:pt x="5769229"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118FE89D" id="Graphic 62" o:spid="_x0000_s1026" style="position:absolute;margin-left:70.6pt;margin-top:778.3pt;width:454.3pt;height:.5pt;z-index:-251658238;visibility:visible;mso-wrap-style:square;mso-wrap-distance-left:0;mso-wrap-distance-top:0;mso-wrap-distance-right:0;mso-wrap-distance-bottom:0;mso-position-horizontal:absolute;mso-position-horizontal-relative:page;mso-position-vertical:absolute;mso-position-vertical-relative:page;v-text-anchor:top" coordsize="57696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" path="m5769229,l,,,6095r5769229,l5769229,xe" fillcolor="#d9d9d9" stroked="f">
              <v:path arrowok="t"/>
              <w10:wrap anchorx="page" anchory="page"/>
            </v:shape>
          </w:pict>
        </mc:Fallback>
      </mc:AlternateContent>
    </w:r>
    <w:r>
      <w:rPr>
        <w:noProof/>
        <w:sz w:val="20"/>
      </w:rPr>
      <mc:AlternateContent>
        <mc:Choice Requires="wps">
          <w:drawing>
            <wp:anchor distT="0" distB="0" distL="0" distR="0" simplePos="0" relativeHeight="251658243" behindDoc="1" locked="0" layoutInCell="1" allowOverlap="1" wp14:anchorId="7A4C3CB9" wp14:editId="23046BD1">
              <wp:simplePos x="0" y="0"/>
              <wp:positionH relativeFrom="page">
                <wp:posOffset>5868161</wp:posOffset>
              </wp:positionH>
              <wp:positionV relativeFrom="page">
                <wp:posOffset>9917379</wp:posOffset>
              </wp:positionV>
              <wp:extent cx="755015" cy="165735"/>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5015" cy="165735"/>
                      </a:xfrm>
                      <a:prstGeom prst="rect">
                        <a:avLst/>
                      </a:prstGeom>
                    </wps:spPr>
                    <wps:txbx>
                      <w:txbxContent>
                        <w:p w14:paraId="7A4C3CD9" w14:textId="532BB3F8" w:rsidR="00E13D3F" w:rsidRDefault="00FB2D6A" w:rsidP="00582C6D">
                          <w:pPr>
                            <w:spacing w:line="245" w:lineRule="exact"/>
                            <w:ind w:left="20"/>
                            <w:jc w:val="right"/>
                          </w:pPr>
                          <w:r>
                            <w:fldChar w:fldCharType="begin"/>
                          </w:r>
                          <w:r>
                            <w:instrText xml:space="preserve"> PAGE </w:instrText>
                          </w:r>
                          <w:r>
                            <w:fldChar w:fldCharType="separate"/>
                          </w:r>
                          <w:r>
                            <w:t>100</w:t>
                          </w:r>
                          <w:r>
                            <w:fldChar w:fldCharType="end"/>
                          </w:r>
                        </w:p>
                      </w:txbxContent>
                    </wps:txbx>
                    <wps:bodyPr wrap="square" lIns="0" tIns="0" rIns="0" bIns="0" rtlCol="0">
                      <a:noAutofit/>
                    </wps:bodyPr>
                  </wps:wsp>
                </a:graphicData>
              </a:graphic>
            </wp:anchor>
          </w:drawing>
        </mc:Choice>
        <mc:Fallback>
          <w:pict>
            <v:shapetype w14:anchorId="7A4C3CB9" id="_x0000_t202" coordsize="21600,21600" o:spt="202" path="m,l,21600r21600,l21600,xe">
              <v:stroke joinstyle="miter"/>
              <v:path gradientshapeok="t" o:connecttype="rect"/>
            </v:shapetype>
            <v:shape id="Textbox 63" o:spid="_x0000_s1030" type="#_x0000_t202" style="position:absolute;margin-left:462.05pt;margin-top:780.9pt;width:59.45pt;height:13.05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" filled="f" stroked="f">
              <v:textbox inset="0,0,0,0">
                <w:txbxContent>
                  <w:p w14:paraId="7A4C3CD9" w14:textId="532BB3F8" w:rsidR="00E13D3F" w:rsidRDefault="00FB2D6A" w:rsidP="00582C6D">
                    <w:pPr>
                      <w:spacing w:line="245" w:lineRule="exact"/>
                      <w:ind w:left="20"/>
                      <w:jc w:val="right"/>
                    </w:pPr>
                    <w:r>
                      <w:fldChar w:fldCharType="begin"/>
                    </w:r>
                    <w:r>
                      <w:instrText xml:space="preserve"> PAGE </w:instrText>
                    </w:r>
                    <w:r>
                      <w:fldChar w:fldCharType="separate"/>
                    </w:r>
                    <w:r>
                      <w:t>100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15C7A" w14:textId="77777777" w:rsidR="00B0741F" w:rsidRDefault="00B0741F">
      <w:r>
        <w:separator/>
      </w:r>
    </w:p>
  </w:footnote>
  <w:footnote w:type="continuationSeparator" w:id="0">
    <w:p w14:paraId="57ED335D" w14:textId="77777777" w:rsidR="00B0741F" w:rsidRDefault="00B074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F08A4" w14:textId="77777777" w:rsidR="00295CDA" w:rsidRDefault="00295CDA">
    <w:pPr>
      <w:pStyle w:val="Header"/>
    </w:pPr>
    <w:r>
      <w:rPr>
        <w:noProof/>
      </w:rPr>
      <mc:AlternateContent>
        <mc:Choice Requires="wps">
          <w:drawing>
            <wp:anchor distT="0" distB="0" distL="0" distR="0" simplePos="0" relativeHeight="251658240" behindDoc="0" locked="0" layoutInCell="1" allowOverlap="1" wp14:anchorId="68C31429" wp14:editId="7260955F">
              <wp:simplePos x="635" y="635"/>
              <wp:positionH relativeFrom="page">
                <wp:align>center</wp:align>
              </wp:positionH>
              <wp:positionV relativeFrom="page">
                <wp:align>top</wp:align>
              </wp:positionV>
              <wp:extent cx="609600" cy="485775"/>
              <wp:effectExtent l="0" t="0" r="0" b="9525"/>
              <wp:wrapNone/>
              <wp:docPr id="588347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6B4B7DB0" w14:textId="77777777" w:rsidR="00295CDA" w:rsidRPr="009D333E" w:rsidRDefault="00295CDA">
                          <w:pPr>
                            <w:rPr>
                              <w:rFonts w:ascii="Aptos" w:eastAsia="Aptos" w:hAnsi="Aptos" w:cs="Aptos"/>
                              <w:noProof/>
                              <w:color w:val="FF0000"/>
                              <w:sz w:val="24"/>
                            </w:rPr>
                          </w:pPr>
                          <w:r w:rsidRPr="009D333E">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C31429" id="_x0000_t202" coordsize="21600,21600" o:spt="202" path="m,l,21600r21600,l21600,xe">
              <v:stroke joinstyle="miter"/>
              <v:path gradientshapeok="t" o:connecttype="rect"/>
            </v:shapetype>
            <v:shape id="Text Box 2" o:spid="_x0000_s1026" type="#_x0000_t202" alt="OFFICIAL" style="position:absolute;margin-left:0;margin-top:0;width:48pt;height:38.2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" filled="f" stroked="f">
              <v:textbox style="mso-fit-shape-to-text:t" inset="0,15pt,0,0">
                <w:txbxContent>
                  <w:p w14:paraId="6B4B7DB0" w14:textId="77777777" w:rsidR="00295CDA" w:rsidRPr="009D333E" w:rsidRDefault="00295CDA">
                    <w:pPr>
                      <w:rPr>
                        <w:rFonts w:ascii="Aptos" w:eastAsia="Aptos" w:hAnsi="Aptos" w:cs="Aptos"/>
                        <w:noProof/>
                        <w:color w:val="FF0000"/>
                        <w:sz w:val="24"/>
                      </w:rPr>
                    </w:pPr>
                    <w:r w:rsidRPr="009D333E">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2845E" w14:textId="77777777" w:rsidR="00295CDA" w:rsidRDefault="00295CDA" w:rsidP="00A41B1C">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F1371" w14:textId="309034B0" w:rsidR="00295CDA" w:rsidRDefault="00295CDA">
    <w:pPr>
      <w:tabs>
        <w:tab w:val="left" w:pos="1440"/>
        <w:tab w:val="left" w:pos="1950"/>
      </w:tabs>
    </w:pPr>
    <w:r>
      <w:tab/>
    </w:r>
    <w:r>
      <w:tab/>
    </w:r>
  </w:p>
  <w:p w14:paraId="7E19A5EC" w14:textId="77777777" w:rsidR="00295CDA" w:rsidRPr="00DB4CD6" w:rsidRDefault="00295CDA">
    <w:pPr>
      <w:tabs>
        <w:tab w:val="left" w:pos="2445"/>
      </w:tabs>
      <w:spacing w:before="100" w:beforeAutospacing="1" w:after="100" w:afterAutospacing="1"/>
      <w:rPr>
        <w:rFonts w:ascii="Times New Roman" w:hAnsi="Times New Roman"/>
        <w:sz w:val="24"/>
        <w:lang w:eastAsia="en-AU"/>
      </w:rPr>
    </w:pPr>
    <w:r>
      <w:rPr>
        <w:rFonts w:ascii="Times New Roman" w:hAnsi="Times New Roman"/>
        <w:sz w:val="24"/>
        <w:lang w:eastAsia="en-AU"/>
      </w:rPr>
      <w:tab/>
    </w:r>
  </w:p>
  <w:p w14:paraId="38FF40B3" w14:textId="77777777" w:rsidR="00295CDA" w:rsidRDefault="00295CDA">
    <w:pPr>
      <w:pStyle w:val="Header"/>
      <w:tabs>
        <w:tab w:val="clear" w:pos="4513"/>
        <w:tab w:val="clear" w:pos="9026"/>
        <w:tab w:val="left" w:pos="168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3A80"/>
    <w:multiLevelType w:val="hybridMultilevel"/>
    <w:tmpl w:val="036A3C3C"/>
    <w:lvl w:ilvl="0" w:tplc="44AAB8D0">
      <w:start w:val="1"/>
      <w:numFmt w:val="decimal"/>
      <w:lvlText w:val="%1."/>
      <w:lvlJc w:val="left"/>
      <w:pPr>
        <w:ind w:left="1800" w:hanging="360"/>
      </w:pPr>
      <w:rPr>
        <w:rFonts w:ascii="Segoe UI" w:eastAsia="Segoe UI" w:hAnsi="Segoe UI" w:cs="Segoe UI" w:hint="default"/>
        <w:b w:val="0"/>
        <w:bCs w:val="0"/>
        <w:i w:val="0"/>
        <w:iCs w:val="0"/>
        <w:spacing w:val="0"/>
        <w:w w:val="100"/>
        <w:sz w:val="22"/>
        <w:szCs w:val="22"/>
        <w:lang w:val="en-US" w:eastAsia="en-US" w:bidi="ar-SA"/>
      </w:rPr>
    </w:lvl>
    <w:lvl w:ilvl="1" w:tplc="A9582B26">
      <w:start w:val="1"/>
      <w:numFmt w:val="upperLetter"/>
      <w:lvlText w:val="%2."/>
      <w:lvlJc w:val="left"/>
      <w:pPr>
        <w:ind w:left="2032" w:hanging="233"/>
      </w:pPr>
      <w:rPr>
        <w:rFonts w:hint="default"/>
        <w:spacing w:val="-1"/>
        <w:w w:val="100"/>
        <w:lang w:val="en-US" w:eastAsia="en-US" w:bidi="ar-SA"/>
      </w:rPr>
    </w:lvl>
    <w:lvl w:ilvl="2" w:tplc="DB2A9A98">
      <w:numFmt w:val="bullet"/>
      <w:lvlText w:val="•"/>
      <w:lvlJc w:val="left"/>
      <w:pPr>
        <w:ind w:left="3136" w:hanging="233"/>
      </w:pPr>
      <w:rPr>
        <w:rFonts w:hint="default"/>
        <w:lang w:val="en-US" w:eastAsia="en-US" w:bidi="ar-SA"/>
      </w:rPr>
    </w:lvl>
    <w:lvl w:ilvl="3" w:tplc="470E672E">
      <w:numFmt w:val="bullet"/>
      <w:lvlText w:val="•"/>
      <w:lvlJc w:val="left"/>
      <w:pPr>
        <w:ind w:left="4232" w:hanging="233"/>
      </w:pPr>
      <w:rPr>
        <w:rFonts w:hint="default"/>
        <w:lang w:val="en-US" w:eastAsia="en-US" w:bidi="ar-SA"/>
      </w:rPr>
    </w:lvl>
    <w:lvl w:ilvl="4" w:tplc="CEF4E272">
      <w:numFmt w:val="bullet"/>
      <w:lvlText w:val="•"/>
      <w:lvlJc w:val="left"/>
      <w:pPr>
        <w:ind w:left="5328" w:hanging="233"/>
      </w:pPr>
      <w:rPr>
        <w:rFonts w:hint="default"/>
        <w:lang w:val="en-US" w:eastAsia="en-US" w:bidi="ar-SA"/>
      </w:rPr>
    </w:lvl>
    <w:lvl w:ilvl="5" w:tplc="B4465B7E">
      <w:numFmt w:val="bullet"/>
      <w:lvlText w:val="•"/>
      <w:lvlJc w:val="left"/>
      <w:pPr>
        <w:ind w:left="6424" w:hanging="233"/>
      </w:pPr>
      <w:rPr>
        <w:rFonts w:hint="default"/>
        <w:lang w:val="en-US" w:eastAsia="en-US" w:bidi="ar-SA"/>
      </w:rPr>
    </w:lvl>
    <w:lvl w:ilvl="6" w:tplc="663448E8">
      <w:numFmt w:val="bullet"/>
      <w:lvlText w:val="•"/>
      <w:lvlJc w:val="left"/>
      <w:pPr>
        <w:ind w:left="7520" w:hanging="233"/>
      </w:pPr>
      <w:rPr>
        <w:rFonts w:hint="default"/>
        <w:lang w:val="en-US" w:eastAsia="en-US" w:bidi="ar-SA"/>
      </w:rPr>
    </w:lvl>
    <w:lvl w:ilvl="7" w:tplc="70666CE0">
      <w:numFmt w:val="bullet"/>
      <w:lvlText w:val="•"/>
      <w:lvlJc w:val="left"/>
      <w:pPr>
        <w:ind w:left="8617" w:hanging="233"/>
      </w:pPr>
      <w:rPr>
        <w:rFonts w:hint="default"/>
        <w:lang w:val="en-US" w:eastAsia="en-US" w:bidi="ar-SA"/>
      </w:rPr>
    </w:lvl>
    <w:lvl w:ilvl="8" w:tplc="41A234EC">
      <w:numFmt w:val="bullet"/>
      <w:lvlText w:val="•"/>
      <w:lvlJc w:val="left"/>
      <w:pPr>
        <w:ind w:left="9713" w:hanging="233"/>
      </w:pPr>
      <w:rPr>
        <w:rFonts w:hint="default"/>
        <w:lang w:val="en-US" w:eastAsia="en-US" w:bidi="ar-SA"/>
      </w:rPr>
    </w:lvl>
  </w:abstractNum>
  <w:abstractNum w:abstractNumId="1" w15:restartNumberingAfterBreak="0">
    <w:nsid w:val="03B56C0F"/>
    <w:multiLevelType w:val="hybridMultilevel"/>
    <w:tmpl w:val="98C2C58E"/>
    <w:lvl w:ilvl="0" w:tplc="8DE2820C">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7F26561C">
      <w:numFmt w:val="bullet"/>
      <w:lvlText w:val="•"/>
      <w:lvlJc w:val="left"/>
      <w:pPr>
        <w:ind w:left="851" w:hanging="360"/>
      </w:pPr>
      <w:rPr>
        <w:rFonts w:hint="default"/>
        <w:lang w:val="en-US" w:eastAsia="en-US" w:bidi="ar-SA"/>
      </w:rPr>
    </w:lvl>
    <w:lvl w:ilvl="2" w:tplc="EF26446C">
      <w:numFmt w:val="bullet"/>
      <w:lvlText w:val="•"/>
      <w:lvlJc w:val="left"/>
      <w:pPr>
        <w:ind w:left="1242" w:hanging="360"/>
      </w:pPr>
      <w:rPr>
        <w:rFonts w:hint="default"/>
        <w:lang w:val="en-US" w:eastAsia="en-US" w:bidi="ar-SA"/>
      </w:rPr>
    </w:lvl>
    <w:lvl w:ilvl="3" w:tplc="311ED70A">
      <w:numFmt w:val="bullet"/>
      <w:lvlText w:val="•"/>
      <w:lvlJc w:val="left"/>
      <w:pPr>
        <w:ind w:left="1633" w:hanging="360"/>
      </w:pPr>
      <w:rPr>
        <w:rFonts w:hint="default"/>
        <w:lang w:val="en-US" w:eastAsia="en-US" w:bidi="ar-SA"/>
      </w:rPr>
    </w:lvl>
    <w:lvl w:ilvl="4" w:tplc="322AFEC0">
      <w:numFmt w:val="bullet"/>
      <w:lvlText w:val="•"/>
      <w:lvlJc w:val="left"/>
      <w:pPr>
        <w:ind w:left="2025" w:hanging="360"/>
      </w:pPr>
      <w:rPr>
        <w:rFonts w:hint="default"/>
        <w:lang w:val="en-US" w:eastAsia="en-US" w:bidi="ar-SA"/>
      </w:rPr>
    </w:lvl>
    <w:lvl w:ilvl="5" w:tplc="9634DA60">
      <w:numFmt w:val="bullet"/>
      <w:lvlText w:val="•"/>
      <w:lvlJc w:val="left"/>
      <w:pPr>
        <w:ind w:left="2416" w:hanging="360"/>
      </w:pPr>
      <w:rPr>
        <w:rFonts w:hint="default"/>
        <w:lang w:val="en-US" w:eastAsia="en-US" w:bidi="ar-SA"/>
      </w:rPr>
    </w:lvl>
    <w:lvl w:ilvl="6" w:tplc="335CC3B2">
      <w:numFmt w:val="bullet"/>
      <w:lvlText w:val="•"/>
      <w:lvlJc w:val="left"/>
      <w:pPr>
        <w:ind w:left="2807" w:hanging="360"/>
      </w:pPr>
      <w:rPr>
        <w:rFonts w:hint="default"/>
        <w:lang w:val="en-US" w:eastAsia="en-US" w:bidi="ar-SA"/>
      </w:rPr>
    </w:lvl>
    <w:lvl w:ilvl="7" w:tplc="207A58A4">
      <w:numFmt w:val="bullet"/>
      <w:lvlText w:val="•"/>
      <w:lvlJc w:val="left"/>
      <w:pPr>
        <w:ind w:left="3199" w:hanging="360"/>
      </w:pPr>
      <w:rPr>
        <w:rFonts w:hint="default"/>
        <w:lang w:val="en-US" w:eastAsia="en-US" w:bidi="ar-SA"/>
      </w:rPr>
    </w:lvl>
    <w:lvl w:ilvl="8" w:tplc="22EE8BBA">
      <w:numFmt w:val="bullet"/>
      <w:lvlText w:val="•"/>
      <w:lvlJc w:val="left"/>
      <w:pPr>
        <w:ind w:left="3590" w:hanging="360"/>
      </w:pPr>
      <w:rPr>
        <w:rFonts w:hint="default"/>
        <w:lang w:val="en-US" w:eastAsia="en-US" w:bidi="ar-SA"/>
      </w:rPr>
    </w:lvl>
  </w:abstractNum>
  <w:abstractNum w:abstractNumId="2" w15:restartNumberingAfterBreak="0">
    <w:nsid w:val="058A22AB"/>
    <w:multiLevelType w:val="hybridMultilevel"/>
    <w:tmpl w:val="543622F8"/>
    <w:lvl w:ilvl="0" w:tplc="0AD60C2C">
      <w:start w:val="1"/>
      <w:numFmt w:val="lowerLetter"/>
      <w:lvlText w:val="(%1)"/>
      <w:lvlJc w:val="left"/>
      <w:pPr>
        <w:ind w:left="1754" w:hanging="315"/>
      </w:pPr>
      <w:rPr>
        <w:rFonts w:ascii="Calibri" w:eastAsia="Calibri" w:hAnsi="Calibri" w:cs="Calibri" w:hint="default"/>
        <w:b w:val="0"/>
        <w:bCs w:val="0"/>
        <w:i w:val="0"/>
        <w:iCs w:val="0"/>
        <w:spacing w:val="-1"/>
        <w:w w:val="100"/>
        <w:sz w:val="24"/>
        <w:szCs w:val="24"/>
        <w:lang w:val="en-US" w:eastAsia="en-US" w:bidi="ar-SA"/>
      </w:rPr>
    </w:lvl>
    <w:lvl w:ilvl="1" w:tplc="63007E58">
      <w:numFmt w:val="bullet"/>
      <w:lvlText w:val="•"/>
      <w:lvlJc w:val="left"/>
      <w:pPr>
        <w:ind w:left="2774" w:hanging="315"/>
      </w:pPr>
      <w:rPr>
        <w:rFonts w:hint="default"/>
        <w:lang w:val="en-US" w:eastAsia="en-US" w:bidi="ar-SA"/>
      </w:rPr>
    </w:lvl>
    <w:lvl w:ilvl="2" w:tplc="8E98F4D6">
      <w:numFmt w:val="bullet"/>
      <w:lvlText w:val="•"/>
      <w:lvlJc w:val="left"/>
      <w:pPr>
        <w:ind w:left="3789" w:hanging="315"/>
      </w:pPr>
      <w:rPr>
        <w:rFonts w:hint="default"/>
        <w:lang w:val="en-US" w:eastAsia="en-US" w:bidi="ar-SA"/>
      </w:rPr>
    </w:lvl>
    <w:lvl w:ilvl="3" w:tplc="39E2DB22">
      <w:numFmt w:val="bullet"/>
      <w:lvlText w:val="•"/>
      <w:lvlJc w:val="left"/>
      <w:pPr>
        <w:ind w:left="4803" w:hanging="315"/>
      </w:pPr>
      <w:rPr>
        <w:rFonts w:hint="default"/>
        <w:lang w:val="en-US" w:eastAsia="en-US" w:bidi="ar-SA"/>
      </w:rPr>
    </w:lvl>
    <w:lvl w:ilvl="4" w:tplc="332A30AC">
      <w:numFmt w:val="bullet"/>
      <w:lvlText w:val="•"/>
      <w:lvlJc w:val="left"/>
      <w:pPr>
        <w:ind w:left="5818" w:hanging="315"/>
      </w:pPr>
      <w:rPr>
        <w:rFonts w:hint="default"/>
        <w:lang w:val="en-US" w:eastAsia="en-US" w:bidi="ar-SA"/>
      </w:rPr>
    </w:lvl>
    <w:lvl w:ilvl="5" w:tplc="8E1A0F60">
      <w:numFmt w:val="bullet"/>
      <w:lvlText w:val="•"/>
      <w:lvlJc w:val="left"/>
      <w:pPr>
        <w:ind w:left="6832" w:hanging="315"/>
      </w:pPr>
      <w:rPr>
        <w:rFonts w:hint="default"/>
        <w:lang w:val="en-US" w:eastAsia="en-US" w:bidi="ar-SA"/>
      </w:rPr>
    </w:lvl>
    <w:lvl w:ilvl="6" w:tplc="1434695A">
      <w:numFmt w:val="bullet"/>
      <w:lvlText w:val="•"/>
      <w:lvlJc w:val="left"/>
      <w:pPr>
        <w:ind w:left="7847" w:hanging="315"/>
      </w:pPr>
      <w:rPr>
        <w:rFonts w:hint="default"/>
        <w:lang w:val="en-US" w:eastAsia="en-US" w:bidi="ar-SA"/>
      </w:rPr>
    </w:lvl>
    <w:lvl w:ilvl="7" w:tplc="339C587A">
      <w:numFmt w:val="bullet"/>
      <w:lvlText w:val="•"/>
      <w:lvlJc w:val="left"/>
      <w:pPr>
        <w:ind w:left="8861" w:hanging="315"/>
      </w:pPr>
      <w:rPr>
        <w:rFonts w:hint="default"/>
        <w:lang w:val="en-US" w:eastAsia="en-US" w:bidi="ar-SA"/>
      </w:rPr>
    </w:lvl>
    <w:lvl w:ilvl="8" w:tplc="C4B03B12">
      <w:numFmt w:val="bullet"/>
      <w:lvlText w:val="•"/>
      <w:lvlJc w:val="left"/>
      <w:pPr>
        <w:ind w:left="9876" w:hanging="315"/>
      </w:pPr>
      <w:rPr>
        <w:rFonts w:hint="default"/>
        <w:lang w:val="en-US" w:eastAsia="en-US" w:bidi="ar-SA"/>
      </w:rPr>
    </w:lvl>
  </w:abstractNum>
  <w:abstractNum w:abstractNumId="3" w15:restartNumberingAfterBreak="0">
    <w:nsid w:val="05B05A80"/>
    <w:multiLevelType w:val="hybridMultilevel"/>
    <w:tmpl w:val="6090DDA4"/>
    <w:lvl w:ilvl="0" w:tplc="7C22B1DA">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7DD85302">
      <w:numFmt w:val="bullet"/>
      <w:lvlText w:val="•"/>
      <w:lvlJc w:val="left"/>
      <w:pPr>
        <w:ind w:left="744" w:hanging="360"/>
      </w:pPr>
      <w:rPr>
        <w:rFonts w:hint="default"/>
        <w:lang w:val="en-US" w:eastAsia="en-US" w:bidi="ar-SA"/>
      </w:rPr>
    </w:lvl>
    <w:lvl w:ilvl="2" w:tplc="084E0830">
      <w:numFmt w:val="bullet"/>
      <w:lvlText w:val="•"/>
      <w:lvlJc w:val="left"/>
      <w:pPr>
        <w:ind w:left="1029" w:hanging="360"/>
      </w:pPr>
      <w:rPr>
        <w:rFonts w:hint="default"/>
        <w:lang w:val="en-US" w:eastAsia="en-US" w:bidi="ar-SA"/>
      </w:rPr>
    </w:lvl>
    <w:lvl w:ilvl="3" w:tplc="60FAE626">
      <w:numFmt w:val="bullet"/>
      <w:lvlText w:val="•"/>
      <w:lvlJc w:val="left"/>
      <w:pPr>
        <w:ind w:left="1314" w:hanging="360"/>
      </w:pPr>
      <w:rPr>
        <w:rFonts w:hint="default"/>
        <w:lang w:val="en-US" w:eastAsia="en-US" w:bidi="ar-SA"/>
      </w:rPr>
    </w:lvl>
    <w:lvl w:ilvl="4" w:tplc="DA544C32">
      <w:numFmt w:val="bullet"/>
      <w:lvlText w:val="•"/>
      <w:lvlJc w:val="left"/>
      <w:pPr>
        <w:ind w:left="1598" w:hanging="360"/>
      </w:pPr>
      <w:rPr>
        <w:rFonts w:hint="default"/>
        <w:lang w:val="en-US" w:eastAsia="en-US" w:bidi="ar-SA"/>
      </w:rPr>
    </w:lvl>
    <w:lvl w:ilvl="5" w:tplc="8D8CBE6C">
      <w:numFmt w:val="bullet"/>
      <w:lvlText w:val="•"/>
      <w:lvlJc w:val="left"/>
      <w:pPr>
        <w:ind w:left="1883" w:hanging="360"/>
      </w:pPr>
      <w:rPr>
        <w:rFonts w:hint="default"/>
        <w:lang w:val="en-US" w:eastAsia="en-US" w:bidi="ar-SA"/>
      </w:rPr>
    </w:lvl>
    <w:lvl w:ilvl="6" w:tplc="DED40CDC">
      <w:numFmt w:val="bullet"/>
      <w:lvlText w:val="•"/>
      <w:lvlJc w:val="left"/>
      <w:pPr>
        <w:ind w:left="2168" w:hanging="360"/>
      </w:pPr>
      <w:rPr>
        <w:rFonts w:hint="default"/>
        <w:lang w:val="en-US" w:eastAsia="en-US" w:bidi="ar-SA"/>
      </w:rPr>
    </w:lvl>
    <w:lvl w:ilvl="7" w:tplc="8DE2A93A">
      <w:numFmt w:val="bullet"/>
      <w:lvlText w:val="•"/>
      <w:lvlJc w:val="left"/>
      <w:pPr>
        <w:ind w:left="2452" w:hanging="360"/>
      </w:pPr>
      <w:rPr>
        <w:rFonts w:hint="default"/>
        <w:lang w:val="en-US" w:eastAsia="en-US" w:bidi="ar-SA"/>
      </w:rPr>
    </w:lvl>
    <w:lvl w:ilvl="8" w:tplc="914A54D4">
      <w:numFmt w:val="bullet"/>
      <w:lvlText w:val="•"/>
      <w:lvlJc w:val="left"/>
      <w:pPr>
        <w:ind w:left="2737" w:hanging="360"/>
      </w:pPr>
      <w:rPr>
        <w:rFonts w:hint="default"/>
        <w:lang w:val="en-US" w:eastAsia="en-US" w:bidi="ar-SA"/>
      </w:rPr>
    </w:lvl>
  </w:abstractNum>
  <w:abstractNum w:abstractNumId="4" w15:restartNumberingAfterBreak="0">
    <w:nsid w:val="079870C4"/>
    <w:multiLevelType w:val="hybridMultilevel"/>
    <w:tmpl w:val="D47299DA"/>
    <w:lvl w:ilvl="0" w:tplc="A97452E6">
      <w:start w:val="1"/>
      <w:numFmt w:val="lowerLetter"/>
      <w:lvlText w:val="(%1)"/>
      <w:lvlJc w:val="left"/>
      <w:pPr>
        <w:ind w:left="1754" w:hanging="315"/>
      </w:pPr>
      <w:rPr>
        <w:rFonts w:ascii="Calibri" w:eastAsia="Calibri" w:hAnsi="Calibri" w:cs="Calibri" w:hint="default"/>
        <w:b w:val="0"/>
        <w:bCs w:val="0"/>
        <w:i w:val="0"/>
        <w:iCs w:val="0"/>
        <w:spacing w:val="-1"/>
        <w:w w:val="100"/>
        <w:sz w:val="24"/>
        <w:szCs w:val="24"/>
        <w:lang w:val="en-US" w:eastAsia="en-US" w:bidi="ar-SA"/>
      </w:rPr>
    </w:lvl>
    <w:lvl w:ilvl="1" w:tplc="C3E004F0">
      <w:numFmt w:val="bullet"/>
      <w:lvlText w:val="•"/>
      <w:lvlJc w:val="left"/>
      <w:pPr>
        <w:ind w:left="2774" w:hanging="315"/>
      </w:pPr>
      <w:rPr>
        <w:rFonts w:hint="default"/>
        <w:lang w:val="en-US" w:eastAsia="en-US" w:bidi="ar-SA"/>
      </w:rPr>
    </w:lvl>
    <w:lvl w:ilvl="2" w:tplc="BDDE99FE">
      <w:numFmt w:val="bullet"/>
      <w:lvlText w:val="•"/>
      <w:lvlJc w:val="left"/>
      <w:pPr>
        <w:ind w:left="3789" w:hanging="315"/>
      </w:pPr>
      <w:rPr>
        <w:rFonts w:hint="default"/>
        <w:lang w:val="en-US" w:eastAsia="en-US" w:bidi="ar-SA"/>
      </w:rPr>
    </w:lvl>
    <w:lvl w:ilvl="3" w:tplc="1F6CF3BA">
      <w:numFmt w:val="bullet"/>
      <w:lvlText w:val="•"/>
      <w:lvlJc w:val="left"/>
      <w:pPr>
        <w:ind w:left="4803" w:hanging="315"/>
      </w:pPr>
      <w:rPr>
        <w:rFonts w:hint="default"/>
        <w:lang w:val="en-US" w:eastAsia="en-US" w:bidi="ar-SA"/>
      </w:rPr>
    </w:lvl>
    <w:lvl w:ilvl="4" w:tplc="CF8E3AAC">
      <w:numFmt w:val="bullet"/>
      <w:lvlText w:val="•"/>
      <w:lvlJc w:val="left"/>
      <w:pPr>
        <w:ind w:left="5818" w:hanging="315"/>
      </w:pPr>
      <w:rPr>
        <w:rFonts w:hint="default"/>
        <w:lang w:val="en-US" w:eastAsia="en-US" w:bidi="ar-SA"/>
      </w:rPr>
    </w:lvl>
    <w:lvl w:ilvl="5" w:tplc="34CA83DC">
      <w:numFmt w:val="bullet"/>
      <w:lvlText w:val="•"/>
      <w:lvlJc w:val="left"/>
      <w:pPr>
        <w:ind w:left="6832" w:hanging="315"/>
      </w:pPr>
      <w:rPr>
        <w:rFonts w:hint="default"/>
        <w:lang w:val="en-US" w:eastAsia="en-US" w:bidi="ar-SA"/>
      </w:rPr>
    </w:lvl>
    <w:lvl w:ilvl="6" w:tplc="EF66BF80">
      <w:numFmt w:val="bullet"/>
      <w:lvlText w:val="•"/>
      <w:lvlJc w:val="left"/>
      <w:pPr>
        <w:ind w:left="7847" w:hanging="315"/>
      </w:pPr>
      <w:rPr>
        <w:rFonts w:hint="default"/>
        <w:lang w:val="en-US" w:eastAsia="en-US" w:bidi="ar-SA"/>
      </w:rPr>
    </w:lvl>
    <w:lvl w:ilvl="7" w:tplc="12BE6A66">
      <w:numFmt w:val="bullet"/>
      <w:lvlText w:val="•"/>
      <w:lvlJc w:val="left"/>
      <w:pPr>
        <w:ind w:left="8861" w:hanging="315"/>
      </w:pPr>
      <w:rPr>
        <w:rFonts w:hint="default"/>
        <w:lang w:val="en-US" w:eastAsia="en-US" w:bidi="ar-SA"/>
      </w:rPr>
    </w:lvl>
    <w:lvl w:ilvl="8" w:tplc="57F49620">
      <w:numFmt w:val="bullet"/>
      <w:lvlText w:val="•"/>
      <w:lvlJc w:val="left"/>
      <w:pPr>
        <w:ind w:left="9876" w:hanging="315"/>
      </w:pPr>
      <w:rPr>
        <w:rFonts w:hint="default"/>
        <w:lang w:val="en-US" w:eastAsia="en-US" w:bidi="ar-SA"/>
      </w:rPr>
    </w:lvl>
  </w:abstractNum>
  <w:abstractNum w:abstractNumId="5" w15:restartNumberingAfterBreak="0">
    <w:nsid w:val="09E82D2B"/>
    <w:multiLevelType w:val="hybridMultilevel"/>
    <w:tmpl w:val="0820004A"/>
    <w:lvl w:ilvl="0" w:tplc="8580E8C4">
      <w:start w:val="1"/>
      <w:numFmt w:val="decimal"/>
      <w:lvlText w:val="%1."/>
      <w:lvlJc w:val="left"/>
      <w:pPr>
        <w:ind w:left="1800" w:hanging="360"/>
      </w:pPr>
      <w:rPr>
        <w:rFonts w:ascii="Segoe UI" w:eastAsia="Segoe UI" w:hAnsi="Segoe UI" w:cs="Segoe UI" w:hint="default"/>
        <w:b w:val="0"/>
        <w:bCs w:val="0"/>
        <w:i w:val="0"/>
        <w:iCs w:val="0"/>
        <w:spacing w:val="0"/>
        <w:w w:val="100"/>
        <w:sz w:val="22"/>
        <w:szCs w:val="22"/>
        <w:lang w:val="en-US" w:eastAsia="en-US" w:bidi="ar-SA"/>
      </w:rPr>
    </w:lvl>
    <w:lvl w:ilvl="1" w:tplc="3C2E1FB2">
      <w:numFmt w:val="bullet"/>
      <w:lvlText w:val="•"/>
      <w:lvlJc w:val="left"/>
      <w:pPr>
        <w:ind w:left="2810" w:hanging="360"/>
      </w:pPr>
      <w:rPr>
        <w:rFonts w:hint="default"/>
        <w:lang w:val="en-US" w:eastAsia="en-US" w:bidi="ar-SA"/>
      </w:rPr>
    </w:lvl>
    <w:lvl w:ilvl="2" w:tplc="36BAEDEC">
      <w:numFmt w:val="bullet"/>
      <w:lvlText w:val="•"/>
      <w:lvlJc w:val="left"/>
      <w:pPr>
        <w:ind w:left="3821" w:hanging="360"/>
      </w:pPr>
      <w:rPr>
        <w:rFonts w:hint="default"/>
        <w:lang w:val="en-US" w:eastAsia="en-US" w:bidi="ar-SA"/>
      </w:rPr>
    </w:lvl>
    <w:lvl w:ilvl="3" w:tplc="0FEC35D8">
      <w:numFmt w:val="bullet"/>
      <w:lvlText w:val="•"/>
      <w:lvlJc w:val="left"/>
      <w:pPr>
        <w:ind w:left="4831" w:hanging="360"/>
      </w:pPr>
      <w:rPr>
        <w:rFonts w:hint="default"/>
        <w:lang w:val="en-US" w:eastAsia="en-US" w:bidi="ar-SA"/>
      </w:rPr>
    </w:lvl>
    <w:lvl w:ilvl="4" w:tplc="060AF3BC">
      <w:numFmt w:val="bullet"/>
      <w:lvlText w:val="•"/>
      <w:lvlJc w:val="left"/>
      <w:pPr>
        <w:ind w:left="5842" w:hanging="360"/>
      </w:pPr>
      <w:rPr>
        <w:rFonts w:hint="default"/>
        <w:lang w:val="en-US" w:eastAsia="en-US" w:bidi="ar-SA"/>
      </w:rPr>
    </w:lvl>
    <w:lvl w:ilvl="5" w:tplc="33B622E8">
      <w:numFmt w:val="bullet"/>
      <w:lvlText w:val="•"/>
      <w:lvlJc w:val="left"/>
      <w:pPr>
        <w:ind w:left="6852" w:hanging="360"/>
      </w:pPr>
      <w:rPr>
        <w:rFonts w:hint="default"/>
        <w:lang w:val="en-US" w:eastAsia="en-US" w:bidi="ar-SA"/>
      </w:rPr>
    </w:lvl>
    <w:lvl w:ilvl="6" w:tplc="6EC64210">
      <w:numFmt w:val="bullet"/>
      <w:lvlText w:val="•"/>
      <w:lvlJc w:val="left"/>
      <w:pPr>
        <w:ind w:left="7863" w:hanging="360"/>
      </w:pPr>
      <w:rPr>
        <w:rFonts w:hint="default"/>
        <w:lang w:val="en-US" w:eastAsia="en-US" w:bidi="ar-SA"/>
      </w:rPr>
    </w:lvl>
    <w:lvl w:ilvl="7" w:tplc="B7B2C8BC">
      <w:numFmt w:val="bullet"/>
      <w:lvlText w:val="•"/>
      <w:lvlJc w:val="left"/>
      <w:pPr>
        <w:ind w:left="8873" w:hanging="360"/>
      </w:pPr>
      <w:rPr>
        <w:rFonts w:hint="default"/>
        <w:lang w:val="en-US" w:eastAsia="en-US" w:bidi="ar-SA"/>
      </w:rPr>
    </w:lvl>
    <w:lvl w:ilvl="8" w:tplc="74161210">
      <w:numFmt w:val="bullet"/>
      <w:lvlText w:val="•"/>
      <w:lvlJc w:val="left"/>
      <w:pPr>
        <w:ind w:left="9884" w:hanging="360"/>
      </w:pPr>
      <w:rPr>
        <w:rFonts w:hint="default"/>
        <w:lang w:val="en-US" w:eastAsia="en-US" w:bidi="ar-SA"/>
      </w:rPr>
    </w:lvl>
  </w:abstractNum>
  <w:abstractNum w:abstractNumId="6" w15:restartNumberingAfterBreak="0">
    <w:nsid w:val="0A800315"/>
    <w:multiLevelType w:val="hybridMultilevel"/>
    <w:tmpl w:val="C4601940"/>
    <w:lvl w:ilvl="0" w:tplc="2326B9F8">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D6504B52">
      <w:numFmt w:val="bullet"/>
      <w:lvlText w:val="•"/>
      <w:lvlJc w:val="left"/>
      <w:pPr>
        <w:ind w:left="851" w:hanging="360"/>
      </w:pPr>
      <w:rPr>
        <w:rFonts w:hint="default"/>
        <w:lang w:val="en-US" w:eastAsia="en-US" w:bidi="ar-SA"/>
      </w:rPr>
    </w:lvl>
    <w:lvl w:ilvl="2" w:tplc="DEA04C42">
      <w:numFmt w:val="bullet"/>
      <w:lvlText w:val="•"/>
      <w:lvlJc w:val="left"/>
      <w:pPr>
        <w:ind w:left="1242" w:hanging="360"/>
      </w:pPr>
      <w:rPr>
        <w:rFonts w:hint="default"/>
        <w:lang w:val="en-US" w:eastAsia="en-US" w:bidi="ar-SA"/>
      </w:rPr>
    </w:lvl>
    <w:lvl w:ilvl="3" w:tplc="D9B818A4">
      <w:numFmt w:val="bullet"/>
      <w:lvlText w:val="•"/>
      <w:lvlJc w:val="left"/>
      <w:pPr>
        <w:ind w:left="1633" w:hanging="360"/>
      </w:pPr>
      <w:rPr>
        <w:rFonts w:hint="default"/>
        <w:lang w:val="en-US" w:eastAsia="en-US" w:bidi="ar-SA"/>
      </w:rPr>
    </w:lvl>
    <w:lvl w:ilvl="4" w:tplc="C3D084F0">
      <w:numFmt w:val="bullet"/>
      <w:lvlText w:val="•"/>
      <w:lvlJc w:val="left"/>
      <w:pPr>
        <w:ind w:left="2025" w:hanging="360"/>
      </w:pPr>
      <w:rPr>
        <w:rFonts w:hint="default"/>
        <w:lang w:val="en-US" w:eastAsia="en-US" w:bidi="ar-SA"/>
      </w:rPr>
    </w:lvl>
    <w:lvl w:ilvl="5" w:tplc="623E381E">
      <w:numFmt w:val="bullet"/>
      <w:lvlText w:val="•"/>
      <w:lvlJc w:val="left"/>
      <w:pPr>
        <w:ind w:left="2416" w:hanging="360"/>
      </w:pPr>
      <w:rPr>
        <w:rFonts w:hint="default"/>
        <w:lang w:val="en-US" w:eastAsia="en-US" w:bidi="ar-SA"/>
      </w:rPr>
    </w:lvl>
    <w:lvl w:ilvl="6" w:tplc="220C79C4">
      <w:numFmt w:val="bullet"/>
      <w:lvlText w:val="•"/>
      <w:lvlJc w:val="left"/>
      <w:pPr>
        <w:ind w:left="2807" w:hanging="360"/>
      </w:pPr>
      <w:rPr>
        <w:rFonts w:hint="default"/>
        <w:lang w:val="en-US" w:eastAsia="en-US" w:bidi="ar-SA"/>
      </w:rPr>
    </w:lvl>
    <w:lvl w:ilvl="7" w:tplc="E064E642">
      <w:numFmt w:val="bullet"/>
      <w:lvlText w:val="•"/>
      <w:lvlJc w:val="left"/>
      <w:pPr>
        <w:ind w:left="3199" w:hanging="360"/>
      </w:pPr>
      <w:rPr>
        <w:rFonts w:hint="default"/>
        <w:lang w:val="en-US" w:eastAsia="en-US" w:bidi="ar-SA"/>
      </w:rPr>
    </w:lvl>
    <w:lvl w:ilvl="8" w:tplc="2D269292">
      <w:numFmt w:val="bullet"/>
      <w:lvlText w:val="•"/>
      <w:lvlJc w:val="left"/>
      <w:pPr>
        <w:ind w:left="3590" w:hanging="360"/>
      </w:pPr>
      <w:rPr>
        <w:rFonts w:hint="default"/>
        <w:lang w:val="en-US" w:eastAsia="en-US" w:bidi="ar-SA"/>
      </w:rPr>
    </w:lvl>
  </w:abstractNum>
  <w:abstractNum w:abstractNumId="7" w15:restartNumberingAfterBreak="0">
    <w:nsid w:val="0AA332F2"/>
    <w:multiLevelType w:val="hybridMultilevel"/>
    <w:tmpl w:val="30FA437E"/>
    <w:lvl w:ilvl="0" w:tplc="BCB86B14">
      <w:start w:val="1"/>
      <w:numFmt w:val="decimal"/>
      <w:lvlText w:val="%1."/>
      <w:lvlJc w:val="left"/>
      <w:pPr>
        <w:ind w:left="1800" w:hanging="360"/>
      </w:pPr>
      <w:rPr>
        <w:rFonts w:hint="default"/>
        <w:spacing w:val="0"/>
        <w:w w:val="100"/>
        <w:lang w:val="en-US" w:eastAsia="en-US" w:bidi="ar-SA"/>
      </w:rPr>
    </w:lvl>
    <w:lvl w:ilvl="1" w:tplc="5FC46A42">
      <w:numFmt w:val="bullet"/>
      <w:lvlText w:val="•"/>
      <w:lvlJc w:val="left"/>
      <w:pPr>
        <w:ind w:left="2810" w:hanging="360"/>
      </w:pPr>
      <w:rPr>
        <w:rFonts w:hint="default"/>
        <w:lang w:val="en-US" w:eastAsia="en-US" w:bidi="ar-SA"/>
      </w:rPr>
    </w:lvl>
    <w:lvl w:ilvl="2" w:tplc="EDA8CF80">
      <w:numFmt w:val="bullet"/>
      <w:lvlText w:val="•"/>
      <w:lvlJc w:val="left"/>
      <w:pPr>
        <w:ind w:left="3821" w:hanging="360"/>
      </w:pPr>
      <w:rPr>
        <w:rFonts w:hint="default"/>
        <w:lang w:val="en-US" w:eastAsia="en-US" w:bidi="ar-SA"/>
      </w:rPr>
    </w:lvl>
    <w:lvl w:ilvl="3" w:tplc="0C28C21E">
      <w:numFmt w:val="bullet"/>
      <w:lvlText w:val="•"/>
      <w:lvlJc w:val="left"/>
      <w:pPr>
        <w:ind w:left="4831" w:hanging="360"/>
      </w:pPr>
      <w:rPr>
        <w:rFonts w:hint="default"/>
        <w:lang w:val="en-US" w:eastAsia="en-US" w:bidi="ar-SA"/>
      </w:rPr>
    </w:lvl>
    <w:lvl w:ilvl="4" w:tplc="ABB26000">
      <w:numFmt w:val="bullet"/>
      <w:lvlText w:val="•"/>
      <w:lvlJc w:val="left"/>
      <w:pPr>
        <w:ind w:left="5842" w:hanging="360"/>
      </w:pPr>
      <w:rPr>
        <w:rFonts w:hint="default"/>
        <w:lang w:val="en-US" w:eastAsia="en-US" w:bidi="ar-SA"/>
      </w:rPr>
    </w:lvl>
    <w:lvl w:ilvl="5" w:tplc="59BE3E7C">
      <w:numFmt w:val="bullet"/>
      <w:lvlText w:val="•"/>
      <w:lvlJc w:val="left"/>
      <w:pPr>
        <w:ind w:left="6852" w:hanging="360"/>
      </w:pPr>
      <w:rPr>
        <w:rFonts w:hint="default"/>
        <w:lang w:val="en-US" w:eastAsia="en-US" w:bidi="ar-SA"/>
      </w:rPr>
    </w:lvl>
    <w:lvl w:ilvl="6" w:tplc="6E7E6588">
      <w:numFmt w:val="bullet"/>
      <w:lvlText w:val="•"/>
      <w:lvlJc w:val="left"/>
      <w:pPr>
        <w:ind w:left="7863" w:hanging="360"/>
      </w:pPr>
      <w:rPr>
        <w:rFonts w:hint="default"/>
        <w:lang w:val="en-US" w:eastAsia="en-US" w:bidi="ar-SA"/>
      </w:rPr>
    </w:lvl>
    <w:lvl w:ilvl="7" w:tplc="AC6E6D2A">
      <w:numFmt w:val="bullet"/>
      <w:lvlText w:val="•"/>
      <w:lvlJc w:val="left"/>
      <w:pPr>
        <w:ind w:left="8873" w:hanging="360"/>
      </w:pPr>
      <w:rPr>
        <w:rFonts w:hint="default"/>
        <w:lang w:val="en-US" w:eastAsia="en-US" w:bidi="ar-SA"/>
      </w:rPr>
    </w:lvl>
    <w:lvl w:ilvl="8" w:tplc="64406B1C">
      <w:numFmt w:val="bullet"/>
      <w:lvlText w:val="•"/>
      <w:lvlJc w:val="left"/>
      <w:pPr>
        <w:ind w:left="9884" w:hanging="360"/>
      </w:pPr>
      <w:rPr>
        <w:rFonts w:hint="default"/>
        <w:lang w:val="en-US" w:eastAsia="en-US" w:bidi="ar-SA"/>
      </w:rPr>
    </w:lvl>
  </w:abstractNum>
  <w:abstractNum w:abstractNumId="8" w15:restartNumberingAfterBreak="0">
    <w:nsid w:val="0CB23D9A"/>
    <w:multiLevelType w:val="hybridMultilevel"/>
    <w:tmpl w:val="F560171A"/>
    <w:lvl w:ilvl="0" w:tplc="A53C99A4">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CD0A8B58">
      <w:numFmt w:val="bullet"/>
      <w:lvlText w:val="•"/>
      <w:lvlJc w:val="left"/>
      <w:pPr>
        <w:ind w:left="744" w:hanging="360"/>
      </w:pPr>
      <w:rPr>
        <w:rFonts w:hint="default"/>
        <w:lang w:val="en-US" w:eastAsia="en-US" w:bidi="ar-SA"/>
      </w:rPr>
    </w:lvl>
    <w:lvl w:ilvl="2" w:tplc="27CACFCA">
      <w:numFmt w:val="bullet"/>
      <w:lvlText w:val="•"/>
      <w:lvlJc w:val="left"/>
      <w:pPr>
        <w:ind w:left="1029" w:hanging="360"/>
      </w:pPr>
      <w:rPr>
        <w:rFonts w:hint="default"/>
        <w:lang w:val="en-US" w:eastAsia="en-US" w:bidi="ar-SA"/>
      </w:rPr>
    </w:lvl>
    <w:lvl w:ilvl="3" w:tplc="094AAD70">
      <w:numFmt w:val="bullet"/>
      <w:lvlText w:val="•"/>
      <w:lvlJc w:val="left"/>
      <w:pPr>
        <w:ind w:left="1314" w:hanging="360"/>
      </w:pPr>
      <w:rPr>
        <w:rFonts w:hint="default"/>
        <w:lang w:val="en-US" w:eastAsia="en-US" w:bidi="ar-SA"/>
      </w:rPr>
    </w:lvl>
    <w:lvl w:ilvl="4" w:tplc="24A2BFDE">
      <w:numFmt w:val="bullet"/>
      <w:lvlText w:val="•"/>
      <w:lvlJc w:val="left"/>
      <w:pPr>
        <w:ind w:left="1598" w:hanging="360"/>
      </w:pPr>
      <w:rPr>
        <w:rFonts w:hint="default"/>
        <w:lang w:val="en-US" w:eastAsia="en-US" w:bidi="ar-SA"/>
      </w:rPr>
    </w:lvl>
    <w:lvl w:ilvl="5" w:tplc="5DACFFC0">
      <w:numFmt w:val="bullet"/>
      <w:lvlText w:val="•"/>
      <w:lvlJc w:val="left"/>
      <w:pPr>
        <w:ind w:left="1883" w:hanging="360"/>
      </w:pPr>
      <w:rPr>
        <w:rFonts w:hint="default"/>
        <w:lang w:val="en-US" w:eastAsia="en-US" w:bidi="ar-SA"/>
      </w:rPr>
    </w:lvl>
    <w:lvl w:ilvl="6" w:tplc="1A241AEE">
      <w:numFmt w:val="bullet"/>
      <w:lvlText w:val="•"/>
      <w:lvlJc w:val="left"/>
      <w:pPr>
        <w:ind w:left="2168" w:hanging="360"/>
      </w:pPr>
      <w:rPr>
        <w:rFonts w:hint="default"/>
        <w:lang w:val="en-US" w:eastAsia="en-US" w:bidi="ar-SA"/>
      </w:rPr>
    </w:lvl>
    <w:lvl w:ilvl="7" w:tplc="956E3B26">
      <w:numFmt w:val="bullet"/>
      <w:lvlText w:val="•"/>
      <w:lvlJc w:val="left"/>
      <w:pPr>
        <w:ind w:left="2452" w:hanging="360"/>
      </w:pPr>
      <w:rPr>
        <w:rFonts w:hint="default"/>
        <w:lang w:val="en-US" w:eastAsia="en-US" w:bidi="ar-SA"/>
      </w:rPr>
    </w:lvl>
    <w:lvl w:ilvl="8" w:tplc="AB7AEC08">
      <w:numFmt w:val="bullet"/>
      <w:lvlText w:val="•"/>
      <w:lvlJc w:val="left"/>
      <w:pPr>
        <w:ind w:left="2737" w:hanging="360"/>
      </w:pPr>
      <w:rPr>
        <w:rFonts w:hint="default"/>
        <w:lang w:val="en-US" w:eastAsia="en-US" w:bidi="ar-SA"/>
      </w:rPr>
    </w:lvl>
  </w:abstractNum>
  <w:abstractNum w:abstractNumId="9" w15:restartNumberingAfterBreak="0">
    <w:nsid w:val="0F4D232C"/>
    <w:multiLevelType w:val="hybridMultilevel"/>
    <w:tmpl w:val="31EC74DA"/>
    <w:lvl w:ilvl="0" w:tplc="5DF63242">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6972B312">
      <w:numFmt w:val="bullet"/>
      <w:lvlText w:val="•"/>
      <w:lvlJc w:val="left"/>
      <w:pPr>
        <w:ind w:left="744" w:hanging="360"/>
      </w:pPr>
      <w:rPr>
        <w:rFonts w:hint="default"/>
        <w:lang w:val="en-US" w:eastAsia="en-US" w:bidi="ar-SA"/>
      </w:rPr>
    </w:lvl>
    <w:lvl w:ilvl="2" w:tplc="66EE48B8">
      <w:numFmt w:val="bullet"/>
      <w:lvlText w:val="•"/>
      <w:lvlJc w:val="left"/>
      <w:pPr>
        <w:ind w:left="1029" w:hanging="360"/>
      </w:pPr>
      <w:rPr>
        <w:rFonts w:hint="default"/>
        <w:lang w:val="en-US" w:eastAsia="en-US" w:bidi="ar-SA"/>
      </w:rPr>
    </w:lvl>
    <w:lvl w:ilvl="3" w:tplc="3CAE48F4">
      <w:numFmt w:val="bullet"/>
      <w:lvlText w:val="•"/>
      <w:lvlJc w:val="left"/>
      <w:pPr>
        <w:ind w:left="1314" w:hanging="360"/>
      </w:pPr>
      <w:rPr>
        <w:rFonts w:hint="default"/>
        <w:lang w:val="en-US" w:eastAsia="en-US" w:bidi="ar-SA"/>
      </w:rPr>
    </w:lvl>
    <w:lvl w:ilvl="4" w:tplc="3D92674E">
      <w:numFmt w:val="bullet"/>
      <w:lvlText w:val="•"/>
      <w:lvlJc w:val="left"/>
      <w:pPr>
        <w:ind w:left="1598" w:hanging="360"/>
      </w:pPr>
      <w:rPr>
        <w:rFonts w:hint="default"/>
        <w:lang w:val="en-US" w:eastAsia="en-US" w:bidi="ar-SA"/>
      </w:rPr>
    </w:lvl>
    <w:lvl w:ilvl="5" w:tplc="7CB4ACA4">
      <w:numFmt w:val="bullet"/>
      <w:lvlText w:val="•"/>
      <w:lvlJc w:val="left"/>
      <w:pPr>
        <w:ind w:left="1883" w:hanging="360"/>
      </w:pPr>
      <w:rPr>
        <w:rFonts w:hint="default"/>
        <w:lang w:val="en-US" w:eastAsia="en-US" w:bidi="ar-SA"/>
      </w:rPr>
    </w:lvl>
    <w:lvl w:ilvl="6" w:tplc="AF922800">
      <w:numFmt w:val="bullet"/>
      <w:lvlText w:val="•"/>
      <w:lvlJc w:val="left"/>
      <w:pPr>
        <w:ind w:left="2168" w:hanging="360"/>
      </w:pPr>
      <w:rPr>
        <w:rFonts w:hint="default"/>
        <w:lang w:val="en-US" w:eastAsia="en-US" w:bidi="ar-SA"/>
      </w:rPr>
    </w:lvl>
    <w:lvl w:ilvl="7" w:tplc="D2825130">
      <w:numFmt w:val="bullet"/>
      <w:lvlText w:val="•"/>
      <w:lvlJc w:val="left"/>
      <w:pPr>
        <w:ind w:left="2452" w:hanging="360"/>
      </w:pPr>
      <w:rPr>
        <w:rFonts w:hint="default"/>
        <w:lang w:val="en-US" w:eastAsia="en-US" w:bidi="ar-SA"/>
      </w:rPr>
    </w:lvl>
    <w:lvl w:ilvl="8" w:tplc="0E96CFAE">
      <w:numFmt w:val="bullet"/>
      <w:lvlText w:val="•"/>
      <w:lvlJc w:val="left"/>
      <w:pPr>
        <w:ind w:left="2737" w:hanging="360"/>
      </w:pPr>
      <w:rPr>
        <w:rFonts w:hint="default"/>
        <w:lang w:val="en-US" w:eastAsia="en-US" w:bidi="ar-SA"/>
      </w:rPr>
    </w:lvl>
  </w:abstractNum>
  <w:abstractNum w:abstractNumId="10" w15:restartNumberingAfterBreak="0">
    <w:nsid w:val="115C2F83"/>
    <w:multiLevelType w:val="hybridMultilevel"/>
    <w:tmpl w:val="022EE6C4"/>
    <w:lvl w:ilvl="0" w:tplc="80129D7A">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DDCA4BC8">
      <w:numFmt w:val="bullet"/>
      <w:lvlText w:val="•"/>
      <w:lvlJc w:val="left"/>
      <w:pPr>
        <w:ind w:left="809" w:hanging="360"/>
      </w:pPr>
      <w:rPr>
        <w:rFonts w:hint="default"/>
        <w:lang w:val="en-US" w:eastAsia="en-US" w:bidi="ar-SA"/>
      </w:rPr>
    </w:lvl>
    <w:lvl w:ilvl="2" w:tplc="86003330">
      <w:numFmt w:val="bullet"/>
      <w:lvlText w:val="•"/>
      <w:lvlJc w:val="left"/>
      <w:pPr>
        <w:ind w:left="1158" w:hanging="360"/>
      </w:pPr>
      <w:rPr>
        <w:rFonts w:hint="default"/>
        <w:lang w:val="en-US" w:eastAsia="en-US" w:bidi="ar-SA"/>
      </w:rPr>
    </w:lvl>
    <w:lvl w:ilvl="3" w:tplc="071C27CA">
      <w:numFmt w:val="bullet"/>
      <w:lvlText w:val="•"/>
      <w:lvlJc w:val="left"/>
      <w:pPr>
        <w:ind w:left="1507" w:hanging="360"/>
      </w:pPr>
      <w:rPr>
        <w:rFonts w:hint="default"/>
        <w:lang w:val="en-US" w:eastAsia="en-US" w:bidi="ar-SA"/>
      </w:rPr>
    </w:lvl>
    <w:lvl w:ilvl="4" w:tplc="B400D6F4">
      <w:numFmt w:val="bullet"/>
      <w:lvlText w:val="•"/>
      <w:lvlJc w:val="left"/>
      <w:pPr>
        <w:ind w:left="1856" w:hanging="360"/>
      </w:pPr>
      <w:rPr>
        <w:rFonts w:hint="default"/>
        <w:lang w:val="en-US" w:eastAsia="en-US" w:bidi="ar-SA"/>
      </w:rPr>
    </w:lvl>
    <w:lvl w:ilvl="5" w:tplc="D324B128">
      <w:numFmt w:val="bullet"/>
      <w:lvlText w:val="•"/>
      <w:lvlJc w:val="left"/>
      <w:pPr>
        <w:ind w:left="2205" w:hanging="360"/>
      </w:pPr>
      <w:rPr>
        <w:rFonts w:hint="default"/>
        <w:lang w:val="en-US" w:eastAsia="en-US" w:bidi="ar-SA"/>
      </w:rPr>
    </w:lvl>
    <w:lvl w:ilvl="6" w:tplc="E1CC0690">
      <w:numFmt w:val="bullet"/>
      <w:lvlText w:val="•"/>
      <w:lvlJc w:val="left"/>
      <w:pPr>
        <w:ind w:left="2554" w:hanging="360"/>
      </w:pPr>
      <w:rPr>
        <w:rFonts w:hint="default"/>
        <w:lang w:val="en-US" w:eastAsia="en-US" w:bidi="ar-SA"/>
      </w:rPr>
    </w:lvl>
    <w:lvl w:ilvl="7" w:tplc="FC5E6F5A">
      <w:numFmt w:val="bullet"/>
      <w:lvlText w:val="•"/>
      <w:lvlJc w:val="left"/>
      <w:pPr>
        <w:ind w:left="2903" w:hanging="360"/>
      </w:pPr>
      <w:rPr>
        <w:rFonts w:hint="default"/>
        <w:lang w:val="en-US" w:eastAsia="en-US" w:bidi="ar-SA"/>
      </w:rPr>
    </w:lvl>
    <w:lvl w:ilvl="8" w:tplc="5AF4D3CA">
      <w:numFmt w:val="bullet"/>
      <w:lvlText w:val="•"/>
      <w:lvlJc w:val="left"/>
      <w:pPr>
        <w:ind w:left="3252" w:hanging="360"/>
      </w:pPr>
      <w:rPr>
        <w:rFonts w:hint="default"/>
        <w:lang w:val="en-US" w:eastAsia="en-US" w:bidi="ar-SA"/>
      </w:rPr>
    </w:lvl>
  </w:abstractNum>
  <w:abstractNum w:abstractNumId="11" w15:restartNumberingAfterBreak="0">
    <w:nsid w:val="141F18EB"/>
    <w:multiLevelType w:val="hybridMultilevel"/>
    <w:tmpl w:val="4078A21C"/>
    <w:lvl w:ilvl="0" w:tplc="A7387CFC">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67B02228">
      <w:numFmt w:val="bullet"/>
      <w:lvlText w:val="•"/>
      <w:lvlJc w:val="left"/>
      <w:pPr>
        <w:ind w:left="851" w:hanging="360"/>
      </w:pPr>
      <w:rPr>
        <w:rFonts w:hint="default"/>
        <w:lang w:val="en-US" w:eastAsia="en-US" w:bidi="ar-SA"/>
      </w:rPr>
    </w:lvl>
    <w:lvl w:ilvl="2" w:tplc="BCDCC330">
      <w:numFmt w:val="bullet"/>
      <w:lvlText w:val="•"/>
      <w:lvlJc w:val="left"/>
      <w:pPr>
        <w:ind w:left="1242" w:hanging="360"/>
      </w:pPr>
      <w:rPr>
        <w:rFonts w:hint="default"/>
        <w:lang w:val="en-US" w:eastAsia="en-US" w:bidi="ar-SA"/>
      </w:rPr>
    </w:lvl>
    <w:lvl w:ilvl="3" w:tplc="9EA239A4">
      <w:numFmt w:val="bullet"/>
      <w:lvlText w:val="•"/>
      <w:lvlJc w:val="left"/>
      <w:pPr>
        <w:ind w:left="1633" w:hanging="360"/>
      </w:pPr>
      <w:rPr>
        <w:rFonts w:hint="default"/>
        <w:lang w:val="en-US" w:eastAsia="en-US" w:bidi="ar-SA"/>
      </w:rPr>
    </w:lvl>
    <w:lvl w:ilvl="4" w:tplc="B21A209C">
      <w:numFmt w:val="bullet"/>
      <w:lvlText w:val="•"/>
      <w:lvlJc w:val="left"/>
      <w:pPr>
        <w:ind w:left="2025" w:hanging="360"/>
      </w:pPr>
      <w:rPr>
        <w:rFonts w:hint="default"/>
        <w:lang w:val="en-US" w:eastAsia="en-US" w:bidi="ar-SA"/>
      </w:rPr>
    </w:lvl>
    <w:lvl w:ilvl="5" w:tplc="61FA153C">
      <w:numFmt w:val="bullet"/>
      <w:lvlText w:val="•"/>
      <w:lvlJc w:val="left"/>
      <w:pPr>
        <w:ind w:left="2416" w:hanging="360"/>
      </w:pPr>
      <w:rPr>
        <w:rFonts w:hint="default"/>
        <w:lang w:val="en-US" w:eastAsia="en-US" w:bidi="ar-SA"/>
      </w:rPr>
    </w:lvl>
    <w:lvl w:ilvl="6" w:tplc="DF346AA2">
      <w:numFmt w:val="bullet"/>
      <w:lvlText w:val="•"/>
      <w:lvlJc w:val="left"/>
      <w:pPr>
        <w:ind w:left="2807" w:hanging="360"/>
      </w:pPr>
      <w:rPr>
        <w:rFonts w:hint="default"/>
        <w:lang w:val="en-US" w:eastAsia="en-US" w:bidi="ar-SA"/>
      </w:rPr>
    </w:lvl>
    <w:lvl w:ilvl="7" w:tplc="35E2986C">
      <w:numFmt w:val="bullet"/>
      <w:lvlText w:val="•"/>
      <w:lvlJc w:val="left"/>
      <w:pPr>
        <w:ind w:left="3199" w:hanging="360"/>
      </w:pPr>
      <w:rPr>
        <w:rFonts w:hint="default"/>
        <w:lang w:val="en-US" w:eastAsia="en-US" w:bidi="ar-SA"/>
      </w:rPr>
    </w:lvl>
    <w:lvl w:ilvl="8" w:tplc="F3D6F4BC">
      <w:numFmt w:val="bullet"/>
      <w:lvlText w:val="•"/>
      <w:lvlJc w:val="left"/>
      <w:pPr>
        <w:ind w:left="3590" w:hanging="360"/>
      </w:pPr>
      <w:rPr>
        <w:rFonts w:hint="default"/>
        <w:lang w:val="en-US" w:eastAsia="en-US" w:bidi="ar-SA"/>
      </w:rPr>
    </w:lvl>
  </w:abstractNum>
  <w:abstractNum w:abstractNumId="12" w15:restartNumberingAfterBreak="0">
    <w:nsid w:val="1E182E0E"/>
    <w:multiLevelType w:val="hybridMultilevel"/>
    <w:tmpl w:val="FBFECBBA"/>
    <w:lvl w:ilvl="0" w:tplc="14BCF2C8">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8A848958">
      <w:numFmt w:val="bullet"/>
      <w:lvlText w:val="•"/>
      <w:lvlJc w:val="left"/>
      <w:pPr>
        <w:ind w:left="851" w:hanging="360"/>
      </w:pPr>
      <w:rPr>
        <w:rFonts w:hint="default"/>
        <w:lang w:val="en-US" w:eastAsia="en-US" w:bidi="ar-SA"/>
      </w:rPr>
    </w:lvl>
    <w:lvl w:ilvl="2" w:tplc="A0320CF8">
      <w:numFmt w:val="bullet"/>
      <w:lvlText w:val="•"/>
      <w:lvlJc w:val="left"/>
      <w:pPr>
        <w:ind w:left="1242" w:hanging="360"/>
      </w:pPr>
      <w:rPr>
        <w:rFonts w:hint="default"/>
        <w:lang w:val="en-US" w:eastAsia="en-US" w:bidi="ar-SA"/>
      </w:rPr>
    </w:lvl>
    <w:lvl w:ilvl="3" w:tplc="FCAAB98E">
      <w:numFmt w:val="bullet"/>
      <w:lvlText w:val="•"/>
      <w:lvlJc w:val="left"/>
      <w:pPr>
        <w:ind w:left="1633" w:hanging="360"/>
      </w:pPr>
      <w:rPr>
        <w:rFonts w:hint="default"/>
        <w:lang w:val="en-US" w:eastAsia="en-US" w:bidi="ar-SA"/>
      </w:rPr>
    </w:lvl>
    <w:lvl w:ilvl="4" w:tplc="1258107E">
      <w:numFmt w:val="bullet"/>
      <w:lvlText w:val="•"/>
      <w:lvlJc w:val="left"/>
      <w:pPr>
        <w:ind w:left="2025" w:hanging="360"/>
      </w:pPr>
      <w:rPr>
        <w:rFonts w:hint="default"/>
        <w:lang w:val="en-US" w:eastAsia="en-US" w:bidi="ar-SA"/>
      </w:rPr>
    </w:lvl>
    <w:lvl w:ilvl="5" w:tplc="2500F272">
      <w:numFmt w:val="bullet"/>
      <w:lvlText w:val="•"/>
      <w:lvlJc w:val="left"/>
      <w:pPr>
        <w:ind w:left="2416" w:hanging="360"/>
      </w:pPr>
      <w:rPr>
        <w:rFonts w:hint="default"/>
        <w:lang w:val="en-US" w:eastAsia="en-US" w:bidi="ar-SA"/>
      </w:rPr>
    </w:lvl>
    <w:lvl w:ilvl="6" w:tplc="A718C178">
      <w:numFmt w:val="bullet"/>
      <w:lvlText w:val="•"/>
      <w:lvlJc w:val="left"/>
      <w:pPr>
        <w:ind w:left="2807" w:hanging="360"/>
      </w:pPr>
      <w:rPr>
        <w:rFonts w:hint="default"/>
        <w:lang w:val="en-US" w:eastAsia="en-US" w:bidi="ar-SA"/>
      </w:rPr>
    </w:lvl>
    <w:lvl w:ilvl="7" w:tplc="99FCCD40">
      <w:numFmt w:val="bullet"/>
      <w:lvlText w:val="•"/>
      <w:lvlJc w:val="left"/>
      <w:pPr>
        <w:ind w:left="3199" w:hanging="360"/>
      </w:pPr>
      <w:rPr>
        <w:rFonts w:hint="default"/>
        <w:lang w:val="en-US" w:eastAsia="en-US" w:bidi="ar-SA"/>
      </w:rPr>
    </w:lvl>
    <w:lvl w:ilvl="8" w:tplc="B2B8E7E6">
      <w:numFmt w:val="bullet"/>
      <w:lvlText w:val="•"/>
      <w:lvlJc w:val="left"/>
      <w:pPr>
        <w:ind w:left="3590" w:hanging="360"/>
      </w:pPr>
      <w:rPr>
        <w:rFonts w:hint="default"/>
        <w:lang w:val="en-US" w:eastAsia="en-US" w:bidi="ar-SA"/>
      </w:rPr>
    </w:lvl>
  </w:abstractNum>
  <w:abstractNum w:abstractNumId="13" w15:restartNumberingAfterBreak="0">
    <w:nsid w:val="246A1CD5"/>
    <w:multiLevelType w:val="hybridMultilevel"/>
    <w:tmpl w:val="AF2A5518"/>
    <w:lvl w:ilvl="0" w:tplc="D3805F10">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746EFCE2">
      <w:numFmt w:val="bullet"/>
      <w:lvlText w:val="•"/>
      <w:lvlJc w:val="left"/>
      <w:pPr>
        <w:ind w:left="786" w:hanging="360"/>
      </w:pPr>
      <w:rPr>
        <w:rFonts w:hint="default"/>
        <w:lang w:val="en-US" w:eastAsia="en-US" w:bidi="ar-SA"/>
      </w:rPr>
    </w:lvl>
    <w:lvl w:ilvl="2" w:tplc="260E4402">
      <w:numFmt w:val="bullet"/>
      <w:lvlText w:val="•"/>
      <w:lvlJc w:val="left"/>
      <w:pPr>
        <w:ind w:left="1113" w:hanging="360"/>
      </w:pPr>
      <w:rPr>
        <w:rFonts w:hint="default"/>
        <w:lang w:val="en-US" w:eastAsia="en-US" w:bidi="ar-SA"/>
      </w:rPr>
    </w:lvl>
    <w:lvl w:ilvl="3" w:tplc="714A996C">
      <w:numFmt w:val="bullet"/>
      <w:lvlText w:val="•"/>
      <w:lvlJc w:val="left"/>
      <w:pPr>
        <w:ind w:left="1440" w:hanging="360"/>
      </w:pPr>
      <w:rPr>
        <w:rFonts w:hint="default"/>
        <w:lang w:val="en-US" w:eastAsia="en-US" w:bidi="ar-SA"/>
      </w:rPr>
    </w:lvl>
    <w:lvl w:ilvl="4" w:tplc="5574D7AE">
      <w:numFmt w:val="bullet"/>
      <w:lvlText w:val="•"/>
      <w:lvlJc w:val="left"/>
      <w:pPr>
        <w:ind w:left="1766" w:hanging="360"/>
      </w:pPr>
      <w:rPr>
        <w:rFonts w:hint="default"/>
        <w:lang w:val="en-US" w:eastAsia="en-US" w:bidi="ar-SA"/>
      </w:rPr>
    </w:lvl>
    <w:lvl w:ilvl="5" w:tplc="DD84BE56">
      <w:numFmt w:val="bullet"/>
      <w:lvlText w:val="•"/>
      <w:lvlJc w:val="left"/>
      <w:pPr>
        <w:ind w:left="2093" w:hanging="360"/>
      </w:pPr>
      <w:rPr>
        <w:rFonts w:hint="default"/>
        <w:lang w:val="en-US" w:eastAsia="en-US" w:bidi="ar-SA"/>
      </w:rPr>
    </w:lvl>
    <w:lvl w:ilvl="6" w:tplc="6948480A">
      <w:numFmt w:val="bullet"/>
      <w:lvlText w:val="•"/>
      <w:lvlJc w:val="left"/>
      <w:pPr>
        <w:ind w:left="2420" w:hanging="360"/>
      </w:pPr>
      <w:rPr>
        <w:rFonts w:hint="default"/>
        <w:lang w:val="en-US" w:eastAsia="en-US" w:bidi="ar-SA"/>
      </w:rPr>
    </w:lvl>
    <w:lvl w:ilvl="7" w:tplc="04EAF2BE">
      <w:numFmt w:val="bullet"/>
      <w:lvlText w:val="•"/>
      <w:lvlJc w:val="left"/>
      <w:pPr>
        <w:ind w:left="2746" w:hanging="360"/>
      </w:pPr>
      <w:rPr>
        <w:rFonts w:hint="default"/>
        <w:lang w:val="en-US" w:eastAsia="en-US" w:bidi="ar-SA"/>
      </w:rPr>
    </w:lvl>
    <w:lvl w:ilvl="8" w:tplc="1EFAC5DE">
      <w:numFmt w:val="bullet"/>
      <w:lvlText w:val="•"/>
      <w:lvlJc w:val="left"/>
      <w:pPr>
        <w:ind w:left="3073" w:hanging="360"/>
      </w:pPr>
      <w:rPr>
        <w:rFonts w:hint="default"/>
        <w:lang w:val="en-US" w:eastAsia="en-US" w:bidi="ar-SA"/>
      </w:rPr>
    </w:lvl>
  </w:abstractNum>
  <w:abstractNum w:abstractNumId="14" w15:restartNumberingAfterBreak="0">
    <w:nsid w:val="24F221C7"/>
    <w:multiLevelType w:val="hybridMultilevel"/>
    <w:tmpl w:val="2A160FF4"/>
    <w:lvl w:ilvl="0" w:tplc="773A7D78">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0BECA2E8">
      <w:numFmt w:val="bullet"/>
      <w:lvlText w:val="•"/>
      <w:lvlJc w:val="left"/>
      <w:pPr>
        <w:ind w:left="744" w:hanging="360"/>
      </w:pPr>
      <w:rPr>
        <w:rFonts w:hint="default"/>
        <w:lang w:val="en-US" w:eastAsia="en-US" w:bidi="ar-SA"/>
      </w:rPr>
    </w:lvl>
    <w:lvl w:ilvl="2" w:tplc="0656936C">
      <w:numFmt w:val="bullet"/>
      <w:lvlText w:val="•"/>
      <w:lvlJc w:val="left"/>
      <w:pPr>
        <w:ind w:left="1029" w:hanging="360"/>
      </w:pPr>
      <w:rPr>
        <w:rFonts w:hint="default"/>
        <w:lang w:val="en-US" w:eastAsia="en-US" w:bidi="ar-SA"/>
      </w:rPr>
    </w:lvl>
    <w:lvl w:ilvl="3" w:tplc="1068E5D8">
      <w:numFmt w:val="bullet"/>
      <w:lvlText w:val="•"/>
      <w:lvlJc w:val="left"/>
      <w:pPr>
        <w:ind w:left="1314" w:hanging="360"/>
      </w:pPr>
      <w:rPr>
        <w:rFonts w:hint="default"/>
        <w:lang w:val="en-US" w:eastAsia="en-US" w:bidi="ar-SA"/>
      </w:rPr>
    </w:lvl>
    <w:lvl w:ilvl="4" w:tplc="20FE113A">
      <w:numFmt w:val="bullet"/>
      <w:lvlText w:val="•"/>
      <w:lvlJc w:val="left"/>
      <w:pPr>
        <w:ind w:left="1598" w:hanging="360"/>
      </w:pPr>
      <w:rPr>
        <w:rFonts w:hint="default"/>
        <w:lang w:val="en-US" w:eastAsia="en-US" w:bidi="ar-SA"/>
      </w:rPr>
    </w:lvl>
    <w:lvl w:ilvl="5" w:tplc="48206BAE">
      <w:numFmt w:val="bullet"/>
      <w:lvlText w:val="•"/>
      <w:lvlJc w:val="left"/>
      <w:pPr>
        <w:ind w:left="1883" w:hanging="360"/>
      </w:pPr>
      <w:rPr>
        <w:rFonts w:hint="default"/>
        <w:lang w:val="en-US" w:eastAsia="en-US" w:bidi="ar-SA"/>
      </w:rPr>
    </w:lvl>
    <w:lvl w:ilvl="6" w:tplc="9296EA20">
      <w:numFmt w:val="bullet"/>
      <w:lvlText w:val="•"/>
      <w:lvlJc w:val="left"/>
      <w:pPr>
        <w:ind w:left="2168" w:hanging="360"/>
      </w:pPr>
      <w:rPr>
        <w:rFonts w:hint="default"/>
        <w:lang w:val="en-US" w:eastAsia="en-US" w:bidi="ar-SA"/>
      </w:rPr>
    </w:lvl>
    <w:lvl w:ilvl="7" w:tplc="867816A4">
      <w:numFmt w:val="bullet"/>
      <w:lvlText w:val="•"/>
      <w:lvlJc w:val="left"/>
      <w:pPr>
        <w:ind w:left="2452" w:hanging="360"/>
      </w:pPr>
      <w:rPr>
        <w:rFonts w:hint="default"/>
        <w:lang w:val="en-US" w:eastAsia="en-US" w:bidi="ar-SA"/>
      </w:rPr>
    </w:lvl>
    <w:lvl w:ilvl="8" w:tplc="EBCA4400">
      <w:numFmt w:val="bullet"/>
      <w:lvlText w:val="•"/>
      <w:lvlJc w:val="left"/>
      <w:pPr>
        <w:ind w:left="2737" w:hanging="360"/>
      </w:pPr>
      <w:rPr>
        <w:rFonts w:hint="default"/>
        <w:lang w:val="en-US" w:eastAsia="en-US" w:bidi="ar-SA"/>
      </w:rPr>
    </w:lvl>
  </w:abstractNum>
  <w:abstractNum w:abstractNumId="15" w15:restartNumberingAfterBreak="0">
    <w:nsid w:val="25C81036"/>
    <w:multiLevelType w:val="hybridMultilevel"/>
    <w:tmpl w:val="49301ECE"/>
    <w:lvl w:ilvl="0" w:tplc="44CC911C">
      <w:start w:val="1"/>
      <w:numFmt w:val="decimal"/>
      <w:lvlText w:val="%1."/>
      <w:lvlJc w:val="left"/>
      <w:pPr>
        <w:ind w:left="1800" w:hanging="360"/>
      </w:pPr>
      <w:rPr>
        <w:rFonts w:hint="default"/>
        <w:spacing w:val="0"/>
        <w:w w:val="100"/>
        <w:lang w:val="en-US" w:eastAsia="en-US" w:bidi="ar-SA"/>
      </w:rPr>
    </w:lvl>
    <w:lvl w:ilvl="1" w:tplc="685ABA94">
      <w:numFmt w:val="bullet"/>
      <w:lvlText w:val="•"/>
      <w:lvlJc w:val="left"/>
      <w:pPr>
        <w:ind w:left="2810" w:hanging="360"/>
      </w:pPr>
      <w:rPr>
        <w:rFonts w:hint="default"/>
        <w:lang w:val="en-US" w:eastAsia="en-US" w:bidi="ar-SA"/>
      </w:rPr>
    </w:lvl>
    <w:lvl w:ilvl="2" w:tplc="51742410">
      <w:numFmt w:val="bullet"/>
      <w:lvlText w:val="•"/>
      <w:lvlJc w:val="left"/>
      <w:pPr>
        <w:ind w:left="3821" w:hanging="360"/>
      </w:pPr>
      <w:rPr>
        <w:rFonts w:hint="default"/>
        <w:lang w:val="en-US" w:eastAsia="en-US" w:bidi="ar-SA"/>
      </w:rPr>
    </w:lvl>
    <w:lvl w:ilvl="3" w:tplc="027EEB16">
      <w:numFmt w:val="bullet"/>
      <w:lvlText w:val="•"/>
      <w:lvlJc w:val="left"/>
      <w:pPr>
        <w:ind w:left="4831" w:hanging="360"/>
      </w:pPr>
      <w:rPr>
        <w:rFonts w:hint="default"/>
        <w:lang w:val="en-US" w:eastAsia="en-US" w:bidi="ar-SA"/>
      </w:rPr>
    </w:lvl>
    <w:lvl w:ilvl="4" w:tplc="2FBEE33C">
      <w:numFmt w:val="bullet"/>
      <w:lvlText w:val="•"/>
      <w:lvlJc w:val="left"/>
      <w:pPr>
        <w:ind w:left="5842" w:hanging="360"/>
      </w:pPr>
      <w:rPr>
        <w:rFonts w:hint="default"/>
        <w:lang w:val="en-US" w:eastAsia="en-US" w:bidi="ar-SA"/>
      </w:rPr>
    </w:lvl>
    <w:lvl w:ilvl="5" w:tplc="36688CE4">
      <w:numFmt w:val="bullet"/>
      <w:lvlText w:val="•"/>
      <w:lvlJc w:val="left"/>
      <w:pPr>
        <w:ind w:left="6852" w:hanging="360"/>
      </w:pPr>
      <w:rPr>
        <w:rFonts w:hint="default"/>
        <w:lang w:val="en-US" w:eastAsia="en-US" w:bidi="ar-SA"/>
      </w:rPr>
    </w:lvl>
    <w:lvl w:ilvl="6" w:tplc="9176E0B0">
      <w:numFmt w:val="bullet"/>
      <w:lvlText w:val="•"/>
      <w:lvlJc w:val="left"/>
      <w:pPr>
        <w:ind w:left="7863" w:hanging="360"/>
      </w:pPr>
      <w:rPr>
        <w:rFonts w:hint="default"/>
        <w:lang w:val="en-US" w:eastAsia="en-US" w:bidi="ar-SA"/>
      </w:rPr>
    </w:lvl>
    <w:lvl w:ilvl="7" w:tplc="7846893C">
      <w:numFmt w:val="bullet"/>
      <w:lvlText w:val="•"/>
      <w:lvlJc w:val="left"/>
      <w:pPr>
        <w:ind w:left="8873" w:hanging="360"/>
      </w:pPr>
      <w:rPr>
        <w:rFonts w:hint="default"/>
        <w:lang w:val="en-US" w:eastAsia="en-US" w:bidi="ar-SA"/>
      </w:rPr>
    </w:lvl>
    <w:lvl w:ilvl="8" w:tplc="330A5AF4">
      <w:numFmt w:val="bullet"/>
      <w:lvlText w:val="•"/>
      <w:lvlJc w:val="left"/>
      <w:pPr>
        <w:ind w:left="9884" w:hanging="360"/>
      </w:pPr>
      <w:rPr>
        <w:rFonts w:hint="default"/>
        <w:lang w:val="en-US" w:eastAsia="en-US" w:bidi="ar-SA"/>
      </w:rPr>
    </w:lvl>
  </w:abstractNum>
  <w:abstractNum w:abstractNumId="16" w15:restartNumberingAfterBreak="0">
    <w:nsid w:val="26787F16"/>
    <w:multiLevelType w:val="hybridMultilevel"/>
    <w:tmpl w:val="74707D8C"/>
    <w:lvl w:ilvl="0" w:tplc="C00C2B70">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F5F0AF3A">
      <w:numFmt w:val="bullet"/>
      <w:lvlText w:val="•"/>
      <w:lvlJc w:val="left"/>
      <w:pPr>
        <w:ind w:left="809" w:hanging="360"/>
      </w:pPr>
      <w:rPr>
        <w:rFonts w:hint="default"/>
        <w:lang w:val="en-US" w:eastAsia="en-US" w:bidi="ar-SA"/>
      </w:rPr>
    </w:lvl>
    <w:lvl w:ilvl="2" w:tplc="D4DA6B48">
      <w:numFmt w:val="bullet"/>
      <w:lvlText w:val="•"/>
      <w:lvlJc w:val="left"/>
      <w:pPr>
        <w:ind w:left="1158" w:hanging="360"/>
      </w:pPr>
      <w:rPr>
        <w:rFonts w:hint="default"/>
        <w:lang w:val="en-US" w:eastAsia="en-US" w:bidi="ar-SA"/>
      </w:rPr>
    </w:lvl>
    <w:lvl w:ilvl="3" w:tplc="0368EAEE">
      <w:numFmt w:val="bullet"/>
      <w:lvlText w:val="•"/>
      <w:lvlJc w:val="left"/>
      <w:pPr>
        <w:ind w:left="1507" w:hanging="360"/>
      </w:pPr>
      <w:rPr>
        <w:rFonts w:hint="default"/>
        <w:lang w:val="en-US" w:eastAsia="en-US" w:bidi="ar-SA"/>
      </w:rPr>
    </w:lvl>
    <w:lvl w:ilvl="4" w:tplc="55BEE62A">
      <w:numFmt w:val="bullet"/>
      <w:lvlText w:val="•"/>
      <w:lvlJc w:val="left"/>
      <w:pPr>
        <w:ind w:left="1856" w:hanging="360"/>
      </w:pPr>
      <w:rPr>
        <w:rFonts w:hint="default"/>
        <w:lang w:val="en-US" w:eastAsia="en-US" w:bidi="ar-SA"/>
      </w:rPr>
    </w:lvl>
    <w:lvl w:ilvl="5" w:tplc="7C288F90">
      <w:numFmt w:val="bullet"/>
      <w:lvlText w:val="•"/>
      <w:lvlJc w:val="left"/>
      <w:pPr>
        <w:ind w:left="2205" w:hanging="360"/>
      </w:pPr>
      <w:rPr>
        <w:rFonts w:hint="default"/>
        <w:lang w:val="en-US" w:eastAsia="en-US" w:bidi="ar-SA"/>
      </w:rPr>
    </w:lvl>
    <w:lvl w:ilvl="6" w:tplc="309AD05C">
      <w:numFmt w:val="bullet"/>
      <w:lvlText w:val="•"/>
      <w:lvlJc w:val="left"/>
      <w:pPr>
        <w:ind w:left="2554" w:hanging="360"/>
      </w:pPr>
      <w:rPr>
        <w:rFonts w:hint="default"/>
        <w:lang w:val="en-US" w:eastAsia="en-US" w:bidi="ar-SA"/>
      </w:rPr>
    </w:lvl>
    <w:lvl w:ilvl="7" w:tplc="0EF09424">
      <w:numFmt w:val="bullet"/>
      <w:lvlText w:val="•"/>
      <w:lvlJc w:val="left"/>
      <w:pPr>
        <w:ind w:left="2903" w:hanging="360"/>
      </w:pPr>
      <w:rPr>
        <w:rFonts w:hint="default"/>
        <w:lang w:val="en-US" w:eastAsia="en-US" w:bidi="ar-SA"/>
      </w:rPr>
    </w:lvl>
    <w:lvl w:ilvl="8" w:tplc="A5181CFE">
      <w:numFmt w:val="bullet"/>
      <w:lvlText w:val="•"/>
      <w:lvlJc w:val="left"/>
      <w:pPr>
        <w:ind w:left="3252" w:hanging="360"/>
      </w:pPr>
      <w:rPr>
        <w:rFonts w:hint="default"/>
        <w:lang w:val="en-US" w:eastAsia="en-US" w:bidi="ar-SA"/>
      </w:rPr>
    </w:lvl>
  </w:abstractNum>
  <w:abstractNum w:abstractNumId="17" w15:restartNumberingAfterBreak="0">
    <w:nsid w:val="26AC563A"/>
    <w:multiLevelType w:val="hybridMultilevel"/>
    <w:tmpl w:val="525611F0"/>
    <w:lvl w:ilvl="0" w:tplc="9BCA380E">
      <w:start w:val="1"/>
      <w:numFmt w:val="decimal"/>
      <w:lvlText w:val="%1."/>
      <w:lvlJc w:val="left"/>
      <w:pPr>
        <w:ind w:left="1800" w:hanging="360"/>
      </w:pPr>
      <w:rPr>
        <w:rFonts w:ascii="Calibri" w:eastAsia="Calibri" w:hAnsi="Calibri" w:cs="Calibri" w:hint="default"/>
        <w:b w:val="0"/>
        <w:bCs w:val="0"/>
        <w:i w:val="0"/>
        <w:iCs w:val="0"/>
        <w:spacing w:val="0"/>
        <w:w w:val="100"/>
        <w:sz w:val="22"/>
        <w:szCs w:val="22"/>
        <w:lang w:val="en-US" w:eastAsia="en-US" w:bidi="ar-SA"/>
      </w:rPr>
    </w:lvl>
    <w:lvl w:ilvl="1" w:tplc="D94CD09E">
      <w:numFmt w:val="bullet"/>
      <w:lvlText w:val="•"/>
      <w:lvlJc w:val="left"/>
      <w:pPr>
        <w:ind w:left="2810" w:hanging="360"/>
      </w:pPr>
      <w:rPr>
        <w:rFonts w:hint="default"/>
        <w:lang w:val="en-US" w:eastAsia="en-US" w:bidi="ar-SA"/>
      </w:rPr>
    </w:lvl>
    <w:lvl w:ilvl="2" w:tplc="B6BAAACA">
      <w:numFmt w:val="bullet"/>
      <w:lvlText w:val="•"/>
      <w:lvlJc w:val="left"/>
      <w:pPr>
        <w:ind w:left="3821" w:hanging="360"/>
      </w:pPr>
      <w:rPr>
        <w:rFonts w:hint="default"/>
        <w:lang w:val="en-US" w:eastAsia="en-US" w:bidi="ar-SA"/>
      </w:rPr>
    </w:lvl>
    <w:lvl w:ilvl="3" w:tplc="9CE0DA60">
      <w:numFmt w:val="bullet"/>
      <w:lvlText w:val="•"/>
      <w:lvlJc w:val="left"/>
      <w:pPr>
        <w:ind w:left="4831" w:hanging="360"/>
      </w:pPr>
      <w:rPr>
        <w:rFonts w:hint="default"/>
        <w:lang w:val="en-US" w:eastAsia="en-US" w:bidi="ar-SA"/>
      </w:rPr>
    </w:lvl>
    <w:lvl w:ilvl="4" w:tplc="22D6C29A">
      <w:numFmt w:val="bullet"/>
      <w:lvlText w:val="•"/>
      <w:lvlJc w:val="left"/>
      <w:pPr>
        <w:ind w:left="5842" w:hanging="360"/>
      </w:pPr>
      <w:rPr>
        <w:rFonts w:hint="default"/>
        <w:lang w:val="en-US" w:eastAsia="en-US" w:bidi="ar-SA"/>
      </w:rPr>
    </w:lvl>
    <w:lvl w:ilvl="5" w:tplc="2A4C1282">
      <w:numFmt w:val="bullet"/>
      <w:lvlText w:val="•"/>
      <w:lvlJc w:val="left"/>
      <w:pPr>
        <w:ind w:left="6852" w:hanging="360"/>
      </w:pPr>
      <w:rPr>
        <w:rFonts w:hint="default"/>
        <w:lang w:val="en-US" w:eastAsia="en-US" w:bidi="ar-SA"/>
      </w:rPr>
    </w:lvl>
    <w:lvl w:ilvl="6" w:tplc="6F601700">
      <w:numFmt w:val="bullet"/>
      <w:lvlText w:val="•"/>
      <w:lvlJc w:val="left"/>
      <w:pPr>
        <w:ind w:left="7863" w:hanging="360"/>
      </w:pPr>
      <w:rPr>
        <w:rFonts w:hint="default"/>
        <w:lang w:val="en-US" w:eastAsia="en-US" w:bidi="ar-SA"/>
      </w:rPr>
    </w:lvl>
    <w:lvl w:ilvl="7" w:tplc="D92604B4">
      <w:numFmt w:val="bullet"/>
      <w:lvlText w:val="•"/>
      <w:lvlJc w:val="left"/>
      <w:pPr>
        <w:ind w:left="8873" w:hanging="360"/>
      </w:pPr>
      <w:rPr>
        <w:rFonts w:hint="default"/>
        <w:lang w:val="en-US" w:eastAsia="en-US" w:bidi="ar-SA"/>
      </w:rPr>
    </w:lvl>
    <w:lvl w:ilvl="8" w:tplc="C96019CA">
      <w:numFmt w:val="bullet"/>
      <w:lvlText w:val="•"/>
      <w:lvlJc w:val="left"/>
      <w:pPr>
        <w:ind w:left="9884" w:hanging="360"/>
      </w:pPr>
      <w:rPr>
        <w:rFonts w:hint="default"/>
        <w:lang w:val="en-US" w:eastAsia="en-US" w:bidi="ar-SA"/>
      </w:rPr>
    </w:lvl>
  </w:abstractNum>
  <w:abstractNum w:abstractNumId="18" w15:restartNumberingAfterBreak="0">
    <w:nsid w:val="27745130"/>
    <w:multiLevelType w:val="hybridMultilevel"/>
    <w:tmpl w:val="BD70EA4A"/>
    <w:lvl w:ilvl="0" w:tplc="C464CA1E">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9C587E76">
      <w:numFmt w:val="bullet"/>
      <w:lvlText w:val="•"/>
      <w:lvlJc w:val="left"/>
      <w:pPr>
        <w:ind w:left="786" w:hanging="360"/>
      </w:pPr>
      <w:rPr>
        <w:rFonts w:hint="default"/>
        <w:lang w:val="en-US" w:eastAsia="en-US" w:bidi="ar-SA"/>
      </w:rPr>
    </w:lvl>
    <w:lvl w:ilvl="2" w:tplc="F88E14EA">
      <w:numFmt w:val="bullet"/>
      <w:lvlText w:val="•"/>
      <w:lvlJc w:val="left"/>
      <w:pPr>
        <w:ind w:left="1113" w:hanging="360"/>
      </w:pPr>
      <w:rPr>
        <w:rFonts w:hint="default"/>
        <w:lang w:val="en-US" w:eastAsia="en-US" w:bidi="ar-SA"/>
      </w:rPr>
    </w:lvl>
    <w:lvl w:ilvl="3" w:tplc="C5E461B4">
      <w:numFmt w:val="bullet"/>
      <w:lvlText w:val="•"/>
      <w:lvlJc w:val="left"/>
      <w:pPr>
        <w:ind w:left="1440" w:hanging="360"/>
      </w:pPr>
      <w:rPr>
        <w:rFonts w:hint="default"/>
        <w:lang w:val="en-US" w:eastAsia="en-US" w:bidi="ar-SA"/>
      </w:rPr>
    </w:lvl>
    <w:lvl w:ilvl="4" w:tplc="C94A9210">
      <w:numFmt w:val="bullet"/>
      <w:lvlText w:val="•"/>
      <w:lvlJc w:val="left"/>
      <w:pPr>
        <w:ind w:left="1766" w:hanging="360"/>
      </w:pPr>
      <w:rPr>
        <w:rFonts w:hint="default"/>
        <w:lang w:val="en-US" w:eastAsia="en-US" w:bidi="ar-SA"/>
      </w:rPr>
    </w:lvl>
    <w:lvl w:ilvl="5" w:tplc="F6629554">
      <w:numFmt w:val="bullet"/>
      <w:lvlText w:val="•"/>
      <w:lvlJc w:val="left"/>
      <w:pPr>
        <w:ind w:left="2093" w:hanging="360"/>
      </w:pPr>
      <w:rPr>
        <w:rFonts w:hint="default"/>
        <w:lang w:val="en-US" w:eastAsia="en-US" w:bidi="ar-SA"/>
      </w:rPr>
    </w:lvl>
    <w:lvl w:ilvl="6" w:tplc="3C3E6162">
      <w:numFmt w:val="bullet"/>
      <w:lvlText w:val="•"/>
      <w:lvlJc w:val="left"/>
      <w:pPr>
        <w:ind w:left="2420" w:hanging="360"/>
      </w:pPr>
      <w:rPr>
        <w:rFonts w:hint="default"/>
        <w:lang w:val="en-US" w:eastAsia="en-US" w:bidi="ar-SA"/>
      </w:rPr>
    </w:lvl>
    <w:lvl w:ilvl="7" w:tplc="80FCAB4E">
      <w:numFmt w:val="bullet"/>
      <w:lvlText w:val="•"/>
      <w:lvlJc w:val="left"/>
      <w:pPr>
        <w:ind w:left="2746" w:hanging="360"/>
      </w:pPr>
      <w:rPr>
        <w:rFonts w:hint="default"/>
        <w:lang w:val="en-US" w:eastAsia="en-US" w:bidi="ar-SA"/>
      </w:rPr>
    </w:lvl>
    <w:lvl w:ilvl="8" w:tplc="737825AE">
      <w:numFmt w:val="bullet"/>
      <w:lvlText w:val="•"/>
      <w:lvlJc w:val="left"/>
      <w:pPr>
        <w:ind w:left="3073" w:hanging="360"/>
      </w:pPr>
      <w:rPr>
        <w:rFonts w:hint="default"/>
        <w:lang w:val="en-US" w:eastAsia="en-US" w:bidi="ar-SA"/>
      </w:rPr>
    </w:lvl>
  </w:abstractNum>
  <w:abstractNum w:abstractNumId="19" w15:restartNumberingAfterBreak="0">
    <w:nsid w:val="2C266C3C"/>
    <w:multiLevelType w:val="hybridMultilevel"/>
    <w:tmpl w:val="0BD08C16"/>
    <w:lvl w:ilvl="0" w:tplc="A9C439DE">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6E72A1C2">
      <w:numFmt w:val="bullet"/>
      <w:lvlText w:val="•"/>
      <w:lvlJc w:val="left"/>
      <w:pPr>
        <w:ind w:left="851" w:hanging="360"/>
      </w:pPr>
      <w:rPr>
        <w:rFonts w:hint="default"/>
        <w:lang w:val="en-US" w:eastAsia="en-US" w:bidi="ar-SA"/>
      </w:rPr>
    </w:lvl>
    <w:lvl w:ilvl="2" w:tplc="FC12DC40">
      <w:numFmt w:val="bullet"/>
      <w:lvlText w:val="•"/>
      <w:lvlJc w:val="left"/>
      <w:pPr>
        <w:ind w:left="1242" w:hanging="360"/>
      </w:pPr>
      <w:rPr>
        <w:rFonts w:hint="default"/>
        <w:lang w:val="en-US" w:eastAsia="en-US" w:bidi="ar-SA"/>
      </w:rPr>
    </w:lvl>
    <w:lvl w:ilvl="3" w:tplc="334EB7D6">
      <w:numFmt w:val="bullet"/>
      <w:lvlText w:val="•"/>
      <w:lvlJc w:val="left"/>
      <w:pPr>
        <w:ind w:left="1633" w:hanging="360"/>
      </w:pPr>
      <w:rPr>
        <w:rFonts w:hint="default"/>
        <w:lang w:val="en-US" w:eastAsia="en-US" w:bidi="ar-SA"/>
      </w:rPr>
    </w:lvl>
    <w:lvl w:ilvl="4" w:tplc="08169C18">
      <w:numFmt w:val="bullet"/>
      <w:lvlText w:val="•"/>
      <w:lvlJc w:val="left"/>
      <w:pPr>
        <w:ind w:left="2025" w:hanging="360"/>
      </w:pPr>
      <w:rPr>
        <w:rFonts w:hint="default"/>
        <w:lang w:val="en-US" w:eastAsia="en-US" w:bidi="ar-SA"/>
      </w:rPr>
    </w:lvl>
    <w:lvl w:ilvl="5" w:tplc="BD4C7C0A">
      <w:numFmt w:val="bullet"/>
      <w:lvlText w:val="•"/>
      <w:lvlJc w:val="left"/>
      <w:pPr>
        <w:ind w:left="2416" w:hanging="360"/>
      </w:pPr>
      <w:rPr>
        <w:rFonts w:hint="default"/>
        <w:lang w:val="en-US" w:eastAsia="en-US" w:bidi="ar-SA"/>
      </w:rPr>
    </w:lvl>
    <w:lvl w:ilvl="6" w:tplc="3148F39A">
      <w:numFmt w:val="bullet"/>
      <w:lvlText w:val="•"/>
      <w:lvlJc w:val="left"/>
      <w:pPr>
        <w:ind w:left="2807" w:hanging="360"/>
      </w:pPr>
      <w:rPr>
        <w:rFonts w:hint="default"/>
        <w:lang w:val="en-US" w:eastAsia="en-US" w:bidi="ar-SA"/>
      </w:rPr>
    </w:lvl>
    <w:lvl w:ilvl="7" w:tplc="F9B083C6">
      <w:numFmt w:val="bullet"/>
      <w:lvlText w:val="•"/>
      <w:lvlJc w:val="left"/>
      <w:pPr>
        <w:ind w:left="3199" w:hanging="360"/>
      </w:pPr>
      <w:rPr>
        <w:rFonts w:hint="default"/>
        <w:lang w:val="en-US" w:eastAsia="en-US" w:bidi="ar-SA"/>
      </w:rPr>
    </w:lvl>
    <w:lvl w:ilvl="8" w:tplc="C8E6B838">
      <w:numFmt w:val="bullet"/>
      <w:lvlText w:val="•"/>
      <w:lvlJc w:val="left"/>
      <w:pPr>
        <w:ind w:left="3590" w:hanging="360"/>
      </w:pPr>
      <w:rPr>
        <w:rFonts w:hint="default"/>
        <w:lang w:val="en-US" w:eastAsia="en-US" w:bidi="ar-SA"/>
      </w:rPr>
    </w:lvl>
  </w:abstractNum>
  <w:abstractNum w:abstractNumId="20" w15:restartNumberingAfterBreak="0">
    <w:nsid w:val="2CF73233"/>
    <w:multiLevelType w:val="hybridMultilevel"/>
    <w:tmpl w:val="19B465C8"/>
    <w:lvl w:ilvl="0" w:tplc="0636B7B0">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60CE5AD8">
      <w:numFmt w:val="bullet"/>
      <w:lvlText w:val="•"/>
      <w:lvlJc w:val="left"/>
      <w:pPr>
        <w:ind w:left="744" w:hanging="360"/>
      </w:pPr>
      <w:rPr>
        <w:rFonts w:hint="default"/>
        <w:lang w:val="en-US" w:eastAsia="en-US" w:bidi="ar-SA"/>
      </w:rPr>
    </w:lvl>
    <w:lvl w:ilvl="2" w:tplc="898C3708">
      <w:numFmt w:val="bullet"/>
      <w:lvlText w:val="•"/>
      <w:lvlJc w:val="left"/>
      <w:pPr>
        <w:ind w:left="1029" w:hanging="360"/>
      </w:pPr>
      <w:rPr>
        <w:rFonts w:hint="default"/>
        <w:lang w:val="en-US" w:eastAsia="en-US" w:bidi="ar-SA"/>
      </w:rPr>
    </w:lvl>
    <w:lvl w:ilvl="3" w:tplc="AC34F3CC">
      <w:numFmt w:val="bullet"/>
      <w:lvlText w:val="•"/>
      <w:lvlJc w:val="left"/>
      <w:pPr>
        <w:ind w:left="1314" w:hanging="360"/>
      </w:pPr>
      <w:rPr>
        <w:rFonts w:hint="default"/>
        <w:lang w:val="en-US" w:eastAsia="en-US" w:bidi="ar-SA"/>
      </w:rPr>
    </w:lvl>
    <w:lvl w:ilvl="4" w:tplc="83A00CE8">
      <w:numFmt w:val="bullet"/>
      <w:lvlText w:val="•"/>
      <w:lvlJc w:val="left"/>
      <w:pPr>
        <w:ind w:left="1598" w:hanging="360"/>
      </w:pPr>
      <w:rPr>
        <w:rFonts w:hint="default"/>
        <w:lang w:val="en-US" w:eastAsia="en-US" w:bidi="ar-SA"/>
      </w:rPr>
    </w:lvl>
    <w:lvl w:ilvl="5" w:tplc="68C00106">
      <w:numFmt w:val="bullet"/>
      <w:lvlText w:val="•"/>
      <w:lvlJc w:val="left"/>
      <w:pPr>
        <w:ind w:left="1883" w:hanging="360"/>
      </w:pPr>
      <w:rPr>
        <w:rFonts w:hint="default"/>
        <w:lang w:val="en-US" w:eastAsia="en-US" w:bidi="ar-SA"/>
      </w:rPr>
    </w:lvl>
    <w:lvl w:ilvl="6" w:tplc="B666F8CC">
      <w:numFmt w:val="bullet"/>
      <w:lvlText w:val="•"/>
      <w:lvlJc w:val="left"/>
      <w:pPr>
        <w:ind w:left="2168" w:hanging="360"/>
      </w:pPr>
      <w:rPr>
        <w:rFonts w:hint="default"/>
        <w:lang w:val="en-US" w:eastAsia="en-US" w:bidi="ar-SA"/>
      </w:rPr>
    </w:lvl>
    <w:lvl w:ilvl="7" w:tplc="3D6A8592">
      <w:numFmt w:val="bullet"/>
      <w:lvlText w:val="•"/>
      <w:lvlJc w:val="left"/>
      <w:pPr>
        <w:ind w:left="2452" w:hanging="360"/>
      </w:pPr>
      <w:rPr>
        <w:rFonts w:hint="default"/>
        <w:lang w:val="en-US" w:eastAsia="en-US" w:bidi="ar-SA"/>
      </w:rPr>
    </w:lvl>
    <w:lvl w:ilvl="8" w:tplc="9E9EA5DE">
      <w:numFmt w:val="bullet"/>
      <w:lvlText w:val="•"/>
      <w:lvlJc w:val="left"/>
      <w:pPr>
        <w:ind w:left="2737" w:hanging="360"/>
      </w:pPr>
      <w:rPr>
        <w:rFonts w:hint="default"/>
        <w:lang w:val="en-US" w:eastAsia="en-US" w:bidi="ar-SA"/>
      </w:rPr>
    </w:lvl>
  </w:abstractNum>
  <w:abstractNum w:abstractNumId="21" w15:restartNumberingAfterBreak="0">
    <w:nsid w:val="2D8F710C"/>
    <w:multiLevelType w:val="hybridMultilevel"/>
    <w:tmpl w:val="4094E56E"/>
    <w:lvl w:ilvl="0" w:tplc="4F0ABF82">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5218C656">
      <w:numFmt w:val="bullet"/>
      <w:lvlText w:val="•"/>
      <w:lvlJc w:val="left"/>
      <w:pPr>
        <w:ind w:left="809" w:hanging="360"/>
      </w:pPr>
      <w:rPr>
        <w:rFonts w:hint="default"/>
        <w:lang w:val="en-US" w:eastAsia="en-US" w:bidi="ar-SA"/>
      </w:rPr>
    </w:lvl>
    <w:lvl w:ilvl="2" w:tplc="7A06C54C">
      <w:numFmt w:val="bullet"/>
      <w:lvlText w:val="•"/>
      <w:lvlJc w:val="left"/>
      <w:pPr>
        <w:ind w:left="1158" w:hanging="360"/>
      </w:pPr>
      <w:rPr>
        <w:rFonts w:hint="default"/>
        <w:lang w:val="en-US" w:eastAsia="en-US" w:bidi="ar-SA"/>
      </w:rPr>
    </w:lvl>
    <w:lvl w:ilvl="3" w:tplc="828E0478">
      <w:numFmt w:val="bullet"/>
      <w:lvlText w:val="•"/>
      <w:lvlJc w:val="left"/>
      <w:pPr>
        <w:ind w:left="1507" w:hanging="360"/>
      </w:pPr>
      <w:rPr>
        <w:rFonts w:hint="default"/>
        <w:lang w:val="en-US" w:eastAsia="en-US" w:bidi="ar-SA"/>
      </w:rPr>
    </w:lvl>
    <w:lvl w:ilvl="4" w:tplc="EC36655C">
      <w:numFmt w:val="bullet"/>
      <w:lvlText w:val="•"/>
      <w:lvlJc w:val="left"/>
      <w:pPr>
        <w:ind w:left="1856" w:hanging="360"/>
      </w:pPr>
      <w:rPr>
        <w:rFonts w:hint="default"/>
        <w:lang w:val="en-US" w:eastAsia="en-US" w:bidi="ar-SA"/>
      </w:rPr>
    </w:lvl>
    <w:lvl w:ilvl="5" w:tplc="DDFA7C90">
      <w:numFmt w:val="bullet"/>
      <w:lvlText w:val="•"/>
      <w:lvlJc w:val="left"/>
      <w:pPr>
        <w:ind w:left="2205" w:hanging="360"/>
      </w:pPr>
      <w:rPr>
        <w:rFonts w:hint="default"/>
        <w:lang w:val="en-US" w:eastAsia="en-US" w:bidi="ar-SA"/>
      </w:rPr>
    </w:lvl>
    <w:lvl w:ilvl="6" w:tplc="229C3B3A">
      <w:numFmt w:val="bullet"/>
      <w:lvlText w:val="•"/>
      <w:lvlJc w:val="left"/>
      <w:pPr>
        <w:ind w:left="2554" w:hanging="360"/>
      </w:pPr>
      <w:rPr>
        <w:rFonts w:hint="default"/>
        <w:lang w:val="en-US" w:eastAsia="en-US" w:bidi="ar-SA"/>
      </w:rPr>
    </w:lvl>
    <w:lvl w:ilvl="7" w:tplc="6D9EC74C">
      <w:numFmt w:val="bullet"/>
      <w:lvlText w:val="•"/>
      <w:lvlJc w:val="left"/>
      <w:pPr>
        <w:ind w:left="2903" w:hanging="360"/>
      </w:pPr>
      <w:rPr>
        <w:rFonts w:hint="default"/>
        <w:lang w:val="en-US" w:eastAsia="en-US" w:bidi="ar-SA"/>
      </w:rPr>
    </w:lvl>
    <w:lvl w:ilvl="8" w:tplc="2EFE2D4C">
      <w:numFmt w:val="bullet"/>
      <w:lvlText w:val="•"/>
      <w:lvlJc w:val="left"/>
      <w:pPr>
        <w:ind w:left="3252" w:hanging="360"/>
      </w:pPr>
      <w:rPr>
        <w:rFonts w:hint="default"/>
        <w:lang w:val="en-US" w:eastAsia="en-US" w:bidi="ar-SA"/>
      </w:rPr>
    </w:lvl>
  </w:abstractNum>
  <w:abstractNum w:abstractNumId="22" w15:restartNumberingAfterBreak="0">
    <w:nsid w:val="2F01051B"/>
    <w:multiLevelType w:val="hybridMultilevel"/>
    <w:tmpl w:val="FA40F34C"/>
    <w:lvl w:ilvl="0" w:tplc="2A2EB452">
      <w:start w:val="1"/>
      <w:numFmt w:val="decimal"/>
      <w:lvlText w:val="%1."/>
      <w:lvlJc w:val="left"/>
      <w:pPr>
        <w:ind w:left="1800" w:hanging="360"/>
      </w:pPr>
      <w:rPr>
        <w:rFonts w:ascii="Calibri" w:eastAsia="Calibri" w:hAnsi="Calibri" w:cs="Calibri" w:hint="default"/>
        <w:b w:val="0"/>
        <w:bCs w:val="0"/>
        <w:i w:val="0"/>
        <w:iCs w:val="0"/>
        <w:spacing w:val="0"/>
        <w:w w:val="100"/>
        <w:sz w:val="22"/>
        <w:szCs w:val="22"/>
        <w:lang w:val="en-US" w:eastAsia="en-US" w:bidi="ar-SA"/>
      </w:rPr>
    </w:lvl>
    <w:lvl w:ilvl="1" w:tplc="27C283E2">
      <w:numFmt w:val="bullet"/>
      <w:lvlText w:val="•"/>
      <w:lvlJc w:val="left"/>
      <w:pPr>
        <w:ind w:left="2810" w:hanging="360"/>
      </w:pPr>
      <w:rPr>
        <w:rFonts w:hint="default"/>
        <w:lang w:val="en-US" w:eastAsia="en-US" w:bidi="ar-SA"/>
      </w:rPr>
    </w:lvl>
    <w:lvl w:ilvl="2" w:tplc="0368F440">
      <w:numFmt w:val="bullet"/>
      <w:lvlText w:val="•"/>
      <w:lvlJc w:val="left"/>
      <w:pPr>
        <w:ind w:left="3821" w:hanging="360"/>
      </w:pPr>
      <w:rPr>
        <w:rFonts w:hint="default"/>
        <w:lang w:val="en-US" w:eastAsia="en-US" w:bidi="ar-SA"/>
      </w:rPr>
    </w:lvl>
    <w:lvl w:ilvl="3" w:tplc="C680B714">
      <w:numFmt w:val="bullet"/>
      <w:lvlText w:val="•"/>
      <w:lvlJc w:val="left"/>
      <w:pPr>
        <w:ind w:left="4831" w:hanging="360"/>
      </w:pPr>
      <w:rPr>
        <w:rFonts w:hint="default"/>
        <w:lang w:val="en-US" w:eastAsia="en-US" w:bidi="ar-SA"/>
      </w:rPr>
    </w:lvl>
    <w:lvl w:ilvl="4" w:tplc="F8D6E2C6">
      <w:numFmt w:val="bullet"/>
      <w:lvlText w:val="•"/>
      <w:lvlJc w:val="left"/>
      <w:pPr>
        <w:ind w:left="5842" w:hanging="360"/>
      </w:pPr>
      <w:rPr>
        <w:rFonts w:hint="default"/>
        <w:lang w:val="en-US" w:eastAsia="en-US" w:bidi="ar-SA"/>
      </w:rPr>
    </w:lvl>
    <w:lvl w:ilvl="5" w:tplc="7F348092">
      <w:numFmt w:val="bullet"/>
      <w:lvlText w:val="•"/>
      <w:lvlJc w:val="left"/>
      <w:pPr>
        <w:ind w:left="6852" w:hanging="360"/>
      </w:pPr>
      <w:rPr>
        <w:rFonts w:hint="default"/>
        <w:lang w:val="en-US" w:eastAsia="en-US" w:bidi="ar-SA"/>
      </w:rPr>
    </w:lvl>
    <w:lvl w:ilvl="6" w:tplc="E928377A">
      <w:numFmt w:val="bullet"/>
      <w:lvlText w:val="•"/>
      <w:lvlJc w:val="left"/>
      <w:pPr>
        <w:ind w:left="7863" w:hanging="360"/>
      </w:pPr>
      <w:rPr>
        <w:rFonts w:hint="default"/>
        <w:lang w:val="en-US" w:eastAsia="en-US" w:bidi="ar-SA"/>
      </w:rPr>
    </w:lvl>
    <w:lvl w:ilvl="7" w:tplc="CFF20DC0">
      <w:numFmt w:val="bullet"/>
      <w:lvlText w:val="•"/>
      <w:lvlJc w:val="left"/>
      <w:pPr>
        <w:ind w:left="8873" w:hanging="360"/>
      </w:pPr>
      <w:rPr>
        <w:rFonts w:hint="default"/>
        <w:lang w:val="en-US" w:eastAsia="en-US" w:bidi="ar-SA"/>
      </w:rPr>
    </w:lvl>
    <w:lvl w:ilvl="8" w:tplc="F1585ADE">
      <w:numFmt w:val="bullet"/>
      <w:lvlText w:val="•"/>
      <w:lvlJc w:val="left"/>
      <w:pPr>
        <w:ind w:left="9884" w:hanging="360"/>
      </w:pPr>
      <w:rPr>
        <w:rFonts w:hint="default"/>
        <w:lang w:val="en-US" w:eastAsia="en-US" w:bidi="ar-SA"/>
      </w:rPr>
    </w:lvl>
  </w:abstractNum>
  <w:abstractNum w:abstractNumId="23" w15:restartNumberingAfterBreak="0">
    <w:nsid w:val="32691770"/>
    <w:multiLevelType w:val="hybridMultilevel"/>
    <w:tmpl w:val="AB545FC4"/>
    <w:lvl w:ilvl="0" w:tplc="3F50585E">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5F665BBE">
      <w:numFmt w:val="bullet"/>
      <w:lvlText w:val="•"/>
      <w:lvlJc w:val="left"/>
      <w:pPr>
        <w:ind w:left="786" w:hanging="360"/>
      </w:pPr>
      <w:rPr>
        <w:rFonts w:hint="default"/>
        <w:lang w:val="en-US" w:eastAsia="en-US" w:bidi="ar-SA"/>
      </w:rPr>
    </w:lvl>
    <w:lvl w:ilvl="2" w:tplc="EF204980">
      <w:numFmt w:val="bullet"/>
      <w:lvlText w:val="•"/>
      <w:lvlJc w:val="left"/>
      <w:pPr>
        <w:ind w:left="1113" w:hanging="360"/>
      </w:pPr>
      <w:rPr>
        <w:rFonts w:hint="default"/>
        <w:lang w:val="en-US" w:eastAsia="en-US" w:bidi="ar-SA"/>
      </w:rPr>
    </w:lvl>
    <w:lvl w:ilvl="3" w:tplc="433A82D4">
      <w:numFmt w:val="bullet"/>
      <w:lvlText w:val="•"/>
      <w:lvlJc w:val="left"/>
      <w:pPr>
        <w:ind w:left="1440" w:hanging="360"/>
      </w:pPr>
      <w:rPr>
        <w:rFonts w:hint="default"/>
        <w:lang w:val="en-US" w:eastAsia="en-US" w:bidi="ar-SA"/>
      </w:rPr>
    </w:lvl>
    <w:lvl w:ilvl="4" w:tplc="6AD28EF8">
      <w:numFmt w:val="bullet"/>
      <w:lvlText w:val="•"/>
      <w:lvlJc w:val="left"/>
      <w:pPr>
        <w:ind w:left="1766" w:hanging="360"/>
      </w:pPr>
      <w:rPr>
        <w:rFonts w:hint="default"/>
        <w:lang w:val="en-US" w:eastAsia="en-US" w:bidi="ar-SA"/>
      </w:rPr>
    </w:lvl>
    <w:lvl w:ilvl="5" w:tplc="4268F5C2">
      <w:numFmt w:val="bullet"/>
      <w:lvlText w:val="•"/>
      <w:lvlJc w:val="left"/>
      <w:pPr>
        <w:ind w:left="2093" w:hanging="360"/>
      </w:pPr>
      <w:rPr>
        <w:rFonts w:hint="default"/>
        <w:lang w:val="en-US" w:eastAsia="en-US" w:bidi="ar-SA"/>
      </w:rPr>
    </w:lvl>
    <w:lvl w:ilvl="6" w:tplc="A5C03AB8">
      <w:numFmt w:val="bullet"/>
      <w:lvlText w:val="•"/>
      <w:lvlJc w:val="left"/>
      <w:pPr>
        <w:ind w:left="2420" w:hanging="360"/>
      </w:pPr>
      <w:rPr>
        <w:rFonts w:hint="default"/>
        <w:lang w:val="en-US" w:eastAsia="en-US" w:bidi="ar-SA"/>
      </w:rPr>
    </w:lvl>
    <w:lvl w:ilvl="7" w:tplc="2CEE17E2">
      <w:numFmt w:val="bullet"/>
      <w:lvlText w:val="•"/>
      <w:lvlJc w:val="left"/>
      <w:pPr>
        <w:ind w:left="2746" w:hanging="360"/>
      </w:pPr>
      <w:rPr>
        <w:rFonts w:hint="default"/>
        <w:lang w:val="en-US" w:eastAsia="en-US" w:bidi="ar-SA"/>
      </w:rPr>
    </w:lvl>
    <w:lvl w:ilvl="8" w:tplc="86DE902A">
      <w:numFmt w:val="bullet"/>
      <w:lvlText w:val="•"/>
      <w:lvlJc w:val="left"/>
      <w:pPr>
        <w:ind w:left="3073" w:hanging="360"/>
      </w:pPr>
      <w:rPr>
        <w:rFonts w:hint="default"/>
        <w:lang w:val="en-US" w:eastAsia="en-US" w:bidi="ar-SA"/>
      </w:rPr>
    </w:lvl>
  </w:abstractNum>
  <w:abstractNum w:abstractNumId="24" w15:restartNumberingAfterBreak="0">
    <w:nsid w:val="385B4C5B"/>
    <w:multiLevelType w:val="hybridMultilevel"/>
    <w:tmpl w:val="F2D09CCE"/>
    <w:lvl w:ilvl="0" w:tplc="33187144">
      <w:start w:val="1"/>
      <w:numFmt w:val="decimal"/>
      <w:lvlText w:val="%1."/>
      <w:lvlJc w:val="left"/>
      <w:pPr>
        <w:ind w:left="1800" w:hanging="360"/>
      </w:pPr>
      <w:rPr>
        <w:rFonts w:hint="default"/>
        <w:spacing w:val="0"/>
        <w:w w:val="100"/>
        <w:lang w:val="en-US" w:eastAsia="en-US" w:bidi="ar-SA"/>
      </w:rPr>
    </w:lvl>
    <w:lvl w:ilvl="1" w:tplc="AD7ACBF0">
      <w:numFmt w:val="bullet"/>
      <w:lvlText w:val="•"/>
      <w:lvlJc w:val="left"/>
      <w:pPr>
        <w:ind w:left="2810" w:hanging="360"/>
      </w:pPr>
      <w:rPr>
        <w:rFonts w:hint="default"/>
        <w:lang w:val="en-US" w:eastAsia="en-US" w:bidi="ar-SA"/>
      </w:rPr>
    </w:lvl>
    <w:lvl w:ilvl="2" w:tplc="5B16DDE6">
      <w:numFmt w:val="bullet"/>
      <w:lvlText w:val="•"/>
      <w:lvlJc w:val="left"/>
      <w:pPr>
        <w:ind w:left="3821" w:hanging="360"/>
      </w:pPr>
      <w:rPr>
        <w:rFonts w:hint="default"/>
        <w:lang w:val="en-US" w:eastAsia="en-US" w:bidi="ar-SA"/>
      </w:rPr>
    </w:lvl>
    <w:lvl w:ilvl="3" w:tplc="5BE0329A">
      <w:numFmt w:val="bullet"/>
      <w:lvlText w:val="•"/>
      <w:lvlJc w:val="left"/>
      <w:pPr>
        <w:ind w:left="4831" w:hanging="360"/>
      </w:pPr>
      <w:rPr>
        <w:rFonts w:hint="default"/>
        <w:lang w:val="en-US" w:eastAsia="en-US" w:bidi="ar-SA"/>
      </w:rPr>
    </w:lvl>
    <w:lvl w:ilvl="4" w:tplc="B11039BA">
      <w:numFmt w:val="bullet"/>
      <w:lvlText w:val="•"/>
      <w:lvlJc w:val="left"/>
      <w:pPr>
        <w:ind w:left="5842" w:hanging="360"/>
      </w:pPr>
      <w:rPr>
        <w:rFonts w:hint="default"/>
        <w:lang w:val="en-US" w:eastAsia="en-US" w:bidi="ar-SA"/>
      </w:rPr>
    </w:lvl>
    <w:lvl w:ilvl="5" w:tplc="22A0ABE2">
      <w:numFmt w:val="bullet"/>
      <w:lvlText w:val="•"/>
      <w:lvlJc w:val="left"/>
      <w:pPr>
        <w:ind w:left="6852" w:hanging="360"/>
      </w:pPr>
      <w:rPr>
        <w:rFonts w:hint="default"/>
        <w:lang w:val="en-US" w:eastAsia="en-US" w:bidi="ar-SA"/>
      </w:rPr>
    </w:lvl>
    <w:lvl w:ilvl="6" w:tplc="6ADAB1C8">
      <w:numFmt w:val="bullet"/>
      <w:lvlText w:val="•"/>
      <w:lvlJc w:val="left"/>
      <w:pPr>
        <w:ind w:left="7863" w:hanging="360"/>
      </w:pPr>
      <w:rPr>
        <w:rFonts w:hint="default"/>
        <w:lang w:val="en-US" w:eastAsia="en-US" w:bidi="ar-SA"/>
      </w:rPr>
    </w:lvl>
    <w:lvl w:ilvl="7" w:tplc="EB92FC46">
      <w:numFmt w:val="bullet"/>
      <w:lvlText w:val="•"/>
      <w:lvlJc w:val="left"/>
      <w:pPr>
        <w:ind w:left="8873" w:hanging="360"/>
      </w:pPr>
      <w:rPr>
        <w:rFonts w:hint="default"/>
        <w:lang w:val="en-US" w:eastAsia="en-US" w:bidi="ar-SA"/>
      </w:rPr>
    </w:lvl>
    <w:lvl w:ilvl="8" w:tplc="C7BAE1FC">
      <w:numFmt w:val="bullet"/>
      <w:lvlText w:val="•"/>
      <w:lvlJc w:val="left"/>
      <w:pPr>
        <w:ind w:left="9884" w:hanging="360"/>
      </w:pPr>
      <w:rPr>
        <w:rFonts w:hint="default"/>
        <w:lang w:val="en-US" w:eastAsia="en-US" w:bidi="ar-SA"/>
      </w:rPr>
    </w:lvl>
  </w:abstractNum>
  <w:abstractNum w:abstractNumId="25" w15:restartNumberingAfterBreak="0">
    <w:nsid w:val="38780EDA"/>
    <w:multiLevelType w:val="hybridMultilevel"/>
    <w:tmpl w:val="06F8C8F6"/>
    <w:lvl w:ilvl="0" w:tplc="0B7A9A48">
      <w:start w:val="1"/>
      <w:numFmt w:val="lowerLetter"/>
      <w:lvlText w:val="%1)"/>
      <w:lvlJc w:val="left"/>
      <w:pPr>
        <w:ind w:left="1440" w:hanging="250"/>
      </w:pPr>
      <w:rPr>
        <w:rFonts w:ascii="Calibri" w:eastAsia="Calibri" w:hAnsi="Calibri" w:cs="Calibri" w:hint="default"/>
        <w:b w:val="0"/>
        <w:bCs w:val="0"/>
        <w:i/>
        <w:iCs/>
        <w:spacing w:val="-1"/>
        <w:w w:val="100"/>
        <w:sz w:val="24"/>
        <w:szCs w:val="24"/>
        <w:lang w:val="en-US" w:eastAsia="en-US" w:bidi="ar-SA"/>
      </w:rPr>
    </w:lvl>
    <w:lvl w:ilvl="1" w:tplc="4C0E3922">
      <w:numFmt w:val="bullet"/>
      <w:lvlText w:val="•"/>
      <w:lvlJc w:val="left"/>
      <w:pPr>
        <w:ind w:left="2486" w:hanging="250"/>
      </w:pPr>
      <w:rPr>
        <w:rFonts w:hint="default"/>
        <w:lang w:val="en-US" w:eastAsia="en-US" w:bidi="ar-SA"/>
      </w:rPr>
    </w:lvl>
    <w:lvl w:ilvl="2" w:tplc="5B3C6044">
      <w:numFmt w:val="bullet"/>
      <w:lvlText w:val="•"/>
      <w:lvlJc w:val="left"/>
      <w:pPr>
        <w:ind w:left="3533" w:hanging="250"/>
      </w:pPr>
      <w:rPr>
        <w:rFonts w:hint="default"/>
        <w:lang w:val="en-US" w:eastAsia="en-US" w:bidi="ar-SA"/>
      </w:rPr>
    </w:lvl>
    <w:lvl w:ilvl="3" w:tplc="AA0E66A0">
      <w:numFmt w:val="bullet"/>
      <w:lvlText w:val="•"/>
      <w:lvlJc w:val="left"/>
      <w:pPr>
        <w:ind w:left="4579" w:hanging="250"/>
      </w:pPr>
      <w:rPr>
        <w:rFonts w:hint="default"/>
        <w:lang w:val="en-US" w:eastAsia="en-US" w:bidi="ar-SA"/>
      </w:rPr>
    </w:lvl>
    <w:lvl w:ilvl="4" w:tplc="8C948242">
      <w:numFmt w:val="bullet"/>
      <w:lvlText w:val="•"/>
      <w:lvlJc w:val="left"/>
      <w:pPr>
        <w:ind w:left="5626" w:hanging="250"/>
      </w:pPr>
      <w:rPr>
        <w:rFonts w:hint="default"/>
        <w:lang w:val="en-US" w:eastAsia="en-US" w:bidi="ar-SA"/>
      </w:rPr>
    </w:lvl>
    <w:lvl w:ilvl="5" w:tplc="B2FE4DEC">
      <w:numFmt w:val="bullet"/>
      <w:lvlText w:val="•"/>
      <w:lvlJc w:val="left"/>
      <w:pPr>
        <w:ind w:left="6672" w:hanging="250"/>
      </w:pPr>
      <w:rPr>
        <w:rFonts w:hint="default"/>
        <w:lang w:val="en-US" w:eastAsia="en-US" w:bidi="ar-SA"/>
      </w:rPr>
    </w:lvl>
    <w:lvl w:ilvl="6" w:tplc="EDFA2E3A">
      <w:numFmt w:val="bullet"/>
      <w:lvlText w:val="•"/>
      <w:lvlJc w:val="left"/>
      <w:pPr>
        <w:ind w:left="7719" w:hanging="250"/>
      </w:pPr>
      <w:rPr>
        <w:rFonts w:hint="default"/>
        <w:lang w:val="en-US" w:eastAsia="en-US" w:bidi="ar-SA"/>
      </w:rPr>
    </w:lvl>
    <w:lvl w:ilvl="7" w:tplc="DF94BBB2">
      <w:numFmt w:val="bullet"/>
      <w:lvlText w:val="•"/>
      <w:lvlJc w:val="left"/>
      <w:pPr>
        <w:ind w:left="8765" w:hanging="250"/>
      </w:pPr>
      <w:rPr>
        <w:rFonts w:hint="default"/>
        <w:lang w:val="en-US" w:eastAsia="en-US" w:bidi="ar-SA"/>
      </w:rPr>
    </w:lvl>
    <w:lvl w:ilvl="8" w:tplc="1E0C2EA2">
      <w:numFmt w:val="bullet"/>
      <w:lvlText w:val="•"/>
      <w:lvlJc w:val="left"/>
      <w:pPr>
        <w:ind w:left="9812" w:hanging="250"/>
      </w:pPr>
      <w:rPr>
        <w:rFonts w:hint="default"/>
        <w:lang w:val="en-US" w:eastAsia="en-US" w:bidi="ar-SA"/>
      </w:rPr>
    </w:lvl>
  </w:abstractNum>
  <w:abstractNum w:abstractNumId="26" w15:restartNumberingAfterBreak="0">
    <w:nsid w:val="38F838F6"/>
    <w:multiLevelType w:val="hybridMultilevel"/>
    <w:tmpl w:val="F2C2AECE"/>
    <w:lvl w:ilvl="0" w:tplc="FFFFFFFF">
      <w:start w:val="1"/>
      <w:numFmt w:val="decimal"/>
      <w:lvlText w:val="%1."/>
      <w:lvlJc w:val="left"/>
      <w:pPr>
        <w:ind w:left="1800" w:hanging="360"/>
      </w:pPr>
      <w:rPr>
        <w:rFonts w:hint="default"/>
        <w:spacing w:val="0"/>
        <w:w w:val="100"/>
        <w:lang w:val="en-US" w:eastAsia="en-US" w:bidi="ar-SA"/>
      </w:rPr>
    </w:lvl>
    <w:lvl w:ilvl="1" w:tplc="0C09000F">
      <w:start w:val="1"/>
      <w:numFmt w:val="decimal"/>
      <w:lvlText w:val="%2."/>
      <w:lvlJc w:val="left"/>
      <w:pPr>
        <w:ind w:left="2810" w:hanging="360"/>
      </w:pPr>
    </w:lvl>
    <w:lvl w:ilvl="2" w:tplc="FFFFFFFF">
      <w:numFmt w:val="bullet"/>
      <w:lvlText w:val="•"/>
      <w:lvlJc w:val="left"/>
      <w:pPr>
        <w:ind w:left="3821" w:hanging="360"/>
      </w:pPr>
      <w:rPr>
        <w:rFonts w:hint="default"/>
        <w:lang w:val="en-US" w:eastAsia="en-US" w:bidi="ar-SA"/>
      </w:rPr>
    </w:lvl>
    <w:lvl w:ilvl="3" w:tplc="FFFFFFFF">
      <w:numFmt w:val="bullet"/>
      <w:lvlText w:val="•"/>
      <w:lvlJc w:val="left"/>
      <w:pPr>
        <w:ind w:left="4831" w:hanging="360"/>
      </w:pPr>
      <w:rPr>
        <w:rFonts w:hint="default"/>
        <w:lang w:val="en-US" w:eastAsia="en-US" w:bidi="ar-SA"/>
      </w:rPr>
    </w:lvl>
    <w:lvl w:ilvl="4" w:tplc="FFFFFFFF">
      <w:numFmt w:val="bullet"/>
      <w:lvlText w:val="•"/>
      <w:lvlJc w:val="left"/>
      <w:pPr>
        <w:ind w:left="5842" w:hanging="360"/>
      </w:pPr>
      <w:rPr>
        <w:rFonts w:hint="default"/>
        <w:lang w:val="en-US" w:eastAsia="en-US" w:bidi="ar-SA"/>
      </w:rPr>
    </w:lvl>
    <w:lvl w:ilvl="5" w:tplc="FFFFFFFF">
      <w:numFmt w:val="bullet"/>
      <w:lvlText w:val="•"/>
      <w:lvlJc w:val="left"/>
      <w:pPr>
        <w:ind w:left="6852" w:hanging="360"/>
      </w:pPr>
      <w:rPr>
        <w:rFonts w:hint="default"/>
        <w:lang w:val="en-US" w:eastAsia="en-US" w:bidi="ar-SA"/>
      </w:rPr>
    </w:lvl>
    <w:lvl w:ilvl="6" w:tplc="FFFFFFFF">
      <w:numFmt w:val="bullet"/>
      <w:lvlText w:val="•"/>
      <w:lvlJc w:val="left"/>
      <w:pPr>
        <w:ind w:left="7863" w:hanging="360"/>
      </w:pPr>
      <w:rPr>
        <w:rFonts w:hint="default"/>
        <w:lang w:val="en-US" w:eastAsia="en-US" w:bidi="ar-SA"/>
      </w:rPr>
    </w:lvl>
    <w:lvl w:ilvl="7" w:tplc="FFFFFFFF">
      <w:numFmt w:val="bullet"/>
      <w:lvlText w:val="•"/>
      <w:lvlJc w:val="left"/>
      <w:pPr>
        <w:ind w:left="8873" w:hanging="360"/>
      </w:pPr>
      <w:rPr>
        <w:rFonts w:hint="default"/>
        <w:lang w:val="en-US" w:eastAsia="en-US" w:bidi="ar-SA"/>
      </w:rPr>
    </w:lvl>
    <w:lvl w:ilvl="8" w:tplc="FFFFFFFF">
      <w:numFmt w:val="bullet"/>
      <w:lvlText w:val="•"/>
      <w:lvlJc w:val="left"/>
      <w:pPr>
        <w:ind w:left="9884" w:hanging="360"/>
      </w:pPr>
      <w:rPr>
        <w:rFonts w:hint="default"/>
        <w:lang w:val="en-US" w:eastAsia="en-US" w:bidi="ar-SA"/>
      </w:rPr>
    </w:lvl>
  </w:abstractNum>
  <w:abstractNum w:abstractNumId="27" w15:restartNumberingAfterBreak="0">
    <w:nsid w:val="3EA16B77"/>
    <w:multiLevelType w:val="hybridMultilevel"/>
    <w:tmpl w:val="05D296F6"/>
    <w:lvl w:ilvl="0" w:tplc="D2E2D622">
      <w:start w:val="1"/>
      <w:numFmt w:val="decimal"/>
      <w:lvlText w:val="%1."/>
      <w:lvlJc w:val="left"/>
      <w:pPr>
        <w:ind w:left="1800" w:hanging="360"/>
      </w:pPr>
      <w:rPr>
        <w:rFonts w:ascii="Calibri" w:eastAsia="Calibri" w:hAnsi="Calibri" w:cs="Calibri" w:hint="default"/>
        <w:b w:val="0"/>
        <w:bCs w:val="0"/>
        <w:i w:val="0"/>
        <w:iCs w:val="0"/>
        <w:spacing w:val="0"/>
        <w:w w:val="100"/>
        <w:sz w:val="22"/>
        <w:szCs w:val="22"/>
        <w:lang w:val="en-US" w:eastAsia="en-US" w:bidi="ar-SA"/>
      </w:rPr>
    </w:lvl>
    <w:lvl w:ilvl="1" w:tplc="88CED7F2">
      <w:numFmt w:val="bullet"/>
      <w:lvlText w:val="•"/>
      <w:lvlJc w:val="left"/>
      <w:pPr>
        <w:ind w:left="2810" w:hanging="360"/>
      </w:pPr>
      <w:rPr>
        <w:rFonts w:hint="default"/>
        <w:lang w:val="en-US" w:eastAsia="en-US" w:bidi="ar-SA"/>
      </w:rPr>
    </w:lvl>
    <w:lvl w:ilvl="2" w:tplc="ED1CE20E">
      <w:numFmt w:val="bullet"/>
      <w:lvlText w:val="•"/>
      <w:lvlJc w:val="left"/>
      <w:pPr>
        <w:ind w:left="3821" w:hanging="360"/>
      </w:pPr>
      <w:rPr>
        <w:rFonts w:hint="default"/>
        <w:lang w:val="en-US" w:eastAsia="en-US" w:bidi="ar-SA"/>
      </w:rPr>
    </w:lvl>
    <w:lvl w:ilvl="3" w:tplc="DB4C6EFE">
      <w:numFmt w:val="bullet"/>
      <w:lvlText w:val="•"/>
      <w:lvlJc w:val="left"/>
      <w:pPr>
        <w:ind w:left="4831" w:hanging="360"/>
      </w:pPr>
      <w:rPr>
        <w:rFonts w:hint="default"/>
        <w:lang w:val="en-US" w:eastAsia="en-US" w:bidi="ar-SA"/>
      </w:rPr>
    </w:lvl>
    <w:lvl w:ilvl="4" w:tplc="942CE542">
      <w:numFmt w:val="bullet"/>
      <w:lvlText w:val="•"/>
      <w:lvlJc w:val="left"/>
      <w:pPr>
        <w:ind w:left="5842" w:hanging="360"/>
      </w:pPr>
      <w:rPr>
        <w:rFonts w:hint="default"/>
        <w:lang w:val="en-US" w:eastAsia="en-US" w:bidi="ar-SA"/>
      </w:rPr>
    </w:lvl>
    <w:lvl w:ilvl="5" w:tplc="9848AF8A">
      <w:numFmt w:val="bullet"/>
      <w:lvlText w:val="•"/>
      <w:lvlJc w:val="left"/>
      <w:pPr>
        <w:ind w:left="6852" w:hanging="360"/>
      </w:pPr>
      <w:rPr>
        <w:rFonts w:hint="default"/>
        <w:lang w:val="en-US" w:eastAsia="en-US" w:bidi="ar-SA"/>
      </w:rPr>
    </w:lvl>
    <w:lvl w:ilvl="6" w:tplc="E22E7E80">
      <w:numFmt w:val="bullet"/>
      <w:lvlText w:val="•"/>
      <w:lvlJc w:val="left"/>
      <w:pPr>
        <w:ind w:left="7863" w:hanging="360"/>
      </w:pPr>
      <w:rPr>
        <w:rFonts w:hint="default"/>
        <w:lang w:val="en-US" w:eastAsia="en-US" w:bidi="ar-SA"/>
      </w:rPr>
    </w:lvl>
    <w:lvl w:ilvl="7" w:tplc="5ECAE2CA">
      <w:numFmt w:val="bullet"/>
      <w:lvlText w:val="•"/>
      <w:lvlJc w:val="left"/>
      <w:pPr>
        <w:ind w:left="8873" w:hanging="360"/>
      </w:pPr>
      <w:rPr>
        <w:rFonts w:hint="default"/>
        <w:lang w:val="en-US" w:eastAsia="en-US" w:bidi="ar-SA"/>
      </w:rPr>
    </w:lvl>
    <w:lvl w:ilvl="8" w:tplc="E1D08C0C">
      <w:numFmt w:val="bullet"/>
      <w:lvlText w:val="•"/>
      <w:lvlJc w:val="left"/>
      <w:pPr>
        <w:ind w:left="9884" w:hanging="360"/>
      </w:pPr>
      <w:rPr>
        <w:rFonts w:hint="default"/>
        <w:lang w:val="en-US" w:eastAsia="en-US" w:bidi="ar-SA"/>
      </w:rPr>
    </w:lvl>
  </w:abstractNum>
  <w:abstractNum w:abstractNumId="28" w15:restartNumberingAfterBreak="0">
    <w:nsid w:val="40623502"/>
    <w:multiLevelType w:val="hybridMultilevel"/>
    <w:tmpl w:val="81A661C6"/>
    <w:lvl w:ilvl="0" w:tplc="644C176E">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46966202">
      <w:numFmt w:val="bullet"/>
      <w:lvlText w:val="•"/>
      <w:lvlJc w:val="left"/>
      <w:pPr>
        <w:ind w:left="744" w:hanging="360"/>
      </w:pPr>
      <w:rPr>
        <w:rFonts w:hint="default"/>
        <w:lang w:val="en-US" w:eastAsia="en-US" w:bidi="ar-SA"/>
      </w:rPr>
    </w:lvl>
    <w:lvl w:ilvl="2" w:tplc="70A87224">
      <w:numFmt w:val="bullet"/>
      <w:lvlText w:val="•"/>
      <w:lvlJc w:val="left"/>
      <w:pPr>
        <w:ind w:left="1029" w:hanging="360"/>
      </w:pPr>
      <w:rPr>
        <w:rFonts w:hint="default"/>
        <w:lang w:val="en-US" w:eastAsia="en-US" w:bidi="ar-SA"/>
      </w:rPr>
    </w:lvl>
    <w:lvl w:ilvl="3" w:tplc="423C43CA">
      <w:numFmt w:val="bullet"/>
      <w:lvlText w:val="•"/>
      <w:lvlJc w:val="left"/>
      <w:pPr>
        <w:ind w:left="1314" w:hanging="360"/>
      </w:pPr>
      <w:rPr>
        <w:rFonts w:hint="default"/>
        <w:lang w:val="en-US" w:eastAsia="en-US" w:bidi="ar-SA"/>
      </w:rPr>
    </w:lvl>
    <w:lvl w:ilvl="4" w:tplc="F64E9FF6">
      <w:numFmt w:val="bullet"/>
      <w:lvlText w:val="•"/>
      <w:lvlJc w:val="left"/>
      <w:pPr>
        <w:ind w:left="1598" w:hanging="360"/>
      </w:pPr>
      <w:rPr>
        <w:rFonts w:hint="default"/>
        <w:lang w:val="en-US" w:eastAsia="en-US" w:bidi="ar-SA"/>
      </w:rPr>
    </w:lvl>
    <w:lvl w:ilvl="5" w:tplc="526455CE">
      <w:numFmt w:val="bullet"/>
      <w:lvlText w:val="•"/>
      <w:lvlJc w:val="left"/>
      <w:pPr>
        <w:ind w:left="1883" w:hanging="360"/>
      </w:pPr>
      <w:rPr>
        <w:rFonts w:hint="default"/>
        <w:lang w:val="en-US" w:eastAsia="en-US" w:bidi="ar-SA"/>
      </w:rPr>
    </w:lvl>
    <w:lvl w:ilvl="6" w:tplc="11E85ECA">
      <w:numFmt w:val="bullet"/>
      <w:lvlText w:val="•"/>
      <w:lvlJc w:val="left"/>
      <w:pPr>
        <w:ind w:left="2168" w:hanging="360"/>
      </w:pPr>
      <w:rPr>
        <w:rFonts w:hint="default"/>
        <w:lang w:val="en-US" w:eastAsia="en-US" w:bidi="ar-SA"/>
      </w:rPr>
    </w:lvl>
    <w:lvl w:ilvl="7" w:tplc="CBEA8E3E">
      <w:numFmt w:val="bullet"/>
      <w:lvlText w:val="•"/>
      <w:lvlJc w:val="left"/>
      <w:pPr>
        <w:ind w:left="2452" w:hanging="360"/>
      </w:pPr>
      <w:rPr>
        <w:rFonts w:hint="default"/>
        <w:lang w:val="en-US" w:eastAsia="en-US" w:bidi="ar-SA"/>
      </w:rPr>
    </w:lvl>
    <w:lvl w:ilvl="8" w:tplc="4A04E09A">
      <w:numFmt w:val="bullet"/>
      <w:lvlText w:val="•"/>
      <w:lvlJc w:val="left"/>
      <w:pPr>
        <w:ind w:left="2737" w:hanging="360"/>
      </w:pPr>
      <w:rPr>
        <w:rFonts w:hint="default"/>
        <w:lang w:val="en-US" w:eastAsia="en-US" w:bidi="ar-SA"/>
      </w:rPr>
    </w:lvl>
  </w:abstractNum>
  <w:abstractNum w:abstractNumId="29" w15:restartNumberingAfterBreak="0">
    <w:nsid w:val="421B5916"/>
    <w:multiLevelType w:val="hybridMultilevel"/>
    <w:tmpl w:val="F94C89CE"/>
    <w:lvl w:ilvl="0" w:tplc="08865218">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FC6A27A6">
      <w:numFmt w:val="bullet"/>
      <w:lvlText w:val="•"/>
      <w:lvlJc w:val="left"/>
      <w:pPr>
        <w:ind w:left="809" w:hanging="360"/>
      </w:pPr>
      <w:rPr>
        <w:rFonts w:hint="default"/>
        <w:lang w:val="en-US" w:eastAsia="en-US" w:bidi="ar-SA"/>
      </w:rPr>
    </w:lvl>
    <w:lvl w:ilvl="2" w:tplc="8880079A">
      <w:numFmt w:val="bullet"/>
      <w:lvlText w:val="•"/>
      <w:lvlJc w:val="left"/>
      <w:pPr>
        <w:ind w:left="1158" w:hanging="360"/>
      </w:pPr>
      <w:rPr>
        <w:rFonts w:hint="default"/>
        <w:lang w:val="en-US" w:eastAsia="en-US" w:bidi="ar-SA"/>
      </w:rPr>
    </w:lvl>
    <w:lvl w:ilvl="3" w:tplc="0CEAB764">
      <w:numFmt w:val="bullet"/>
      <w:lvlText w:val="•"/>
      <w:lvlJc w:val="left"/>
      <w:pPr>
        <w:ind w:left="1507" w:hanging="360"/>
      </w:pPr>
      <w:rPr>
        <w:rFonts w:hint="default"/>
        <w:lang w:val="en-US" w:eastAsia="en-US" w:bidi="ar-SA"/>
      </w:rPr>
    </w:lvl>
    <w:lvl w:ilvl="4" w:tplc="123C0D66">
      <w:numFmt w:val="bullet"/>
      <w:lvlText w:val="•"/>
      <w:lvlJc w:val="left"/>
      <w:pPr>
        <w:ind w:left="1856" w:hanging="360"/>
      </w:pPr>
      <w:rPr>
        <w:rFonts w:hint="default"/>
        <w:lang w:val="en-US" w:eastAsia="en-US" w:bidi="ar-SA"/>
      </w:rPr>
    </w:lvl>
    <w:lvl w:ilvl="5" w:tplc="760E5C86">
      <w:numFmt w:val="bullet"/>
      <w:lvlText w:val="•"/>
      <w:lvlJc w:val="left"/>
      <w:pPr>
        <w:ind w:left="2205" w:hanging="360"/>
      </w:pPr>
      <w:rPr>
        <w:rFonts w:hint="default"/>
        <w:lang w:val="en-US" w:eastAsia="en-US" w:bidi="ar-SA"/>
      </w:rPr>
    </w:lvl>
    <w:lvl w:ilvl="6" w:tplc="EF52BF14">
      <w:numFmt w:val="bullet"/>
      <w:lvlText w:val="•"/>
      <w:lvlJc w:val="left"/>
      <w:pPr>
        <w:ind w:left="2554" w:hanging="360"/>
      </w:pPr>
      <w:rPr>
        <w:rFonts w:hint="default"/>
        <w:lang w:val="en-US" w:eastAsia="en-US" w:bidi="ar-SA"/>
      </w:rPr>
    </w:lvl>
    <w:lvl w:ilvl="7" w:tplc="F0A8132E">
      <w:numFmt w:val="bullet"/>
      <w:lvlText w:val="•"/>
      <w:lvlJc w:val="left"/>
      <w:pPr>
        <w:ind w:left="2903" w:hanging="360"/>
      </w:pPr>
      <w:rPr>
        <w:rFonts w:hint="default"/>
        <w:lang w:val="en-US" w:eastAsia="en-US" w:bidi="ar-SA"/>
      </w:rPr>
    </w:lvl>
    <w:lvl w:ilvl="8" w:tplc="3C1083E6">
      <w:numFmt w:val="bullet"/>
      <w:lvlText w:val="•"/>
      <w:lvlJc w:val="left"/>
      <w:pPr>
        <w:ind w:left="3252" w:hanging="360"/>
      </w:pPr>
      <w:rPr>
        <w:rFonts w:hint="default"/>
        <w:lang w:val="en-US" w:eastAsia="en-US" w:bidi="ar-SA"/>
      </w:rPr>
    </w:lvl>
  </w:abstractNum>
  <w:abstractNum w:abstractNumId="30" w15:restartNumberingAfterBreak="0">
    <w:nsid w:val="43793354"/>
    <w:multiLevelType w:val="multilevel"/>
    <w:tmpl w:val="CDE0834C"/>
    <w:lvl w:ilvl="0">
      <w:start w:val="1"/>
      <w:numFmt w:val="decimal"/>
      <w:lvlText w:val="%1."/>
      <w:lvlJc w:val="left"/>
      <w:pPr>
        <w:ind w:left="1800" w:hanging="360"/>
      </w:pPr>
      <w:rPr>
        <w:rFonts w:hint="default"/>
        <w:spacing w:val="-1"/>
        <w:w w:val="91"/>
        <w:lang w:val="en-US" w:eastAsia="en-US" w:bidi="ar-SA"/>
      </w:rPr>
    </w:lvl>
    <w:lvl w:ilvl="1">
      <w:start w:val="1"/>
      <w:numFmt w:val="decimal"/>
      <w:lvlText w:val="%1.%2"/>
      <w:lvlJc w:val="left"/>
      <w:pPr>
        <w:ind w:left="1440" w:hanging="360"/>
      </w:pPr>
      <w:rPr>
        <w:rFonts w:ascii="Calibri" w:eastAsia="Calibri" w:hAnsi="Calibri" w:cs="Calibri" w:hint="default"/>
        <w:b w:val="0"/>
        <w:bCs w:val="0"/>
        <w:i w:val="0"/>
        <w:iCs w:val="0"/>
        <w:spacing w:val="-1"/>
        <w:w w:val="100"/>
        <w:sz w:val="24"/>
        <w:szCs w:val="24"/>
        <w:lang w:val="en-US" w:eastAsia="en-US" w:bidi="ar-SA"/>
      </w:rPr>
    </w:lvl>
    <w:lvl w:ilvl="2">
      <w:numFmt w:val="bullet"/>
      <w:lvlText w:val="•"/>
      <w:lvlJc w:val="left"/>
      <w:pPr>
        <w:ind w:left="2922" w:hanging="360"/>
      </w:pPr>
      <w:rPr>
        <w:rFonts w:hint="default"/>
        <w:lang w:val="en-US" w:eastAsia="en-US" w:bidi="ar-SA"/>
      </w:rPr>
    </w:lvl>
    <w:lvl w:ilvl="3">
      <w:numFmt w:val="bullet"/>
      <w:lvlText w:val="•"/>
      <w:lvlJc w:val="left"/>
      <w:pPr>
        <w:ind w:left="4045" w:hanging="360"/>
      </w:pPr>
      <w:rPr>
        <w:rFonts w:hint="default"/>
        <w:lang w:val="en-US" w:eastAsia="en-US" w:bidi="ar-SA"/>
      </w:rPr>
    </w:lvl>
    <w:lvl w:ilvl="4">
      <w:numFmt w:val="bullet"/>
      <w:lvlText w:val="•"/>
      <w:lvlJc w:val="left"/>
      <w:pPr>
        <w:ind w:left="5168" w:hanging="360"/>
      </w:pPr>
      <w:rPr>
        <w:rFonts w:hint="default"/>
        <w:lang w:val="en-US" w:eastAsia="en-US" w:bidi="ar-SA"/>
      </w:rPr>
    </w:lvl>
    <w:lvl w:ilvl="5">
      <w:numFmt w:val="bullet"/>
      <w:lvlText w:val="•"/>
      <w:lvlJc w:val="left"/>
      <w:pPr>
        <w:ind w:left="6291" w:hanging="360"/>
      </w:pPr>
      <w:rPr>
        <w:rFonts w:hint="default"/>
        <w:lang w:val="en-US" w:eastAsia="en-US" w:bidi="ar-SA"/>
      </w:rPr>
    </w:lvl>
    <w:lvl w:ilvl="6">
      <w:numFmt w:val="bullet"/>
      <w:lvlText w:val="•"/>
      <w:lvlJc w:val="left"/>
      <w:pPr>
        <w:ind w:left="7414" w:hanging="360"/>
      </w:pPr>
      <w:rPr>
        <w:rFonts w:hint="default"/>
        <w:lang w:val="en-US" w:eastAsia="en-US" w:bidi="ar-SA"/>
      </w:rPr>
    </w:lvl>
    <w:lvl w:ilvl="7">
      <w:numFmt w:val="bullet"/>
      <w:lvlText w:val="•"/>
      <w:lvlJc w:val="left"/>
      <w:pPr>
        <w:ind w:left="8537" w:hanging="360"/>
      </w:pPr>
      <w:rPr>
        <w:rFonts w:hint="default"/>
        <w:lang w:val="en-US" w:eastAsia="en-US" w:bidi="ar-SA"/>
      </w:rPr>
    </w:lvl>
    <w:lvl w:ilvl="8">
      <w:numFmt w:val="bullet"/>
      <w:lvlText w:val="•"/>
      <w:lvlJc w:val="left"/>
      <w:pPr>
        <w:ind w:left="9659" w:hanging="360"/>
      </w:pPr>
      <w:rPr>
        <w:rFonts w:hint="default"/>
        <w:lang w:val="en-US" w:eastAsia="en-US" w:bidi="ar-SA"/>
      </w:rPr>
    </w:lvl>
  </w:abstractNum>
  <w:abstractNum w:abstractNumId="31" w15:restartNumberingAfterBreak="0">
    <w:nsid w:val="48A76D4E"/>
    <w:multiLevelType w:val="hybridMultilevel"/>
    <w:tmpl w:val="14C65C90"/>
    <w:lvl w:ilvl="0" w:tplc="68948E9A">
      <w:start w:val="1"/>
      <w:numFmt w:val="decimal"/>
      <w:lvlText w:val="%1."/>
      <w:lvlJc w:val="left"/>
      <w:pPr>
        <w:ind w:left="1800" w:hanging="360"/>
      </w:pPr>
      <w:rPr>
        <w:rFonts w:ascii="Calibri" w:eastAsia="Calibri" w:hAnsi="Calibri" w:cs="Calibri" w:hint="default"/>
        <w:b w:val="0"/>
        <w:bCs w:val="0"/>
        <w:i w:val="0"/>
        <w:iCs w:val="0"/>
        <w:spacing w:val="0"/>
        <w:w w:val="100"/>
        <w:sz w:val="22"/>
        <w:szCs w:val="22"/>
        <w:lang w:val="en-US" w:eastAsia="en-US" w:bidi="ar-SA"/>
      </w:rPr>
    </w:lvl>
    <w:lvl w:ilvl="1" w:tplc="11FAF598">
      <w:numFmt w:val="bullet"/>
      <w:lvlText w:val="•"/>
      <w:lvlJc w:val="left"/>
      <w:pPr>
        <w:ind w:left="2810" w:hanging="360"/>
      </w:pPr>
      <w:rPr>
        <w:rFonts w:hint="default"/>
        <w:lang w:val="en-US" w:eastAsia="en-US" w:bidi="ar-SA"/>
      </w:rPr>
    </w:lvl>
    <w:lvl w:ilvl="2" w:tplc="86D04E56">
      <w:numFmt w:val="bullet"/>
      <w:lvlText w:val="•"/>
      <w:lvlJc w:val="left"/>
      <w:pPr>
        <w:ind w:left="3821" w:hanging="360"/>
      </w:pPr>
      <w:rPr>
        <w:rFonts w:hint="default"/>
        <w:lang w:val="en-US" w:eastAsia="en-US" w:bidi="ar-SA"/>
      </w:rPr>
    </w:lvl>
    <w:lvl w:ilvl="3" w:tplc="A61AB228">
      <w:numFmt w:val="bullet"/>
      <w:lvlText w:val="•"/>
      <w:lvlJc w:val="left"/>
      <w:pPr>
        <w:ind w:left="4831" w:hanging="360"/>
      </w:pPr>
      <w:rPr>
        <w:rFonts w:hint="default"/>
        <w:lang w:val="en-US" w:eastAsia="en-US" w:bidi="ar-SA"/>
      </w:rPr>
    </w:lvl>
    <w:lvl w:ilvl="4" w:tplc="59A0BA96">
      <w:numFmt w:val="bullet"/>
      <w:lvlText w:val="•"/>
      <w:lvlJc w:val="left"/>
      <w:pPr>
        <w:ind w:left="5842" w:hanging="360"/>
      </w:pPr>
      <w:rPr>
        <w:rFonts w:hint="default"/>
        <w:lang w:val="en-US" w:eastAsia="en-US" w:bidi="ar-SA"/>
      </w:rPr>
    </w:lvl>
    <w:lvl w:ilvl="5" w:tplc="8AF20A46">
      <w:numFmt w:val="bullet"/>
      <w:lvlText w:val="•"/>
      <w:lvlJc w:val="left"/>
      <w:pPr>
        <w:ind w:left="6852" w:hanging="360"/>
      </w:pPr>
      <w:rPr>
        <w:rFonts w:hint="default"/>
        <w:lang w:val="en-US" w:eastAsia="en-US" w:bidi="ar-SA"/>
      </w:rPr>
    </w:lvl>
    <w:lvl w:ilvl="6" w:tplc="6DB0700E">
      <w:numFmt w:val="bullet"/>
      <w:lvlText w:val="•"/>
      <w:lvlJc w:val="left"/>
      <w:pPr>
        <w:ind w:left="7863" w:hanging="360"/>
      </w:pPr>
      <w:rPr>
        <w:rFonts w:hint="default"/>
        <w:lang w:val="en-US" w:eastAsia="en-US" w:bidi="ar-SA"/>
      </w:rPr>
    </w:lvl>
    <w:lvl w:ilvl="7" w:tplc="388CDC88">
      <w:numFmt w:val="bullet"/>
      <w:lvlText w:val="•"/>
      <w:lvlJc w:val="left"/>
      <w:pPr>
        <w:ind w:left="8873" w:hanging="360"/>
      </w:pPr>
      <w:rPr>
        <w:rFonts w:hint="default"/>
        <w:lang w:val="en-US" w:eastAsia="en-US" w:bidi="ar-SA"/>
      </w:rPr>
    </w:lvl>
    <w:lvl w:ilvl="8" w:tplc="FE440372">
      <w:numFmt w:val="bullet"/>
      <w:lvlText w:val="•"/>
      <w:lvlJc w:val="left"/>
      <w:pPr>
        <w:ind w:left="9884" w:hanging="360"/>
      </w:pPr>
      <w:rPr>
        <w:rFonts w:hint="default"/>
        <w:lang w:val="en-US" w:eastAsia="en-US" w:bidi="ar-SA"/>
      </w:rPr>
    </w:lvl>
  </w:abstractNum>
  <w:abstractNum w:abstractNumId="32" w15:restartNumberingAfterBreak="0">
    <w:nsid w:val="4A067F4E"/>
    <w:multiLevelType w:val="hybridMultilevel"/>
    <w:tmpl w:val="50A43BB8"/>
    <w:lvl w:ilvl="0" w:tplc="750A9492">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423676DA">
      <w:numFmt w:val="bullet"/>
      <w:lvlText w:val="•"/>
      <w:lvlJc w:val="left"/>
      <w:pPr>
        <w:ind w:left="744" w:hanging="360"/>
      </w:pPr>
      <w:rPr>
        <w:rFonts w:hint="default"/>
        <w:lang w:val="en-US" w:eastAsia="en-US" w:bidi="ar-SA"/>
      </w:rPr>
    </w:lvl>
    <w:lvl w:ilvl="2" w:tplc="288004E2">
      <w:numFmt w:val="bullet"/>
      <w:lvlText w:val="•"/>
      <w:lvlJc w:val="left"/>
      <w:pPr>
        <w:ind w:left="1029" w:hanging="360"/>
      </w:pPr>
      <w:rPr>
        <w:rFonts w:hint="default"/>
        <w:lang w:val="en-US" w:eastAsia="en-US" w:bidi="ar-SA"/>
      </w:rPr>
    </w:lvl>
    <w:lvl w:ilvl="3" w:tplc="A9DAA34E">
      <w:numFmt w:val="bullet"/>
      <w:lvlText w:val="•"/>
      <w:lvlJc w:val="left"/>
      <w:pPr>
        <w:ind w:left="1314" w:hanging="360"/>
      </w:pPr>
      <w:rPr>
        <w:rFonts w:hint="default"/>
        <w:lang w:val="en-US" w:eastAsia="en-US" w:bidi="ar-SA"/>
      </w:rPr>
    </w:lvl>
    <w:lvl w:ilvl="4" w:tplc="6CBE0D38">
      <w:numFmt w:val="bullet"/>
      <w:lvlText w:val="•"/>
      <w:lvlJc w:val="left"/>
      <w:pPr>
        <w:ind w:left="1598" w:hanging="360"/>
      </w:pPr>
      <w:rPr>
        <w:rFonts w:hint="default"/>
        <w:lang w:val="en-US" w:eastAsia="en-US" w:bidi="ar-SA"/>
      </w:rPr>
    </w:lvl>
    <w:lvl w:ilvl="5" w:tplc="A17EE0B4">
      <w:numFmt w:val="bullet"/>
      <w:lvlText w:val="•"/>
      <w:lvlJc w:val="left"/>
      <w:pPr>
        <w:ind w:left="1883" w:hanging="360"/>
      </w:pPr>
      <w:rPr>
        <w:rFonts w:hint="default"/>
        <w:lang w:val="en-US" w:eastAsia="en-US" w:bidi="ar-SA"/>
      </w:rPr>
    </w:lvl>
    <w:lvl w:ilvl="6" w:tplc="12F8FEE0">
      <w:numFmt w:val="bullet"/>
      <w:lvlText w:val="•"/>
      <w:lvlJc w:val="left"/>
      <w:pPr>
        <w:ind w:left="2168" w:hanging="360"/>
      </w:pPr>
      <w:rPr>
        <w:rFonts w:hint="default"/>
        <w:lang w:val="en-US" w:eastAsia="en-US" w:bidi="ar-SA"/>
      </w:rPr>
    </w:lvl>
    <w:lvl w:ilvl="7" w:tplc="89F619E6">
      <w:numFmt w:val="bullet"/>
      <w:lvlText w:val="•"/>
      <w:lvlJc w:val="left"/>
      <w:pPr>
        <w:ind w:left="2452" w:hanging="360"/>
      </w:pPr>
      <w:rPr>
        <w:rFonts w:hint="default"/>
        <w:lang w:val="en-US" w:eastAsia="en-US" w:bidi="ar-SA"/>
      </w:rPr>
    </w:lvl>
    <w:lvl w:ilvl="8" w:tplc="E984F1E6">
      <w:numFmt w:val="bullet"/>
      <w:lvlText w:val="•"/>
      <w:lvlJc w:val="left"/>
      <w:pPr>
        <w:ind w:left="2737" w:hanging="360"/>
      </w:pPr>
      <w:rPr>
        <w:rFonts w:hint="default"/>
        <w:lang w:val="en-US" w:eastAsia="en-US" w:bidi="ar-SA"/>
      </w:rPr>
    </w:lvl>
  </w:abstractNum>
  <w:abstractNum w:abstractNumId="33" w15:restartNumberingAfterBreak="0">
    <w:nsid w:val="4CDE1352"/>
    <w:multiLevelType w:val="hybridMultilevel"/>
    <w:tmpl w:val="BC6AE676"/>
    <w:lvl w:ilvl="0" w:tplc="F45C24B6">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9B848A74">
      <w:numFmt w:val="bullet"/>
      <w:lvlText w:val="•"/>
      <w:lvlJc w:val="left"/>
      <w:pPr>
        <w:ind w:left="851" w:hanging="360"/>
      </w:pPr>
      <w:rPr>
        <w:rFonts w:hint="default"/>
        <w:lang w:val="en-US" w:eastAsia="en-US" w:bidi="ar-SA"/>
      </w:rPr>
    </w:lvl>
    <w:lvl w:ilvl="2" w:tplc="28E44144">
      <w:numFmt w:val="bullet"/>
      <w:lvlText w:val="•"/>
      <w:lvlJc w:val="left"/>
      <w:pPr>
        <w:ind w:left="1242" w:hanging="360"/>
      </w:pPr>
      <w:rPr>
        <w:rFonts w:hint="default"/>
        <w:lang w:val="en-US" w:eastAsia="en-US" w:bidi="ar-SA"/>
      </w:rPr>
    </w:lvl>
    <w:lvl w:ilvl="3" w:tplc="587E700C">
      <w:numFmt w:val="bullet"/>
      <w:lvlText w:val="•"/>
      <w:lvlJc w:val="left"/>
      <w:pPr>
        <w:ind w:left="1633" w:hanging="360"/>
      </w:pPr>
      <w:rPr>
        <w:rFonts w:hint="default"/>
        <w:lang w:val="en-US" w:eastAsia="en-US" w:bidi="ar-SA"/>
      </w:rPr>
    </w:lvl>
    <w:lvl w:ilvl="4" w:tplc="0B761C3A">
      <w:numFmt w:val="bullet"/>
      <w:lvlText w:val="•"/>
      <w:lvlJc w:val="left"/>
      <w:pPr>
        <w:ind w:left="2025" w:hanging="360"/>
      </w:pPr>
      <w:rPr>
        <w:rFonts w:hint="default"/>
        <w:lang w:val="en-US" w:eastAsia="en-US" w:bidi="ar-SA"/>
      </w:rPr>
    </w:lvl>
    <w:lvl w:ilvl="5" w:tplc="646274AC">
      <w:numFmt w:val="bullet"/>
      <w:lvlText w:val="•"/>
      <w:lvlJc w:val="left"/>
      <w:pPr>
        <w:ind w:left="2416" w:hanging="360"/>
      </w:pPr>
      <w:rPr>
        <w:rFonts w:hint="default"/>
        <w:lang w:val="en-US" w:eastAsia="en-US" w:bidi="ar-SA"/>
      </w:rPr>
    </w:lvl>
    <w:lvl w:ilvl="6" w:tplc="4BEE4218">
      <w:numFmt w:val="bullet"/>
      <w:lvlText w:val="•"/>
      <w:lvlJc w:val="left"/>
      <w:pPr>
        <w:ind w:left="2807" w:hanging="360"/>
      </w:pPr>
      <w:rPr>
        <w:rFonts w:hint="default"/>
        <w:lang w:val="en-US" w:eastAsia="en-US" w:bidi="ar-SA"/>
      </w:rPr>
    </w:lvl>
    <w:lvl w:ilvl="7" w:tplc="036E0424">
      <w:numFmt w:val="bullet"/>
      <w:lvlText w:val="•"/>
      <w:lvlJc w:val="left"/>
      <w:pPr>
        <w:ind w:left="3199" w:hanging="360"/>
      </w:pPr>
      <w:rPr>
        <w:rFonts w:hint="default"/>
        <w:lang w:val="en-US" w:eastAsia="en-US" w:bidi="ar-SA"/>
      </w:rPr>
    </w:lvl>
    <w:lvl w:ilvl="8" w:tplc="2B54C226">
      <w:numFmt w:val="bullet"/>
      <w:lvlText w:val="•"/>
      <w:lvlJc w:val="left"/>
      <w:pPr>
        <w:ind w:left="3590" w:hanging="360"/>
      </w:pPr>
      <w:rPr>
        <w:rFonts w:hint="default"/>
        <w:lang w:val="en-US" w:eastAsia="en-US" w:bidi="ar-SA"/>
      </w:rPr>
    </w:lvl>
  </w:abstractNum>
  <w:abstractNum w:abstractNumId="34" w15:restartNumberingAfterBreak="0">
    <w:nsid w:val="4E541FED"/>
    <w:multiLevelType w:val="hybridMultilevel"/>
    <w:tmpl w:val="EBEC4C2E"/>
    <w:lvl w:ilvl="0" w:tplc="EECA5AB2">
      <w:start w:val="1"/>
      <w:numFmt w:val="decimal"/>
      <w:lvlText w:val="%1."/>
      <w:lvlJc w:val="left"/>
      <w:pPr>
        <w:ind w:left="1800" w:hanging="360"/>
      </w:pPr>
      <w:rPr>
        <w:rFonts w:ascii="Calibri" w:eastAsia="Calibri" w:hAnsi="Calibri" w:cs="Calibri" w:hint="default"/>
        <w:b w:val="0"/>
        <w:bCs w:val="0"/>
        <w:i w:val="0"/>
        <w:iCs w:val="0"/>
        <w:spacing w:val="0"/>
        <w:w w:val="100"/>
        <w:sz w:val="22"/>
        <w:szCs w:val="22"/>
        <w:lang w:val="en-US" w:eastAsia="en-US" w:bidi="ar-SA"/>
      </w:rPr>
    </w:lvl>
    <w:lvl w:ilvl="1" w:tplc="BA527E6A">
      <w:numFmt w:val="bullet"/>
      <w:lvlText w:val="•"/>
      <w:lvlJc w:val="left"/>
      <w:pPr>
        <w:ind w:left="2810" w:hanging="360"/>
      </w:pPr>
      <w:rPr>
        <w:rFonts w:hint="default"/>
        <w:lang w:val="en-US" w:eastAsia="en-US" w:bidi="ar-SA"/>
      </w:rPr>
    </w:lvl>
    <w:lvl w:ilvl="2" w:tplc="1CE84F76">
      <w:numFmt w:val="bullet"/>
      <w:lvlText w:val="•"/>
      <w:lvlJc w:val="left"/>
      <w:pPr>
        <w:ind w:left="3821" w:hanging="360"/>
      </w:pPr>
      <w:rPr>
        <w:rFonts w:hint="default"/>
        <w:lang w:val="en-US" w:eastAsia="en-US" w:bidi="ar-SA"/>
      </w:rPr>
    </w:lvl>
    <w:lvl w:ilvl="3" w:tplc="D95426A6">
      <w:numFmt w:val="bullet"/>
      <w:lvlText w:val="•"/>
      <w:lvlJc w:val="left"/>
      <w:pPr>
        <w:ind w:left="4831" w:hanging="360"/>
      </w:pPr>
      <w:rPr>
        <w:rFonts w:hint="default"/>
        <w:lang w:val="en-US" w:eastAsia="en-US" w:bidi="ar-SA"/>
      </w:rPr>
    </w:lvl>
    <w:lvl w:ilvl="4" w:tplc="2CC84688">
      <w:numFmt w:val="bullet"/>
      <w:lvlText w:val="•"/>
      <w:lvlJc w:val="left"/>
      <w:pPr>
        <w:ind w:left="5842" w:hanging="360"/>
      </w:pPr>
      <w:rPr>
        <w:rFonts w:hint="default"/>
        <w:lang w:val="en-US" w:eastAsia="en-US" w:bidi="ar-SA"/>
      </w:rPr>
    </w:lvl>
    <w:lvl w:ilvl="5" w:tplc="480E904E">
      <w:numFmt w:val="bullet"/>
      <w:lvlText w:val="•"/>
      <w:lvlJc w:val="left"/>
      <w:pPr>
        <w:ind w:left="6852" w:hanging="360"/>
      </w:pPr>
      <w:rPr>
        <w:rFonts w:hint="default"/>
        <w:lang w:val="en-US" w:eastAsia="en-US" w:bidi="ar-SA"/>
      </w:rPr>
    </w:lvl>
    <w:lvl w:ilvl="6" w:tplc="97D68094">
      <w:numFmt w:val="bullet"/>
      <w:lvlText w:val="•"/>
      <w:lvlJc w:val="left"/>
      <w:pPr>
        <w:ind w:left="7863" w:hanging="360"/>
      </w:pPr>
      <w:rPr>
        <w:rFonts w:hint="default"/>
        <w:lang w:val="en-US" w:eastAsia="en-US" w:bidi="ar-SA"/>
      </w:rPr>
    </w:lvl>
    <w:lvl w:ilvl="7" w:tplc="0BCE54F6">
      <w:numFmt w:val="bullet"/>
      <w:lvlText w:val="•"/>
      <w:lvlJc w:val="left"/>
      <w:pPr>
        <w:ind w:left="8873" w:hanging="360"/>
      </w:pPr>
      <w:rPr>
        <w:rFonts w:hint="default"/>
        <w:lang w:val="en-US" w:eastAsia="en-US" w:bidi="ar-SA"/>
      </w:rPr>
    </w:lvl>
    <w:lvl w:ilvl="8" w:tplc="C66A7796">
      <w:numFmt w:val="bullet"/>
      <w:lvlText w:val="•"/>
      <w:lvlJc w:val="left"/>
      <w:pPr>
        <w:ind w:left="9884" w:hanging="360"/>
      </w:pPr>
      <w:rPr>
        <w:rFonts w:hint="default"/>
        <w:lang w:val="en-US" w:eastAsia="en-US" w:bidi="ar-SA"/>
      </w:rPr>
    </w:lvl>
  </w:abstractNum>
  <w:abstractNum w:abstractNumId="35" w15:restartNumberingAfterBreak="0">
    <w:nsid w:val="4E542CE0"/>
    <w:multiLevelType w:val="hybridMultilevel"/>
    <w:tmpl w:val="B3E00A3C"/>
    <w:lvl w:ilvl="0" w:tplc="1194A496">
      <w:start w:val="1"/>
      <w:numFmt w:val="decimal"/>
      <w:lvlText w:val="(%1)"/>
      <w:lvlJc w:val="left"/>
      <w:pPr>
        <w:ind w:left="1440" w:hanging="322"/>
      </w:pPr>
      <w:rPr>
        <w:rFonts w:ascii="Calibri" w:eastAsia="Calibri" w:hAnsi="Calibri" w:cs="Calibri" w:hint="default"/>
        <w:b w:val="0"/>
        <w:bCs w:val="0"/>
        <w:i w:val="0"/>
        <w:iCs w:val="0"/>
        <w:spacing w:val="-1"/>
        <w:w w:val="100"/>
        <w:sz w:val="24"/>
        <w:szCs w:val="24"/>
        <w:lang w:val="en-US" w:eastAsia="en-US" w:bidi="ar-SA"/>
      </w:rPr>
    </w:lvl>
    <w:lvl w:ilvl="1" w:tplc="BACE139A">
      <w:numFmt w:val="bullet"/>
      <w:lvlText w:val="•"/>
      <w:lvlJc w:val="left"/>
      <w:pPr>
        <w:ind w:left="2486" w:hanging="322"/>
      </w:pPr>
      <w:rPr>
        <w:rFonts w:hint="default"/>
        <w:lang w:val="en-US" w:eastAsia="en-US" w:bidi="ar-SA"/>
      </w:rPr>
    </w:lvl>
    <w:lvl w:ilvl="2" w:tplc="3B442D30">
      <w:numFmt w:val="bullet"/>
      <w:lvlText w:val="•"/>
      <w:lvlJc w:val="left"/>
      <w:pPr>
        <w:ind w:left="3533" w:hanging="322"/>
      </w:pPr>
      <w:rPr>
        <w:rFonts w:hint="default"/>
        <w:lang w:val="en-US" w:eastAsia="en-US" w:bidi="ar-SA"/>
      </w:rPr>
    </w:lvl>
    <w:lvl w:ilvl="3" w:tplc="FD8A3568">
      <w:numFmt w:val="bullet"/>
      <w:lvlText w:val="•"/>
      <w:lvlJc w:val="left"/>
      <w:pPr>
        <w:ind w:left="4579" w:hanging="322"/>
      </w:pPr>
      <w:rPr>
        <w:rFonts w:hint="default"/>
        <w:lang w:val="en-US" w:eastAsia="en-US" w:bidi="ar-SA"/>
      </w:rPr>
    </w:lvl>
    <w:lvl w:ilvl="4" w:tplc="68C8569E">
      <w:numFmt w:val="bullet"/>
      <w:lvlText w:val="•"/>
      <w:lvlJc w:val="left"/>
      <w:pPr>
        <w:ind w:left="5626" w:hanging="322"/>
      </w:pPr>
      <w:rPr>
        <w:rFonts w:hint="default"/>
        <w:lang w:val="en-US" w:eastAsia="en-US" w:bidi="ar-SA"/>
      </w:rPr>
    </w:lvl>
    <w:lvl w:ilvl="5" w:tplc="4D7E7380">
      <w:numFmt w:val="bullet"/>
      <w:lvlText w:val="•"/>
      <w:lvlJc w:val="left"/>
      <w:pPr>
        <w:ind w:left="6672" w:hanging="322"/>
      </w:pPr>
      <w:rPr>
        <w:rFonts w:hint="default"/>
        <w:lang w:val="en-US" w:eastAsia="en-US" w:bidi="ar-SA"/>
      </w:rPr>
    </w:lvl>
    <w:lvl w:ilvl="6" w:tplc="7D442AC8">
      <w:numFmt w:val="bullet"/>
      <w:lvlText w:val="•"/>
      <w:lvlJc w:val="left"/>
      <w:pPr>
        <w:ind w:left="7719" w:hanging="322"/>
      </w:pPr>
      <w:rPr>
        <w:rFonts w:hint="default"/>
        <w:lang w:val="en-US" w:eastAsia="en-US" w:bidi="ar-SA"/>
      </w:rPr>
    </w:lvl>
    <w:lvl w:ilvl="7" w:tplc="82F45620">
      <w:numFmt w:val="bullet"/>
      <w:lvlText w:val="•"/>
      <w:lvlJc w:val="left"/>
      <w:pPr>
        <w:ind w:left="8765" w:hanging="322"/>
      </w:pPr>
      <w:rPr>
        <w:rFonts w:hint="default"/>
        <w:lang w:val="en-US" w:eastAsia="en-US" w:bidi="ar-SA"/>
      </w:rPr>
    </w:lvl>
    <w:lvl w:ilvl="8" w:tplc="9408882E">
      <w:numFmt w:val="bullet"/>
      <w:lvlText w:val="•"/>
      <w:lvlJc w:val="left"/>
      <w:pPr>
        <w:ind w:left="9812" w:hanging="322"/>
      </w:pPr>
      <w:rPr>
        <w:rFonts w:hint="default"/>
        <w:lang w:val="en-US" w:eastAsia="en-US" w:bidi="ar-SA"/>
      </w:rPr>
    </w:lvl>
  </w:abstractNum>
  <w:abstractNum w:abstractNumId="36" w15:restartNumberingAfterBreak="0">
    <w:nsid w:val="500B7B2F"/>
    <w:multiLevelType w:val="hybridMultilevel"/>
    <w:tmpl w:val="0ADA96B8"/>
    <w:lvl w:ilvl="0" w:tplc="B9904910">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8118F7DE">
      <w:numFmt w:val="bullet"/>
      <w:lvlText w:val="•"/>
      <w:lvlJc w:val="left"/>
      <w:pPr>
        <w:ind w:left="809" w:hanging="360"/>
      </w:pPr>
      <w:rPr>
        <w:rFonts w:hint="default"/>
        <w:lang w:val="en-US" w:eastAsia="en-US" w:bidi="ar-SA"/>
      </w:rPr>
    </w:lvl>
    <w:lvl w:ilvl="2" w:tplc="9962B6C6">
      <w:numFmt w:val="bullet"/>
      <w:lvlText w:val="•"/>
      <w:lvlJc w:val="left"/>
      <w:pPr>
        <w:ind w:left="1158" w:hanging="360"/>
      </w:pPr>
      <w:rPr>
        <w:rFonts w:hint="default"/>
        <w:lang w:val="en-US" w:eastAsia="en-US" w:bidi="ar-SA"/>
      </w:rPr>
    </w:lvl>
    <w:lvl w:ilvl="3" w:tplc="7480C71A">
      <w:numFmt w:val="bullet"/>
      <w:lvlText w:val="•"/>
      <w:lvlJc w:val="left"/>
      <w:pPr>
        <w:ind w:left="1507" w:hanging="360"/>
      </w:pPr>
      <w:rPr>
        <w:rFonts w:hint="default"/>
        <w:lang w:val="en-US" w:eastAsia="en-US" w:bidi="ar-SA"/>
      </w:rPr>
    </w:lvl>
    <w:lvl w:ilvl="4" w:tplc="E878EB0C">
      <w:numFmt w:val="bullet"/>
      <w:lvlText w:val="•"/>
      <w:lvlJc w:val="left"/>
      <w:pPr>
        <w:ind w:left="1856" w:hanging="360"/>
      </w:pPr>
      <w:rPr>
        <w:rFonts w:hint="default"/>
        <w:lang w:val="en-US" w:eastAsia="en-US" w:bidi="ar-SA"/>
      </w:rPr>
    </w:lvl>
    <w:lvl w:ilvl="5" w:tplc="B8960A06">
      <w:numFmt w:val="bullet"/>
      <w:lvlText w:val="•"/>
      <w:lvlJc w:val="left"/>
      <w:pPr>
        <w:ind w:left="2205" w:hanging="360"/>
      </w:pPr>
      <w:rPr>
        <w:rFonts w:hint="default"/>
        <w:lang w:val="en-US" w:eastAsia="en-US" w:bidi="ar-SA"/>
      </w:rPr>
    </w:lvl>
    <w:lvl w:ilvl="6" w:tplc="DD18A624">
      <w:numFmt w:val="bullet"/>
      <w:lvlText w:val="•"/>
      <w:lvlJc w:val="left"/>
      <w:pPr>
        <w:ind w:left="2554" w:hanging="360"/>
      </w:pPr>
      <w:rPr>
        <w:rFonts w:hint="default"/>
        <w:lang w:val="en-US" w:eastAsia="en-US" w:bidi="ar-SA"/>
      </w:rPr>
    </w:lvl>
    <w:lvl w:ilvl="7" w:tplc="4610223C">
      <w:numFmt w:val="bullet"/>
      <w:lvlText w:val="•"/>
      <w:lvlJc w:val="left"/>
      <w:pPr>
        <w:ind w:left="2903" w:hanging="360"/>
      </w:pPr>
      <w:rPr>
        <w:rFonts w:hint="default"/>
        <w:lang w:val="en-US" w:eastAsia="en-US" w:bidi="ar-SA"/>
      </w:rPr>
    </w:lvl>
    <w:lvl w:ilvl="8" w:tplc="B0FC43CC">
      <w:numFmt w:val="bullet"/>
      <w:lvlText w:val="•"/>
      <w:lvlJc w:val="left"/>
      <w:pPr>
        <w:ind w:left="3252" w:hanging="360"/>
      </w:pPr>
      <w:rPr>
        <w:rFonts w:hint="default"/>
        <w:lang w:val="en-US" w:eastAsia="en-US" w:bidi="ar-SA"/>
      </w:rPr>
    </w:lvl>
  </w:abstractNum>
  <w:abstractNum w:abstractNumId="37" w15:restartNumberingAfterBreak="0">
    <w:nsid w:val="51156BB5"/>
    <w:multiLevelType w:val="hybridMultilevel"/>
    <w:tmpl w:val="87960030"/>
    <w:lvl w:ilvl="0" w:tplc="788048BC">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A844B55E">
      <w:numFmt w:val="bullet"/>
      <w:lvlText w:val="•"/>
      <w:lvlJc w:val="left"/>
      <w:pPr>
        <w:ind w:left="744" w:hanging="360"/>
      </w:pPr>
      <w:rPr>
        <w:rFonts w:hint="default"/>
        <w:lang w:val="en-US" w:eastAsia="en-US" w:bidi="ar-SA"/>
      </w:rPr>
    </w:lvl>
    <w:lvl w:ilvl="2" w:tplc="67082C7E">
      <w:numFmt w:val="bullet"/>
      <w:lvlText w:val="•"/>
      <w:lvlJc w:val="left"/>
      <w:pPr>
        <w:ind w:left="1029" w:hanging="360"/>
      </w:pPr>
      <w:rPr>
        <w:rFonts w:hint="default"/>
        <w:lang w:val="en-US" w:eastAsia="en-US" w:bidi="ar-SA"/>
      </w:rPr>
    </w:lvl>
    <w:lvl w:ilvl="3" w:tplc="55C85D08">
      <w:numFmt w:val="bullet"/>
      <w:lvlText w:val="•"/>
      <w:lvlJc w:val="left"/>
      <w:pPr>
        <w:ind w:left="1314" w:hanging="360"/>
      </w:pPr>
      <w:rPr>
        <w:rFonts w:hint="default"/>
        <w:lang w:val="en-US" w:eastAsia="en-US" w:bidi="ar-SA"/>
      </w:rPr>
    </w:lvl>
    <w:lvl w:ilvl="4" w:tplc="58984F78">
      <w:numFmt w:val="bullet"/>
      <w:lvlText w:val="•"/>
      <w:lvlJc w:val="left"/>
      <w:pPr>
        <w:ind w:left="1598" w:hanging="360"/>
      </w:pPr>
      <w:rPr>
        <w:rFonts w:hint="default"/>
        <w:lang w:val="en-US" w:eastAsia="en-US" w:bidi="ar-SA"/>
      </w:rPr>
    </w:lvl>
    <w:lvl w:ilvl="5" w:tplc="1FB027BC">
      <w:numFmt w:val="bullet"/>
      <w:lvlText w:val="•"/>
      <w:lvlJc w:val="left"/>
      <w:pPr>
        <w:ind w:left="1883" w:hanging="360"/>
      </w:pPr>
      <w:rPr>
        <w:rFonts w:hint="default"/>
        <w:lang w:val="en-US" w:eastAsia="en-US" w:bidi="ar-SA"/>
      </w:rPr>
    </w:lvl>
    <w:lvl w:ilvl="6" w:tplc="B1FA73D4">
      <w:numFmt w:val="bullet"/>
      <w:lvlText w:val="•"/>
      <w:lvlJc w:val="left"/>
      <w:pPr>
        <w:ind w:left="2168" w:hanging="360"/>
      </w:pPr>
      <w:rPr>
        <w:rFonts w:hint="default"/>
        <w:lang w:val="en-US" w:eastAsia="en-US" w:bidi="ar-SA"/>
      </w:rPr>
    </w:lvl>
    <w:lvl w:ilvl="7" w:tplc="1938E6DE">
      <w:numFmt w:val="bullet"/>
      <w:lvlText w:val="•"/>
      <w:lvlJc w:val="left"/>
      <w:pPr>
        <w:ind w:left="2452" w:hanging="360"/>
      </w:pPr>
      <w:rPr>
        <w:rFonts w:hint="default"/>
        <w:lang w:val="en-US" w:eastAsia="en-US" w:bidi="ar-SA"/>
      </w:rPr>
    </w:lvl>
    <w:lvl w:ilvl="8" w:tplc="71CAEB60">
      <w:numFmt w:val="bullet"/>
      <w:lvlText w:val="•"/>
      <w:lvlJc w:val="left"/>
      <w:pPr>
        <w:ind w:left="2737" w:hanging="360"/>
      </w:pPr>
      <w:rPr>
        <w:rFonts w:hint="default"/>
        <w:lang w:val="en-US" w:eastAsia="en-US" w:bidi="ar-SA"/>
      </w:rPr>
    </w:lvl>
  </w:abstractNum>
  <w:abstractNum w:abstractNumId="38" w15:restartNumberingAfterBreak="0">
    <w:nsid w:val="52BD7055"/>
    <w:multiLevelType w:val="hybridMultilevel"/>
    <w:tmpl w:val="7B8C2DB0"/>
    <w:lvl w:ilvl="0" w:tplc="3B628BC8">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1338ACAA">
      <w:numFmt w:val="bullet"/>
      <w:lvlText w:val="•"/>
      <w:lvlJc w:val="left"/>
      <w:pPr>
        <w:ind w:left="744" w:hanging="360"/>
      </w:pPr>
      <w:rPr>
        <w:rFonts w:hint="default"/>
        <w:lang w:val="en-US" w:eastAsia="en-US" w:bidi="ar-SA"/>
      </w:rPr>
    </w:lvl>
    <w:lvl w:ilvl="2" w:tplc="8CDA2E70">
      <w:numFmt w:val="bullet"/>
      <w:lvlText w:val="•"/>
      <w:lvlJc w:val="left"/>
      <w:pPr>
        <w:ind w:left="1029" w:hanging="360"/>
      </w:pPr>
      <w:rPr>
        <w:rFonts w:hint="default"/>
        <w:lang w:val="en-US" w:eastAsia="en-US" w:bidi="ar-SA"/>
      </w:rPr>
    </w:lvl>
    <w:lvl w:ilvl="3" w:tplc="EB5006EE">
      <w:numFmt w:val="bullet"/>
      <w:lvlText w:val="•"/>
      <w:lvlJc w:val="left"/>
      <w:pPr>
        <w:ind w:left="1314" w:hanging="360"/>
      </w:pPr>
      <w:rPr>
        <w:rFonts w:hint="default"/>
        <w:lang w:val="en-US" w:eastAsia="en-US" w:bidi="ar-SA"/>
      </w:rPr>
    </w:lvl>
    <w:lvl w:ilvl="4" w:tplc="52D2CCE6">
      <w:numFmt w:val="bullet"/>
      <w:lvlText w:val="•"/>
      <w:lvlJc w:val="left"/>
      <w:pPr>
        <w:ind w:left="1598" w:hanging="360"/>
      </w:pPr>
      <w:rPr>
        <w:rFonts w:hint="default"/>
        <w:lang w:val="en-US" w:eastAsia="en-US" w:bidi="ar-SA"/>
      </w:rPr>
    </w:lvl>
    <w:lvl w:ilvl="5" w:tplc="11D216B4">
      <w:numFmt w:val="bullet"/>
      <w:lvlText w:val="•"/>
      <w:lvlJc w:val="left"/>
      <w:pPr>
        <w:ind w:left="1883" w:hanging="360"/>
      </w:pPr>
      <w:rPr>
        <w:rFonts w:hint="default"/>
        <w:lang w:val="en-US" w:eastAsia="en-US" w:bidi="ar-SA"/>
      </w:rPr>
    </w:lvl>
    <w:lvl w:ilvl="6" w:tplc="416C5196">
      <w:numFmt w:val="bullet"/>
      <w:lvlText w:val="•"/>
      <w:lvlJc w:val="left"/>
      <w:pPr>
        <w:ind w:left="2168" w:hanging="360"/>
      </w:pPr>
      <w:rPr>
        <w:rFonts w:hint="default"/>
        <w:lang w:val="en-US" w:eastAsia="en-US" w:bidi="ar-SA"/>
      </w:rPr>
    </w:lvl>
    <w:lvl w:ilvl="7" w:tplc="49047C06">
      <w:numFmt w:val="bullet"/>
      <w:lvlText w:val="•"/>
      <w:lvlJc w:val="left"/>
      <w:pPr>
        <w:ind w:left="2452" w:hanging="360"/>
      </w:pPr>
      <w:rPr>
        <w:rFonts w:hint="default"/>
        <w:lang w:val="en-US" w:eastAsia="en-US" w:bidi="ar-SA"/>
      </w:rPr>
    </w:lvl>
    <w:lvl w:ilvl="8" w:tplc="7FF68606">
      <w:numFmt w:val="bullet"/>
      <w:lvlText w:val="•"/>
      <w:lvlJc w:val="left"/>
      <w:pPr>
        <w:ind w:left="2737" w:hanging="360"/>
      </w:pPr>
      <w:rPr>
        <w:rFonts w:hint="default"/>
        <w:lang w:val="en-US" w:eastAsia="en-US" w:bidi="ar-SA"/>
      </w:rPr>
    </w:lvl>
  </w:abstractNum>
  <w:abstractNum w:abstractNumId="39" w15:restartNumberingAfterBreak="0">
    <w:nsid w:val="5839577E"/>
    <w:multiLevelType w:val="hybridMultilevel"/>
    <w:tmpl w:val="642EB93E"/>
    <w:lvl w:ilvl="0" w:tplc="39A6F852">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EEC6B11C">
      <w:numFmt w:val="bullet"/>
      <w:lvlText w:val="•"/>
      <w:lvlJc w:val="left"/>
      <w:pPr>
        <w:ind w:left="851" w:hanging="360"/>
      </w:pPr>
      <w:rPr>
        <w:rFonts w:hint="default"/>
        <w:lang w:val="en-US" w:eastAsia="en-US" w:bidi="ar-SA"/>
      </w:rPr>
    </w:lvl>
    <w:lvl w:ilvl="2" w:tplc="36EC76BA">
      <w:numFmt w:val="bullet"/>
      <w:lvlText w:val="•"/>
      <w:lvlJc w:val="left"/>
      <w:pPr>
        <w:ind w:left="1242" w:hanging="360"/>
      </w:pPr>
      <w:rPr>
        <w:rFonts w:hint="default"/>
        <w:lang w:val="en-US" w:eastAsia="en-US" w:bidi="ar-SA"/>
      </w:rPr>
    </w:lvl>
    <w:lvl w:ilvl="3" w:tplc="2722B340">
      <w:numFmt w:val="bullet"/>
      <w:lvlText w:val="•"/>
      <w:lvlJc w:val="left"/>
      <w:pPr>
        <w:ind w:left="1633" w:hanging="360"/>
      </w:pPr>
      <w:rPr>
        <w:rFonts w:hint="default"/>
        <w:lang w:val="en-US" w:eastAsia="en-US" w:bidi="ar-SA"/>
      </w:rPr>
    </w:lvl>
    <w:lvl w:ilvl="4" w:tplc="422AD010">
      <w:numFmt w:val="bullet"/>
      <w:lvlText w:val="•"/>
      <w:lvlJc w:val="left"/>
      <w:pPr>
        <w:ind w:left="2025" w:hanging="360"/>
      </w:pPr>
      <w:rPr>
        <w:rFonts w:hint="default"/>
        <w:lang w:val="en-US" w:eastAsia="en-US" w:bidi="ar-SA"/>
      </w:rPr>
    </w:lvl>
    <w:lvl w:ilvl="5" w:tplc="819E127C">
      <w:numFmt w:val="bullet"/>
      <w:lvlText w:val="•"/>
      <w:lvlJc w:val="left"/>
      <w:pPr>
        <w:ind w:left="2416" w:hanging="360"/>
      </w:pPr>
      <w:rPr>
        <w:rFonts w:hint="default"/>
        <w:lang w:val="en-US" w:eastAsia="en-US" w:bidi="ar-SA"/>
      </w:rPr>
    </w:lvl>
    <w:lvl w:ilvl="6" w:tplc="6FFED5E8">
      <w:numFmt w:val="bullet"/>
      <w:lvlText w:val="•"/>
      <w:lvlJc w:val="left"/>
      <w:pPr>
        <w:ind w:left="2807" w:hanging="360"/>
      </w:pPr>
      <w:rPr>
        <w:rFonts w:hint="default"/>
        <w:lang w:val="en-US" w:eastAsia="en-US" w:bidi="ar-SA"/>
      </w:rPr>
    </w:lvl>
    <w:lvl w:ilvl="7" w:tplc="B9D4AAF8">
      <w:numFmt w:val="bullet"/>
      <w:lvlText w:val="•"/>
      <w:lvlJc w:val="left"/>
      <w:pPr>
        <w:ind w:left="3199" w:hanging="360"/>
      </w:pPr>
      <w:rPr>
        <w:rFonts w:hint="default"/>
        <w:lang w:val="en-US" w:eastAsia="en-US" w:bidi="ar-SA"/>
      </w:rPr>
    </w:lvl>
    <w:lvl w:ilvl="8" w:tplc="987EBD36">
      <w:numFmt w:val="bullet"/>
      <w:lvlText w:val="•"/>
      <w:lvlJc w:val="left"/>
      <w:pPr>
        <w:ind w:left="3590" w:hanging="360"/>
      </w:pPr>
      <w:rPr>
        <w:rFonts w:hint="default"/>
        <w:lang w:val="en-US" w:eastAsia="en-US" w:bidi="ar-SA"/>
      </w:rPr>
    </w:lvl>
  </w:abstractNum>
  <w:abstractNum w:abstractNumId="40" w15:restartNumberingAfterBreak="0">
    <w:nsid w:val="5B1C130A"/>
    <w:multiLevelType w:val="hybridMultilevel"/>
    <w:tmpl w:val="1982D764"/>
    <w:lvl w:ilvl="0" w:tplc="B78ACACA">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31DE6948">
      <w:numFmt w:val="bullet"/>
      <w:lvlText w:val="•"/>
      <w:lvlJc w:val="left"/>
      <w:pPr>
        <w:ind w:left="744" w:hanging="360"/>
      </w:pPr>
      <w:rPr>
        <w:rFonts w:hint="default"/>
        <w:lang w:val="en-US" w:eastAsia="en-US" w:bidi="ar-SA"/>
      </w:rPr>
    </w:lvl>
    <w:lvl w:ilvl="2" w:tplc="4C3C1DB2">
      <w:numFmt w:val="bullet"/>
      <w:lvlText w:val="•"/>
      <w:lvlJc w:val="left"/>
      <w:pPr>
        <w:ind w:left="1029" w:hanging="360"/>
      </w:pPr>
      <w:rPr>
        <w:rFonts w:hint="default"/>
        <w:lang w:val="en-US" w:eastAsia="en-US" w:bidi="ar-SA"/>
      </w:rPr>
    </w:lvl>
    <w:lvl w:ilvl="3" w:tplc="A5146882">
      <w:numFmt w:val="bullet"/>
      <w:lvlText w:val="•"/>
      <w:lvlJc w:val="left"/>
      <w:pPr>
        <w:ind w:left="1314" w:hanging="360"/>
      </w:pPr>
      <w:rPr>
        <w:rFonts w:hint="default"/>
        <w:lang w:val="en-US" w:eastAsia="en-US" w:bidi="ar-SA"/>
      </w:rPr>
    </w:lvl>
    <w:lvl w:ilvl="4" w:tplc="BA668DA2">
      <w:numFmt w:val="bullet"/>
      <w:lvlText w:val="•"/>
      <w:lvlJc w:val="left"/>
      <w:pPr>
        <w:ind w:left="1598" w:hanging="360"/>
      </w:pPr>
      <w:rPr>
        <w:rFonts w:hint="default"/>
        <w:lang w:val="en-US" w:eastAsia="en-US" w:bidi="ar-SA"/>
      </w:rPr>
    </w:lvl>
    <w:lvl w:ilvl="5" w:tplc="1F428068">
      <w:numFmt w:val="bullet"/>
      <w:lvlText w:val="•"/>
      <w:lvlJc w:val="left"/>
      <w:pPr>
        <w:ind w:left="1883" w:hanging="360"/>
      </w:pPr>
      <w:rPr>
        <w:rFonts w:hint="default"/>
        <w:lang w:val="en-US" w:eastAsia="en-US" w:bidi="ar-SA"/>
      </w:rPr>
    </w:lvl>
    <w:lvl w:ilvl="6" w:tplc="ABF2D2A0">
      <w:numFmt w:val="bullet"/>
      <w:lvlText w:val="•"/>
      <w:lvlJc w:val="left"/>
      <w:pPr>
        <w:ind w:left="2168" w:hanging="360"/>
      </w:pPr>
      <w:rPr>
        <w:rFonts w:hint="default"/>
        <w:lang w:val="en-US" w:eastAsia="en-US" w:bidi="ar-SA"/>
      </w:rPr>
    </w:lvl>
    <w:lvl w:ilvl="7" w:tplc="E20CA59C">
      <w:numFmt w:val="bullet"/>
      <w:lvlText w:val="•"/>
      <w:lvlJc w:val="left"/>
      <w:pPr>
        <w:ind w:left="2452" w:hanging="360"/>
      </w:pPr>
      <w:rPr>
        <w:rFonts w:hint="default"/>
        <w:lang w:val="en-US" w:eastAsia="en-US" w:bidi="ar-SA"/>
      </w:rPr>
    </w:lvl>
    <w:lvl w:ilvl="8" w:tplc="F33CCF20">
      <w:numFmt w:val="bullet"/>
      <w:lvlText w:val="•"/>
      <w:lvlJc w:val="left"/>
      <w:pPr>
        <w:ind w:left="2737" w:hanging="360"/>
      </w:pPr>
      <w:rPr>
        <w:rFonts w:hint="default"/>
        <w:lang w:val="en-US" w:eastAsia="en-US" w:bidi="ar-SA"/>
      </w:rPr>
    </w:lvl>
  </w:abstractNum>
  <w:abstractNum w:abstractNumId="41" w15:restartNumberingAfterBreak="0">
    <w:nsid w:val="5D206291"/>
    <w:multiLevelType w:val="hybridMultilevel"/>
    <w:tmpl w:val="2D50CCEE"/>
    <w:lvl w:ilvl="0" w:tplc="83B2CBFC">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F9A4B3C0">
      <w:numFmt w:val="bullet"/>
      <w:lvlText w:val="•"/>
      <w:lvlJc w:val="left"/>
      <w:pPr>
        <w:ind w:left="744" w:hanging="360"/>
      </w:pPr>
      <w:rPr>
        <w:rFonts w:hint="default"/>
        <w:lang w:val="en-US" w:eastAsia="en-US" w:bidi="ar-SA"/>
      </w:rPr>
    </w:lvl>
    <w:lvl w:ilvl="2" w:tplc="402AF698">
      <w:numFmt w:val="bullet"/>
      <w:lvlText w:val="•"/>
      <w:lvlJc w:val="left"/>
      <w:pPr>
        <w:ind w:left="1029" w:hanging="360"/>
      </w:pPr>
      <w:rPr>
        <w:rFonts w:hint="default"/>
        <w:lang w:val="en-US" w:eastAsia="en-US" w:bidi="ar-SA"/>
      </w:rPr>
    </w:lvl>
    <w:lvl w:ilvl="3" w:tplc="E5B608B4">
      <w:numFmt w:val="bullet"/>
      <w:lvlText w:val="•"/>
      <w:lvlJc w:val="left"/>
      <w:pPr>
        <w:ind w:left="1314" w:hanging="360"/>
      </w:pPr>
      <w:rPr>
        <w:rFonts w:hint="default"/>
        <w:lang w:val="en-US" w:eastAsia="en-US" w:bidi="ar-SA"/>
      </w:rPr>
    </w:lvl>
    <w:lvl w:ilvl="4" w:tplc="660E922A">
      <w:numFmt w:val="bullet"/>
      <w:lvlText w:val="•"/>
      <w:lvlJc w:val="left"/>
      <w:pPr>
        <w:ind w:left="1598" w:hanging="360"/>
      </w:pPr>
      <w:rPr>
        <w:rFonts w:hint="default"/>
        <w:lang w:val="en-US" w:eastAsia="en-US" w:bidi="ar-SA"/>
      </w:rPr>
    </w:lvl>
    <w:lvl w:ilvl="5" w:tplc="0334305C">
      <w:numFmt w:val="bullet"/>
      <w:lvlText w:val="•"/>
      <w:lvlJc w:val="left"/>
      <w:pPr>
        <w:ind w:left="1883" w:hanging="360"/>
      </w:pPr>
      <w:rPr>
        <w:rFonts w:hint="default"/>
        <w:lang w:val="en-US" w:eastAsia="en-US" w:bidi="ar-SA"/>
      </w:rPr>
    </w:lvl>
    <w:lvl w:ilvl="6" w:tplc="ACA0F7B4">
      <w:numFmt w:val="bullet"/>
      <w:lvlText w:val="•"/>
      <w:lvlJc w:val="left"/>
      <w:pPr>
        <w:ind w:left="2168" w:hanging="360"/>
      </w:pPr>
      <w:rPr>
        <w:rFonts w:hint="default"/>
        <w:lang w:val="en-US" w:eastAsia="en-US" w:bidi="ar-SA"/>
      </w:rPr>
    </w:lvl>
    <w:lvl w:ilvl="7" w:tplc="469662B2">
      <w:numFmt w:val="bullet"/>
      <w:lvlText w:val="•"/>
      <w:lvlJc w:val="left"/>
      <w:pPr>
        <w:ind w:left="2452" w:hanging="360"/>
      </w:pPr>
      <w:rPr>
        <w:rFonts w:hint="default"/>
        <w:lang w:val="en-US" w:eastAsia="en-US" w:bidi="ar-SA"/>
      </w:rPr>
    </w:lvl>
    <w:lvl w:ilvl="8" w:tplc="B0705DF8">
      <w:numFmt w:val="bullet"/>
      <w:lvlText w:val="•"/>
      <w:lvlJc w:val="left"/>
      <w:pPr>
        <w:ind w:left="2737" w:hanging="360"/>
      </w:pPr>
      <w:rPr>
        <w:rFonts w:hint="default"/>
        <w:lang w:val="en-US" w:eastAsia="en-US" w:bidi="ar-SA"/>
      </w:rPr>
    </w:lvl>
  </w:abstractNum>
  <w:abstractNum w:abstractNumId="42" w15:restartNumberingAfterBreak="0">
    <w:nsid w:val="5D597121"/>
    <w:multiLevelType w:val="hybridMultilevel"/>
    <w:tmpl w:val="8AA8F594"/>
    <w:lvl w:ilvl="0" w:tplc="CCB260B2">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00AE8BF4">
      <w:numFmt w:val="bullet"/>
      <w:lvlText w:val="•"/>
      <w:lvlJc w:val="left"/>
      <w:pPr>
        <w:ind w:left="786" w:hanging="360"/>
      </w:pPr>
      <w:rPr>
        <w:rFonts w:hint="default"/>
        <w:lang w:val="en-US" w:eastAsia="en-US" w:bidi="ar-SA"/>
      </w:rPr>
    </w:lvl>
    <w:lvl w:ilvl="2" w:tplc="A3C68CAC">
      <w:numFmt w:val="bullet"/>
      <w:lvlText w:val="•"/>
      <w:lvlJc w:val="left"/>
      <w:pPr>
        <w:ind w:left="1113" w:hanging="360"/>
      </w:pPr>
      <w:rPr>
        <w:rFonts w:hint="default"/>
        <w:lang w:val="en-US" w:eastAsia="en-US" w:bidi="ar-SA"/>
      </w:rPr>
    </w:lvl>
    <w:lvl w:ilvl="3" w:tplc="4126B13E">
      <w:numFmt w:val="bullet"/>
      <w:lvlText w:val="•"/>
      <w:lvlJc w:val="left"/>
      <w:pPr>
        <w:ind w:left="1440" w:hanging="360"/>
      </w:pPr>
      <w:rPr>
        <w:rFonts w:hint="default"/>
        <w:lang w:val="en-US" w:eastAsia="en-US" w:bidi="ar-SA"/>
      </w:rPr>
    </w:lvl>
    <w:lvl w:ilvl="4" w:tplc="1BCE36D8">
      <w:numFmt w:val="bullet"/>
      <w:lvlText w:val="•"/>
      <w:lvlJc w:val="left"/>
      <w:pPr>
        <w:ind w:left="1766" w:hanging="360"/>
      </w:pPr>
      <w:rPr>
        <w:rFonts w:hint="default"/>
        <w:lang w:val="en-US" w:eastAsia="en-US" w:bidi="ar-SA"/>
      </w:rPr>
    </w:lvl>
    <w:lvl w:ilvl="5" w:tplc="5FA6FFEC">
      <w:numFmt w:val="bullet"/>
      <w:lvlText w:val="•"/>
      <w:lvlJc w:val="left"/>
      <w:pPr>
        <w:ind w:left="2093" w:hanging="360"/>
      </w:pPr>
      <w:rPr>
        <w:rFonts w:hint="default"/>
        <w:lang w:val="en-US" w:eastAsia="en-US" w:bidi="ar-SA"/>
      </w:rPr>
    </w:lvl>
    <w:lvl w:ilvl="6" w:tplc="CB8EB046">
      <w:numFmt w:val="bullet"/>
      <w:lvlText w:val="•"/>
      <w:lvlJc w:val="left"/>
      <w:pPr>
        <w:ind w:left="2420" w:hanging="360"/>
      </w:pPr>
      <w:rPr>
        <w:rFonts w:hint="default"/>
        <w:lang w:val="en-US" w:eastAsia="en-US" w:bidi="ar-SA"/>
      </w:rPr>
    </w:lvl>
    <w:lvl w:ilvl="7" w:tplc="0A640A00">
      <w:numFmt w:val="bullet"/>
      <w:lvlText w:val="•"/>
      <w:lvlJc w:val="left"/>
      <w:pPr>
        <w:ind w:left="2746" w:hanging="360"/>
      </w:pPr>
      <w:rPr>
        <w:rFonts w:hint="default"/>
        <w:lang w:val="en-US" w:eastAsia="en-US" w:bidi="ar-SA"/>
      </w:rPr>
    </w:lvl>
    <w:lvl w:ilvl="8" w:tplc="DE1C874E">
      <w:numFmt w:val="bullet"/>
      <w:lvlText w:val="•"/>
      <w:lvlJc w:val="left"/>
      <w:pPr>
        <w:ind w:left="3073" w:hanging="360"/>
      </w:pPr>
      <w:rPr>
        <w:rFonts w:hint="default"/>
        <w:lang w:val="en-US" w:eastAsia="en-US" w:bidi="ar-SA"/>
      </w:rPr>
    </w:lvl>
  </w:abstractNum>
  <w:abstractNum w:abstractNumId="43" w15:restartNumberingAfterBreak="0">
    <w:nsid w:val="60B37A27"/>
    <w:multiLevelType w:val="hybridMultilevel"/>
    <w:tmpl w:val="10BA047C"/>
    <w:lvl w:ilvl="0" w:tplc="71DEDFB0">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ED44066A">
      <w:numFmt w:val="bullet"/>
      <w:lvlText w:val="•"/>
      <w:lvlJc w:val="left"/>
      <w:pPr>
        <w:ind w:left="851" w:hanging="360"/>
      </w:pPr>
      <w:rPr>
        <w:rFonts w:hint="default"/>
        <w:lang w:val="en-US" w:eastAsia="en-US" w:bidi="ar-SA"/>
      </w:rPr>
    </w:lvl>
    <w:lvl w:ilvl="2" w:tplc="76E6E226">
      <w:numFmt w:val="bullet"/>
      <w:lvlText w:val="•"/>
      <w:lvlJc w:val="left"/>
      <w:pPr>
        <w:ind w:left="1242" w:hanging="360"/>
      </w:pPr>
      <w:rPr>
        <w:rFonts w:hint="default"/>
        <w:lang w:val="en-US" w:eastAsia="en-US" w:bidi="ar-SA"/>
      </w:rPr>
    </w:lvl>
    <w:lvl w:ilvl="3" w:tplc="64E04A0E">
      <w:numFmt w:val="bullet"/>
      <w:lvlText w:val="•"/>
      <w:lvlJc w:val="left"/>
      <w:pPr>
        <w:ind w:left="1633" w:hanging="360"/>
      </w:pPr>
      <w:rPr>
        <w:rFonts w:hint="default"/>
        <w:lang w:val="en-US" w:eastAsia="en-US" w:bidi="ar-SA"/>
      </w:rPr>
    </w:lvl>
    <w:lvl w:ilvl="4" w:tplc="804EAF3C">
      <w:numFmt w:val="bullet"/>
      <w:lvlText w:val="•"/>
      <w:lvlJc w:val="left"/>
      <w:pPr>
        <w:ind w:left="2025" w:hanging="360"/>
      </w:pPr>
      <w:rPr>
        <w:rFonts w:hint="default"/>
        <w:lang w:val="en-US" w:eastAsia="en-US" w:bidi="ar-SA"/>
      </w:rPr>
    </w:lvl>
    <w:lvl w:ilvl="5" w:tplc="0F72DDB2">
      <w:numFmt w:val="bullet"/>
      <w:lvlText w:val="•"/>
      <w:lvlJc w:val="left"/>
      <w:pPr>
        <w:ind w:left="2416" w:hanging="360"/>
      </w:pPr>
      <w:rPr>
        <w:rFonts w:hint="default"/>
        <w:lang w:val="en-US" w:eastAsia="en-US" w:bidi="ar-SA"/>
      </w:rPr>
    </w:lvl>
    <w:lvl w:ilvl="6" w:tplc="875A1296">
      <w:numFmt w:val="bullet"/>
      <w:lvlText w:val="•"/>
      <w:lvlJc w:val="left"/>
      <w:pPr>
        <w:ind w:left="2807" w:hanging="360"/>
      </w:pPr>
      <w:rPr>
        <w:rFonts w:hint="default"/>
        <w:lang w:val="en-US" w:eastAsia="en-US" w:bidi="ar-SA"/>
      </w:rPr>
    </w:lvl>
    <w:lvl w:ilvl="7" w:tplc="60064C58">
      <w:numFmt w:val="bullet"/>
      <w:lvlText w:val="•"/>
      <w:lvlJc w:val="left"/>
      <w:pPr>
        <w:ind w:left="3199" w:hanging="360"/>
      </w:pPr>
      <w:rPr>
        <w:rFonts w:hint="default"/>
        <w:lang w:val="en-US" w:eastAsia="en-US" w:bidi="ar-SA"/>
      </w:rPr>
    </w:lvl>
    <w:lvl w:ilvl="8" w:tplc="3740FB7A">
      <w:numFmt w:val="bullet"/>
      <w:lvlText w:val="•"/>
      <w:lvlJc w:val="left"/>
      <w:pPr>
        <w:ind w:left="3590" w:hanging="360"/>
      </w:pPr>
      <w:rPr>
        <w:rFonts w:hint="default"/>
        <w:lang w:val="en-US" w:eastAsia="en-US" w:bidi="ar-SA"/>
      </w:rPr>
    </w:lvl>
  </w:abstractNum>
  <w:abstractNum w:abstractNumId="44" w15:restartNumberingAfterBreak="0">
    <w:nsid w:val="62B2182B"/>
    <w:multiLevelType w:val="hybridMultilevel"/>
    <w:tmpl w:val="A322E7DE"/>
    <w:lvl w:ilvl="0" w:tplc="E36EB2F6">
      <w:start w:val="1"/>
      <w:numFmt w:val="lowerLetter"/>
      <w:lvlText w:val="%1)"/>
      <w:lvlJc w:val="left"/>
      <w:pPr>
        <w:ind w:left="1440" w:hanging="242"/>
      </w:pPr>
      <w:rPr>
        <w:rFonts w:hint="default"/>
        <w:spacing w:val="-1"/>
        <w:w w:val="100"/>
        <w:lang w:val="en-US" w:eastAsia="en-US" w:bidi="ar-SA"/>
      </w:rPr>
    </w:lvl>
    <w:lvl w:ilvl="1" w:tplc="04627E1A">
      <w:numFmt w:val="bullet"/>
      <w:lvlText w:val="•"/>
      <w:lvlJc w:val="left"/>
      <w:pPr>
        <w:ind w:left="2486" w:hanging="242"/>
      </w:pPr>
      <w:rPr>
        <w:rFonts w:hint="default"/>
        <w:lang w:val="en-US" w:eastAsia="en-US" w:bidi="ar-SA"/>
      </w:rPr>
    </w:lvl>
    <w:lvl w:ilvl="2" w:tplc="4F98F188">
      <w:numFmt w:val="bullet"/>
      <w:lvlText w:val="•"/>
      <w:lvlJc w:val="left"/>
      <w:pPr>
        <w:ind w:left="3533" w:hanging="242"/>
      </w:pPr>
      <w:rPr>
        <w:rFonts w:hint="default"/>
        <w:lang w:val="en-US" w:eastAsia="en-US" w:bidi="ar-SA"/>
      </w:rPr>
    </w:lvl>
    <w:lvl w:ilvl="3" w:tplc="7A1884E6">
      <w:numFmt w:val="bullet"/>
      <w:lvlText w:val="•"/>
      <w:lvlJc w:val="left"/>
      <w:pPr>
        <w:ind w:left="4579" w:hanging="242"/>
      </w:pPr>
      <w:rPr>
        <w:rFonts w:hint="default"/>
        <w:lang w:val="en-US" w:eastAsia="en-US" w:bidi="ar-SA"/>
      </w:rPr>
    </w:lvl>
    <w:lvl w:ilvl="4" w:tplc="FE5A6DFC">
      <w:numFmt w:val="bullet"/>
      <w:lvlText w:val="•"/>
      <w:lvlJc w:val="left"/>
      <w:pPr>
        <w:ind w:left="5626" w:hanging="242"/>
      </w:pPr>
      <w:rPr>
        <w:rFonts w:hint="default"/>
        <w:lang w:val="en-US" w:eastAsia="en-US" w:bidi="ar-SA"/>
      </w:rPr>
    </w:lvl>
    <w:lvl w:ilvl="5" w:tplc="C5D4EE76">
      <w:numFmt w:val="bullet"/>
      <w:lvlText w:val="•"/>
      <w:lvlJc w:val="left"/>
      <w:pPr>
        <w:ind w:left="6672" w:hanging="242"/>
      </w:pPr>
      <w:rPr>
        <w:rFonts w:hint="default"/>
        <w:lang w:val="en-US" w:eastAsia="en-US" w:bidi="ar-SA"/>
      </w:rPr>
    </w:lvl>
    <w:lvl w:ilvl="6" w:tplc="D9F08C92">
      <w:numFmt w:val="bullet"/>
      <w:lvlText w:val="•"/>
      <w:lvlJc w:val="left"/>
      <w:pPr>
        <w:ind w:left="7719" w:hanging="242"/>
      </w:pPr>
      <w:rPr>
        <w:rFonts w:hint="default"/>
        <w:lang w:val="en-US" w:eastAsia="en-US" w:bidi="ar-SA"/>
      </w:rPr>
    </w:lvl>
    <w:lvl w:ilvl="7" w:tplc="2334FE2A">
      <w:numFmt w:val="bullet"/>
      <w:lvlText w:val="•"/>
      <w:lvlJc w:val="left"/>
      <w:pPr>
        <w:ind w:left="8765" w:hanging="242"/>
      </w:pPr>
      <w:rPr>
        <w:rFonts w:hint="default"/>
        <w:lang w:val="en-US" w:eastAsia="en-US" w:bidi="ar-SA"/>
      </w:rPr>
    </w:lvl>
    <w:lvl w:ilvl="8" w:tplc="4AA03088">
      <w:numFmt w:val="bullet"/>
      <w:lvlText w:val="•"/>
      <w:lvlJc w:val="left"/>
      <w:pPr>
        <w:ind w:left="9812" w:hanging="242"/>
      </w:pPr>
      <w:rPr>
        <w:rFonts w:hint="default"/>
        <w:lang w:val="en-US" w:eastAsia="en-US" w:bidi="ar-SA"/>
      </w:rPr>
    </w:lvl>
  </w:abstractNum>
  <w:abstractNum w:abstractNumId="45" w15:restartNumberingAfterBreak="0">
    <w:nsid w:val="660B0EBF"/>
    <w:multiLevelType w:val="hybridMultilevel"/>
    <w:tmpl w:val="D0EC6526"/>
    <w:lvl w:ilvl="0" w:tplc="C0FACE00">
      <w:start w:val="1"/>
      <w:numFmt w:val="decimal"/>
      <w:lvlText w:val="%1."/>
      <w:lvlJc w:val="left"/>
      <w:pPr>
        <w:ind w:left="1800" w:hanging="360"/>
      </w:pPr>
      <w:rPr>
        <w:rFonts w:ascii="Calibri" w:eastAsia="Calibri" w:hAnsi="Calibri" w:cs="Calibri" w:hint="default"/>
        <w:b w:val="0"/>
        <w:bCs w:val="0"/>
        <w:i w:val="0"/>
        <w:iCs w:val="0"/>
        <w:spacing w:val="0"/>
        <w:w w:val="100"/>
        <w:sz w:val="22"/>
        <w:szCs w:val="22"/>
        <w:lang w:val="en-US" w:eastAsia="en-US" w:bidi="ar-SA"/>
      </w:rPr>
    </w:lvl>
    <w:lvl w:ilvl="1" w:tplc="961C2C80">
      <w:numFmt w:val="bullet"/>
      <w:lvlText w:val="•"/>
      <w:lvlJc w:val="left"/>
      <w:pPr>
        <w:ind w:left="2810" w:hanging="360"/>
      </w:pPr>
      <w:rPr>
        <w:rFonts w:hint="default"/>
        <w:lang w:val="en-US" w:eastAsia="en-US" w:bidi="ar-SA"/>
      </w:rPr>
    </w:lvl>
    <w:lvl w:ilvl="2" w:tplc="B32061AE">
      <w:numFmt w:val="bullet"/>
      <w:lvlText w:val="•"/>
      <w:lvlJc w:val="left"/>
      <w:pPr>
        <w:ind w:left="3821" w:hanging="360"/>
      </w:pPr>
      <w:rPr>
        <w:rFonts w:hint="default"/>
        <w:lang w:val="en-US" w:eastAsia="en-US" w:bidi="ar-SA"/>
      </w:rPr>
    </w:lvl>
    <w:lvl w:ilvl="3" w:tplc="A6C8BC06">
      <w:numFmt w:val="bullet"/>
      <w:lvlText w:val="•"/>
      <w:lvlJc w:val="left"/>
      <w:pPr>
        <w:ind w:left="4831" w:hanging="360"/>
      </w:pPr>
      <w:rPr>
        <w:rFonts w:hint="default"/>
        <w:lang w:val="en-US" w:eastAsia="en-US" w:bidi="ar-SA"/>
      </w:rPr>
    </w:lvl>
    <w:lvl w:ilvl="4" w:tplc="C492AEFE">
      <w:numFmt w:val="bullet"/>
      <w:lvlText w:val="•"/>
      <w:lvlJc w:val="left"/>
      <w:pPr>
        <w:ind w:left="5842" w:hanging="360"/>
      </w:pPr>
      <w:rPr>
        <w:rFonts w:hint="default"/>
        <w:lang w:val="en-US" w:eastAsia="en-US" w:bidi="ar-SA"/>
      </w:rPr>
    </w:lvl>
    <w:lvl w:ilvl="5" w:tplc="D7322F0E">
      <w:numFmt w:val="bullet"/>
      <w:lvlText w:val="•"/>
      <w:lvlJc w:val="left"/>
      <w:pPr>
        <w:ind w:left="6852" w:hanging="360"/>
      </w:pPr>
      <w:rPr>
        <w:rFonts w:hint="default"/>
        <w:lang w:val="en-US" w:eastAsia="en-US" w:bidi="ar-SA"/>
      </w:rPr>
    </w:lvl>
    <w:lvl w:ilvl="6" w:tplc="89805D60">
      <w:numFmt w:val="bullet"/>
      <w:lvlText w:val="•"/>
      <w:lvlJc w:val="left"/>
      <w:pPr>
        <w:ind w:left="7863" w:hanging="360"/>
      </w:pPr>
      <w:rPr>
        <w:rFonts w:hint="default"/>
        <w:lang w:val="en-US" w:eastAsia="en-US" w:bidi="ar-SA"/>
      </w:rPr>
    </w:lvl>
    <w:lvl w:ilvl="7" w:tplc="9AB81DF0">
      <w:numFmt w:val="bullet"/>
      <w:lvlText w:val="•"/>
      <w:lvlJc w:val="left"/>
      <w:pPr>
        <w:ind w:left="8873" w:hanging="360"/>
      </w:pPr>
      <w:rPr>
        <w:rFonts w:hint="default"/>
        <w:lang w:val="en-US" w:eastAsia="en-US" w:bidi="ar-SA"/>
      </w:rPr>
    </w:lvl>
    <w:lvl w:ilvl="8" w:tplc="EE70CC18">
      <w:numFmt w:val="bullet"/>
      <w:lvlText w:val="•"/>
      <w:lvlJc w:val="left"/>
      <w:pPr>
        <w:ind w:left="9884" w:hanging="360"/>
      </w:pPr>
      <w:rPr>
        <w:rFonts w:hint="default"/>
        <w:lang w:val="en-US" w:eastAsia="en-US" w:bidi="ar-SA"/>
      </w:rPr>
    </w:lvl>
  </w:abstractNum>
  <w:abstractNum w:abstractNumId="46" w15:restartNumberingAfterBreak="0">
    <w:nsid w:val="672540A0"/>
    <w:multiLevelType w:val="hybridMultilevel"/>
    <w:tmpl w:val="046031AA"/>
    <w:lvl w:ilvl="0" w:tplc="A4A25960">
      <w:start w:val="1"/>
      <w:numFmt w:val="lowerLetter"/>
      <w:lvlText w:val="%1)"/>
      <w:lvlJc w:val="left"/>
      <w:pPr>
        <w:ind w:left="1800" w:hanging="360"/>
      </w:pPr>
      <w:rPr>
        <w:rFonts w:ascii="Calibri" w:eastAsia="Calibri" w:hAnsi="Calibri" w:cs="Calibri" w:hint="default"/>
        <w:b w:val="0"/>
        <w:bCs w:val="0"/>
        <w:i w:val="0"/>
        <w:iCs w:val="0"/>
        <w:spacing w:val="0"/>
        <w:w w:val="100"/>
        <w:sz w:val="24"/>
        <w:szCs w:val="24"/>
        <w:lang w:val="en-US" w:eastAsia="en-US" w:bidi="ar-SA"/>
      </w:rPr>
    </w:lvl>
    <w:lvl w:ilvl="1" w:tplc="46B02B98">
      <w:numFmt w:val="bullet"/>
      <w:lvlText w:val="•"/>
      <w:lvlJc w:val="left"/>
      <w:pPr>
        <w:ind w:left="2810" w:hanging="360"/>
      </w:pPr>
      <w:rPr>
        <w:rFonts w:hint="default"/>
        <w:lang w:val="en-US" w:eastAsia="en-US" w:bidi="ar-SA"/>
      </w:rPr>
    </w:lvl>
    <w:lvl w:ilvl="2" w:tplc="EC9256F4">
      <w:numFmt w:val="bullet"/>
      <w:lvlText w:val="•"/>
      <w:lvlJc w:val="left"/>
      <w:pPr>
        <w:ind w:left="3821" w:hanging="360"/>
      </w:pPr>
      <w:rPr>
        <w:rFonts w:hint="default"/>
        <w:lang w:val="en-US" w:eastAsia="en-US" w:bidi="ar-SA"/>
      </w:rPr>
    </w:lvl>
    <w:lvl w:ilvl="3" w:tplc="4F7216A2">
      <w:numFmt w:val="bullet"/>
      <w:lvlText w:val="•"/>
      <w:lvlJc w:val="left"/>
      <w:pPr>
        <w:ind w:left="4831" w:hanging="360"/>
      </w:pPr>
      <w:rPr>
        <w:rFonts w:hint="default"/>
        <w:lang w:val="en-US" w:eastAsia="en-US" w:bidi="ar-SA"/>
      </w:rPr>
    </w:lvl>
    <w:lvl w:ilvl="4" w:tplc="A936299A">
      <w:numFmt w:val="bullet"/>
      <w:lvlText w:val="•"/>
      <w:lvlJc w:val="left"/>
      <w:pPr>
        <w:ind w:left="5842" w:hanging="360"/>
      </w:pPr>
      <w:rPr>
        <w:rFonts w:hint="default"/>
        <w:lang w:val="en-US" w:eastAsia="en-US" w:bidi="ar-SA"/>
      </w:rPr>
    </w:lvl>
    <w:lvl w:ilvl="5" w:tplc="5ACA7CBC">
      <w:numFmt w:val="bullet"/>
      <w:lvlText w:val="•"/>
      <w:lvlJc w:val="left"/>
      <w:pPr>
        <w:ind w:left="6852" w:hanging="360"/>
      </w:pPr>
      <w:rPr>
        <w:rFonts w:hint="default"/>
        <w:lang w:val="en-US" w:eastAsia="en-US" w:bidi="ar-SA"/>
      </w:rPr>
    </w:lvl>
    <w:lvl w:ilvl="6" w:tplc="B9C0811C">
      <w:numFmt w:val="bullet"/>
      <w:lvlText w:val="•"/>
      <w:lvlJc w:val="left"/>
      <w:pPr>
        <w:ind w:left="7863" w:hanging="360"/>
      </w:pPr>
      <w:rPr>
        <w:rFonts w:hint="default"/>
        <w:lang w:val="en-US" w:eastAsia="en-US" w:bidi="ar-SA"/>
      </w:rPr>
    </w:lvl>
    <w:lvl w:ilvl="7" w:tplc="AB7EACE4">
      <w:numFmt w:val="bullet"/>
      <w:lvlText w:val="•"/>
      <w:lvlJc w:val="left"/>
      <w:pPr>
        <w:ind w:left="8873" w:hanging="360"/>
      </w:pPr>
      <w:rPr>
        <w:rFonts w:hint="default"/>
        <w:lang w:val="en-US" w:eastAsia="en-US" w:bidi="ar-SA"/>
      </w:rPr>
    </w:lvl>
    <w:lvl w:ilvl="8" w:tplc="52B455CC">
      <w:numFmt w:val="bullet"/>
      <w:lvlText w:val="•"/>
      <w:lvlJc w:val="left"/>
      <w:pPr>
        <w:ind w:left="9884" w:hanging="360"/>
      </w:pPr>
      <w:rPr>
        <w:rFonts w:hint="default"/>
        <w:lang w:val="en-US" w:eastAsia="en-US" w:bidi="ar-SA"/>
      </w:rPr>
    </w:lvl>
  </w:abstractNum>
  <w:abstractNum w:abstractNumId="47" w15:restartNumberingAfterBreak="0">
    <w:nsid w:val="684C6EB5"/>
    <w:multiLevelType w:val="hybridMultilevel"/>
    <w:tmpl w:val="C98202C8"/>
    <w:lvl w:ilvl="0" w:tplc="193670BC">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3C90AB68">
      <w:numFmt w:val="bullet"/>
      <w:lvlText w:val="•"/>
      <w:lvlJc w:val="left"/>
      <w:pPr>
        <w:ind w:left="786" w:hanging="360"/>
      </w:pPr>
      <w:rPr>
        <w:rFonts w:hint="default"/>
        <w:lang w:val="en-US" w:eastAsia="en-US" w:bidi="ar-SA"/>
      </w:rPr>
    </w:lvl>
    <w:lvl w:ilvl="2" w:tplc="2E7CB834">
      <w:numFmt w:val="bullet"/>
      <w:lvlText w:val="•"/>
      <w:lvlJc w:val="left"/>
      <w:pPr>
        <w:ind w:left="1113" w:hanging="360"/>
      </w:pPr>
      <w:rPr>
        <w:rFonts w:hint="default"/>
        <w:lang w:val="en-US" w:eastAsia="en-US" w:bidi="ar-SA"/>
      </w:rPr>
    </w:lvl>
    <w:lvl w:ilvl="3" w:tplc="1932D8F4">
      <w:numFmt w:val="bullet"/>
      <w:lvlText w:val="•"/>
      <w:lvlJc w:val="left"/>
      <w:pPr>
        <w:ind w:left="1440" w:hanging="360"/>
      </w:pPr>
      <w:rPr>
        <w:rFonts w:hint="default"/>
        <w:lang w:val="en-US" w:eastAsia="en-US" w:bidi="ar-SA"/>
      </w:rPr>
    </w:lvl>
    <w:lvl w:ilvl="4" w:tplc="A0F6A4FC">
      <w:numFmt w:val="bullet"/>
      <w:lvlText w:val="•"/>
      <w:lvlJc w:val="left"/>
      <w:pPr>
        <w:ind w:left="1766" w:hanging="360"/>
      </w:pPr>
      <w:rPr>
        <w:rFonts w:hint="default"/>
        <w:lang w:val="en-US" w:eastAsia="en-US" w:bidi="ar-SA"/>
      </w:rPr>
    </w:lvl>
    <w:lvl w:ilvl="5" w:tplc="CE9481FE">
      <w:numFmt w:val="bullet"/>
      <w:lvlText w:val="•"/>
      <w:lvlJc w:val="left"/>
      <w:pPr>
        <w:ind w:left="2093" w:hanging="360"/>
      </w:pPr>
      <w:rPr>
        <w:rFonts w:hint="default"/>
        <w:lang w:val="en-US" w:eastAsia="en-US" w:bidi="ar-SA"/>
      </w:rPr>
    </w:lvl>
    <w:lvl w:ilvl="6" w:tplc="8C564AB8">
      <w:numFmt w:val="bullet"/>
      <w:lvlText w:val="•"/>
      <w:lvlJc w:val="left"/>
      <w:pPr>
        <w:ind w:left="2420" w:hanging="360"/>
      </w:pPr>
      <w:rPr>
        <w:rFonts w:hint="default"/>
        <w:lang w:val="en-US" w:eastAsia="en-US" w:bidi="ar-SA"/>
      </w:rPr>
    </w:lvl>
    <w:lvl w:ilvl="7" w:tplc="E9DC47AE">
      <w:numFmt w:val="bullet"/>
      <w:lvlText w:val="•"/>
      <w:lvlJc w:val="left"/>
      <w:pPr>
        <w:ind w:left="2746" w:hanging="360"/>
      </w:pPr>
      <w:rPr>
        <w:rFonts w:hint="default"/>
        <w:lang w:val="en-US" w:eastAsia="en-US" w:bidi="ar-SA"/>
      </w:rPr>
    </w:lvl>
    <w:lvl w:ilvl="8" w:tplc="6E52B170">
      <w:numFmt w:val="bullet"/>
      <w:lvlText w:val="•"/>
      <w:lvlJc w:val="left"/>
      <w:pPr>
        <w:ind w:left="3073" w:hanging="360"/>
      </w:pPr>
      <w:rPr>
        <w:rFonts w:hint="default"/>
        <w:lang w:val="en-US" w:eastAsia="en-US" w:bidi="ar-SA"/>
      </w:rPr>
    </w:lvl>
  </w:abstractNum>
  <w:abstractNum w:abstractNumId="48" w15:restartNumberingAfterBreak="0">
    <w:nsid w:val="6FF97176"/>
    <w:multiLevelType w:val="hybridMultilevel"/>
    <w:tmpl w:val="3A845830"/>
    <w:lvl w:ilvl="0" w:tplc="8558E8C0">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92C8842C">
      <w:numFmt w:val="bullet"/>
      <w:lvlText w:val="•"/>
      <w:lvlJc w:val="left"/>
      <w:pPr>
        <w:ind w:left="851" w:hanging="360"/>
      </w:pPr>
      <w:rPr>
        <w:rFonts w:hint="default"/>
        <w:lang w:val="en-US" w:eastAsia="en-US" w:bidi="ar-SA"/>
      </w:rPr>
    </w:lvl>
    <w:lvl w:ilvl="2" w:tplc="ED183D2A">
      <w:numFmt w:val="bullet"/>
      <w:lvlText w:val="•"/>
      <w:lvlJc w:val="left"/>
      <w:pPr>
        <w:ind w:left="1242" w:hanging="360"/>
      </w:pPr>
      <w:rPr>
        <w:rFonts w:hint="default"/>
        <w:lang w:val="en-US" w:eastAsia="en-US" w:bidi="ar-SA"/>
      </w:rPr>
    </w:lvl>
    <w:lvl w:ilvl="3" w:tplc="07780916">
      <w:numFmt w:val="bullet"/>
      <w:lvlText w:val="•"/>
      <w:lvlJc w:val="left"/>
      <w:pPr>
        <w:ind w:left="1633" w:hanging="360"/>
      </w:pPr>
      <w:rPr>
        <w:rFonts w:hint="default"/>
        <w:lang w:val="en-US" w:eastAsia="en-US" w:bidi="ar-SA"/>
      </w:rPr>
    </w:lvl>
    <w:lvl w:ilvl="4" w:tplc="D8E6B020">
      <w:numFmt w:val="bullet"/>
      <w:lvlText w:val="•"/>
      <w:lvlJc w:val="left"/>
      <w:pPr>
        <w:ind w:left="2025" w:hanging="360"/>
      </w:pPr>
      <w:rPr>
        <w:rFonts w:hint="default"/>
        <w:lang w:val="en-US" w:eastAsia="en-US" w:bidi="ar-SA"/>
      </w:rPr>
    </w:lvl>
    <w:lvl w:ilvl="5" w:tplc="6150A4E2">
      <w:numFmt w:val="bullet"/>
      <w:lvlText w:val="•"/>
      <w:lvlJc w:val="left"/>
      <w:pPr>
        <w:ind w:left="2416" w:hanging="360"/>
      </w:pPr>
      <w:rPr>
        <w:rFonts w:hint="default"/>
        <w:lang w:val="en-US" w:eastAsia="en-US" w:bidi="ar-SA"/>
      </w:rPr>
    </w:lvl>
    <w:lvl w:ilvl="6" w:tplc="F7A88C24">
      <w:numFmt w:val="bullet"/>
      <w:lvlText w:val="•"/>
      <w:lvlJc w:val="left"/>
      <w:pPr>
        <w:ind w:left="2807" w:hanging="360"/>
      </w:pPr>
      <w:rPr>
        <w:rFonts w:hint="default"/>
        <w:lang w:val="en-US" w:eastAsia="en-US" w:bidi="ar-SA"/>
      </w:rPr>
    </w:lvl>
    <w:lvl w:ilvl="7" w:tplc="EB747472">
      <w:numFmt w:val="bullet"/>
      <w:lvlText w:val="•"/>
      <w:lvlJc w:val="left"/>
      <w:pPr>
        <w:ind w:left="3199" w:hanging="360"/>
      </w:pPr>
      <w:rPr>
        <w:rFonts w:hint="default"/>
        <w:lang w:val="en-US" w:eastAsia="en-US" w:bidi="ar-SA"/>
      </w:rPr>
    </w:lvl>
    <w:lvl w:ilvl="8" w:tplc="D3DA0934">
      <w:numFmt w:val="bullet"/>
      <w:lvlText w:val="•"/>
      <w:lvlJc w:val="left"/>
      <w:pPr>
        <w:ind w:left="3590" w:hanging="360"/>
      </w:pPr>
      <w:rPr>
        <w:rFonts w:hint="default"/>
        <w:lang w:val="en-US" w:eastAsia="en-US" w:bidi="ar-SA"/>
      </w:rPr>
    </w:lvl>
  </w:abstractNum>
  <w:abstractNum w:abstractNumId="49" w15:restartNumberingAfterBreak="0">
    <w:nsid w:val="719D545B"/>
    <w:multiLevelType w:val="hybridMultilevel"/>
    <w:tmpl w:val="BF5A9734"/>
    <w:lvl w:ilvl="0" w:tplc="0D560B38">
      <w:start w:val="1"/>
      <w:numFmt w:val="decimal"/>
      <w:lvlText w:val="%1."/>
      <w:lvlJc w:val="left"/>
      <w:pPr>
        <w:ind w:left="1800" w:hanging="360"/>
      </w:pPr>
      <w:rPr>
        <w:rFonts w:hint="default"/>
        <w:spacing w:val="0"/>
        <w:w w:val="100"/>
        <w:lang w:val="en-US" w:eastAsia="en-US" w:bidi="ar-SA"/>
      </w:rPr>
    </w:lvl>
    <w:lvl w:ilvl="1" w:tplc="CEE84678">
      <w:numFmt w:val="bullet"/>
      <w:lvlText w:val="•"/>
      <w:lvlJc w:val="left"/>
      <w:pPr>
        <w:ind w:left="2810" w:hanging="360"/>
      </w:pPr>
      <w:rPr>
        <w:rFonts w:hint="default"/>
        <w:lang w:val="en-US" w:eastAsia="en-US" w:bidi="ar-SA"/>
      </w:rPr>
    </w:lvl>
    <w:lvl w:ilvl="2" w:tplc="C3C8795A">
      <w:numFmt w:val="bullet"/>
      <w:lvlText w:val="•"/>
      <w:lvlJc w:val="left"/>
      <w:pPr>
        <w:ind w:left="3821" w:hanging="360"/>
      </w:pPr>
      <w:rPr>
        <w:rFonts w:hint="default"/>
        <w:lang w:val="en-US" w:eastAsia="en-US" w:bidi="ar-SA"/>
      </w:rPr>
    </w:lvl>
    <w:lvl w:ilvl="3" w:tplc="EC1447AE">
      <w:numFmt w:val="bullet"/>
      <w:lvlText w:val="•"/>
      <w:lvlJc w:val="left"/>
      <w:pPr>
        <w:ind w:left="4831" w:hanging="360"/>
      </w:pPr>
      <w:rPr>
        <w:rFonts w:hint="default"/>
        <w:lang w:val="en-US" w:eastAsia="en-US" w:bidi="ar-SA"/>
      </w:rPr>
    </w:lvl>
    <w:lvl w:ilvl="4" w:tplc="38881FA4">
      <w:numFmt w:val="bullet"/>
      <w:lvlText w:val="•"/>
      <w:lvlJc w:val="left"/>
      <w:pPr>
        <w:ind w:left="5842" w:hanging="360"/>
      </w:pPr>
      <w:rPr>
        <w:rFonts w:hint="default"/>
        <w:lang w:val="en-US" w:eastAsia="en-US" w:bidi="ar-SA"/>
      </w:rPr>
    </w:lvl>
    <w:lvl w:ilvl="5" w:tplc="24E82822">
      <w:numFmt w:val="bullet"/>
      <w:lvlText w:val="•"/>
      <w:lvlJc w:val="left"/>
      <w:pPr>
        <w:ind w:left="6852" w:hanging="360"/>
      </w:pPr>
      <w:rPr>
        <w:rFonts w:hint="default"/>
        <w:lang w:val="en-US" w:eastAsia="en-US" w:bidi="ar-SA"/>
      </w:rPr>
    </w:lvl>
    <w:lvl w:ilvl="6" w:tplc="2106609C">
      <w:numFmt w:val="bullet"/>
      <w:lvlText w:val="•"/>
      <w:lvlJc w:val="left"/>
      <w:pPr>
        <w:ind w:left="7863" w:hanging="360"/>
      </w:pPr>
      <w:rPr>
        <w:rFonts w:hint="default"/>
        <w:lang w:val="en-US" w:eastAsia="en-US" w:bidi="ar-SA"/>
      </w:rPr>
    </w:lvl>
    <w:lvl w:ilvl="7" w:tplc="94260B04">
      <w:numFmt w:val="bullet"/>
      <w:lvlText w:val="•"/>
      <w:lvlJc w:val="left"/>
      <w:pPr>
        <w:ind w:left="8873" w:hanging="360"/>
      </w:pPr>
      <w:rPr>
        <w:rFonts w:hint="default"/>
        <w:lang w:val="en-US" w:eastAsia="en-US" w:bidi="ar-SA"/>
      </w:rPr>
    </w:lvl>
    <w:lvl w:ilvl="8" w:tplc="F370D6DC">
      <w:numFmt w:val="bullet"/>
      <w:lvlText w:val="•"/>
      <w:lvlJc w:val="left"/>
      <w:pPr>
        <w:ind w:left="9884" w:hanging="360"/>
      </w:pPr>
      <w:rPr>
        <w:rFonts w:hint="default"/>
        <w:lang w:val="en-US" w:eastAsia="en-US" w:bidi="ar-SA"/>
      </w:rPr>
    </w:lvl>
  </w:abstractNum>
  <w:abstractNum w:abstractNumId="50" w15:restartNumberingAfterBreak="0">
    <w:nsid w:val="71F04274"/>
    <w:multiLevelType w:val="hybridMultilevel"/>
    <w:tmpl w:val="18E0D0C0"/>
    <w:lvl w:ilvl="0" w:tplc="CCC06476">
      <w:start w:val="1"/>
      <w:numFmt w:val="lowerLetter"/>
      <w:lvlText w:val="(%1)"/>
      <w:lvlJc w:val="left"/>
      <w:pPr>
        <w:ind w:left="1440" w:hanging="315"/>
      </w:pPr>
      <w:rPr>
        <w:rFonts w:ascii="Calibri" w:eastAsia="Calibri" w:hAnsi="Calibri" w:cs="Calibri" w:hint="default"/>
        <w:b w:val="0"/>
        <w:bCs w:val="0"/>
        <w:i w:val="0"/>
        <w:iCs w:val="0"/>
        <w:spacing w:val="-1"/>
        <w:w w:val="100"/>
        <w:sz w:val="24"/>
        <w:szCs w:val="24"/>
        <w:lang w:val="en-US" w:eastAsia="en-US" w:bidi="ar-SA"/>
      </w:rPr>
    </w:lvl>
    <w:lvl w:ilvl="1" w:tplc="62E2E2BC">
      <w:numFmt w:val="bullet"/>
      <w:lvlText w:val="•"/>
      <w:lvlJc w:val="left"/>
      <w:pPr>
        <w:ind w:left="2486" w:hanging="315"/>
      </w:pPr>
      <w:rPr>
        <w:rFonts w:hint="default"/>
        <w:lang w:val="en-US" w:eastAsia="en-US" w:bidi="ar-SA"/>
      </w:rPr>
    </w:lvl>
    <w:lvl w:ilvl="2" w:tplc="000E96CE">
      <w:numFmt w:val="bullet"/>
      <w:lvlText w:val="•"/>
      <w:lvlJc w:val="left"/>
      <w:pPr>
        <w:ind w:left="3533" w:hanging="315"/>
      </w:pPr>
      <w:rPr>
        <w:rFonts w:hint="default"/>
        <w:lang w:val="en-US" w:eastAsia="en-US" w:bidi="ar-SA"/>
      </w:rPr>
    </w:lvl>
    <w:lvl w:ilvl="3" w:tplc="083C3102">
      <w:numFmt w:val="bullet"/>
      <w:lvlText w:val="•"/>
      <w:lvlJc w:val="left"/>
      <w:pPr>
        <w:ind w:left="4579" w:hanging="315"/>
      </w:pPr>
      <w:rPr>
        <w:rFonts w:hint="default"/>
        <w:lang w:val="en-US" w:eastAsia="en-US" w:bidi="ar-SA"/>
      </w:rPr>
    </w:lvl>
    <w:lvl w:ilvl="4" w:tplc="60E6E13A">
      <w:numFmt w:val="bullet"/>
      <w:lvlText w:val="•"/>
      <w:lvlJc w:val="left"/>
      <w:pPr>
        <w:ind w:left="5626" w:hanging="315"/>
      </w:pPr>
      <w:rPr>
        <w:rFonts w:hint="default"/>
        <w:lang w:val="en-US" w:eastAsia="en-US" w:bidi="ar-SA"/>
      </w:rPr>
    </w:lvl>
    <w:lvl w:ilvl="5" w:tplc="1BB40DFE">
      <w:numFmt w:val="bullet"/>
      <w:lvlText w:val="•"/>
      <w:lvlJc w:val="left"/>
      <w:pPr>
        <w:ind w:left="6672" w:hanging="315"/>
      </w:pPr>
      <w:rPr>
        <w:rFonts w:hint="default"/>
        <w:lang w:val="en-US" w:eastAsia="en-US" w:bidi="ar-SA"/>
      </w:rPr>
    </w:lvl>
    <w:lvl w:ilvl="6" w:tplc="1EE46F86">
      <w:numFmt w:val="bullet"/>
      <w:lvlText w:val="•"/>
      <w:lvlJc w:val="left"/>
      <w:pPr>
        <w:ind w:left="7719" w:hanging="315"/>
      </w:pPr>
      <w:rPr>
        <w:rFonts w:hint="default"/>
        <w:lang w:val="en-US" w:eastAsia="en-US" w:bidi="ar-SA"/>
      </w:rPr>
    </w:lvl>
    <w:lvl w:ilvl="7" w:tplc="D0607216">
      <w:numFmt w:val="bullet"/>
      <w:lvlText w:val="•"/>
      <w:lvlJc w:val="left"/>
      <w:pPr>
        <w:ind w:left="8765" w:hanging="315"/>
      </w:pPr>
      <w:rPr>
        <w:rFonts w:hint="default"/>
        <w:lang w:val="en-US" w:eastAsia="en-US" w:bidi="ar-SA"/>
      </w:rPr>
    </w:lvl>
    <w:lvl w:ilvl="8" w:tplc="2946DB74">
      <w:numFmt w:val="bullet"/>
      <w:lvlText w:val="•"/>
      <w:lvlJc w:val="left"/>
      <w:pPr>
        <w:ind w:left="9812" w:hanging="315"/>
      </w:pPr>
      <w:rPr>
        <w:rFonts w:hint="default"/>
        <w:lang w:val="en-US" w:eastAsia="en-US" w:bidi="ar-SA"/>
      </w:rPr>
    </w:lvl>
  </w:abstractNum>
  <w:abstractNum w:abstractNumId="51" w15:restartNumberingAfterBreak="0">
    <w:nsid w:val="722B3709"/>
    <w:multiLevelType w:val="hybridMultilevel"/>
    <w:tmpl w:val="0A0A8A84"/>
    <w:lvl w:ilvl="0" w:tplc="850C8CB8">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E8B4E26C">
      <w:numFmt w:val="bullet"/>
      <w:lvlText w:val="•"/>
      <w:lvlJc w:val="left"/>
      <w:pPr>
        <w:ind w:left="851" w:hanging="360"/>
      </w:pPr>
      <w:rPr>
        <w:rFonts w:hint="default"/>
        <w:lang w:val="en-US" w:eastAsia="en-US" w:bidi="ar-SA"/>
      </w:rPr>
    </w:lvl>
    <w:lvl w:ilvl="2" w:tplc="C4602BDC">
      <w:numFmt w:val="bullet"/>
      <w:lvlText w:val="•"/>
      <w:lvlJc w:val="left"/>
      <w:pPr>
        <w:ind w:left="1242" w:hanging="360"/>
      </w:pPr>
      <w:rPr>
        <w:rFonts w:hint="default"/>
        <w:lang w:val="en-US" w:eastAsia="en-US" w:bidi="ar-SA"/>
      </w:rPr>
    </w:lvl>
    <w:lvl w:ilvl="3" w:tplc="0EDA176E">
      <w:numFmt w:val="bullet"/>
      <w:lvlText w:val="•"/>
      <w:lvlJc w:val="left"/>
      <w:pPr>
        <w:ind w:left="1633" w:hanging="360"/>
      </w:pPr>
      <w:rPr>
        <w:rFonts w:hint="default"/>
        <w:lang w:val="en-US" w:eastAsia="en-US" w:bidi="ar-SA"/>
      </w:rPr>
    </w:lvl>
    <w:lvl w:ilvl="4" w:tplc="48C87D2A">
      <w:numFmt w:val="bullet"/>
      <w:lvlText w:val="•"/>
      <w:lvlJc w:val="left"/>
      <w:pPr>
        <w:ind w:left="2025" w:hanging="360"/>
      </w:pPr>
      <w:rPr>
        <w:rFonts w:hint="default"/>
        <w:lang w:val="en-US" w:eastAsia="en-US" w:bidi="ar-SA"/>
      </w:rPr>
    </w:lvl>
    <w:lvl w:ilvl="5" w:tplc="3FF2924C">
      <w:numFmt w:val="bullet"/>
      <w:lvlText w:val="•"/>
      <w:lvlJc w:val="left"/>
      <w:pPr>
        <w:ind w:left="2416" w:hanging="360"/>
      </w:pPr>
      <w:rPr>
        <w:rFonts w:hint="default"/>
        <w:lang w:val="en-US" w:eastAsia="en-US" w:bidi="ar-SA"/>
      </w:rPr>
    </w:lvl>
    <w:lvl w:ilvl="6" w:tplc="DE0C2FAA">
      <w:numFmt w:val="bullet"/>
      <w:lvlText w:val="•"/>
      <w:lvlJc w:val="left"/>
      <w:pPr>
        <w:ind w:left="2807" w:hanging="360"/>
      </w:pPr>
      <w:rPr>
        <w:rFonts w:hint="default"/>
        <w:lang w:val="en-US" w:eastAsia="en-US" w:bidi="ar-SA"/>
      </w:rPr>
    </w:lvl>
    <w:lvl w:ilvl="7" w:tplc="0AEC55D4">
      <w:numFmt w:val="bullet"/>
      <w:lvlText w:val="•"/>
      <w:lvlJc w:val="left"/>
      <w:pPr>
        <w:ind w:left="3199" w:hanging="360"/>
      </w:pPr>
      <w:rPr>
        <w:rFonts w:hint="default"/>
        <w:lang w:val="en-US" w:eastAsia="en-US" w:bidi="ar-SA"/>
      </w:rPr>
    </w:lvl>
    <w:lvl w:ilvl="8" w:tplc="40CA09EA">
      <w:numFmt w:val="bullet"/>
      <w:lvlText w:val="•"/>
      <w:lvlJc w:val="left"/>
      <w:pPr>
        <w:ind w:left="3590" w:hanging="360"/>
      </w:pPr>
      <w:rPr>
        <w:rFonts w:hint="default"/>
        <w:lang w:val="en-US" w:eastAsia="en-US" w:bidi="ar-SA"/>
      </w:rPr>
    </w:lvl>
  </w:abstractNum>
  <w:abstractNum w:abstractNumId="52" w15:restartNumberingAfterBreak="0">
    <w:nsid w:val="775F3AED"/>
    <w:multiLevelType w:val="hybridMultilevel"/>
    <w:tmpl w:val="99BE89A4"/>
    <w:lvl w:ilvl="0" w:tplc="FADC7E70">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311A3316">
      <w:numFmt w:val="bullet"/>
      <w:lvlText w:val="•"/>
      <w:lvlJc w:val="left"/>
      <w:pPr>
        <w:ind w:left="744" w:hanging="360"/>
      </w:pPr>
      <w:rPr>
        <w:rFonts w:hint="default"/>
        <w:lang w:val="en-US" w:eastAsia="en-US" w:bidi="ar-SA"/>
      </w:rPr>
    </w:lvl>
    <w:lvl w:ilvl="2" w:tplc="41A02CB8">
      <w:numFmt w:val="bullet"/>
      <w:lvlText w:val="•"/>
      <w:lvlJc w:val="left"/>
      <w:pPr>
        <w:ind w:left="1029" w:hanging="360"/>
      </w:pPr>
      <w:rPr>
        <w:rFonts w:hint="default"/>
        <w:lang w:val="en-US" w:eastAsia="en-US" w:bidi="ar-SA"/>
      </w:rPr>
    </w:lvl>
    <w:lvl w:ilvl="3" w:tplc="0AF494A2">
      <w:numFmt w:val="bullet"/>
      <w:lvlText w:val="•"/>
      <w:lvlJc w:val="left"/>
      <w:pPr>
        <w:ind w:left="1314" w:hanging="360"/>
      </w:pPr>
      <w:rPr>
        <w:rFonts w:hint="default"/>
        <w:lang w:val="en-US" w:eastAsia="en-US" w:bidi="ar-SA"/>
      </w:rPr>
    </w:lvl>
    <w:lvl w:ilvl="4" w:tplc="B2981D70">
      <w:numFmt w:val="bullet"/>
      <w:lvlText w:val="•"/>
      <w:lvlJc w:val="left"/>
      <w:pPr>
        <w:ind w:left="1598" w:hanging="360"/>
      </w:pPr>
      <w:rPr>
        <w:rFonts w:hint="default"/>
        <w:lang w:val="en-US" w:eastAsia="en-US" w:bidi="ar-SA"/>
      </w:rPr>
    </w:lvl>
    <w:lvl w:ilvl="5" w:tplc="CB203F4C">
      <w:numFmt w:val="bullet"/>
      <w:lvlText w:val="•"/>
      <w:lvlJc w:val="left"/>
      <w:pPr>
        <w:ind w:left="1883" w:hanging="360"/>
      </w:pPr>
      <w:rPr>
        <w:rFonts w:hint="default"/>
        <w:lang w:val="en-US" w:eastAsia="en-US" w:bidi="ar-SA"/>
      </w:rPr>
    </w:lvl>
    <w:lvl w:ilvl="6" w:tplc="9C501316">
      <w:numFmt w:val="bullet"/>
      <w:lvlText w:val="•"/>
      <w:lvlJc w:val="left"/>
      <w:pPr>
        <w:ind w:left="2168" w:hanging="360"/>
      </w:pPr>
      <w:rPr>
        <w:rFonts w:hint="default"/>
        <w:lang w:val="en-US" w:eastAsia="en-US" w:bidi="ar-SA"/>
      </w:rPr>
    </w:lvl>
    <w:lvl w:ilvl="7" w:tplc="92CE7224">
      <w:numFmt w:val="bullet"/>
      <w:lvlText w:val="•"/>
      <w:lvlJc w:val="left"/>
      <w:pPr>
        <w:ind w:left="2452" w:hanging="360"/>
      </w:pPr>
      <w:rPr>
        <w:rFonts w:hint="default"/>
        <w:lang w:val="en-US" w:eastAsia="en-US" w:bidi="ar-SA"/>
      </w:rPr>
    </w:lvl>
    <w:lvl w:ilvl="8" w:tplc="5D90D86A">
      <w:numFmt w:val="bullet"/>
      <w:lvlText w:val="•"/>
      <w:lvlJc w:val="left"/>
      <w:pPr>
        <w:ind w:left="2737" w:hanging="360"/>
      </w:pPr>
      <w:rPr>
        <w:rFonts w:hint="default"/>
        <w:lang w:val="en-US" w:eastAsia="en-US" w:bidi="ar-SA"/>
      </w:rPr>
    </w:lvl>
  </w:abstractNum>
  <w:abstractNum w:abstractNumId="53" w15:restartNumberingAfterBreak="0">
    <w:nsid w:val="7F7464D9"/>
    <w:multiLevelType w:val="hybridMultilevel"/>
    <w:tmpl w:val="311A34E0"/>
    <w:lvl w:ilvl="0" w:tplc="F67A555A">
      <w:start w:val="2"/>
      <w:numFmt w:val="lowerLetter"/>
      <w:lvlText w:val="%1)"/>
      <w:lvlJc w:val="left"/>
      <w:pPr>
        <w:ind w:left="1689" w:hanging="250"/>
      </w:pPr>
      <w:rPr>
        <w:rFonts w:ascii="Calibri" w:eastAsia="Calibri" w:hAnsi="Calibri" w:cs="Calibri" w:hint="default"/>
        <w:b w:val="0"/>
        <w:bCs w:val="0"/>
        <w:i/>
        <w:iCs/>
        <w:spacing w:val="-1"/>
        <w:w w:val="100"/>
        <w:sz w:val="24"/>
        <w:szCs w:val="24"/>
        <w:lang w:val="en-US" w:eastAsia="en-US" w:bidi="ar-SA"/>
      </w:rPr>
    </w:lvl>
    <w:lvl w:ilvl="1" w:tplc="E736A668">
      <w:start w:val="1"/>
      <w:numFmt w:val="lowerRoman"/>
      <w:lvlText w:val="(%2)"/>
      <w:lvlJc w:val="left"/>
      <w:pPr>
        <w:ind w:left="1440" w:hanging="254"/>
      </w:pPr>
      <w:rPr>
        <w:rFonts w:ascii="Calibri" w:eastAsia="Calibri" w:hAnsi="Calibri" w:cs="Calibri" w:hint="default"/>
        <w:b w:val="0"/>
        <w:bCs w:val="0"/>
        <w:i w:val="0"/>
        <w:iCs w:val="0"/>
        <w:spacing w:val="-1"/>
        <w:w w:val="100"/>
        <w:sz w:val="24"/>
        <w:szCs w:val="24"/>
        <w:lang w:val="en-US" w:eastAsia="en-US" w:bidi="ar-SA"/>
      </w:rPr>
    </w:lvl>
    <w:lvl w:ilvl="2" w:tplc="756E6920">
      <w:numFmt w:val="bullet"/>
      <w:lvlText w:val="•"/>
      <w:lvlJc w:val="left"/>
      <w:pPr>
        <w:ind w:left="2816" w:hanging="254"/>
      </w:pPr>
      <w:rPr>
        <w:rFonts w:hint="default"/>
        <w:lang w:val="en-US" w:eastAsia="en-US" w:bidi="ar-SA"/>
      </w:rPr>
    </w:lvl>
    <w:lvl w:ilvl="3" w:tplc="81843F64">
      <w:numFmt w:val="bullet"/>
      <w:lvlText w:val="•"/>
      <w:lvlJc w:val="left"/>
      <w:pPr>
        <w:ind w:left="3952" w:hanging="254"/>
      </w:pPr>
      <w:rPr>
        <w:rFonts w:hint="default"/>
        <w:lang w:val="en-US" w:eastAsia="en-US" w:bidi="ar-SA"/>
      </w:rPr>
    </w:lvl>
    <w:lvl w:ilvl="4" w:tplc="2D8815EE">
      <w:numFmt w:val="bullet"/>
      <w:lvlText w:val="•"/>
      <w:lvlJc w:val="left"/>
      <w:pPr>
        <w:ind w:left="5088" w:hanging="254"/>
      </w:pPr>
      <w:rPr>
        <w:rFonts w:hint="default"/>
        <w:lang w:val="en-US" w:eastAsia="en-US" w:bidi="ar-SA"/>
      </w:rPr>
    </w:lvl>
    <w:lvl w:ilvl="5" w:tplc="ADB466A4">
      <w:numFmt w:val="bullet"/>
      <w:lvlText w:val="•"/>
      <w:lvlJc w:val="left"/>
      <w:pPr>
        <w:ind w:left="6224" w:hanging="254"/>
      </w:pPr>
      <w:rPr>
        <w:rFonts w:hint="default"/>
        <w:lang w:val="en-US" w:eastAsia="en-US" w:bidi="ar-SA"/>
      </w:rPr>
    </w:lvl>
    <w:lvl w:ilvl="6" w:tplc="1A860A9E">
      <w:numFmt w:val="bullet"/>
      <w:lvlText w:val="•"/>
      <w:lvlJc w:val="left"/>
      <w:pPr>
        <w:ind w:left="7360" w:hanging="254"/>
      </w:pPr>
      <w:rPr>
        <w:rFonts w:hint="default"/>
        <w:lang w:val="en-US" w:eastAsia="en-US" w:bidi="ar-SA"/>
      </w:rPr>
    </w:lvl>
    <w:lvl w:ilvl="7" w:tplc="985EBBA4">
      <w:numFmt w:val="bullet"/>
      <w:lvlText w:val="•"/>
      <w:lvlJc w:val="left"/>
      <w:pPr>
        <w:ind w:left="8497" w:hanging="254"/>
      </w:pPr>
      <w:rPr>
        <w:rFonts w:hint="default"/>
        <w:lang w:val="en-US" w:eastAsia="en-US" w:bidi="ar-SA"/>
      </w:rPr>
    </w:lvl>
    <w:lvl w:ilvl="8" w:tplc="F8F8D6EA">
      <w:numFmt w:val="bullet"/>
      <w:lvlText w:val="•"/>
      <w:lvlJc w:val="left"/>
      <w:pPr>
        <w:ind w:left="9633" w:hanging="254"/>
      </w:pPr>
      <w:rPr>
        <w:rFonts w:hint="default"/>
        <w:lang w:val="en-US" w:eastAsia="en-US" w:bidi="ar-SA"/>
      </w:rPr>
    </w:lvl>
  </w:abstractNum>
  <w:num w:numId="1" w16cid:durableId="1133017752">
    <w:abstractNumId w:val="15"/>
  </w:num>
  <w:num w:numId="2" w16cid:durableId="859124681">
    <w:abstractNumId w:val="5"/>
  </w:num>
  <w:num w:numId="3" w16cid:durableId="904530235">
    <w:abstractNumId w:val="24"/>
  </w:num>
  <w:num w:numId="4" w16cid:durableId="78328780">
    <w:abstractNumId w:val="52"/>
  </w:num>
  <w:num w:numId="5" w16cid:durableId="1188253243">
    <w:abstractNumId w:val="14"/>
  </w:num>
  <w:num w:numId="6" w16cid:durableId="1867479187">
    <w:abstractNumId w:val="38"/>
  </w:num>
  <w:num w:numId="7" w16cid:durableId="2067684014">
    <w:abstractNumId w:val="37"/>
  </w:num>
  <w:num w:numId="8" w16cid:durableId="1061060477">
    <w:abstractNumId w:val="41"/>
  </w:num>
  <w:num w:numId="9" w16cid:durableId="82070800">
    <w:abstractNumId w:val="8"/>
  </w:num>
  <w:num w:numId="10" w16cid:durableId="36241916">
    <w:abstractNumId w:val="20"/>
  </w:num>
  <w:num w:numId="11" w16cid:durableId="1341855597">
    <w:abstractNumId w:val="3"/>
  </w:num>
  <w:num w:numId="12" w16cid:durableId="492259513">
    <w:abstractNumId w:val="28"/>
  </w:num>
  <w:num w:numId="13" w16cid:durableId="1514760236">
    <w:abstractNumId w:val="9"/>
  </w:num>
  <w:num w:numId="14" w16cid:durableId="80222553">
    <w:abstractNumId w:val="32"/>
  </w:num>
  <w:num w:numId="15" w16cid:durableId="1611231626">
    <w:abstractNumId w:val="40"/>
  </w:num>
  <w:num w:numId="16" w16cid:durableId="1806577605">
    <w:abstractNumId w:val="17"/>
  </w:num>
  <w:num w:numId="17" w16cid:durableId="172305447">
    <w:abstractNumId w:val="12"/>
  </w:num>
  <w:num w:numId="18" w16cid:durableId="493184986">
    <w:abstractNumId w:val="1"/>
  </w:num>
  <w:num w:numId="19" w16cid:durableId="313610573">
    <w:abstractNumId w:val="48"/>
  </w:num>
  <w:num w:numId="20" w16cid:durableId="907417432">
    <w:abstractNumId w:val="43"/>
  </w:num>
  <w:num w:numId="21" w16cid:durableId="1410616118">
    <w:abstractNumId w:val="6"/>
  </w:num>
  <w:num w:numId="22" w16cid:durableId="190803827">
    <w:abstractNumId w:val="19"/>
  </w:num>
  <w:num w:numId="23" w16cid:durableId="1176266552">
    <w:abstractNumId w:val="11"/>
  </w:num>
  <w:num w:numId="24" w16cid:durableId="1863088806">
    <w:abstractNumId w:val="51"/>
  </w:num>
  <w:num w:numId="25" w16cid:durableId="298652777">
    <w:abstractNumId w:val="39"/>
  </w:num>
  <w:num w:numId="26" w16cid:durableId="1035347765">
    <w:abstractNumId w:val="33"/>
  </w:num>
  <w:num w:numId="27" w16cid:durableId="1489587781">
    <w:abstractNumId w:val="0"/>
  </w:num>
  <w:num w:numId="28" w16cid:durableId="1286425892">
    <w:abstractNumId w:val="25"/>
  </w:num>
  <w:num w:numId="29" w16cid:durableId="1251544299">
    <w:abstractNumId w:val="49"/>
  </w:num>
  <w:num w:numId="30" w16cid:durableId="1576894153">
    <w:abstractNumId w:val="50"/>
  </w:num>
  <w:num w:numId="31" w16cid:durableId="1776250890">
    <w:abstractNumId w:val="34"/>
  </w:num>
  <w:num w:numId="32" w16cid:durableId="1777795499">
    <w:abstractNumId w:val="44"/>
  </w:num>
  <w:num w:numId="33" w16cid:durableId="1175195339">
    <w:abstractNumId w:val="7"/>
  </w:num>
  <w:num w:numId="34" w16cid:durableId="477654487">
    <w:abstractNumId w:val="53"/>
  </w:num>
  <w:num w:numId="35" w16cid:durableId="2020891562">
    <w:abstractNumId w:val="22"/>
  </w:num>
  <w:num w:numId="36" w16cid:durableId="1977449089">
    <w:abstractNumId w:val="2"/>
  </w:num>
  <w:num w:numId="37" w16cid:durableId="839543843">
    <w:abstractNumId w:val="16"/>
  </w:num>
  <w:num w:numId="38" w16cid:durableId="1761373050">
    <w:abstractNumId w:val="23"/>
  </w:num>
  <w:num w:numId="39" w16cid:durableId="463892209">
    <w:abstractNumId w:val="29"/>
  </w:num>
  <w:num w:numId="40" w16cid:durableId="1308391085">
    <w:abstractNumId w:val="13"/>
  </w:num>
  <w:num w:numId="41" w16cid:durableId="1601327752">
    <w:abstractNumId w:val="21"/>
  </w:num>
  <w:num w:numId="42" w16cid:durableId="1163737838">
    <w:abstractNumId w:val="18"/>
  </w:num>
  <w:num w:numId="43" w16cid:durableId="1666198893">
    <w:abstractNumId w:val="36"/>
  </w:num>
  <w:num w:numId="44" w16cid:durableId="1267038110">
    <w:abstractNumId w:val="42"/>
  </w:num>
  <w:num w:numId="45" w16cid:durableId="1369449099">
    <w:abstractNumId w:val="10"/>
  </w:num>
  <w:num w:numId="46" w16cid:durableId="1222910893">
    <w:abstractNumId w:val="47"/>
  </w:num>
  <w:num w:numId="47" w16cid:durableId="1504584001">
    <w:abstractNumId w:val="35"/>
  </w:num>
  <w:num w:numId="48" w16cid:durableId="1427507013">
    <w:abstractNumId w:val="27"/>
  </w:num>
  <w:num w:numId="49" w16cid:durableId="1841194749">
    <w:abstractNumId w:val="31"/>
  </w:num>
  <w:num w:numId="50" w16cid:durableId="415324686">
    <w:abstractNumId w:val="4"/>
  </w:num>
  <w:num w:numId="51" w16cid:durableId="1313755583">
    <w:abstractNumId w:val="45"/>
  </w:num>
  <w:num w:numId="52" w16cid:durableId="1987394157">
    <w:abstractNumId w:val="46"/>
  </w:num>
  <w:num w:numId="53" w16cid:durableId="1791245489">
    <w:abstractNumId w:val="30"/>
  </w:num>
  <w:num w:numId="54" w16cid:durableId="1786078214">
    <w:abstractNumId w:val="2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D3F"/>
    <w:rsid w:val="00043F22"/>
    <w:rsid w:val="00067185"/>
    <w:rsid w:val="000B16C1"/>
    <w:rsid w:val="00150A2C"/>
    <w:rsid w:val="00184C15"/>
    <w:rsid w:val="001A344F"/>
    <w:rsid w:val="001D0137"/>
    <w:rsid w:val="002203E1"/>
    <w:rsid w:val="00243AE0"/>
    <w:rsid w:val="00245972"/>
    <w:rsid w:val="00295CDA"/>
    <w:rsid w:val="00296BFD"/>
    <w:rsid w:val="003467F5"/>
    <w:rsid w:val="00347D7E"/>
    <w:rsid w:val="003777F6"/>
    <w:rsid w:val="003A190D"/>
    <w:rsid w:val="003A3FC6"/>
    <w:rsid w:val="003D44FE"/>
    <w:rsid w:val="003D6B1B"/>
    <w:rsid w:val="003E1E94"/>
    <w:rsid w:val="00433C9E"/>
    <w:rsid w:val="0044388D"/>
    <w:rsid w:val="004732DC"/>
    <w:rsid w:val="004F132B"/>
    <w:rsid w:val="005657B4"/>
    <w:rsid w:val="00582C6D"/>
    <w:rsid w:val="005A58ED"/>
    <w:rsid w:val="005F60C5"/>
    <w:rsid w:val="006911DE"/>
    <w:rsid w:val="006B63A0"/>
    <w:rsid w:val="006D0D65"/>
    <w:rsid w:val="00732018"/>
    <w:rsid w:val="00786BA2"/>
    <w:rsid w:val="00790500"/>
    <w:rsid w:val="007A4FD1"/>
    <w:rsid w:val="007E1E7B"/>
    <w:rsid w:val="00820BE2"/>
    <w:rsid w:val="008931D3"/>
    <w:rsid w:val="008B6CC3"/>
    <w:rsid w:val="008F34F9"/>
    <w:rsid w:val="00914AF9"/>
    <w:rsid w:val="009271F4"/>
    <w:rsid w:val="009337B8"/>
    <w:rsid w:val="00973FE1"/>
    <w:rsid w:val="00990D2B"/>
    <w:rsid w:val="009D0EB4"/>
    <w:rsid w:val="009D6E6B"/>
    <w:rsid w:val="00A01191"/>
    <w:rsid w:val="00A02BAE"/>
    <w:rsid w:val="00A10402"/>
    <w:rsid w:val="00A10939"/>
    <w:rsid w:val="00A242EA"/>
    <w:rsid w:val="00A2687C"/>
    <w:rsid w:val="00A41B1C"/>
    <w:rsid w:val="00A44794"/>
    <w:rsid w:val="00AC21F3"/>
    <w:rsid w:val="00B0741F"/>
    <w:rsid w:val="00B22EB5"/>
    <w:rsid w:val="00B36C44"/>
    <w:rsid w:val="00B634E6"/>
    <w:rsid w:val="00B72657"/>
    <w:rsid w:val="00B95199"/>
    <w:rsid w:val="00BB5EF3"/>
    <w:rsid w:val="00C25E21"/>
    <w:rsid w:val="00C37123"/>
    <w:rsid w:val="00C52DEF"/>
    <w:rsid w:val="00C64138"/>
    <w:rsid w:val="00C70539"/>
    <w:rsid w:val="00C97F56"/>
    <w:rsid w:val="00D06170"/>
    <w:rsid w:val="00D15F87"/>
    <w:rsid w:val="00D83E95"/>
    <w:rsid w:val="00D95CE0"/>
    <w:rsid w:val="00DF4E10"/>
    <w:rsid w:val="00E13D3F"/>
    <w:rsid w:val="00E94E7A"/>
    <w:rsid w:val="00EC7BCD"/>
    <w:rsid w:val="00F3234E"/>
    <w:rsid w:val="00F3264C"/>
    <w:rsid w:val="00FB2D6A"/>
    <w:rsid w:val="00FD4E33"/>
    <w:rsid w:val="00FF470C"/>
    <w:rsid w:val="65AD596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C2AB9"/>
  <w15:docId w15:val="{5E93395D-8A02-4C7C-BB2B-7781E3B6C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link w:val="Heading1Char"/>
    <w:uiPriority w:val="9"/>
    <w:qFormat/>
    <w:pPr>
      <w:spacing w:before="22"/>
      <w:ind w:left="1799" w:hanging="359"/>
      <w:outlineLvl w:val="0"/>
    </w:pPr>
    <w:rPr>
      <w:rFonts w:ascii="Calibri Light" w:eastAsia="Calibri Light" w:hAnsi="Calibri Light" w:cs="Calibri Light"/>
      <w:sz w:val="32"/>
      <w:szCs w:val="32"/>
      <w:u w:val="single" w:color="000000"/>
    </w:rPr>
  </w:style>
  <w:style w:type="paragraph" w:styleId="Heading2">
    <w:name w:val="heading 2"/>
    <w:basedOn w:val="Normal"/>
    <w:uiPriority w:val="9"/>
    <w:unhideWhenUsed/>
    <w:qFormat/>
    <w:pPr>
      <w:ind w:left="1440"/>
      <w:outlineLvl w:val="1"/>
    </w:pPr>
    <w:rPr>
      <w:rFonts w:ascii="Calibri Light" w:eastAsia="Calibri Light" w:hAnsi="Calibri Light" w:cs="Calibri Light"/>
      <w:sz w:val="26"/>
      <w:szCs w:val="26"/>
    </w:rPr>
  </w:style>
  <w:style w:type="paragraph" w:styleId="Heading3">
    <w:name w:val="heading 3"/>
    <w:basedOn w:val="Normal"/>
    <w:uiPriority w:val="9"/>
    <w:unhideWhenUsed/>
    <w:qFormat/>
    <w:pPr>
      <w:spacing w:before="21"/>
      <w:ind w:left="23" w:right="606"/>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40"/>
    </w:pPr>
    <w:rPr>
      <w:sz w:val="24"/>
      <w:szCs w:val="24"/>
    </w:rPr>
  </w:style>
  <w:style w:type="paragraph" w:styleId="Title">
    <w:name w:val="Title"/>
    <w:basedOn w:val="Normal"/>
    <w:link w:val="TitleChar"/>
    <w:uiPriority w:val="10"/>
    <w:qFormat/>
    <w:pPr>
      <w:ind w:left="1201"/>
    </w:pPr>
    <w:rPr>
      <w:rFonts w:ascii="Lucida Sans" w:eastAsia="Lucida Sans" w:hAnsi="Lucida Sans" w:cs="Lucida Sans"/>
      <w:sz w:val="52"/>
      <w:szCs w:val="52"/>
    </w:rPr>
  </w:style>
  <w:style w:type="paragraph" w:styleId="ListParagraph">
    <w:name w:val="List Paragraph"/>
    <w:basedOn w:val="Normal"/>
    <w:uiPriority w:val="1"/>
    <w:qFormat/>
    <w:pPr>
      <w:ind w:left="1800" w:hanging="360"/>
    </w:pPr>
  </w:style>
  <w:style w:type="paragraph" w:customStyle="1" w:styleId="TableParagraph">
    <w:name w:val="Table Paragraph"/>
    <w:basedOn w:val="Normal"/>
    <w:uiPriority w:val="1"/>
    <w:qFormat/>
  </w:style>
  <w:style w:type="paragraph" w:styleId="Header">
    <w:name w:val="header"/>
    <w:basedOn w:val="Normal"/>
    <w:link w:val="HeaderChar"/>
    <w:unhideWhenUsed/>
    <w:qFormat/>
    <w:rsid w:val="00A10402"/>
    <w:pPr>
      <w:tabs>
        <w:tab w:val="center" w:pos="4513"/>
        <w:tab w:val="right" w:pos="9026"/>
      </w:tabs>
    </w:pPr>
  </w:style>
  <w:style w:type="character" w:customStyle="1" w:styleId="HeaderChar">
    <w:name w:val="Header Char"/>
    <w:basedOn w:val="DefaultParagraphFont"/>
    <w:link w:val="Header"/>
    <w:rsid w:val="00A10402"/>
    <w:rPr>
      <w:rFonts w:ascii="Calibri" w:eastAsia="Calibri" w:hAnsi="Calibri" w:cs="Calibri"/>
    </w:rPr>
  </w:style>
  <w:style w:type="paragraph" w:styleId="Footer">
    <w:name w:val="footer"/>
    <w:basedOn w:val="Normal"/>
    <w:link w:val="FooterChar"/>
    <w:uiPriority w:val="99"/>
    <w:unhideWhenUsed/>
    <w:qFormat/>
    <w:rsid w:val="00A10402"/>
    <w:pPr>
      <w:tabs>
        <w:tab w:val="center" w:pos="4513"/>
        <w:tab w:val="right" w:pos="9026"/>
      </w:tabs>
    </w:pPr>
  </w:style>
  <w:style w:type="character" w:customStyle="1" w:styleId="FooterChar">
    <w:name w:val="Footer Char"/>
    <w:basedOn w:val="DefaultParagraphFont"/>
    <w:link w:val="Footer"/>
    <w:uiPriority w:val="99"/>
    <w:rsid w:val="00A10402"/>
    <w:rPr>
      <w:rFonts w:ascii="Calibri" w:eastAsia="Calibri" w:hAnsi="Calibri" w:cs="Calibri"/>
    </w:rPr>
  </w:style>
  <w:style w:type="character" w:customStyle="1" w:styleId="Heading1Char">
    <w:name w:val="Heading 1 Char"/>
    <w:basedOn w:val="DefaultParagraphFont"/>
    <w:link w:val="Heading1"/>
    <w:uiPriority w:val="9"/>
    <w:rsid w:val="00245972"/>
    <w:rPr>
      <w:rFonts w:ascii="Calibri Light" w:eastAsia="Calibri Light" w:hAnsi="Calibri Light" w:cs="Calibri Light"/>
      <w:sz w:val="32"/>
      <w:szCs w:val="32"/>
      <w:u w:val="single" w:color="000000"/>
    </w:rPr>
  </w:style>
  <w:style w:type="paragraph" w:styleId="Revision">
    <w:name w:val="Revision"/>
    <w:hidden/>
    <w:uiPriority w:val="99"/>
    <w:semiHidden/>
    <w:rsid w:val="009D0EB4"/>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3E1E94"/>
    <w:rPr>
      <w:sz w:val="16"/>
      <w:szCs w:val="16"/>
    </w:rPr>
  </w:style>
  <w:style w:type="paragraph" w:styleId="CommentText">
    <w:name w:val="annotation text"/>
    <w:basedOn w:val="Normal"/>
    <w:link w:val="CommentTextChar"/>
    <w:uiPriority w:val="99"/>
    <w:unhideWhenUsed/>
    <w:rsid w:val="003E1E94"/>
    <w:rPr>
      <w:sz w:val="20"/>
      <w:szCs w:val="20"/>
    </w:rPr>
  </w:style>
  <w:style w:type="character" w:customStyle="1" w:styleId="CommentTextChar">
    <w:name w:val="Comment Text Char"/>
    <w:basedOn w:val="DefaultParagraphFont"/>
    <w:link w:val="CommentText"/>
    <w:uiPriority w:val="99"/>
    <w:rsid w:val="003E1E94"/>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3E1E94"/>
    <w:rPr>
      <w:b/>
      <w:bCs/>
    </w:rPr>
  </w:style>
  <w:style w:type="character" w:customStyle="1" w:styleId="CommentSubjectChar">
    <w:name w:val="Comment Subject Char"/>
    <w:basedOn w:val="CommentTextChar"/>
    <w:link w:val="CommentSubject"/>
    <w:uiPriority w:val="99"/>
    <w:semiHidden/>
    <w:rsid w:val="003E1E94"/>
    <w:rPr>
      <w:rFonts w:ascii="Calibri" w:eastAsia="Calibri" w:hAnsi="Calibri" w:cs="Calibri"/>
      <w:b/>
      <w:bCs/>
      <w:sz w:val="20"/>
      <w:szCs w:val="20"/>
    </w:rPr>
  </w:style>
  <w:style w:type="paragraph" w:styleId="Subtitle">
    <w:name w:val="Subtitle"/>
    <w:next w:val="Normal"/>
    <w:link w:val="SubtitleChar"/>
    <w:uiPriority w:val="11"/>
    <w:qFormat/>
    <w:rsid w:val="00295CDA"/>
    <w:pPr>
      <w:widowControl/>
      <w:numPr>
        <w:ilvl w:val="1"/>
      </w:numPr>
      <w:autoSpaceDE/>
      <w:autoSpaceDN/>
      <w:spacing w:before="120" w:after="60"/>
    </w:pPr>
    <w:rPr>
      <w:rFonts w:ascii="Arial" w:eastAsiaTheme="majorEastAsia" w:hAnsi="Arial" w:cstheme="majorBidi"/>
      <w:iCs/>
      <w:color w:val="3F4A75"/>
      <w:spacing w:val="15"/>
      <w:sz w:val="40"/>
      <w:szCs w:val="24"/>
      <w:lang w:val="en-AU"/>
    </w:rPr>
  </w:style>
  <w:style w:type="character" w:customStyle="1" w:styleId="SubtitleChar">
    <w:name w:val="Subtitle Char"/>
    <w:basedOn w:val="DefaultParagraphFont"/>
    <w:link w:val="Subtitle"/>
    <w:uiPriority w:val="11"/>
    <w:rsid w:val="00295CDA"/>
    <w:rPr>
      <w:rFonts w:ascii="Arial" w:eastAsiaTheme="majorEastAsia" w:hAnsi="Arial" w:cstheme="majorBidi"/>
      <w:iCs/>
      <w:color w:val="3F4A75"/>
      <w:spacing w:val="15"/>
      <w:sz w:val="40"/>
      <w:szCs w:val="24"/>
      <w:lang w:val="en-AU"/>
    </w:rPr>
  </w:style>
  <w:style w:type="character" w:customStyle="1" w:styleId="TitleChar">
    <w:name w:val="Title Char"/>
    <w:basedOn w:val="DefaultParagraphFont"/>
    <w:link w:val="Title"/>
    <w:uiPriority w:val="10"/>
    <w:rsid w:val="00295CDA"/>
    <w:rPr>
      <w:rFonts w:ascii="Lucida Sans" w:eastAsia="Lucida Sans" w:hAnsi="Lucida Sans" w:cs="Lucida Sans"/>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www.uspreventiveservicestaskforce.org/uspstf08/lipid/lipidrs.htm" TargetMode="External"/><Relationship Id="rId21" Type="http://schemas.openxmlformats.org/officeDocument/2006/relationships/hyperlink" Target="https://www.abs.gov.au/AUSSTATS/abs%40.nsf/Lookup/4715.0Main%2BFeatures12018-19?OpenDocument" TargetMode="External"/><Relationship Id="rId34" Type="http://schemas.openxmlformats.org/officeDocument/2006/relationships/hyperlink" Target="https://www.abs.gov.au/statistics/health/health-conditions-and-risks/alcohol-" TargetMode="External"/><Relationship Id="rId42" Type="http://schemas.openxmlformats.org/officeDocument/2006/relationships/hyperlink" Target="https://doi.org/10.1016/j.jamcollsurg.2008.08.022" TargetMode="External"/><Relationship Id="rId47" Type="http://schemas.openxmlformats.org/officeDocument/2006/relationships/hyperlink" Target="https://www.abs.gov.au/statistics/health/health-conditions-and-risks/national-health-survey-first-results/2017-18" TargetMode="External"/><Relationship Id="rId50" Type="http://schemas.openxmlformats.org/officeDocument/2006/relationships/hyperlink" Target="https://www.racgp.org.au/download/Documents/Guidelines/Redbook9/17048-Red-Book-9th-Edition.pdf" TargetMode="External"/><Relationship Id="rId55" Type="http://schemas.openxmlformats.org/officeDocument/2006/relationships/hyperlink" Target="https://www.abs.gov.au/statistics/health/health-conditions-and-risks/national-health-survey-first-results/latest-release" TargetMode="External"/><Relationship Id="rId63" Type="http://schemas.openxmlformats.org/officeDocument/2006/relationships/hyperlink" Target="https://www.vision2020australia.org.au/resources/a-snapshot-of-blindness-and-low-vision-"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4.xml"/><Relationship Id="rId29" Type="http://schemas.openxmlformats.org/officeDocument/2006/relationships/hyperlink" Target="https://www.abs.gov.au/AUSSTATS/abs%40.nsf/Lookup/4715.0Main%2BFeatures12018-19?OpenDocument" TargetMode="External"/><Relationship Id="rId11" Type="http://schemas.openxmlformats.org/officeDocument/2006/relationships/header" Target="header2.xml"/><Relationship Id="rId24" Type="http://schemas.openxmlformats.org/officeDocument/2006/relationships/hyperlink" Target="https://www.abs.gov.au/ausstats/abs%40.nsf/Lookup/by%20Subject/4727.0.55.003~2012-13~Main%20Features~About%20this%20Release~9999" TargetMode="External"/><Relationship Id="rId32" Type="http://schemas.openxmlformats.org/officeDocument/2006/relationships/hyperlink" Target="http://www.tobaccoinaustralia.org.au/chapter-8-aptsi/8-3-" TargetMode="External"/><Relationship Id="rId37" Type="http://schemas.openxmlformats.org/officeDocument/2006/relationships/image" Target="media/image7.png"/><Relationship Id="rId40" Type="http://schemas.openxmlformats.org/officeDocument/2006/relationships/hyperlink" Target="https://doi.org/10.1016/S0140-6736(09)60318-4" TargetMode="External"/><Relationship Id="rId45" Type="http://schemas.openxmlformats.org/officeDocument/2006/relationships/hyperlink" Target="https://doi.org/10.1503/cmaj.140887" TargetMode="External"/><Relationship Id="rId53" Type="http://schemas.openxmlformats.org/officeDocument/2006/relationships/image" Target="media/image9.png"/><Relationship Id="rId58" Type="http://schemas.openxmlformats.org/officeDocument/2006/relationships/hyperlink" Target="https://doi.org/10.1007/s00198-019-05226-w" TargetMode="External"/><Relationship Id="rId66" Type="http://schemas.openxmlformats.org/officeDocument/2006/relationships/theme" Target="theme/theme1.xml"/><Relationship Id="rId5" Type="http://schemas.openxmlformats.org/officeDocument/2006/relationships/styles" Target="styles.xml"/><Relationship Id="rId61" Type="http://schemas.openxmlformats.org/officeDocument/2006/relationships/hyperlink" Target="https://doi.org/10.1002/jbmr.3815" TargetMode="External"/><Relationship Id="rId19" Type="http://schemas.openxmlformats.org/officeDocument/2006/relationships/hyperlink" Target="https://doi.org/10.1136/bmjopen-2017-020584" TargetMode="External"/><Relationship Id="rId14" Type="http://schemas.openxmlformats.org/officeDocument/2006/relationships/header" Target="header3.xml"/><Relationship Id="rId22" Type="http://schemas.openxmlformats.org/officeDocument/2006/relationships/hyperlink" Target="https://www.abs.gov.au/AUSSTATS/abs%40.nsf/Lookup/4715.0Main%2BFeatures12018-19?OpenDocument" TargetMode="External"/><Relationship Id="rId27" Type="http://schemas.openxmlformats.org/officeDocument/2006/relationships/image" Target="media/image4.png"/><Relationship Id="rId30" Type="http://schemas.openxmlformats.org/officeDocument/2006/relationships/image" Target="media/image5.png"/><Relationship Id="rId35" Type="http://schemas.openxmlformats.org/officeDocument/2006/relationships/hyperlink" Target="https://doi.org/10.1111/add.15015" TargetMode="External"/><Relationship Id="rId43" Type="http://schemas.openxmlformats.org/officeDocument/2006/relationships/hyperlink" Target="https://doi.org/10.1001/archinte.161.13.1581" TargetMode="External"/><Relationship Id="rId48" Type="http://schemas.openxmlformats.org/officeDocument/2006/relationships/hyperlink" Target="https://www.aihw.gov.au/reports/injury/falls" TargetMode="External"/><Relationship Id="rId56" Type="http://schemas.openxmlformats.org/officeDocument/2006/relationships/hyperlink" Target="https://www.aihw.gov.au/reports/chronic-musculoskeletal-conditions/osteoporosis/contents/what-is-osteoporosis" TargetMode="External"/><Relationship Id="rId64" Type="http://schemas.openxmlformats.org/officeDocument/2006/relationships/footer" Target="footer5.xml"/><Relationship Id="rId8" Type="http://schemas.openxmlformats.org/officeDocument/2006/relationships/footnotes" Target="footnotes.xml"/><Relationship Id="rId51" Type="http://schemas.openxmlformats.org/officeDocument/2006/relationships/hyperlink" Target="https://www.ncbi.nlm.nih.gov/books/NBK525695/"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1.png"/><Relationship Id="rId25" Type="http://schemas.openxmlformats.org/officeDocument/2006/relationships/hyperlink" Target="http://www.ahrq.gov/downloads/pub/prevent/pdfser/lipidser.pdf" TargetMode="External"/><Relationship Id="rId33" Type="http://schemas.openxmlformats.org/officeDocument/2006/relationships/image" Target="media/image6.png"/><Relationship Id="rId38" Type="http://schemas.openxmlformats.org/officeDocument/2006/relationships/hyperlink" Target="https://www.aihw.gov.au/reports/risk-factors/insufficient-physical-activity" TargetMode="External"/><Relationship Id="rId46" Type="http://schemas.openxmlformats.org/officeDocument/2006/relationships/hyperlink" Target="https://doi.org/10.1016/S0140-6736(16)31893-1" TargetMode="External"/><Relationship Id="rId59" Type="http://schemas.openxmlformats.org/officeDocument/2006/relationships/hyperlink" Target="https://doi.org/10.1007/s00198-019-05226-w" TargetMode="External"/><Relationship Id="rId20" Type="http://schemas.openxmlformats.org/officeDocument/2006/relationships/image" Target="media/image3.png"/><Relationship Id="rId41" Type="http://schemas.openxmlformats.org/officeDocument/2006/relationships/hyperlink" Target="https://doi.org/10.1136/bmj.i2156" TargetMode="External"/><Relationship Id="rId54" Type="http://schemas.openxmlformats.org/officeDocument/2006/relationships/hyperlink" Target="https://www.abs.gov.au/statistics/health/health-conditions-and-risks/national-health-survey-first-results/latest-release" TargetMode="External"/><Relationship Id="rId62" Type="http://schemas.openxmlformats.org/officeDocument/2006/relationships/hyperlink" Target="https://www.health.gov.au/health-topics/ear-"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s://www.abs.gov.au/ausstats/abs%40.nsf/Lookup/by%20Subject/4727.0.55.003~2012-13~Main%20Features~About%20this%20Release~9999" TargetMode="External"/><Relationship Id="rId28" Type="http://schemas.openxmlformats.org/officeDocument/2006/relationships/hyperlink" Target="https://www.abs.gov.au/AUSSTATS/abs%40.nsf/Lookup/4715.0Main%2BFeatures12018-19?OpenDocument" TargetMode="External"/><Relationship Id="rId36" Type="http://schemas.openxmlformats.org/officeDocument/2006/relationships/hyperlink" Target="https://www.gov.uk/government/publications/general-practice-physical-activity-" TargetMode="External"/><Relationship Id="rId49" Type="http://schemas.openxmlformats.org/officeDocument/2006/relationships/hyperlink" Target="https://www.racgp.org.au/download/Documents/Guidelines/Redbook9/17048-Red-Book-9th-Edition.pdf" TargetMode="External"/><Relationship Id="rId57" Type="http://schemas.openxmlformats.org/officeDocument/2006/relationships/hyperlink" Target="https://www.aihw.gov.au/reports/chronic-musculoskeletal-conditions/osteoporosis/contents/what-is-osteoporosis" TargetMode="External"/><Relationship Id="rId10" Type="http://schemas.openxmlformats.org/officeDocument/2006/relationships/header" Target="header1.xml"/><Relationship Id="rId31" Type="http://schemas.openxmlformats.org/officeDocument/2006/relationships/hyperlink" Target="https://www.tobaccoinaustralia.org.au/chapter-3-health-effects/3-0-background" TargetMode="External"/><Relationship Id="rId44" Type="http://schemas.openxmlformats.org/officeDocument/2006/relationships/hyperlink" Target="https://doi.org/10.1056/NEJMoa1614362" TargetMode="External"/><Relationship Id="rId52" Type="http://schemas.openxmlformats.org/officeDocument/2006/relationships/hyperlink" Target="https://doi.org/10.1093/fampra/cmab055" TargetMode="External"/><Relationship Id="rId60" Type="http://schemas.openxmlformats.org/officeDocument/2006/relationships/hyperlink" Target="https://doi.org/10.1007/s00198-017-4326-3" TargetMode="External"/><Relationship Id="rId65"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2.png"/><Relationship Id="rId39"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7CD614-607A-49AF-9015-5D985F165D9D}">
  <ds:schemaRefs>
    <ds:schemaRef ds:uri="http://schemas.microsoft.com/office/2006/metadata/properties"/>
    <ds:schemaRef ds:uri="http://schemas.microsoft.com/office/infopath/2007/PartnerControls"/>
    <ds:schemaRef ds:uri="31ed7be0-71df-4ef7-a44a-46c20e97f856"/>
    <ds:schemaRef ds:uri="55f32057-c7d7-4cf2-a083-f930dcef3185"/>
  </ds:schemaRefs>
</ds:datastoreItem>
</file>

<file path=customXml/itemProps2.xml><?xml version="1.0" encoding="utf-8"?>
<ds:datastoreItem xmlns:ds="http://schemas.openxmlformats.org/officeDocument/2006/customXml" ds:itemID="{5010FA23-A7A7-48A4-B6B1-DE81B541028D}">
  <ds:schemaRefs>
    <ds:schemaRef ds:uri="http://schemas.microsoft.com/sharepoint/v3/contenttype/forms"/>
  </ds:schemaRefs>
</ds:datastoreItem>
</file>

<file path=customXml/itemProps3.xml><?xml version="1.0" encoding="utf-8"?>
<ds:datastoreItem xmlns:ds="http://schemas.openxmlformats.org/officeDocument/2006/customXml" ds:itemID="{B95A17F4-85C9-4353-94F6-1670BC0918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55</Pages>
  <Words>19732</Words>
  <Characters>113157</Characters>
  <Application>Microsoft Office Word</Application>
  <DocSecurity>0</DocSecurity>
  <Lines>2793</Lines>
  <Paragraphs>1227</Paragraphs>
  <ScaleCrop>false</ScaleCrop>
  <HeadingPairs>
    <vt:vector size="2" baseType="variant">
      <vt:variant>
        <vt:lpstr>Title</vt:lpstr>
      </vt:variant>
      <vt:variant>
        <vt:i4>1</vt:i4>
      </vt:variant>
    </vt:vector>
  </HeadingPairs>
  <TitlesOfParts>
    <vt:vector size="1" baseType="lpstr">
      <vt:lpstr>Review of MBS Health Assessment Services – Appendix A – Evidence Summaries</vt:lpstr>
    </vt:vector>
  </TitlesOfParts>
  <Company>Department of Health, Disability and Ageing</Company>
  <LinksUpToDate>false</LinksUpToDate>
  <CharactersWithSpaces>131686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MBS Health Assessment Services – Appendix A – Evidence Summaries</dc:title>
  <dc:subject>Review of MBS Health Assessment Services – Appendix A – Evidence Summaries</dc:subject>
  <cp:keywords/>
  <cp:revision>2</cp:revision>
  <dcterms:created xsi:type="dcterms:W3CDTF">2026-10-06T22:55:00Z</dcterms:created>
  <dcterms:modified xsi:type="dcterms:W3CDTF">2026-10-07T23:02:00Z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2016-12-13T00:00:00Z</vt:filetime>
  </property>
  <property fmtid="{D5CDD505-2E9C-101B-9397-08002B2CF9AE}" pid="3" name="Creator">
    <vt:lpwstr>Adobe InDesign CC 2017 (Macintosh)</vt:lpwstr>
  </property>
  <property fmtid="{D5CDD505-2E9C-101B-9397-08002B2CF9AE}" pid="4" name="LastSaved">
    <vt:filetime>2025-11-19T00:00:00Z</vt:filetime>
  </property>
  <property fmtid="{D5CDD505-2E9C-101B-9397-08002B2CF9AE}" pid="5" name="Producer">
    <vt:lpwstr>Adobe PDF Library 15.0</vt:lpwstr>
  </property>
  <property fmtid="{D5CDD505-2E9C-101B-9397-08002B2CF9AE}" pid="6" name="ClassificationContentMarkingHeaderShapeIds">
    <vt:lpwstr>68e2521f,320e61f,4b5bf876</vt:lpwstr>
  </property>
  <property fmtid="{D5CDD505-2E9C-101B-9397-08002B2CF9AE}" pid="7" name="ClassificationContentMarkingHeaderFontProps">
    <vt:lpwstr>#ff0000,12,Aptos</vt:lpwstr>
  </property>
  <property fmtid="{D5CDD505-2E9C-101B-9397-08002B2CF9AE}" pid="8" name="ClassificationContentMarkingHeaderText">
    <vt:lpwstr>OFFICIAL</vt:lpwstr>
  </property>
  <property fmtid="{D5CDD505-2E9C-101B-9397-08002B2CF9AE}" pid="9" name="ClassificationContentMarkingFooterShapeIds">
    <vt:lpwstr>68cf29,39f287c1,48f7988b,35884781,7f65da63,553e260</vt:lpwstr>
  </property>
  <property fmtid="{D5CDD505-2E9C-101B-9397-08002B2CF9AE}" pid="10" name="ClassificationContentMarkingFooterFontProps">
    <vt:lpwstr>#ff0000,12,Aptos</vt:lpwstr>
  </property>
  <property fmtid="{D5CDD505-2E9C-101B-9397-08002B2CF9AE}" pid="11" name="ClassificationContentMarkingFooterText">
    <vt:lpwstr>OFFICIAL</vt:lpwstr>
  </property>
  <property fmtid="{D5CDD505-2E9C-101B-9397-08002B2CF9AE}" pid="12" name="MSIP_Label_7cd3e8b9-ffed-43a8-b7f4-cc2fa0382d36_Enabled">
    <vt:lpwstr>true</vt:lpwstr>
  </property>
  <property fmtid="{D5CDD505-2E9C-101B-9397-08002B2CF9AE}" pid="13" name="MSIP_Label_7cd3e8b9-ffed-43a8-b7f4-cc2fa0382d36_SetDate">
    <vt:lpwstr>2026-02-10T04:31:44Z</vt:lpwstr>
  </property>
  <property fmtid="{D5CDD505-2E9C-101B-9397-08002B2CF9AE}" pid="14" name="MSIP_Label_7cd3e8b9-ffed-43a8-b7f4-cc2fa0382d36_Method">
    <vt:lpwstr>Privileged</vt:lpwstr>
  </property>
  <property fmtid="{D5CDD505-2E9C-101B-9397-08002B2CF9AE}" pid="15" name="MSIP_Label_7cd3e8b9-ffed-43a8-b7f4-cc2fa0382d36_Name">
    <vt:lpwstr>O</vt:lpwstr>
  </property>
  <property fmtid="{D5CDD505-2E9C-101B-9397-08002B2CF9AE}" pid="16" name="MSIP_Label_7cd3e8b9-ffed-43a8-b7f4-cc2fa0382d36_SiteId">
    <vt:lpwstr>34a3929c-73cf-4954-abfe-147dc3517892</vt:lpwstr>
  </property>
  <property fmtid="{D5CDD505-2E9C-101B-9397-08002B2CF9AE}" pid="17" name="MSIP_Label_7cd3e8b9-ffed-43a8-b7f4-cc2fa0382d36_ActionId">
    <vt:lpwstr>4816a4c3-5e01-4e0b-bedd-def0eba796ca</vt:lpwstr>
  </property>
  <property fmtid="{D5CDD505-2E9C-101B-9397-08002B2CF9AE}" pid="18" name="MSIP_Label_7cd3e8b9-ffed-43a8-b7f4-cc2fa0382d36_ContentBits">
    <vt:lpwstr>3</vt:lpwstr>
  </property>
  <property fmtid="{D5CDD505-2E9C-101B-9397-08002B2CF9AE}" pid="19" name="MSIP_Label_7cd3e8b9-ffed-43a8-b7f4-cc2fa0382d36_Tag">
    <vt:lpwstr>10, 0, 1, 1</vt:lpwstr>
  </property>
  <property fmtid="{D5CDD505-2E9C-101B-9397-08002B2CF9AE}" pid="20" name="ContentTypeId">
    <vt:lpwstr>0x010100A51386D899F9CA4298648C0791762DBC</vt:lpwstr>
  </property>
  <property fmtid="{D5CDD505-2E9C-101B-9397-08002B2CF9AE}" pid="21" name="docLang">
    <vt:lpwstr>en</vt:lpwstr>
  </property>
</Properties>
</file>