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50"/>
      </w:tblGrid>
      <w:tr w:rsidR="00E0254E" w14:paraId="028874F3" w14:textId="77777777" w:rsidTr="00C012EA">
        <w:trPr>
          <w:trHeight w:val="2684"/>
        </w:trPr>
        <w:tc>
          <w:tcPr>
            <w:tcW w:w="7650" w:type="dxa"/>
          </w:tcPr>
          <w:p w14:paraId="7365B5F1" w14:textId="0AE74635" w:rsidR="00E0254E" w:rsidRDefault="00863819" w:rsidP="00C012EA">
            <w:pPr>
              <w:pStyle w:val="Heading1"/>
            </w:pPr>
            <w:r w:rsidRPr="00863819">
              <w:t>Medicare Mental Health Centres</w:t>
            </w:r>
            <w:r w:rsidR="00C066E2">
              <w:br/>
            </w:r>
            <w:r w:rsidRPr="00863819">
              <w:t>2025 Clinical Review</w:t>
            </w:r>
          </w:p>
          <w:p w14:paraId="2C0CCFB1" w14:textId="7D5678B0" w:rsidR="00863819" w:rsidRPr="00863819" w:rsidRDefault="00863819" w:rsidP="00863819"/>
        </w:tc>
      </w:tr>
    </w:tbl>
    <w:p w14:paraId="25D80115" w14:textId="77777777" w:rsidR="00E0254E" w:rsidRDefault="00E0254E" w:rsidP="006B4B53">
      <w:pPr>
        <w:pStyle w:val="Heading3"/>
      </w:pPr>
    </w:p>
    <w:p w14:paraId="2E754788" w14:textId="77777777" w:rsidR="00863819" w:rsidRPr="004048AB" w:rsidRDefault="00863819" w:rsidP="004048AB">
      <w:pPr>
        <w:pStyle w:val="Heading2"/>
      </w:pPr>
      <w:r w:rsidRPr="004048AB">
        <w:t>About this report</w:t>
      </w:r>
    </w:p>
    <w:p w14:paraId="6446093E" w14:textId="2B9D16ED" w:rsidR="00863819" w:rsidRDefault="00863819" w:rsidP="004048AB">
      <w:pPr>
        <w:rPr>
          <w:lang w:eastAsia="en-AU"/>
        </w:rPr>
      </w:pPr>
      <w:r w:rsidRPr="007A06BA">
        <w:rPr>
          <w:lang w:eastAsia="en-AU"/>
        </w:rPr>
        <w:t xml:space="preserve">This summary report presents key findings from the 2025 Clinical Review of Medicare Mental Health Centres. </w:t>
      </w:r>
      <w:r w:rsidR="004D44D7">
        <w:rPr>
          <w:lang w:eastAsia="en-AU"/>
        </w:rPr>
        <w:t>T</w:t>
      </w:r>
      <w:r>
        <w:rPr>
          <w:lang w:eastAsia="en-AU"/>
        </w:rPr>
        <w:t xml:space="preserve">he review </w:t>
      </w:r>
      <w:r w:rsidRPr="00025342">
        <w:rPr>
          <w:lang w:eastAsia="en-AU"/>
        </w:rPr>
        <w:t>examined</w:t>
      </w:r>
      <w:r w:rsidRPr="00A62535">
        <w:rPr>
          <w:lang w:eastAsia="en-AU"/>
        </w:rPr>
        <w:t xml:space="preserve"> the effectiveness of the National Service Model in meeting the needs of people presenting to Medicare Mental Health Centres. </w:t>
      </w:r>
    </w:p>
    <w:p w14:paraId="6DDD6B62" w14:textId="77777777" w:rsidR="00863819" w:rsidRPr="00A62535" w:rsidRDefault="00863819" w:rsidP="004048AB">
      <w:pPr>
        <w:rPr>
          <w:lang w:eastAsia="en-AU"/>
        </w:rPr>
      </w:pPr>
      <w:r w:rsidRPr="00A62535">
        <w:rPr>
          <w:lang w:eastAsia="en-AU"/>
        </w:rPr>
        <w:t xml:space="preserve">The review involved visits to 33 </w:t>
      </w:r>
      <w:r>
        <w:rPr>
          <w:lang w:eastAsia="en-AU"/>
        </w:rPr>
        <w:t xml:space="preserve">centres, </w:t>
      </w:r>
      <w:r w:rsidRPr="00A62535">
        <w:rPr>
          <w:lang w:eastAsia="en-AU"/>
        </w:rPr>
        <w:t xml:space="preserve">engagement with 570 stakeholders (including 98 consumers and carers with lived experience), and workforce analysis. Adopting a collaborative approach, the review focused on understanding real-world experiences and drawing insights from those delivering and accessing services on the ground. </w:t>
      </w:r>
    </w:p>
    <w:p w14:paraId="626D82F7" w14:textId="77777777" w:rsidR="00863819" w:rsidRDefault="00863819" w:rsidP="004048AB">
      <w:pPr>
        <w:rPr>
          <w:lang w:eastAsia="en-AU"/>
        </w:rPr>
      </w:pPr>
      <w:r w:rsidRPr="00A62535">
        <w:rPr>
          <w:lang w:eastAsia="en-AU"/>
        </w:rPr>
        <w:t>The review found that Medicare Mental Health Centres represent a distinctive and highly valued approach to mental health care. Stakeholders consistently described the model as accessible, welcoming and responsive to community need. Its strength lies not in any single intervention, but in the combination of trusted relationships, multidisciplinary team-based care, practical support and strong community connections.</w:t>
      </w:r>
    </w:p>
    <w:p w14:paraId="6CF942E8" w14:textId="77777777" w:rsidR="004048AB" w:rsidRDefault="004048AB">
      <w:pPr>
        <w:spacing w:before="0" w:after="0" w:line="240" w:lineRule="auto"/>
        <w:rPr>
          <w:rFonts w:cs="Arial"/>
          <w:b/>
          <w:bCs/>
          <w:iCs/>
          <w:color w:val="358189"/>
          <w:sz w:val="36"/>
          <w:szCs w:val="28"/>
          <w:lang w:eastAsia="en-AU"/>
        </w:rPr>
      </w:pPr>
      <w:r>
        <w:rPr>
          <w:lang w:eastAsia="en-AU"/>
        </w:rPr>
        <w:br w:type="page"/>
      </w:r>
    </w:p>
    <w:p w14:paraId="1E461B05" w14:textId="4FF10929" w:rsidR="00863819" w:rsidRPr="0076707F" w:rsidRDefault="00863819" w:rsidP="004048AB">
      <w:pPr>
        <w:pStyle w:val="Heading2"/>
        <w:rPr>
          <w:lang w:eastAsia="en-AU"/>
        </w:rPr>
      </w:pPr>
      <w:r w:rsidRPr="0076707F">
        <w:rPr>
          <w:lang w:eastAsia="en-AU"/>
        </w:rPr>
        <w:lastRenderedPageBreak/>
        <w:t xml:space="preserve">Medicare Mental </w:t>
      </w:r>
      <w:r w:rsidRPr="004048AB">
        <w:rPr>
          <w:lang w:eastAsia="en-AU"/>
        </w:rPr>
        <w:t>Health</w:t>
      </w:r>
      <w:r w:rsidRPr="0076707F">
        <w:rPr>
          <w:lang w:eastAsia="en-AU"/>
        </w:rPr>
        <w:t xml:space="preserve"> Centres</w:t>
      </w:r>
    </w:p>
    <w:p w14:paraId="1AD8DF7B" w14:textId="7A9C2CE4" w:rsidR="00863819" w:rsidRPr="00AA2780" w:rsidRDefault="00863819" w:rsidP="004048AB">
      <w:pPr>
        <w:rPr>
          <w:lang w:eastAsia="en-AU"/>
        </w:rPr>
      </w:pPr>
      <w:r w:rsidRPr="00AA2780">
        <w:rPr>
          <w:lang w:eastAsia="en-AU"/>
        </w:rPr>
        <w:t>Medicare Mental Health Centres provide free, community-based support for adults experiencing mental health challenges or distress. People can access support without a referral</w:t>
      </w:r>
      <w:r w:rsidR="00AC7CAE">
        <w:rPr>
          <w:lang w:eastAsia="en-AU"/>
        </w:rPr>
        <w:t xml:space="preserve"> or</w:t>
      </w:r>
      <w:r w:rsidRPr="00AA2780">
        <w:rPr>
          <w:lang w:eastAsia="en-AU"/>
        </w:rPr>
        <w:t xml:space="preserve"> appointment.</w:t>
      </w:r>
    </w:p>
    <w:p w14:paraId="0D022AC9" w14:textId="77777777" w:rsidR="00863819" w:rsidRDefault="00863819" w:rsidP="004048AB">
      <w:pPr>
        <w:rPr>
          <w:lang w:eastAsia="en-AU"/>
        </w:rPr>
      </w:pPr>
      <w:r w:rsidRPr="00AA2780">
        <w:rPr>
          <w:lang w:eastAsia="en-AU"/>
        </w:rPr>
        <w:t xml:space="preserve">The National </w:t>
      </w:r>
      <w:r w:rsidRPr="004048AB">
        <w:rPr>
          <w:lang w:eastAsia="en-AU"/>
        </w:rPr>
        <w:t>Service</w:t>
      </w:r>
      <w:r w:rsidRPr="00AA2780">
        <w:rPr>
          <w:lang w:eastAsia="en-AU"/>
        </w:rPr>
        <w:t xml:space="preserve"> Model</w:t>
      </w:r>
      <w:r>
        <w:rPr>
          <w:lang w:eastAsia="en-AU"/>
        </w:rPr>
        <w:t xml:space="preserve"> consists of </w:t>
      </w:r>
      <w:r w:rsidRPr="00AA2780">
        <w:rPr>
          <w:lang w:eastAsia="en-AU"/>
        </w:rPr>
        <w:t>four core service components: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9"/>
        <w:gridCol w:w="8351"/>
      </w:tblGrid>
      <w:tr w:rsidR="004048AB" w14:paraId="7BEF4E90" w14:textId="77777777" w:rsidTr="00DF37EE">
        <w:tc>
          <w:tcPr>
            <w:tcW w:w="709" w:type="dxa"/>
            <w:vAlign w:val="center"/>
          </w:tcPr>
          <w:p w14:paraId="0A918683" w14:textId="77777777" w:rsidR="004048AB" w:rsidRPr="003846BB" w:rsidRDefault="004048AB" w:rsidP="00DF37EE">
            <w:r w:rsidRPr="003846BB">
              <w:rPr>
                <w:noProof/>
              </w:rPr>
              <w:drawing>
                <wp:inline distT="0" distB="0" distL="0" distR="0" wp14:anchorId="05F3A66D" wp14:editId="00517E3F">
                  <wp:extent cx="363366" cy="363366"/>
                  <wp:effectExtent l="0" t="0" r="5080" b="5080"/>
                  <wp:docPr id="1632388451" name="Graphic 4" descr="Icon of two hands holding a 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88451" name="Graphic 4" descr="Icon of two hands holding a heart."/>
                          <pic:cNvPicPr/>
                        </pic:nvPicPr>
                        <pic:blipFill>
                          <a:blip r:embed="rId11">
                            <a:extLst>
                              <a:ext uri="{96DAC541-7B7A-43D3-8B79-37D633B846F1}">
                                <asvg:svgBlip xmlns:asvg="http://schemas.microsoft.com/office/drawing/2016/SVG/main" r:embed="rId12"/>
                              </a:ext>
                            </a:extLst>
                          </a:blip>
                          <a:stretch>
                            <a:fillRect/>
                          </a:stretch>
                        </pic:blipFill>
                        <pic:spPr>
                          <a:xfrm>
                            <a:off x="0" y="0"/>
                            <a:ext cx="363366" cy="363366"/>
                          </a:xfrm>
                          <a:prstGeom prst="rect">
                            <a:avLst/>
                          </a:prstGeom>
                        </pic:spPr>
                      </pic:pic>
                    </a:graphicData>
                  </a:graphic>
                </wp:inline>
              </w:drawing>
            </w:r>
          </w:p>
        </w:tc>
        <w:tc>
          <w:tcPr>
            <w:tcW w:w="8351" w:type="dxa"/>
            <w:tcBorders>
              <w:bottom w:val="single" w:sz="4" w:space="0" w:color="auto"/>
            </w:tcBorders>
            <w:vAlign w:val="center"/>
          </w:tcPr>
          <w:p w14:paraId="0BE2193F" w14:textId="265A815C" w:rsidR="004048AB" w:rsidRDefault="00EE5B59" w:rsidP="00DF37EE">
            <w:pPr>
              <w:rPr>
                <w:lang w:eastAsia="en-AU"/>
              </w:rPr>
            </w:pPr>
            <w:r w:rsidRPr="00BA439B">
              <w:t xml:space="preserve">Respond to people </w:t>
            </w:r>
            <w:r>
              <w:t xml:space="preserve">with moderate to severe mental health needs, including those </w:t>
            </w:r>
            <w:r w:rsidRPr="00BA439B">
              <w:t>in significant distress</w:t>
            </w:r>
            <w:r>
              <w:t xml:space="preserve"> </w:t>
            </w:r>
            <w:r w:rsidR="003E678F">
              <w:t>or</w:t>
            </w:r>
            <w:r w:rsidRPr="00BA439B">
              <w:t xml:space="preserve"> at heightened risk of suicide</w:t>
            </w:r>
          </w:p>
        </w:tc>
      </w:tr>
      <w:tr w:rsidR="004048AB" w14:paraId="6FB08BAB" w14:textId="77777777" w:rsidTr="00DF37EE">
        <w:tc>
          <w:tcPr>
            <w:tcW w:w="709" w:type="dxa"/>
            <w:vAlign w:val="center"/>
          </w:tcPr>
          <w:p w14:paraId="26A5F1DC" w14:textId="77777777" w:rsidR="004048AB" w:rsidRPr="003846BB" w:rsidRDefault="004048AB" w:rsidP="00DF37EE">
            <w:r w:rsidRPr="003846BB">
              <w:rPr>
                <w:noProof/>
              </w:rPr>
              <w:drawing>
                <wp:inline distT="0" distB="0" distL="0" distR="0" wp14:anchorId="2E11EB74" wp14:editId="38E45540">
                  <wp:extent cx="348542" cy="348542"/>
                  <wp:effectExtent l="0" t="0" r="0" b="0"/>
                  <wp:docPr id="1152436458" name="Graphic 4" descr="Icon of three peo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436458" name="Graphic 4" descr="Icon of three people."/>
                          <pic:cNvPicPr/>
                        </pic:nvPicPr>
                        <pic:blipFill>
                          <a:blip r:embed="rId13">
                            <a:extLst>
                              <a:ext uri="{96DAC541-7B7A-43D3-8B79-37D633B846F1}">
                                <asvg:svgBlip xmlns:asvg="http://schemas.microsoft.com/office/drawing/2016/SVG/main" r:embed="rId14"/>
                              </a:ext>
                            </a:extLst>
                          </a:blip>
                          <a:stretch>
                            <a:fillRect/>
                          </a:stretch>
                        </pic:blipFill>
                        <pic:spPr>
                          <a:xfrm>
                            <a:off x="0" y="0"/>
                            <a:ext cx="348542" cy="348542"/>
                          </a:xfrm>
                          <a:prstGeom prst="rect">
                            <a:avLst/>
                          </a:prstGeom>
                        </pic:spPr>
                      </pic:pic>
                    </a:graphicData>
                  </a:graphic>
                </wp:inline>
              </w:drawing>
            </w:r>
          </w:p>
        </w:tc>
        <w:tc>
          <w:tcPr>
            <w:tcW w:w="8351" w:type="dxa"/>
            <w:tcBorders>
              <w:top w:val="single" w:sz="4" w:space="0" w:color="auto"/>
              <w:bottom w:val="single" w:sz="4" w:space="0" w:color="auto"/>
            </w:tcBorders>
            <w:vAlign w:val="center"/>
          </w:tcPr>
          <w:p w14:paraId="473C4F07" w14:textId="74AEE79F" w:rsidR="004048AB" w:rsidRDefault="00A55EE3" w:rsidP="004048AB">
            <w:pPr>
              <w:rPr>
                <w:lang w:eastAsia="en-AU"/>
              </w:rPr>
            </w:pPr>
            <w:r w:rsidRPr="00BA439B">
              <w:t>Provide a central point to connect people to other services in the region</w:t>
            </w:r>
            <w:r>
              <w:t xml:space="preserve"> through service navigation and warm referral pathways</w:t>
            </w:r>
          </w:p>
        </w:tc>
      </w:tr>
      <w:tr w:rsidR="004048AB" w14:paraId="24B05548" w14:textId="77777777" w:rsidTr="00DF37EE">
        <w:tc>
          <w:tcPr>
            <w:tcW w:w="709" w:type="dxa"/>
            <w:vAlign w:val="center"/>
          </w:tcPr>
          <w:p w14:paraId="62EB0DF0" w14:textId="77777777" w:rsidR="004048AB" w:rsidRPr="003846BB" w:rsidRDefault="004048AB" w:rsidP="00DF37EE">
            <w:r w:rsidRPr="003846BB">
              <w:rPr>
                <w:noProof/>
              </w:rPr>
              <w:drawing>
                <wp:inline distT="0" distB="0" distL="0" distR="0" wp14:anchorId="296A0FEF" wp14:editId="315536C9">
                  <wp:extent cx="350764" cy="350764"/>
                  <wp:effectExtent l="0" t="0" r="5080" b="5080"/>
                  <wp:docPr id="106365116" name="Graphic 4" descr="Icon of check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65116" name="Graphic 4" descr="Icon of checklist."/>
                          <pic:cNvPicPr/>
                        </pic:nvPicPr>
                        <pic:blipFill>
                          <a:blip r:embed="rId15">
                            <a:extLst>
                              <a:ext uri="{96DAC541-7B7A-43D3-8B79-37D633B846F1}">
                                <asvg:svgBlip xmlns:asvg="http://schemas.microsoft.com/office/drawing/2016/SVG/main" r:embed="rId16"/>
                              </a:ext>
                            </a:extLst>
                          </a:blip>
                          <a:stretch>
                            <a:fillRect/>
                          </a:stretch>
                        </pic:blipFill>
                        <pic:spPr>
                          <a:xfrm>
                            <a:off x="0" y="0"/>
                            <a:ext cx="350764" cy="350764"/>
                          </a:xfrm>
                          <a:prstGeom prst="rect">
                            <a:avLst/>
                          </a:prstGeom>
                        </pic:spPr>
                      </pic:pic>
                    </a:graphicData>
                  </a:graphic>
                </wp:inline>
              </w:drawing>
            </w:r>
          </w:p>
        </w:tc>
        <w:tc>
          <w:tcPr>
            <w:tcW w:w="8351" w:type="dxa"/>
            <w:tcBorders>
              <w:top w:val="single" w:sz="4" w:space="0" w:color="auto"/>
              <w:bottom w:val="single" w:sz="4" w:space="0" w:color="auto"/>
            </w:tcBorders>
            <w:vAlign w:val="center"/>
          </w:tcPr>
          <w:p w14:paraId="6E82A2E6" w14:textId="293C6A73" w:rsidR="004048AB" w:rsidRDefault="003C0728" w:rsidP="004048AB">
            <w:pPr>
              <w:rPr>
                <w:lang w:eastAsia="en-AU"/>
              </w:rPr>
            </w:pPr>
            <w:r w:rsidRPr="00BA439B">
              <w:t>Provide in-house assessment</w:t>
            </w:r>
            <w:r>
              <w:t>, information, and support to access services</w:t>
            </w:r>
          </w:p>
        </w:tc>
      </w:tr>
      <w:tr w:rsidR="004048AB" w14:paraId="63671DEB" w14:textId="77777777" w:rsidTr="00DF37EE">
        <w:trPr>
          <w:trHeight w:val="76"/>
        </w:trPr>
        <w:tc>
          <w:tcPr>
            <w:tcW w:w="709" w:type="dxa"/>
            <w:vAlign w:val="center"/>
          </w:tcPr>
          <w:p w14:paraId="1BC46B13" w14:textId="77777777" w:rsidR="004048AB" w:rsidRPr="003846BB" w:rsidRDefault="004048AB" w:rsidP="00DF37EE">
            <w:r w:rsidRPr="003846BB">
              <w:rPr>
                <w:noProof/>
              </w:rPr>
              <w:drawing>
                <wp:inline distT="0" distB="0" distL="0" distR="0" wp14:anchorId="322D5C33" wp14:editId="32F037E6">
                  <wp:extent cx="344267" cy="344267"/>
                  <wp:effectExtent l="0" t="0" r="0" b="0"/>
                  <wp:docPr id="2095759704" name="Graphic 4" descr="Icon of head in profile with heart in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59704" name="Graphic 4" descr="Icon of head in profile with heart inside."/>
                          <pic:cNvPicPr/>
                        </pic:nvPicPr>
                        <pic:blipFill>
                          <a:blip r:embed="rId17">
                            <a:extLst>
                              <a:ext uri="{96DAC541-7B7A-43D3-8B79-37D633B846F1}">
                                <asvg:svgBlip xmlns:asvg="http://schemas.microsoft.com/office/drawing/2016/SVG/main" r:embed="rId18"/>
                              </a:ext>
                            </a:extLst>
                          </a:blip>
                          <a:stretch>
                            <a:fillRect/>
                          </a:stretch>
                        </pic:blipFill>
                        <pic:spPr>
                          <a:xfrm>
                            <a:off x="0" y="0"/>
                            <a:ext cx="344267" cy="344267"/>
                          </a:xfrm>
                          <a:prstGeom prst="rect">
                            <a:avLst/>
                          </a:prstGeom>
                        </pic:spPr>
                      </pic:pic>
                    </a:graphicData>
                  </a:graphic>
                </wp:inline>
              </w:drawing>
            </w:r>
          </w:p>
        </w:tc>
        <w:tc>
          <w:tcPr>
            <w:tcW w:w="8351" w:type="dxa"/>
            <w:tcBorders>
              <w:top w:val="single" w:sz="4" w:space="0" w:color="auto"/>
            </w:tcBorders>
            <w:vAlign w:val="center"/>
          </w:tcPr>
          <w:p w14:paraId="594C690E" w14:textId="3D17E84D" w:rsidR="004048AB" w:rsidRDefault="00392930" w:rsidP="004048AB">
            <w:pPr>
              <w:rPr>
                <w:lang w:eastAsia="en-AU"/>
              </w:rPr>
            </w:pPr>
            <w:r w:rsidRPr="00BA439B">
              <w:t>Provide evidence-based short-to-medium term</w:t>
            </w:r>
            <w:r>
              <w:t xml:space="preserve"> episodes of</w:t>
            </w:r>
            <w:r w:rsidRPr="00BA439B">
              <w:t xml:space="preserve"> care</w:t>
            </w:r>
          </w:p>
        </w:tc>
      </w:tr>
    </w:tbl>
    <w:p w14:paraId="75036D70" w14:textId="618A688F" w:rsidR="00863819" w:rsidRDefault="00863819" w:rsidP="005F027A">
      <w:pPr>
        <w:rPr>
          <w:lang w:eastAsia="en-AU"/>
        </w:rPr>
      </w:pPr>
      <w:r w:rsidRPr="00AA2780">
        <w:rPr>
          <w:lang w:eastAsia="en-AU"/>
        </w:rPr>
        <w:t xml:space="preserve">Services are delivered through multidisciplinary teams </w:t>
      </w:r>
      <w:r>
        <w:rPr>
          <w:lang w:eastAsia="en-AU"/>
        </w:rPr>
        <w:t xml:space="preserve">that </w:t>
      </w:r>
      <w:r w:rsidRPr="00AA2780">
        <w:rPr>
          <w:lang w:eastAsia="en-AU"/>
        </w:rPr>
        <w:t>may include psychologists</w:t>
      </w:r>
      <w:r>
        <w:rPr>
          <w:lang w:eastAsia="en-AU"/>
        </w:rPr>
        <w:t>,</w:t>
      </w:r>
      <w:r w:rsidRPr="00AA2780">
        <w:rPr>
          <w:lang w:eastAsia="en-AU"/>
        </w:rPr>
        <w:t xml:space="preserve"> social workers, nurses, occupational therapists, counsellors, peer workers, </w:t>
      </w:r>
      <w:r>
        <w:rPr>
          <w:lang w:eastAsia="en-AU"/>
        </w:rPr>
        <w:t>psychiatrists, GPs, nurse practitioners</w:t>
      </w:r>
      <w:r w:rsidRPr="00AA2780">
        <w:rPr>
          <w:lang w:eastAsia="en-AU"/>
        </w:rPr>
        <w:t xml:space="preserve"> and other psychosocial, community and cultural support roles. </w:t>
      </w:r>
    </w:p>
    <w:p w14:paraId="08BACBB5" w14:textId="54406749" w:rsidR="00434034" w:rsidRPr="005477E9" w:rsidRDefault="00863819" w:rsidP="005477E9">
      <w:pPr>
        <w:rPr>
          <w:b/>
          <w:bCs/>
          <w:kern w:val="36"/>
          <w:lang w:eastAsia="en-AU"/>
        </w:rPr>
      </w:pPr>
      <w:r w:rsidRPr="008F2F24">
        <w:rPr>
          <w:lang w:eastAsia="en-AU"/>
        </w:rPr>
        <w:t xml:space="preserve">Together, these workforce groups provide support </w:t>
      </w:r>
      <w:r>
        <w:rPr>
          <w:lang w:eastAsia="en-AU"/>
        </w:rPr>
        <w:t xml:space="preserve">for </w:t>
      </w:r>
      <w:r w:rsidRPr="008F2F24">
        <w:rPr>
          <w:lang w:eastAsia="en-AU"/>
        </w:rPr>
        <w:t xml:space="preserve">people's </w:t>
      </w:r>
      <w:r>
        <w:rPr>
          <w:lang w:eastAsia="en-AU"/>
        </w:rPr>
        <w:t xml:space="preserve">mental health, physical health, </w:t>
      </w:r>
      <w:r w:rsidRPr="008F2F24">
        <w:rPr>
          <w:lang w:eastAsia="en-AU"/>
        </w:rPr>
        <w:t>social and practical needs.</w:t>
      </w:r>
      <w:r w:rsidRPr="00231F3E">
        <w:t xml:space="preserve"> </w:t>
      </w:r>
      <w:r w:rsidRPr="00231F3E">
        <w:rPr>
          <w:lang w:eastAsia="en-AU"/>
        </w:rPr>
        <w:t xml:space="preserve">This includes </w:t>
      </w:r>
      <w:r w:rsidRPr="00801625">
        <w:rPr>
          <w:lang w:eastAsia="en-AU"/>
        </w:rPr>
        <w:t>clinical care</w:t>
      </w:r>
      <w:r w:rsidRPr="00231F3E">
        <w:rPr>
          <w:lang w:eastAsia="en-AU"/>
        </w:rPr>
        <w:t xml:space="preserve"> (assessment, treatment and support provided by qualified health professionals), as well as peer, psychosocial and community-based support.</w:t>
      </w:r>
    </w:p>
    <w:p w14:paraId="17C3BD11" w14:textId="56FB7B6C" w:rsidR="00863819" w:rsidRPr="00F704D0" w:rsidRDefault="00863819" w:rsidP="00F704D0">
      <w:pPr>
        <w:pStyle w:val="Heading2"/>
        <w:rPr>
          <w:kern w:val="36"/>
          <w:lang w:eastAsia="en-AU"/>
        </w:rPr>
      </w:pPr>
      <w:r w:rsidRPr="004428BD">
        <w:rPr>
          <w:lang w:eastAsia="en-AU"/>
        </w:rPr>
        <w:t xml:space="preserve">Strengths </w:t>
      </w:r>
      <w:r w:rsidRPr="004048AB">
        <w:rPr>
          <w:lang w:eastAsia="en-AU"/>
        </w:rPr>
        <w:t>of</w:t>
      </w:r>
      <w:r w:rsidRPr="004428BD">
        <w:rPr>
          <w:lang w:eastAsia="en-AU"/>
        </w:rPr>
        <w:t xml:space="preserve"> the </w:t>
      </w:r>
      <w:r w:rsidRPr="004048AB">
        <w:t>model</w:t>
      </w:r>
    </w:p>
    <w:p w14:paraId="6D5C17A9" w14:textId="51CB13A4" w:rsidR="005F027A" w:rsidRPr="005F027A" w:rsidRDefault="003F2DDC" w:rsidP="00903E35">
      <w:pPr>
        <w:spacing w:before="240" w:after="240"/>
      </w:pPr>
      <w:r w:rsidRPr="003F2DDC">
        <w:rPr>
          <w:noProof/>
        </w:rPr>
        <w:drawing>
          <wp:inline distT="0" distB="0" distL="0" distR="0" wp14:anchorId="76BD675F" wp14:editId="1BCF02F8">
            <wp:extent cx="5759450" cy="1605915"/>
            <wp:effectExtent l="0" t="0" r="0" b="0"/>
            <wp:docPr id="1691929332" name="Picture 1" descr="Four-panel infographic outlines the strengths of the Medicare mental Health Centre model. Teal icons and labels present accessible, welcoming support; relational and person-centred care; integrated, multidisciplinary care; and community partnersh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929332" name="Picture 1" descr="Four-panel infographic outlines the strengths of the Medicare mental Health Centre model. Teal icons and labels present accessible, welcoming support; relational and person-centred care; integrated, multidisciplinary care; and community partnerships."/>
                    <pic:cNvPicPr/>
                  </pic:nvPicPr>
                  <pic:blipFill>
                    <a:blip r:embed="rId19"/>
                    <a:stretch>
                      <a:fillRect/>
                    </a:stretch>
                  </pic:blipFill>
                  <pic:spPr>
                    <a:xfrm>
                      <a:off x="0" y="0"/>
                      <a:ext cx="5759450" cy="1605915"/>
                    </a:xfrm>
                    <a:prstGeom prst="rect">
                      <a:avLst/>
                    </a:prstGeom>
                  </pic:spPr>
                </pic:pic>
              </a:graphicData>
            </a:graphic>
          </wp:inline>
        </w:drawing>
      </w:r>
    </w:p>
    <w:p w14:paraId="4B38FCF5" w14:textId="77777777" w:rsidR="00863819" w:rsidRPr="00F338C3" w:rsidRDefault="00863819" w:rsidP="005F027A">
      <w:pPr>
        <w:rPr>
          <w:lang w:eastAsia="en-AU"/>
        </w:rPr>
      </w:pPr>
      <w:r w:rsidRPr="00F338C3">
        <w:rPr>
          <w:lang w:eastAsia="en-AU"/>
        </w:rPr>
        <w:t xml:space="preserve">Across Australia, </w:t>
      </w:r>
      <w:r>
        <w:rPr>
          <w:lang w:eastAsia="en-AU"/>
        </w:rPr>
        <w:t xml:space="preserve">consumers, carers, staff and partners </w:t>
      </w:r>
      <w:r w:rsidRPr="00F338C3">
        <w:rPr>
          <w:lang w:eastAsia="en-AU"/>
        </w:rPr>
        <w:t xml:space="preserve">consistently described </w:t>
      </w:r>
      <w:r>
        <w:rPr>
          <w:lang w:eastAsia="en-AU"/>
        </w:rPr>
        <w:t>Medicare Mental Health C</w:t>
      </w:r>
      <w:r w:rsidRPr="00F338C3">
        <w:rPr>
          <w:lang w:eastAsia="en-AU"/>
        </w:rPr>
        <w:t>entres as accessible, welcoming and responsive to community need.</w:t>
      </w:r>
    </w:p>
    <w:p w14:paraId="644D1D4A" w14:textId="77777777" w:rsidR="00863819" w:rsidRPr="004D4BFD" w:rsidRDefault="00863819" w:rsidP="004048AB">
      <w:pPr>
        <w:pStyle w:val="Heading3"/>
        <w:rPr>
          <w:lang w:eastAsia="en-AU"/>
        </w:rPr>
      </w:pPr>
      <w:r w:rsidRPr="004D4BFD">
        <w:rPr>
          <w:lang w:eastAsia="en-AU"/>
        </w:rPr>
        <w:t>Accessible, welcoming support</w:t>
      </w:r>
    </w:p>
    <w:p w14:paraId="7D699B5C" w14:textId="11B2D989" w:rsidR="00863819" w:rsidRPr="00A050E0" w:rsidRDefault="00863819" w:rsidP="005F027A">
      <w:pPr>
        <w:rPr>
          <w:lang w:eastAsia="en-AU"/>
        </w:rPr>
      </w:pPr>
      <w:r w:rsidRPr="32C52DC1">
        <w:rPr>
          <w:lang w:eastAsia="en-AU"/>
        </w:rPr>
        <w:t>One of the model's greatest strengths is its accessibility. Free, walk-in access without a referral</w:t>
      </w:r>
      <w:r w:rsidR="7AC0CFF5" w:rsidRPr="32C52DC1">
        <w:rPr>
          <w:lang w:eastAsia="en-AU"/>
        </w:rPr>
        <w:t xml:space="preserve"> or</w:t>
      </w:r>
      <w:r w:rsidRPr="32C52DC1">
        <w:rPr>
          <w:lang w:eastAsia="en-AU"/>
        </w:rPr>
        <w:t xml:space="preserve"> appointment reduces barriers and enables people to seek help when they need it most. The model’s welcoming, "no wrong door" and "can-do" culture also helps ensure people feel supported from their first point of contact. This ethos creates a strong foundation of inclusion, safety and dignity. Stakeholders consistently described services as responsive </w:t>
      </w:r>
      <w:r w:rsidRPr="32C52DC1">
        <w:rPr>
          <w:lang w:eastAsia="en-AU"/>
        </w:rPr>
        <w:lastRenderedPageBreak/>
        <w:t>and solution-focused, with staff working alongside people to understand their needs and connect them with appropriate support.</w:t>
      </w:r>
    </w:p>
    <w:p w14:paraId="577A25CF" w14:textId="77777777" w:rsidR="00863819" w:rsidRDefault="00863819" w:rsidP="005F027A">
      <w:pPr>
        <w:rPr>
          <w:lang w:eastAsia="en-AU"/>
        </w:rPr>
      </w:pPr>
      <w:r w:rsidRPr="0052731B">
        <w:rPr>
          <w:lang w:eastAsia="en-AU"/>
        </w:rPr>
        <w:t xml:space="preserve">Consumers highlighted the importance of the </w:t>
      </w:r>
      <w:r>
        <w:rPr>
          <w:lang w:eastAsia="en-AU"/>
        </w:rPr>
        <w:t>t</w:t>
      </w:r>
      <w:r w:rsidRPr="0052731B">
        <w:rPr>
          <w:lang w:eastAsia="en-AU"/>
        </w:rPr>
        <w:t xml:space="preserve">houghtfully </w:t>
      </w:r>
      <w:r>
        <w:rPr>
          <w:lang w:eastAsia="en-AU"/>
        </w:rPr>
        <w:t>co-</w:t>
      </w:r>
      <w:r w:rsidRPr="0052731B">
        <w:rPr>
          <w:lang w:eastAsia="en-AU"/>
        </w:rPr>
        <w:t>designed, trauma-informed physical spaces</w:t>
      </w:r>
      <w:r>
        <w:rPr>
          <w:lang w:eastAsia="en-AU"/>
        </w:rPr>
        <w:t xml:space="preserve"> supported by </w:t>
      </w:r>
      <w:r w:rsidRPr="0052731B">
        <w:rPr>
          <w:lang w:eastAsia="en-AU"/>
        </w:rPr>
        <w:t xml:space="preserve">a welcoming culture </w:t>
      </w:r>
      <w:r>
        <w:rPr>
          <w:lang w:eastAsia="en-AU"/>
        </w:rPr>
        <w:t xml:space="preserve">for </w:t>
      </w:r>
      <w:r w:rsidRPr="0052731B">
        <w:rPr>
          <w:lang w:eastAsia="en-AU"/>
        </w:rPr>
        <w:t>help</w:t>
      </w:r>
      <w:r>
        <w:rPr>
          <w:lang w:eastAsia="en-AU"/>
        </w:rPr>
        <w:t>ing</w:t>
      </w:r>
      <w:r w:rsidRPr="0052731B">
        <w:rPr>
          <w:lang w:eastAsia="en-AU"/>
        </w:rPr>
        <w:t xml:space="preserve"> reduce stigma</w:t>
      </w:r>
      <w:r>
        <w:rPr>
          <w:lang w:eastAsia="en-AU"/>
        </w:rPr>
        <w:t xml:space="preserve"> and</w:t>
      </w:r>
      <w:r w:rsidRPr="0052731B">
        <w:rPr>
          <w:lang w:eastAsia="en-AU"/>
        </w:rPr>
        <w:t xml:space="preserve"> foster</w:t>
      </w:r>
      <w:r>
        <w:rPr>
          <w:lang w:eastAsia="en-AU"/>
        </w:rPr>
        <w:t>ing</w:t>
      </w:r>
      <w:r w:rsidRPr="0052731B">
        <w:rPr>
          <w:lang w:eastAsia="en-AU"/>
        </w:rPr>
        <w:t xml:space="preserve"> trust and belonging</w:t>
      </w:r>
      <w:r>
        <w:rPr>
          <w:lang w:eastAsia="en-AU"/>
        </w:rPr>
        <w:t xml:space="preserve">. They described these environments as places where they felt </w:t>
      </w:r>
      <w:r w:rsidRPr="0052731B">
        <w:rPr>
          <w:lang w:eastAsia="en-AU"/>
        </w:rPr>
        <w:t xml:space="preserve">safe, respected and listened </w:t>
      </w:r>
      <w:r>
        <w:rPr>
          <w:lang w:eastAsia="en-AU"/>
        </w:rPr>
        <w:t xml:space="preserve">to. </w:t>
      </w:r>
    </w:p>
    <w:p w14:paraId="04096D1D" w14:textId="77777777" w:rsidR="00863819" w:rsidRPr="00502CB8" w:rsidRDefault="00863819" w:rsidP="004048AB">
      <w:pPr>
        <w:pStyle w:val="Heading3"/>
        <w:rPr>
          <w:lang w:eastAsia="en-AU"/>
        </w:rPr>
      </w:pPr>
      <w:r w:rsidRPr="00502CB8">
        <w:rPr>
          <w:lang w:eastAsia="en-AU"/>
        </w:rPr>
        <w:t xml:space="preserve">Relational and </w:t>
      </w:r>
      <w:r w:rsidRPr="004048AB">
        <w:t>person</w:t>
      </w:r>
      <w:r w:rsidRPr="00502CB8">
        <w:rPr>
          <w:lang w:eastAsia="en-AU"/>
        </w:rPr>
        <w:t>-centred care</w:t>
      </w:r>
    </w:p>
    <w:p w14:paraId="78ABAF20" w14:textId="77777777" w:rsidR="00863819" w:rsidRDefault="00863819" w:rsidP="005F027A">
      <w:pPr>
        <w:rPr>
          <w:lang w:eastAsia="en-AU"/>
        </w:rPr>
      </w:pPr>
      <w:r w:rsidRPr="00F338C3">
        <w:rPr>
          <w:lang w:eastAsia="en-AU"/>
        </w:rPr>
        <w:t xml:space="preserve">A defining strength of the model is its emphasis on trusted relationships. Consumers, families and carers consistently described the importance of having time to build trust </w:t>
      </w:r>
      <w:r>
        <w:rPr>
          <w:lang w:eastAsia="en-AU"/>
        </w:rPr>
        <w:t xml:space="preserve">with staff and </w:t>
      </w:r>
      <w:r w:rsidRPr="00F338C3">
        <w:rPr>
          <w:lang w:eastAsia="en-AU"/>
        </w:rPr>
        <w:t>receiv</w:t>
      </w:r>
      <w:r>
        <w:rPr>
          <w:lang w:eastAsia="en-AU"/>
        </w:rPr>
        <w:t xml:space="preserve">e support tailored to </w:t>
      </w:r>
      <w:r w:rsidRPr="00F338C3">
        <w:rPr>
          <w:lang w:eastAsia="en-AU"/>
        </w:rPr>
        <w:t>their individual circumstances</w:t>
      </w:r>
      <w:r>
        <w:rPr>
          <w:lang w:eastAsia="en-AU"/>
        </w:rPr>
        <w:t xml:space="preserve"> rather than a one-size-fits-all approach</w:t>
      </w:r>
      <w:r w:rsidRPr="00F338C3">
        <w:rPr>
          <w:lang w:eastAsia="en-AU"/>
        </w:rPr>
        <w:t xml:space="preserve">. </w:t>
      </w:r>
    </w:p>
    <w:p w14:paraId="6D6A444D" w14:textId="77777777" w:rsidR="00863819" w:rsidRPr="00F338C3" w:rsidRDefault="00863819" w:rsidP="005F027A">
      <w:pPr>
        <w:rPr>
          <w:lang w:eastAsia="en-AU"/>
        </w:rPr>
      </w:pPr>
      <w:r w:rsidRPr="00F338C3">
        <w:rPr>
          <w:lang w:eastAsia="en-AU"/>
        </w:rPr>
        <w:t xml:space="preserve">The review found that relational </w:t>
      </w:r>
      <w:r>
        <w:rPr>
          <w:lang w:eastAsia="en-AU"/>
        </w:rPr>
        <w:t xml:space="preserve">care, </w:t>
      </w:r>
      <w:r w:rsidRPr="00706F22">
        <w:rPr>
          <w:lang w:eastAsia="en-AU"/>
        </w:rPr>
        <w:t>made possible by strong interdisciplinary teamwork</w:t>
      </w:r>
      <w:r>
        <w:rPr>
          <w:lang w:eastAsia="en-AU"/>
        </w:rPr>
        <w:t xml:space="preserve">, </w:t>
      </w:r>
      <w:r w:rsidRPr="00F338C3">
        <w:rPr>
          <w:lang w:eastAsia="en-AU"/>
        </w:rPr>
        <w:t>is a key factor underpinning the model's effectiveness.</w:t>
      </w:r>
      <w:r>
        <w:rPr>
          <w:lang w:eastAsia="en-AU"/>
        </w:rPr>
        <w:t xml:space="preserve"> </w:t>
      </w:r>
      <w:r w:rsidRPr="00F338C3">
        <w:rPr>
          <w:lang w:eastAsia="en-AU"/>
        </w:rPr>
        <w:t xml:space="preserve">Staff frequently described positive workplace cultures characterised by collaboration, shared purpose and the ability to work in ways that align with their professional values. </w:t>
      </w:r>
    </w:p>
    <w:p w14:paraId="20CB2A8C" w14:textId="77777777" w:rsidR="00863819" w:rsidRPr="00571D1B" w:rsidRDefault="00863819" w:rsidP="004048AB">
      <w:pPr>
        <w:pStyle w:val="Heading3"/>
        <w:rPr>
          <w:lang w:eastAsia="en-AU"/>
        </w:rPr>
      </w:pPr>
      <w:r w:rsidRPr="00571D1B">
        <w:rPr>
          <w:lang w:eastAsia="en-AU"/>
        </w:rPr>
        <w:t>Integrated, multidisciplinary care</w:t>
      </w:r>
    </w:p>
    <w:p w14:paraId="3718A993" w14:textId="77777777" w:rsidR="00D074A2" w:rsidRDefault="00863819" w:rsidP="005F027A">
      <w:r w:rsidRPr="00F338C3">
        <w:rPr>
          <w:lang w:eastAsia="en-AU"/>
        </w:rPr>
        <w:t xml:space="preserve">The review found that the model works best when all four core service components operate together as an integrated system. </w:t>
      </w:r>
      <w:r w:rsidRPr="00022CFF">
        <w:rPr>
          <w:lang w:eastAsia="en-AU"/>
        </w:rPr>
        <w:t>The mix of clinical</w:t>
      </w:r>
      <w:r>
        <w:rPr>
          <w:lang w:eastAsia="en-AU"/>
        </w:rPr>
        <w:t xml:space="preserve">, peer, psychosocial </w:t>
      </w:r>
      <w:r w:rsidRPr="00022CFF">
        <w:rPr>
          <w:lang w:eastAsia="en-AU"/>
        </w:rPr>
        <w:t xml:space="preserve">and cultural </w:t>
      </w:r>
      <w:r>
        <w:rPr>
          <w:lang w:eastAsia="en-AU"/>
        </w:rPr>
        <w:t xml:space="preserve">roles </w:t>
      </w:r>
      <w:r w:rsidRPr="00022CFF">
        <w:rPr>
          <w:lang w:eastAsia="en-AU"/>
        </w:rPr>
        <w:t xml:space="preserve">enable </w:t>
      </w:r>
      <w:r>
        <w:rPr>
          <w:lang w:eastAsia="en-AU"/>
        </w:rPr>
        <w:t xml:space="preserve">flexible, </w:t>
      </w:r>
      <w:r w:rsidRPr="00022CFF">
        <w:rPr>
          <w:lang w:eastAsia="en-AU"/>
        </w:rPr>
        <w:t>holistic care</w:t>
      </w:r>
      <w:r>
        <w:rPr>
          <w:lang w:eastAsia="en-AU"/>
        </w:rPr>
        <w:t xml:space="preserve"> that responds to people’s diverse needs. </w:t>
      </w:r>
      <w:r w:rsidRPr="005235AA">
        <w:t xml:space="preserve"> </w:t>
      </w:r>
    </w:p>
    <w:p w14:paraId="57F2DF49" w14:textId="77777777" w:rsidR="004209DA" w:rsidRPr="00EE6C79" w:rsidRDefault="004209DA" w:rsidP="004209DA">
      <w:pPr>
        <w:spacing w:before="100" w:beforeAutospacing="1" w:after="100" w:afterAutospacing="1" w:line="300" w:lineRule="atLeast"/>
        <w:outlineLvl w:val="3"/>
        <w:rPr>
          <w:rFonts w:cs="Arial"/>
          <w:b/>
          <w:bCs/>
          <w:color w:val="auto"/>
          <w:sz w:val="24"/>
          <w:lang w:eastAsia="en-AU"/>
        </w:rPr>
      </w:pPr>
      <w:r w:rsidRPr="00EE6C79">
        <w:rPr>
          <w:rFonts w:cs="Arial"/>
          <w:b/>
          <w:bCs/>
          <w:color w:val="auto"/>
          <w:sz w:val="24"/>
          <w:lang w:eastAsia="en-AU"/>
        </w:rPr>
        <w:t>A multidisciplinary national workforce</w:t>
      </w:r>
    </w:p>
    <w:p w14:paraId="1B6CCF02" w14:textId="4D77DB2A" w:rsidR="004209DA" w:rsidRDefault="004209DA" w:rsidP="004209DA">
      <w:pPr>
        <w:spacing w:before="100" w:beforeAutospacing="1" w:after="100" w:afterAutospacing="1" w:line="300" w:lineRule="atLeast"/>
        <w:rPr>
          <w:rFonts w:cs="Arial"/>
          <w:color w:val="auto"/>
          <w:szCs w:val="22"/>
          <w:lang w:eastAsia="en-AU"/>
        </w:rPr>
      </w:pPr>
      <w:r w:rsidRPr="004209DA">
        <w:rPr>
          <w:rFonts w:cs="Arial"/>
          <w:color w:val="auto"/>
          <w:szCs w:val="22"/>
          <w:lang w:eastAsia="en-AU"/>
        </w:rPr>
        <w:t>Workforce information collected through the review identified more than 400 staff working across the 33 participating sites. The workforce included mental health clinicians, peer workers, integrated mental health workers</w:t>
      </w:r>
      <w:r w:rsidR="00E06942">
        <w:rPr>
          <w:rFonts w:cs="Arial"/>
          <w:color w:val="auto"/>
          <w:szCs w:val="22"/>
          <w:lang w:eastAsia="en-AU"/>
        </w:rPr>
        <w:t xml:space="preserve"> (</w:t>
      </w:r>
      <w:r w:rsidR="00E06942" w:rsidRPr="00E06942">
        <w:rPr>
          <w:rFonts w:cs="Arial"/>
          <w:color w:val="auto"/>
          <w:szCs w:val="22"/>
          <w:lang w:eastAsia="en-AU"/>
        </w:rPr>
        <w:t>Aboriginal Health Workers, Transcultural Health Workers, vocational, family and mental health support</w:t>
      </w:r>
      <w:r w:rsidR="00220FBD">
        <w:rPr>
          <w:rFonts w:cs="Arial"/>
          <w:color w:val="auto"/>
          <w:szCs w:val="22"/>
          <w:lang w:eastAsia="en-AU"/>
        </w:rPr>
        <w:t xml:space="preserve"> workers</w:t>
      </w:r>
      <w:r w:rsidR="00E06942">
        <w:rPr>
          <w:rFonts w:cs="Arial"/>
          <w:color w:val="auto"/>
          <w:szCs w:val="22"/>
          <w:lang w:eastAsia="en-AU"/>
        </w:rPr>
        <w:t>)</w:t>
      </w:r>
      <w:r w:rsidRPr="004209DA">
        <w:rPr>
          <w:rFonts w:cs="Arial"/>
          <w:color w:val="auto"/>
          <w:szCs w:val="22"/>
          <w:lang w:eastAsia="en-AU"/>
        </w:rPr>
        <w:t xml:space="preserve">, medical and physical health </w:t>
      </w:r>
      <w:r w:rsidR="004F3F9E">
        <w:rPr>
          <w:rFonts w:cs="Arial"/>
          <w:color w:val="auto"/>
          <w:szCs w:val="22"/>
          <w:lang w:eastAsia="en-AU"/>
        </w:rPr>
        <w:t>roles</w:t>
      </w:r>
      <w:r w:rsidR="008F37CE">
        <w:rPr>
          <w:rFonts w:cs="Arial"/>
          <w:color w:val="auto"/>
          <w:szCs w:val="22"/>
          <w:lang w:eastAsia="en-AU"/>
        </w:rPr>
        <w:t xml:space="preserve"> (including psychiatrists, GPs and nurse practitioners)</w:t>
      </w:r>
      <w:r w:rsidRPr="004209DA">
        <w:rPr>
          <w:rFonts w:cs="Arial"/>
          <w:color w:val="auto"/>
          <w:szCs w:val="22"/>
          <w:lang w:eastAsia="en-AU"/>
        </w:rPr>
        <w:t>, students, and staff providing management</w:t>
      </w:r>
      <w:r w:rsidR="009B7F7A">
        <w:rPr>
          <w:rFonts w:cs="Arial"/>
          <w:color w:val="auto"/>
          <w:szCs w:val="22"/>
          <w:lang w:eastAsia="en-AU"/>
        </w:rPr>
        <w:t xml:space="preserve"> and operational support</w:t>
      </w:r>
      <w:r w:rsidR="009A3002" w:rsidRPr="004209DA">
        <w:rPr>
          <w:rFonts w:cs="Arial"/>
          <w:color w:val="auto"/>
          <w:szCs w:val="22"/>
          <w:lang w:eastAsia="en-AU"/>
        </w:rPr>
        <w:t>.</w:t>
      </w:r>
    </w:p>
    <w:p w14:paraId="16F696F5" w14:textId="39B6268C" w:rsidR="005125B6" w:rsidRDefault="001F7CF6" w:rsidP="00241260">
      <w:pPr>
        <w:spacing w:before="100" w:beforeAutospacing="1" w:after="100" w:afterAutospacing="1" w:line="300" w:lineRule="atLeast"/>
        <w:jc w:val="center"/>
        <w:rPr>
          <w:rFonts w:cs="Arial"/>
          <w:color w:val="auto"/>
          <w:szCs w:val="22"/>
          <w:lang w:eastAsia="en-AU"/>
        </w:rPr>
      </w:pPr>
      <w:r w:rsidRPr="001F7CF6">
        <w:rPr>
          <w:rFonts w:cs="Arial"/>
          <w:noProof/>
          <w:color w:val="auto"/>
          <w:szCs w:val="22"/>
          <w:lang w:eastAsia="en-AU"/>
        </w:rPr>
        <w:drawing>
          <wp:inline distT="0" distB="0" distL="0" distR="0" wp14:anchorId="1BF18C4D" wp14:editId="6AB3D867">
            <wp:extent cx="4619625" cy="3079918"/>
            <wp:effectExtent l="0" t="0" r="0" b="6350"/>
            <wp:docPr id="2091641696" name="Picture 1" descr="Six-panel infographic summarises role distribution across mental-health-related workforce and support network. Blue, teal and pale green tiles show Mental Health Clinicians 52%, Peer Workers 23%, Management and Operational Support 16%, Integrated Mental Health Workers 6%, Students 2%, and Medical and Physical Health Roles 1%, with circular line icons and horizontal divid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641696" name="Picture 1" descr="Six-panel infographic summarises role distribution across mental-health-related workforce and support network. Blue, teal and pale green tiles show Mental Health Clinicians 52%, Peer Workers 23%, Management and Operational Support 16%, Integrated Mental Health Workers 6%, Students 2%, and Medical and Physical Health Roles 1%, with circular line icons and horizontal dividers."/>
                    <pic:cNvPicPr/>
                  </pic:nvPicPr>
                  <pic:blipFill>
                    <a:blip r:embed="rId20"/>
                    <a:stretch>
                      <a:fillRect/>
                    </a:stretch>
                  </pic:blipFill>
                  <pic:spPr>
                    <a:xfrm>
                      <a:off x="0" y="0"/>
                      <a:ext cx="4631385" cy="3087758"/>
                    </a:xfrm>
                    <a:prstGeom prst="rect">
                      <a:avLst/>
                    </a:prstGeom>
                  </pic:spPr>
                </pic:pic>
              </a:graphicData>
            </a:graphic>
          </wp:inline>
        </w:drawing>
      </w:r>
    </w:p>
    <w:p w14:paraId="37F5B11E" w14:textId="77777777" w:rsidR="00F4307F" w:rsidRPr="00EE6C79" w:rsidRDefault="00F4307F" w:rsidP="00F4307F">
      <w:pPr>
        <w:spacing w:before="100" w:beforeAutospacing="1" w:after="100" w:afterAutospacing="1" w:line="300" w:lineRule="atLeast"/>
        <w:outlineLvl w:val="3"/>
        <w:rPr>
          <w:rFonts w:cs="Arial"/>
          <w:b/>
          <w:bCs/>
          <w:color w:val="auto"/>
          <w:sz w:val="24"/>
          <w:lang w:eastAsia="en-AU"/>
        </w:rPr>
      </w:pPr>
      <w:r w:rsidRPr="00EE6C79">
        <w:rPr>
          <w:rFonts w:cs="Arial"/>
          <w:b/>
          <w:bCs/>
          <w:color w:val="auto"/>
          <w:sz w:val="24"/>
          <w:lang w:eastAsia="en-AU"/>
        </w:rPr>
        <w:lastRenderedPageBreak/>
        <w:t>A diverse mental health clinician workforce</w:t>
      </w:r>
    </w:p>
    <w:p w14:paraId="67989E9E" w14:textId="33A72BA4" w:rsidR="00F4307F" w:rsidRPr="00F4307F" w:rsidRDefault="00F4307F" w:rsidP="00F4307F">
      <w:pPr>
        <w:spacing w:before="100" w:beforeAutospacing="1" w:after="100" w:afterAutospacing="1" w:line="300" w:lineRule="atLeast"/>
        <w:rPr>
          <w:rFonts w:cs="Arial"/>
          <w:color w:val="auto"/>
          <w:szCs w:val="22"/>
          <w:lang w:eastAsia="en-AU"/>
        </w:rPr>
      </w:pPr>
      <w:r w:rsidRPr="00F4307F">
        <w:rPr>
          <w:rFonts w:cs="Arial"/>
          <w:color w:val="auto"/>
          <w:szCs w:val="22"/>
          <w:lang w:eastAsia="en-AU"/>
        </w:rPr>
        <w:t xml:space="preserve">Mental health clinicians comprised the largest workforce group. The clinician workforce itself reflected a broad mix of disciplines including social work, nursing, counselling, psychology and occupational therapy professions. This diversity of </w:t>
      </w:r>
      <w:r w:rsidR="008609A1">
        <w:rPr>
          <w:rFonts w:cs="Arial"/>
          <w:color w:val="auto"/>
          <w:szCs w:val="22"/>
          <w:lang w:eastAsia="en-AU"/>
        </w:rPr>
        <w:t xml:space="preserve">professional background </w:t>
      </w:r>
      <w:r w:rsidRPr="00F4307F">
        <w:rPr>
          <w:rFonts w:cs="Arial"/>
          <w:color w:val="auto"/>
          <w:szCs w:val="22"/>
          <w:lang w:eastAsia="en-AU"/>
        </w:rPr>
        <w:t>supports interdisciplinary practice and enables Medicare Mental Health Centres to respond to a wide range of consumer needs.</w:t>
      </w:r>
    </w:p>
    <w:p w14:paraId="49D2F78C" w14:textId="132191FC" w:rsidR="00281A7F" w:rsidRPr="004209DA" w:rsidRDefault="00465803" w:rsidP="00434034">
      <w:pPr>
        <w:spacing w:before="100" w:beforeAutospacing="1" w:after="100" w:afterAutospacing="1" w:line="300" w:lineRule="atLeast"/>
        <w:jc w:val="center"/>
        <w:rPr>
          <w:rFonts w:cs="Arial"/>
          <w:color w:val="auto"/>
          <w:szCs w:val="22"/>
          <w:lang w:eastAsia="en-AU"/>
        </w:rPr>
      </w:pPr>
      <w:r w:rsidRPr="00465803">
        <w:rPr>
          <w:rFonts w:cs="Arial"/>
          <w:noProof/>
          <w:color w:val="auto"/>
          <w:szCs w:val="22"/>
          <w:lang w:eastAsia="en-AU"/>
        </w:rPr>
        <w:drawing>
          <wp:inline distT="0" distB="0" distL="0" distR="0" wp14:anchorId="09EA1F3B" wp14:editId="3402ECF7">
            <wp:extent cx="4886057" cy="3257550"/>
            <wp:effectExtent l="0" t="0" r="0" b="0"/>
            <wp:docPr id="131109436" name="Picture 1" descr="Donut chart showing composition of multidisciplinary mental health clinician workforce. Segments list Social Workers 21%, Mental Health Nurses 19%, Counsellors 18%, Accredited Mental Health Social Workers 14%, Generalist Psychologists 12%, Provisional Psychologists 8%, Clinical Psychologists 3%, Occupational Therapists 4%, and Other tertiary-qualified staff 1%, with teal, blue and pale green s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09436" name="Picture 1" descr="Donut chart showing composition of multidisciplinary mental health clinician workforce. Segments list Social Workers 21%, Mental Health Nurses 19%, Counsellors 18%, Accredited Mental Health Social Workers 14%, Generalist Psychologists 12%, Provisional Psychologists 8%, Clinical Psychologists 3%, Occupational Therapists 4%, and Other tertiary-qualified staff 1%, with teal, blue and pale green sections."/>
                    <pic:cNvPicPr/>
                  </pic:nvPicPr>
                  <pic:blipFill>
                    <a:blip r:embed="rId21"/>
                    <a:stretch>
                      <a:fillRect/>
                    </a:stretch>
                  </pic:blipFill>
                  <pic:spPr>
                    <a:xfrm>
                      <a:off x="0" y="0"/>
                      <a:ext cx="4886057" cy="3257550"/>
                    </a:xfrm>
                    <a:prstGeom prst="rect">
                      <a:avLst/>
                    </a:prstGeom>
                  </pic:spPr>
                </pic:pic>
              </a:graphicData>
            </a:graphic>
          </wp:inline>
        </w:drawing>
      </w:r>
    </w:p>
    <w:p w14:paraId="2D2BF7FB" w14:textId="612A649B" w:rsidR="00863819" w:rsidRDefault="00863819" w:rsidP="005F027A">
      <w:pPr>
        <w:rPr>
          <w:lang w:eastAsia="en-AU"/>
        </w:rPr>
      </w:pPr>
      <w:r w:rsidRPr="00F338C3">
        <w:rPr>
          <w:lang w:eastAsia="en-AU"/>
        </w:rPr>
        <w:t>Stakeholders consistently highlighted the value of</w:t>
      </w:r>
      <w:r>
        <w:rPr>
          <w:lang w:eastAsia="en-AU"/>
        </w:rPr>
        <w:t xml:space="preserve"> integrated, multidisciplinary support </w:t>
      </w:r>
      <w:r w:rsidRPr="00F338C3">
        <w:rPr>
          <w:lang w:eastAsia="en-AU"/>
        </w:rPr>
        <w:t>for people in distress</w:t>
      </w:r>
      <w:r>
        <w:rPr>
          <w:lang w:eastAsia="en-AU"/>
        </w:rPr>
        <w:t xml:space="preserve">. This may include </w:t>
      </w:r>
      <w:r w:rsidRPr="00F338C3">
        <w:rPr>
          <w:lang w:eastAsia="en-AU"/>
        </w:rPr>
        <w:t xml:space="preserve">service navigation, assessment and care planning and short- to medium-term </w:t>
      </w:r>
      <w:r>
        <w:rPr>
          <w:lang w:eastAsia="en-AU"/>
        </w:rPr>
        <w:t>multidisciplinary c</w:t>
      </w:r>
      <w:r w:rsidRPr="00F338C3">
        <w:rPr>
          <w:lang w:eastAsia="en-AU"/>
        </w:rPr>
        <w:t>are within a single service model.</w:t>
      </w:r>
      <w:r>
        <w:rPr>
          <w:lang w:eastAsia="en-AU"/>
        </w:rPr>
        <w:t xml:space="preserve"> </w:t>
      </w:r>
    </w:p>
    <w:p w14:paraId="0AD517BA" w14:textId="77777777" w:rsidR="00863819" w:rsidRDefault="00863819" w:rsidP="005F027A">
      <w:pPr>
        <w:rPr>
          <w:lang w:eastAsia="en-AU"/>
        </w:rPr>
      </w:pPr>
      <w:r w:rsidRPr="002C6993">
        <w:rPr>
          <w:lang w:eastAsia="en-AU"/>
        </w:rPr>
        <w:t>Peer workers were consistently identified as an integral component of this multidisciplinary approach. Stakeholders described the value of lived experience expertise in helping people feel understood, supported and connected. Peer workers were seen as making an important contribution to engagement, trust-building, service navigation and recovery-oriented care.</w:t>
      </w:r>
    </w:p>
    <w:p w14:paraId="2BFBEF3F" w14:textId="77777777" w:rsidR="00863819" w:rsidRPr="0085164D" w:rsidRDefault="00863819" w:rsidP="004048AB">
      <w:pPr>
        <w:pStyle w:val="Heading3"/>
        <w:rPr>
          <w:lang w:eastAsia="en-AU"/>
        </w:rPr>
      </w:pPr>
      <w:r w:rsidRPr="0085164D">
        <w:rPr>
          <w:lang w:eastAsia="en-AU"/>
        </w:rPr>
        <w:t xml:space="preserve">Community </w:t>
      </w:r>
      <w:r w:rsidRPr="004048AB">
        <w:t>partnerships</w:t>
      </w:r>
    </w:p>
    <w:p w14:paraId="7B1611F5" w14:textId="77777777" w:rsidR="00863819" w:rsidRDefault="00863819" w:rsidP="005F027A">
      <w:pPr>
        <w:rPr>
          <w:lang w:eastAsia="en-AU"/>
        </w:rPr>
      </w:pPr>
      <w:r w:rsidRPr="00F338C3">
        <w:rPr>
          <w:lang w:eastAsia="en-AU"/>
        </w:rPr>
        <w:t>Strong local partnerships and community engagement activities</w:t>
      </w:r>
      <w:r>
        <w:rPr>
          <w:lang w:eastAsia="en-AU"/>
        </w:rPr>
        <w:t xml:space="preserve">, such as co-design with people with lived experience, outreach to priority populations, and collaboration with local health and social services, </w:t>
      </w:r>
      <w:r w:rsidRPr="00F338C3">
        <w:rPr>
          <w:lang w:eastAsia="en-AU"/>
        </w:rPr>
        <w:t xml:space="preserve">were identified as important contributors to success. </w:t>
      </w:r>
      <w:r w:rsidRPr="00CF744E">
        <w:rPr>
          <w:lang w:eastAsia="en-AU"/>
        </w:rPr>
        <w:t xml:space="preserve">These activities help connect people to a broad range of supports, </w:t>
      </w:r>
      <w:r>
        <w:rPr>
          <w:lang w:eastAsia="en-AU"/>
        </w:rPr>
        <w:t xml:space="preserve">reduce the need to navigate services alone, improve </w:t>
      </w:r>
      <w:r w:rsidRPr="00CF744E">
        <w:rPr>
          <w:lang w:eastAsia="en-AU"/>
        </w:rPr>
        <w:t>continuity of care and reinforce the role of Medicare Mental Health Centres within their communities. Stakeholders also described community engagement as a core function of the model, supporting awareness, accessibility and local partnerships.</w:t>
      </w:r>
    </w:p>
    <w:p w14:paraId="4132502D" w14:textId="77777777" w:rsidR="00F704D0" w:rsidRDefault="00863819" w:rsidP="00F704D0">
      <w:pPr>
        <w:rPr>
          <w:lang w:eastAsia="en-AU"/>
        </w:rPr>
      </w:pPr>
      <w:r w:rsidRPr="009E6048">
        <w:rPr>
          <w:lang w:eastAsia="en-AU"/>
        </w:rPr>
        <w:t xml:space="preserve">Overall, the review found that Medicare Mental Health Centres are filling </w:t>
      </w:r>
      <w:r>
        <w:rPr>
          <w:lang w:eastAsia="en-AU"/>
        </w:rPr>
        <w:t xml:space="preserve">a critical </w:t>
      </w:r>
      <w:r w:rsidRPr="009E6048">
        <w:rPr>
          <w:lang w:eastAsia="en-AU"/>
        </w:rPr>
        <w:t>gap in Australia's mental health system by providing accessible, person-centred support that is highly valued by consumers, carers, staff and partners.</w:t>
      </w:r>
    </w:p>
    <w:p w14:paraId="78064F2A" w14:textId="77777777" w:rsidR="00FB08D7" w:rsidRDefault="00FB08D7">
      <w:pPr>
        <w:spacing w:before="0" w:after="0" w:line="240" w:lineRule="auto"/>
        <w:rPr>
          <w:rFonts w:cs="Arial"/>
          <w:b/>
          <w:bCs/>
          <w:iCs/>
          <w:color w:val="245457" w:themeColor="accent2"/>
          <w:sz w:val="36"/>
          <w:szCs w:val="28"/>
          <w:lang w:eastAsia="en-AU"/>
        </w:rPr>
      </w:pPr>
      <w:r>
        <w:rPr>
          <w:lang w:eastAsia="en-AU"/>
        </w:rPr>
        <w:br w:type="page"/>
      </w:r>
    </w:p>
    <w:p w14:paraId="7CBB4526" w14:textId="41EE8F90" w:rsidR="00863819" w:rsidRPr="00A45C74" w:rsidRDefault="00863819" w:rsidP="00F704D0">
      <w:pPr>
        <w:pStyle w:val="Heading2"/>
        <w:rPr>
          <w:lang w:eastAsia="en-AU"/>
        </w:rPr>
      </w:pPr>
      <w:r w:rsidRPr="00A45C74">
        <w:rPr>
          <w:lang w:eastAsia="en-AU"/>
        </w:rPr>
        <w:lastRenderedPageBreak/>
        <w:t xml:space="preserve">Key </w:t>
      </w:r>
      <w:r>
        <w:rPr>
          <w:lang w:eastAsia="en-AU"/>
        </w:rPr>
        <w:t>i</w:t>
      </w:r>
      <w:r w:rsidRPr="00A45C74">
        <w:rPr>
          <w:lang w:eastAsia="en-AU"/>
        </w:rPr>
        <w:t xml:space="preserve">nsights from the </w:t>
      </w:r>
      <w:r>
        <w:rPr>
          <w:lang w:eastAsia="en-AU"/>
        </w:rPr>
        <w:t>r</w:t>
      </w:r>
      <w:r w:rsidRPr="00A45C74">
        <w:rPr>
          <w:lang w:eastAsia="en-AU"/>
        </w:rPr>
        <w:t>eview</w:t>
      </w:r>
    </w:p>
    <w:p w14:paraId="73CE521A" w14:textId="648A720A" w:rsidR="00903E35" w:rsidRPr="005F027A" w:rsidRDefault="00BE27FB" w:rsidP="00903E35">
      <w:pPr>
        <w:spacing w:before="240" w:after="240"/>
      </w:pPr>
      <w:r w:rsidRPr="00BE27FB">
        <w:rPr>
          <w:noProof/>
        </w:rPr>
        <w:drawing>
          <wp:inline distT="0" distB="0" distL="0" distR="0" wp14:anchorId="2E45D322" wp14:editId="42C78E0D">
            <wp:extent cx="5759450" cy="3257550"/>
            <wp:effectExtent l="0" t="0" r="0" b="0"/>
            <wp:docPr id="342662000" name="Picture 1" descr="Six-panel infographic outlines key insights from the review. Teal circular icons and blue-to-turquoise footer bars accompany themes: rising demand and increasing complexity; maintaining model balance; sustainability and continuity of care; workforce capability and team-based care; broader-system working; data, quality and shared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62000" name="Picture 1" descr="Six-panel infographic outlines key insights from the review. Teal circular icons and blue-to-turquoise footer bars accompany themes: rising demand and increasing complexity; maintaining model balance; sustainability and continuity of care; workforce capability and team-based care; broader-system working; data, quality and shared learning."/>
                    <pic:cNvPicPr/>
                  </pic:nvPicPr>
                  <pic:blipFill>
                    <a:blip r:embed="rId22"/>
                    <a:stretch>
                      <a:fillRect/>
                    </a:stretch>
                  </pic:blipFill>
                  <pic:spPr>
                    <a:xfrm>
                      <a:off x="0" y="0"/>
                      <a:ext cx="5759450" cy="3257550"/>
                    </a:xfrm>
                    <a:prstGeom prst="rect">
                      <a:avLst/>
                    </a:prstGeom>
                  </pic:spPr>
                </pic:pic>
              </a:graphicData>
            </a:graphic>
          </wp:inline>
        </w:drawing>
      </w:r>
    </w:p>
    <w:p w14:paraId="3758D045" w14:textId="32C029AE" w:rsidR="00863819" w:rsidRPr="00A33EE6" w:rsidRDefault="00863819" w:rsidP="00903E35">
      <w:pPr>
        <w:rPr>
          <w:lang w:eastAsia="en-AU"/>
        </w:rPr>
      </w:pPr>
      <w:r w:rsidRPr="00A33EE6">
        <w:rPr>
          <w:lang w:eastAsia="en-AU"/>
        </w:rPr>
        <w:t xml:space="preserve">While the review found a strong and effective model, it also identified insights </w:t>
      </w:r>
      <w:r>
        <w:rPr>
          <w:lang w:eastAsia="en-AU"/>
        </w:rPr>
        <w:t xml:space="preserve">which will </w:t>
      </w:r>
      <w:r w:rsidRPr="00A33EE6">
        <w:rPr>
          <w:lang w:eastAsia="en-AU"/>
        </w:rPr>
        <w:t>inform future development as the network continues to grow.</w:t>
      </w:r>
    </w:p>
    <w:p w14:paraId="653ABE81" w14:textId="77777777" w:rsidR="00863819" w:rsidRPr="006242BD" w:rsidRDefault="00863819" w:rsidP="005F027A">
      <w:pPr>
        <w:pStyle w:val="Heading3"/>
        <w:rPr>
          <w:lang w:eastAsia="en-AU"/>
        </w:rPr>
      </w:pPr>
      <w:r w:rsidRPr="006242BD">
        <w:rPr>
          <w:lang w:eastAsia="en-AU"/>
        </w:rPr>
        <w:t xml:space="preserve">Rising demand and </w:t>
      </w:r>
      <w:r w:rsidRPr="005F027A">
        <w:t>increasing</w:t>
      </w:r>
      <w:r w:rsidRPr="006242BD">
        <w:rPr>
          <w:lang w:eastAsia="en-AU"/>
        </w:rPr>
        <w:t xml:space="preserve"> complexity</w:t>
      </w:r>
    </w:p>
    <w:p w14:paraId="19AB5A18" w14:textId="77777777" w:rsidR="00863819" w:rsidRPr="00A33EE6" w:rsidRDefault="00863819" w:rsidP="005F027A">
      <w:pPr>
        <w:rPr>
          <w:lang w:eastAsia="en-AU"/>
        </w:rPr>
      </w:pPr>
      <w:r w:rsidRPr="00A33EE6">
        <w:rPr>
          <w:lang w:eastAsia="en-AU"/>
        </w:rPr>
        <w:t xml:space="preserve">Many centres reported growing demand for services and increasing complexity </w:t>
      </w:r>
      <w:r>
        <w:rPr>
          <w:lang w:eastAsia="en-AU"/>
        </w:rPr>
        <w:t xml:space="preserve">of needs </w:t>
      </w:r>
      <w:r w:rsidRPr="00A33EE6">
        <w:rPr>
          <w:lang w:eastAsia="en-AU"/>
        </w:rPr>
        <w:t xml:space="preserve">among people seeking support. This reflects both community need and the success of the model in attracting people who may not otherwise engage with mental health services. As demand increases, maintaining the </w:t>
      </w:r>
      <w:r>
        <w:rPr>
          <w:lang w:eastAsia="en-AU"/>
        </w:rPr>
        <w:t xml:space="preserve">accessibility and the </w:t>
      </w:r>
      <w:r w:rsidRPr="00A33EE6">
        <w:rPr>
          <w:lang w:eastAsia="en-AU"/>
        </w:rPr>
        <w:t xml:space="preserve">welcoming culture </w:t>
      </w:r>
      <w:r>
        <w:rPr>
          <w:lang w:eastAsia="en-AU"/>
        </w:rPr>
        <w:t xml:space="preserve">alongside </w:t>
      </w:r>
      <w:r w:rsidRPr="00A33EE6">
        <w:rPr>
          <w:lang w:eastAsia="en-AU"/>
        </w:rPr>
        <w:t>balanced delivery of all four components of the model becomes increasingly important.</w:t>
      </w:r>
    </w:p>
    <w:p w14:paraId="5DAC0E87" w14:textId="77777777" w:rsidR="00863819" w:rsidRDefault="00863819" w:rsidP="005F027A">
      <w:pPr>
        <w:pStyle w:val="Heading3"/>
        <w:rPr>
          <w:lang w:eastAsia="en-AU"/>
        </w:rPr>
      </w:pPr>
      <w:r w:rsidRPr="00AF3D06">
        <w:rPr>
          <w:lang w:eastAsia="en-AU"/>
        </w:rPr>
        <w:t>Maintaining the balance of the model</w:t>
      </w:r>
    </w:p>
    <w:p w14:paraId="2CB639A5" w14:textId="77777777" w:rsidR="00863819" w:rsidRDefault="00863819" w:rsidP="005F027A">
      <w:pPr>
        <w:rPr>
          <w:lang w:eastAsia="en-AU"/>
        </w:rPr>
      </w:pPr>
      <w:r w:rsidRPr="007A108D">
        <w:rPr>
          <w:lang w:eastAsia="en-AU"/>
        </w:rPr>
        <w:t xml:space="preserve">A recurring theme throughout the review was the importance of balancing national consistency and local </w:t>
      </w:r>
      <w:r>
        <w:rPr>
          <w:lang w:eastAsia="en-AU"/>
        </w:rPr>
        <w:t>flexibility</w:t>
      </w:r>
      <w:r w:rsidRPr="007A108D">
        <w:rPr>
          <w:lang w:eastAsia="en-AU"/>
        </w:rPr>
        <w:t xml:space="preserve">. Stakeholders noted that some aspects of the model are fundamental to ensuring equitable, </w:t>
      </w:r>
      <w:r>
        <w:rPr>
          <w:lang w:eastAsia="en-AU"/>
        </w:rPr>
        <w:t xml:space="preserve">safe, </w:t>
      </w:r>
      <w:r w:rsidRPr="007A108D">
        <w:rPr>
          <w:lang w:eastAsia="en-AU"/>
        </w:rPr>
        <w:t xml:space="preserve">high-quality </w:t>
      </w:r>
      <w:r>
        <w:rPr>
          <w:lang w:eastAsia="en-AU"/>
        </w:rPr>
        <w:t xml:space="preserve">and reliable </w:t>
      </w:r>
      <w:r w:rsidRPr="007A108D">
        <w:rPr>
          <w:lang w:eastAsia="en-AU"/>
        </w:rPr>
        <w:t>care across the network</w:t>
      </w:r>
      <w:r>
        <w:rPr>
          <w:lang w:eastAsia="en-AU"/>
        </w:rPr>
        <w:t>,</w:t>
      </w:r>
      <w:r w:rsidRPr="007A108D">
        <w:rPr>
          <w:lang w:eastAsia="en-AU"/>
        </w:rPr>
        <w:t xml:space="preserve"> </w:t>
      </w:r>
      <w:r>
        <w:rPr>
          <w:lang w:eastAsia="en-AU"/>
        </w:rPr>
        <w:t>such as clinical governance arrangements, core service functions, multidisciplinary care and data collection. O</w:t>
      </w:r>
      <w:r w:rsidRPr="007A108D">
        <w:rPr>
          <w:lang w:eastAsia="en-AU"/>
        </w:rPr>
        <w:t>ther</w:t>
      </w:r>
      <w:r>
        <w:rPr>
          <w:lang w:eastAsia="en-AU"/>
        </w:rPr>
        <w:t xml:space="preserve"> aspects, including outreach approaches, community partnerships and responses to priority populations, </w:t>
      </w:r>
      <w:r w:rsidRPr="007A108D">
        <w:rPr>
          <w:lang w:eastAsia="en-AU"/>
        </w:rPr>
        <w:t>are best tailored to local context, culture, workforce realities and community need.</w:t>
      </w:r>
    </w:p>
    <w:p w14:paraId="65CE384B" w14:textId="77777777" w:rsidR="00863819" w:rsidRDefault="00863819" w:rsidP="005F027A">
      <w:pPr>
        <w:rPr>
          <w:lang w:eastAsia="en-AU"/>
        </w:rPr>
      </w:pPr>
      <w:r w:rsidRPr="00451282">
        <w:rPr>
          <w:lang w:eastAsia="en-AU"/>
        </w:rPr>
        <w:t>As the network continues to expand, stakeholders identified an opportunity to better</w:t>
      </w:r>
      <w:r w:rsidRPr="5602498E">
        <w:rPr>
          <w:lang w:eastAsia="en-AU"/>
        </w:rPr>
        <w:t xml:space="preserve"> define</w:t>
      </w:r>
      <w:r w:rsidRPr="00451282">
        <w:rPr>
          <w:lang w:eastAsia="en-AU"/>
        </w:rPr>
        <w:t xml:space="preserve"> what good looks like across Medicare Mental Health Centres. Shared expectations </w:t>
      </w:r>
      <w:r>
        <w:rPr>
          <w:lang w:eastAsia="en-AU"/>
        </w:rPr>
        <w:t xml:space="preserve">across the network </w:t>
      </w:r>
      <w:r w:rsidRPr="00451282">
        <w:rPr>
          <w:lang w:eastAsia="en-AU"/>
        </w:rPr>
        <w:t>regarding quality, safety and service delivery could help support a consistently positive experience while preserving the flexibility needed to respond to local community needs. Stakeholders also noted the importance of clear roles and responsibilities across the Commonwealth, Primary Health Networks and service providers to support consistency, accountability and shared learning across a growing national network.</w:t>
      </w:r>
    </w:p>
    <w:p w14:paraId="33528EC8" w14:textId="77777777" w:rsidR="00863819" w:rsidRPr="006242BD" w:rsidRDefault="00863819" w:rsidP="005F027A">
      <w:pPr>
        <w:pStyle w:val="Heading3"/>
        <w:rPr>
          <w:lang w:eastAsia="en-AU"/>
        </w:rPr>
      </w:pPr>
      <w:r w:rsidRPr="006242BD">
        <w:rPr>
          <w:lang w:eastAsia="en-AU"/>
        </w:rPr>
        <w:lastRenderedPageBreak/>
        <w:t>Sustainability and continuity of care</w:t>
      </w:r>
    </w:p>
    <w:p w14:paraId="013C59F7" w14:textId="77777777" w:rsidR="00863819" w:rsidRDefault="00863819" w:rsidP="005F027A">
      <w:pPr>
        <w:rPr>
          <w:lang w:eastAsia="en-AU"/>
        </w:rPr>
      </w:pPr>
      <w:r w:rsidRPr="004E79AE">
        <w:rPr>
          <w:lang w:eastAsia="en-AU"/>
        </w:rPr>
        <w:t xml:space="preserve">The review highlighted the importance of ensuring the model remains sustainable as the network </w:t>
      </w:r>
      <w:r>
        <w:rPr>
          <w:lang w:eastAsia="en-AU"/>
        </w:rPr>
        <w:t>continues to grow</w:t>
      </w:r>
      <w:r w:rsidRPr="004E79AE">
        <w:rPr>
          <w:lang w:eastAsia="en-AU"/>
        </w:rPr>
        <w:t>. Stakeholders noted that small centres have unique sustainability considerations relating to workforce capacity</w:t>
      </w:r>
      <w:r>
        <w:rPr>
          <w:lang w:eastAsia="en-AU"/>
        </w:rPr>
        <w:t xml:space="preserve"> and development</w:t>
      </w:r>
      <w:r w:rsidRPr="004E79AE">
        <w:rPr>
          <w:lang w:eastAsia="en-AU"/>
        </w:rPr>
        <w:t xml:space="preserve">, access to senior and specialist expertise, and maintaining the full range of service functions in communities where local support and referral options </w:t>
      </w:r>
      <w:r>
        <w:rPr>
          <w:lang w:eastAsia="en-AU"/>
        </w:rPr>
        <w:t xml:space="preserve">are </w:t>
      </w:r>
      <w:r w:rsidRPr="004E79AE">
        <w:rPr>
          <w:lang w:eastAsia="en-AU"/>
        </w:rPr>
        <w:t>limited.</w:t>
      </w:r>
      <w:r>
        <w:rPr>
          <w:lang w:eastAsia="en-AU"/>
        </w:rPr>
        <w:t xml:space="preserve"> Connecting</w:t>
      </w:r>
      <w:r w:rsidRPr="00F20044">
        <w:rPr>
          <w:lang w:eastAsia="en-AU"/>
        </w:rPr>
        <w:t xml:space="preserve"> smaller services with larger centres for supervision, workforce support, specialist expertise and shared learning </w:t>
      </w:r>
      <w:r>
        <w:rPr>
          <w:lang w:eastAsia="en-AU"/>
        </w:rPr>
        <w:t>are</w:t>
      </w:r>
      <w:r w:rsidRPr="00F20044">
        <w:rPr>
          <w:lang w:eastAsia="en-AU"/>
        </w:rPr>
        <w:t xml:space="preserve"> valuable ways to support sustainability while maintaining local responsiveness.</w:t>
      </w:r>
    </w:p>
    <w:p w14:paraId="0353FAE7" w14:textId="77777777" w:rsidR="00863819" w:rsidRDefault="00863819" w:rsidP="005F027A">
      <w:pPr>
        <w:rPr>
          <w:lang w:eastAsia="en-AU"/>
        </w:rPr>
      </w:pPr>
      <w:r w:rsidRPr="00506054">
        <w:rPr>
          <w:lang w:eastAsia="en-AU"/>
        </w:rPr>
        <w:t xml:space="preserve">The review reinforced the importance of strong service navigation, community partnerships and warm referrals. As Medicare Mental Health Centres provide short- to medium-term support, effective connections with the broader service system are critical to ensuring people continue to receive the support they need, particularly where longer-term care </w:t>
      </w:r>
      <w:r>
        <w:rPr>
          <w:lang w:eastAsia="en-AU"/>
        </w:rPr>
        <w:t>is</w:t>
      </w:r>
      <w:r w:rsidRPr="00506054">
        <w:rPr>
          <w:lang w:eastAsia="en-AU"/>
        </w:rPr>
        <w:t xml:space="preserve"> required.</w:t>
      </w:r>
    </w:p>
    <w:p w14:paraId="47CD1CCD" w14:textId="77777777" w:rsidR="00863819" w:rsidRPr="00004605" w:rsidRDefault="00863819" w:rsidP="005F027A">
      <w:pPr>
        <w:pStyle w:val="Heading3"/>
        <w:rPr>
          <w:lang w:eastAsia="en-AU"/>
        </w:rPr>
      </w:pPr>
      <w:r w:rsidRPr="00DB2E95">
        <w:rPr>
          <w:lang w:eastAsia="en-AU"/>
        </w:rPr>
        <w:t>Workforce capability and team-</w:t>
      </w:r>
      <w:r w:rsidRPr="005F027A">
        <w:t>based</w:t>
      </w:r>
      <w:r w:rsidRPr="00DB2E95">
        <w:rPr>
          <w:lang w:eastAsia="en-AU"/>
        </w:rPr>
        <w:t xml:space="preserve"> care</w:t>
      </w:r>
    </w:p>
    <w:p w14:paraId="22D6C23F" w14:textId="77777777" w:rsidR="00863819" w:rsidRDefault="00863819" w:rsidP="005F027A">
      <w:pPr>
        <w:rPr>
          <w:lang w:eastAsia="en-AU"/>
        </w:rPr>
      </w:pPr>
      <w:r w:rsidRPr="008F2BE0">
        <w:rPr>
          <w:lang w:eastAsia="en-AU"/>
        </w:rPr>
        <w:t xml:space="preserve">The review </w:t>
      </w:r>
      <w:r>
        <w:rPr>
          <w:lang w:eastAsia="en-AU"/>
        </w:rPr>
        <w:t xml:space="preserve">pointed to the importance of further developing </w:t>
      </w:r>
      <w:r w:rsidRPr="008F2BE0">
        <w:rPr>
          <w:lang w:eastAsia="en-AU"/>
        </w:rPr>
        <w:t xml:space="preserve">workforce capability and sustainability, including recruitment, retention and development across the multidisciplinary workforce. </w:t>
      </w:r>
      <w:r w:rsidRPr="00D95A8D">
        <w:rPr>
          <w:lang w:eastAsia="en-AU"/>
        </w:rPr>
        <w:t xml:space="preserve">Stakeholders highlighted the </w:t>
      </w:r>
      <w:r>
        <w:rPr>
          <w:lang w:eastAsia="en-AU"/>
        </w:rPr>
        <w:t xml:space="preserve">value </w:t>
      </w:r>
      <w:r w:rsidRPr="00D95A8D">
        <w:rPr>
          <w:lang w:eastAsia="en-AU"/>
        </w:rPr>
        <w:t xml:space="preserve">of </w:t>
      </w:r>
      <w:r>
        <w:rPr>
          <w:lang w:eastAsia="en-AU"/>
        </w:rPr>
        <w:t xml:space="preserve">ensuring people can </w:t>
      </w:r>
      <w:r w:rsidRPr="00D95A8D">
        <w:rPr>
          <w:lang w:eastAsia="en-AU"/>
        </w:rPr>
        <w:t xml:space="preserve">access </w:t>
      </w:r>
      <w:r>
        <w:rPr>
          <w:lang w:eastAsia="en-AU"/>
        </w:rPr>
        <w:t xml:space="preserve">the range of </w:t>
      </w:r>
      <w:r w:rsidRPr="00D95A8D">
        <w:rPr>
          <w:lang w:eastAsia="en-AU"/>
        </w:rPr>
        <w:t>clinical, psychosocial, physical health and lived experience expertise</w:t>
      </w:r>
      <w:r>
        <w:rPr>
          <w:lang w:eastAsia="en-AU"/>
        </w:rPr>
        <w:t xml:space="preserve"> needed to support their care. </w:t>
      </w:r>
    </w:p>
    <w:p w14:paraId="23E6A6FB" w14:textId="77777777" w:rsidR="00863819" w:rsidRPr="00D44C46" w:rsidRDefault="00863819" w:rsidP="005F027A">
      <w:pPr>
        <w:rPr>
          <w:lang w:eastAsia="en-AU"/>
        </w:rPr>
      </w:pPr>
      <w:r w:rsidRPr="00D44C46">
        <w:rPr>
          <w:lang w:eastAsia="en-AU"/>
        </w:rPr>
        <w:t xml:space="preserve">The review </w:t>
      </w:r>
      <w:r>
        <w:rPr>
          <w:lang w:eastAsia="en-AU"/>
        </w:rPr>
        <w:t xml:space="preserve">also identified </w:t>
      </w:r>
      <w:r w:rsidRPr="00D44C46">
        <w:rPr>
          <w:lang w:eastAsia="en-AU"/>
        </w:rPr>
        <w:t>opportunities to strengthen access to medical and physical health expertise. Stakeholders consistently reported that psychiatry, general practice and nurse practitioner functions add greatest value when integrated into multidisciplinary teams, supporting shared decision-making, workforce capability and holistic care, rather than being accessed solely through external referral pathways.</w:t>
      </w:r>
    </w:p>
    <w:p w14:paraId="62A0B895" w14:textId="77777777" w:rsidR="00863819" w:rsidRDefault="00863819" w:rsidP="005F027A">
      <w:pPr>
        <w:rPr>
          <w:lang w:eastAsia="en-AU"/>
        </w:rPr>
      </w:pPr>
      <w:r w:rsidRPr="00092850">
        <w:rPr>
          <w:lang w:eastAsia="en-AU"/>
        </w:rPr>
        <w:t xml:space="preserve">Clear role definitions, peer-specific supervision and organisational supports were identified as important enablers of a sustainable peer workforce and its ongoing contribution to </w:t>
      </w:r>
      <w:r>
        <w:rPr>
          <w:lang w:eastAsia="en-AU"/>
        </w:rPr>
        <w:t xml:space="preserve">frontline </w:t>
      </w:r>
      <w:r w:rsidRPr="00092850">
        <w:rPr>
          <w:lang w:eastAsia="en-AU"/>
        </w:rPr>
        <w:t>service delivery.</w:t>
      </w:r>
    </w:p>
    <w:p w14:paraId="4AD61E52" w14:textId="77777777" w:rsidR="00863819" w:rsidRPr="00D44C46" w:rsidRDefault="00863819" w:rsidP="005F027A">
      <w:pPr>
        <w:rPr>
          <w:lang w:eastAsia="en-AU"/>
        </w:rPr>
      </w:pPr>
      <w:r>
        <w:rPr>
          <w:lang w:eastAsia="en-AU"/>
        </w:rPr>
        <w:t xml:space="preserve">The review reinforced the </w:t>
      </w:r>
      <w:r w:rsidRPr="00D44C46">
        <w:rPr>
          <w:lang w:eastAsia="en-AU"/>
        </w:rPr>
        <w:t xml:space="preserve">importance of culturally responsive care </w:t>
      </w:r>
      <w:r>
        <w:rPr>
          <w:lang w:eastAsia="en-AU"/>
        </w:rPr>
        <w:t xml:space="preserve">that </w:t>
      </w:r>
      <w:r w:rsidRPr="00D44C46">
        <w:rPr>
          <w:lang w:eastAsia="en-AU"/>
        </w:rPr>
        <w:t>reflects the diversity of the communities being served. This included the value of First Nations peer and clinical roles, partnerships with Aboriginal Community Controlled Health Organisations, and approaches tailored to the needs of priority populations, including LGBTIQA+ people, culturally and linguistically diverse communities, and other groups who may experience barriers to accessing support.</w:t>
      </w:r>
    </w:p>
    <w:p w14:paraId="135602BD" w14:textId="77777777" w:rsidR="00863819" w:rsidRDefault="00863819" w:rsidP="005F027A">
      <w:pPr>
        <w:rPr>
          <w:lang w:eastAsia="en-AU"/>
        </w:rPr>
      </w:pPr>
      <w:r>
        <w:rPr>
          <w:lang w:eastAsia="en-AU"/>
        </w:rPr>
        <w:t>W</w:t>
      </w:r>
      <w:r w:rsidRPr="00960751">
        <w:rPr>
          <w:lang w:eastAsia="en-AU"/>
        </w:rPr>
        <w:t xml:space="preserve">orkforce capability, interdisciplinary practice, training and shared learning </w:t>
      </w:r>
      <w:r>
        <w:rPr>
          <w:lang w:eastAsia="en-AU"/>
        </w:rPr>
        <w:t>were recurring themes throughout stakeholder consultations and were seen as i</w:t>
      </w:r>
      <w:r w:rsidRPr="00960751">
        <w:rPr>
          <w:lang w:eastAsia="en-AU"/>
        </w:rPr>
        <w:t>mportant considerations for the ongoing evolution of the network.</w:t>
      </w:r>
      <w:r>
        <w:rPr>
          <w:lang w:eastAsia="en-AU"/>
        </w:rPr>
        <w:t xml:space="preserve"> </w:t>
      </w:r>
    </w:p>
    <w:p w14:paraId="65B3C30E" w14:textId="77777777" w:rsidR="00863819" w:rsidRPr="004B6F65" w:rsidRDefault="00863819" w:rsidP="005F027A">
      <w:pPr>
        <w:pStyle w:val="Heading3"/>
        <w:rPr>
          <w:lang w:eastAsia="en-AU"/>
        </w:rPr>
      </w:pPr>
      <w:r w:rsidRPr="004B6F65">
        <w:rPr>
          <w:lang w:eastAsia="en-AU"/>
        </w:rPr>
        <w:t>Working as part of a broader system</w:t>
      </w:r>
    </w:p>
    <w:p w14:paraId="3C4EEB58" w14:textId="77777777" w:rsidR="00863819" w:rsidRDefault="00863819" w:rsidP="005F027A">
      <w:pPr>
        <w:rPr>
          <w:lang w:eastAsia="en-AU"/>
        </w:rPr>
      </w:pPr>
      <w:r w:rsidRPr="003C1BDC">
        <w:rPr>
          <w:lang w:eastAsia="en-AU"/>
        </w:rPr>
        <w:t xml:space="preserve">The review highlighted the importance of making it easier for people to access coordinated support as they move between services. Stakeholders emphasised the value of strong partnerships, clear pathways </w:t>
      </w:r>
      <w:r w:rsidRPr="00A72E26">
        <w:rPr>
          <w:lang w:eastAsia="en-AU"/>
        </w:rPr>
        <w:t>and continuity of care</w:t>
      </w:r>
      <w:r>
        <w:rPr>
          <w:lang w:eastAsia="en-AU"/>
        </w:rPr>
        <w:t xml:space="preserve">, helping consumers and </w:t>
      </w:r>
      <w:r w:rsidRPr="00A72E26">
        <w:rPr>
          <w:lang w:eastAsia="en-AU"/>
        </w:rPr>
        <w:t>carers</w:t>
      </w:r>
      <w:r>
        <w:rPr>
          <w:lang w:eastAsia="en-AU"/>
        </w:rPr>
        <w:t xml:space="preserve"> access the right care at the right time</w:t>
      </w:r>
      <w:r w:rsidRPr="00A72E26">
        <w:rPr>
          <w:lang w:eastAsia="en-AU"/>
        </w:rPr>
        <w:t>.</w:t>
      </w:r>
      <w:r>
        <w:rPr>
          <w:lang w:eastAsia="en-AU"/>
        </w:rPr>
        <w:t xml:space="preserve"> C</w:t>
      </w:r>
      <w:r w:rsidRPr="00A72E26">
        <w:rPr>
          <w:lang w:eastAsia="en-AU"/>
        </w:rPr>
        <w:t xml:space="preserve">ollaboration between Medicare Mental Health Centres, state and territory mental health services, and local partners </w:t>
      </w:r>
      <w:r>
        <w:rPr>
          <w:lang w:eastAsia="en-AU"/>
        </w:rPr>
        <w:t>was strongest where structures and processes supported effective working relationships on the ground.</w:t>
      </w:r>
    </w:p>
    <w:p w14:paraId="42448C31" w14:textId="77777777" w:rsidR="00863819" w:rsidRPr="001D21A3" w:rsidRDefault="00863819" w:rsidP="005F027A">
      <w:pPr>
        <w:pStyle w:val="Heading3"/>
        <w:rPr>
          <w:lang w:eastAsia="en-AU"/>
        </w:rPr>
      </w:pPr>
      <w:r w:rsidRPr="001D21A3">
        <w:rPr>
          <w:lang w:eastAsia="en-AU"/>
        </w:rPr>
        <w:lastRenderedPageBreak/>
        <w:t xml:space="preserve">Data, </w:t>
      </w:r>
      <w:r w:rsidRPr="005F027A">
        <w:t>quality</w:t>
      </w:r>
      <w:r w:rsidRPr="001D21A3">
        <w:rPr>
          <w:lang w:eastAsia="en-AU"/>
        </w:rPr>
        <w:t xml:space="preserve"> and shared learning</w:t>
      </w:r>
    </w:p>
    <w:p w14:paraId="5AC30FA9" w14:textId="77777777" w:rsidR="00863819" w:rsidRPr="003C1BDC" w:rsidRDefault="00863819" w:rsidP="005F027A">
      <w:pPr>
        <w:rPr>
          <w:lang w:eastAsia="en-AU"/>
        </w:rPr>
      </w:pPr>
      <w:r w:rsidRPr="003C1BDC">
        <w:rPr>
          <w:lang w:eastAsia="en-AU"/>
        </w:rPr>
        <w:t>Stakeholders highlighted the value of data, measurement and feedback systems</w:t>
      </w:r>
      <w:r w:rsidRPr="006071A1">
        <w:rPr>
          <w:lang w:eastAsia="en-AU"/>
        </w:rPr>
        <w:t xml:space="preserve"> as important enablers of quality improvement</w:t>
      </w:r>
      <w:r>
        <w:rPr>
          <w:lang w:eastAsia="en-AU"/>
        </w:rPr>
        <w:t xml:space="preserve"> and for </w:t>
      </w:r>
      <w:r w:rsidRPr="006071A1">
        <w:rPr>
          <w:lang w:eastAsia="en-AU"/>
        </w:rPr>
        <w:t>understanding service impact over time.</w:t>
      </w:r>
      <w:r>
        <w:rPr>
          <w:lang w:eastAsia="en-AU"/>
        </w:rPr>
        <w:t xml:space="preserve"> </w:t>
      </w:r>
      <w:r w:rsidRPr="003C1BDC">
        <w:rPr>
          <w:lang w:eastAsia="en-AU"/>
        </w:rPr>
        <w:t>Better visibility of service activity, outcomes and consumer experiences would support local learning, quality improvement and future planning across the network.</w:t>
      </w:r>
    </w:p>
    <w:p w14:paraId="5B5D52AF" w14:textId="77777777" w:rsidR="00F704D0" w:rsidRDefault="00863819" w:rsidP="00F704D0">
      <w:pPr>
        <w:rPr>
          <w:lang w:eastAsia="en-AU"/>
        </w:rPr>
      </w:pPr>
      <w:r w:rsidRPr="003C1BDC">
        <w:rPr>
          <w:lang w:eastAsia="en-AU"/>
        </w:rPr>
        <w:t xml:space="preserve">The review also highlighted the importance of national approaches to </w:t>
      </w:r>
      <w:r>
        <w:rPr>
          <w:lang w:eastAsia="en-AU"/>
        </w:rPr>
        <w:t>continuous</w:t>
      </w:r>
      <w:r w:rsidRPr="003C1BDC">
        <w:rPr>
          <w:lang w:eastAsia="en-AU"/>
        </w:rPr>
        <w:t xml:space="preserve"> improvement and shared learning as the network continues to expand. </w:t>
      </w:r>
    </w:p>
    <w:p w14:paraId="2CA64F23" w14:textId="77777777" w:rsidR="00E90059" w:rsidRDefault="00E90059">
      <w:pPr>
        <w:spacing w:before="0" w:after="0" w:line="240" w:lineRule="auto"/>
        <w:rPr>
          <w:rFonts w:cs="Arial"/>
          <w:b/>
          <w:bCs/>
          <w:iCs/>
          <w:color w:val="245457" w:themeColor="accent2"/>
          <w:sz w:val="36"/>
          <w:szCs w:val="28"/>
          <w:lang w:eastAsia="en-AU"/>
        </w:rPr>
      </w:pPr>
      <w:r>
        <w:rPr>
          <w:lang w:eastAsia="en-AU"/>
        </w:rPr>
        <w:br w:type="page"/>
      </w:r>
    </w:p>
    <w:p w14:paraId="1CD581B1" w14:textId="4D4A0B74" w:rsidR="00863819" w:rsidRPr="00C27079" w:rsidRDefault="00863819" w:rsidP="00F704D0">
      <w:pPr>
        <w:pStyle w:val="Heading2"/>
        <w:rPr>
          <w:lang w:eastAsia="en-AU"/>
        </w:rPr>
      </w:pPr>
      <w:r w:rsidRPr="00C27079">
        <w:rPr>
          <w:lang w:eastAsia="en-AU"/>
        </w:rPr>
        <w:lastRenderedPageBreak/>
        <w:t>Looking</w:t>
      </w:r>
      <w:r w:rsidRPr="005F027A">
        <w:rPr>
          <w:lang w:eastAsia="en-AU"/>
        </w:rPr>
        <w:t xml:space="preserve"> </w:t>
      </w:r>
      <w:r w:rsidRPr="005F027A">
        <w:t>ahead</w:t>
      </w:r>
    </w:p>
    <w:p w14:paraId="45DD1547" w14:textId="77777777" w:rsidR="00863819" w:rsidRPr="003A001A" w:rsidRDefault="00863819" w:rsidP="005F027A">
      <w:pPr>
        <w:rPr>
          <w:lang w:eastAsia="en-AU"/>
        </w:rPr>
      </w:pPr>
      <w:r w:rsidRPr="00ED3F48">
        <w:rPr>
          <w:lang w:eastAsia="en-AU"/>
        </w:rPr>
        <w:t xml:space="preserve">The review found broad support for the underlying design of the National Service Model. </w:t>
      </w:r>
      <w:r w:rsidRPr="003A001A">
        <w:rPr>
          <w:lang w:eastAsia="en-AU"/>
        </w:rPr>
        <w:t>The model's strengths lie not in any single intervention, but in the combination of accessible walk-in support, welcoming environments, trusted relationships, multidisciplinary team-based care and strong community connections</w:t>
      </w:r>
      <w:r>
        <w:rPr>
          <w:lang w:eastAsia="en-AU"/>
        </w:rPr>
        <w:t>.</w:t>
      </w:r>
    </w:p>
    <w:p w14:paraId="4D86248D" w14:textId="77777777" w:rsidR="00863819" w:rsidRDefault="00863819" w:rsidP="005F027A">
      <w:pPr>
        <w:rPr>
          <w:lang w:eastAsia="en-AU"/>
        </w:rPr>
      </w:pPr>
      <w:r w:rsidRPr="003A001A">
        <w:rPr>
          <w:lang w:eastAsia="en-AU"/>
        </w:rPr>
        <w:t xml:space="preserve">As the network continues to expand, protecting and strengthening </w:t>
      </w:r>
      <w:proofErr w:type="gramStart"/>
      <w:r w:rsidRPr="003A001A">
        <w:rPr>
          <w:lang w:eastAsia="en-AU"/>
        </w:rPr>
        <w:t>these core</w:t>
      </w:r>
      <w:proofErr w:type="gramEnd"/>
      <w:r w:rsidRPr="003A001A">
        <w:rPr>
          <w:lang w:eastAsia="en-AU"/>
        </w:rPr>
        <w:t xml:space="preserve"> elements</w:t>
      </w:r>
      <w:r>
        <w:rPr>
          <w:lang w:eastAsia="en-AU"/>
        </w:rPr>
        <w:t xml:space="preserve"> </w:t>
      </w:r>
      <w:r w:rsidRPr="003A001A">
        <w:rPr>
          <w:lang w:eastAsia="en-AU"/>
        </w:rPr>
        <w:t xml:space="preserve">will be critical to ensuring high-quality, person-centred support remains available to communities across Australia. </w:t>
      </w:r>
    </w:p>
    <w:p w14:paraId="2E35144F" w14:textId="77777777" w:rsidR="00863819" w:rsidRPr="003A001A" w:rsidRDefault="00863819" w:rsidP="005F027A">
      <w:pPr>
        <w:rPr>
          <w:lang w:eastAsia="en-AU"/>
        </w:rPr>
      </w:pPr>
      <w:r w:rsidRPr="000D0C29">
        <w:rPr>
          <w:lang w:eastAsia="en-AU"/>
        </w:rPr>
        <w:t>Looking ahead, stakeholders highlighted several themes likely to remain important as the network evolves</w:t>
      </w:r>
      <w:r>
        <w:rPr>
          <w:lang w:eastAsia="en-AU"/>
        </w:rPr>
        <w:t>. These include</w:t>
      </w:r>
      <w:r w:rsidRPr="000D0C29">
        <w:rPr>
          <w:lang w:eastAsia="en-AU"/>
        </w:rPr>
        <w:t xml:space="preserve"> workforce capability, culturally responsive practice, service integration, quality improvement and the use of data to support learning across the network.</w:t>
      </w:r>
      <w:r w:rsidRPr="003A001A">
        <w:rPr>
          <w:lang w:eastAsia="en-AU"/>
        </w:rPr>
        <w:t xml:space="preserve"> Continued collaboration between governments, </w:t>
      </w:r>
      <w:r>
        <w:rPr>
          <w:lang w:eastAsia="en-AU"/>
        </w:rPr>
        <w:t>p</w:t>
      </w:r>
      <w:r w:rsidRPr="003A001A">
        <w:rPr>
          <w:lang w:eastAsia="en-AU"/>
        </w:rPr>
        <w:t xml:space="preserve">rimary </w:t>
      </w:r>
      <w:r>
        <w:rPr>
          <w:lang w:eastAsia="en-AU"/>
        </w:rPr>
        <w:t>h</w:t>
      </w:r>
      <w:r w:rsidRPr="003A001A">
        <w:rPr>
          <w:lang w:eastAsia="en-AU"/>
        </w:rPr>
        <w:t xml:space="preserve">ealth </w:t>
      </w:r>
      <w:r>
        <w:rPr>
          <w:lang w:eastAsia="en-AU"/>
        </w:rPr>
        <w:t>n</w:t>
      </w:r>
      <w:r w:rsidRPr="003A001A">
        <w:rPr>
          <w:lang w:eastAsia="en-AU"/>
        </w:rPr>
        <w:t xml:space="preserve">etworks, service providers, communities and people with lived experience will be important </w:t>
      </w:r>
      <w:r>
        <w:rPr>
          <w:lang w:eastAsia="en-AU"/>
        </w:rPr>
        <w:t>for</w:t>
      </w:r>
      <w:r w:rsidRPr="003A001A">
        <w:rPr>
          <w:lang w:eastAsia="en-AU"/>
        </w:rPr>
        <w:t xml:space="preserve"> ensuring the model continues to evolve in response to changing needs.</w:t>
      </w:r>
    </w:p>
    <w:p w14:paraId="053DD7A1" w14:textId="4F19260F" w:rsidR="000F35F1" w:rsidRDefault="00863819" w:rsidP="0005659A">
      <w:pPr>
        <w:rPr>
          <w:lang w:eastAsia="en-AU"/>
        </w:rPr>
      </w:pPr>
      <w:r w:rsidRPr="003A001A">
        <w:rPr>
          <w:lang w:eastAsia="en-AU"/>
        </w:rPr>
        <w:t>By building on its strengths and maintaining its commitment to accessible, welcoming and holistic care, Medicare Mental Health Centres are well placed to continue supporting people experiencing mental health challenges while contributing to a more connected, responsive and sustainable mental health system.</w:t>
      </w:r>
    </w:p>
    <w:p w14:paraId="6B20F404" w14:textId="77777777" w:rsidR="00F704D0" w:rsidRDefault="00F704D0" w:rsidP="00F704D0">
      <w:pPr>
        <w:rPr>
          <w:lang w:eastAsia="en-AU"/>
        </w:rPr>
      </w:pPr>
    </w:p>
    <w:p w14:paraId="4E6D2ABF" w14:textId="57EAF0B3" w:rsidR="00F704D0" w:rsidRDefault="00F704D0" w:rsidP="00F704D0">
      <w:pPr>
        <w:rPr>
          <w:lang w:eastAsia="en-AU"/>
        </w:rPr>
      </w:pPr>
      <w:r>
        <w:rPr>
          <w:lang w:eastAsia="en-AU"/>
        </w:rPr>
        <w:t>For more information about Medicare Mental Health Centres, visit:</w:t>
      </w:r>
    </w:p>
    <w:p w14:paraId="37EB8B7F" w14:textId="23CB04C3" w:rsidR="003A29A8" w:rsidRPr="00C37376" w:rsidRDefault="00F704D0" w:rsidP="00444AF5">
      <w:hyperlink r:id="rId23" w:history="1">
        <w:r w:rsidRPr="00C066E2">
          <w:rPr>
            <w:rStyle w:val="Hyperlink"/>
            <w:b/>
            <w:bCs/>
            <w:lang w:eastAsia="en-AU"/>
          </w:rPr>
          <w:t>medicarementalhealth.gov.au</w:t>
        </w:r>
      </w:hyperlink>
    </w:p>
    <w:p w14:paraId="1427746C" w14:textId="77777777" w:rsidR="001A2787" w:rsidRDefault="001A2787" w:rsidP="00444AF5">
      <w:pPr>
        <w:rPr>
          <w:b/>
          <w:bCs/>
          <w:lang w:eastAsia="en-AU"/>
        </w:rPr>
      </w:pPr>
    </w:p>
    <w:p w14:paraId="405708B1" w14:textId="5A7ED5AE" w:rsidR="001A2787" w:rsidRPr="00C066E2" w:rsidRDefault="001A2787" w:rsidP="00444AF5">
      <w:pPr>
        <w:rPr>
          <w:b/>
          <w:bCs/>
          <w:lang w:eastAsia="en-AU"/>
        </w:rPr>
      </w:pPr>
    </w:p>
    <w:sectPr w:rsidR="001A2787" w:rsidRPr="00C066E2" w:rsidSect="00444A86">
      <w:headerReference w:type="even" r:id="rId24"/>
      <w:headerReference w:type="default" r:id="rId25"/>
      <w:footerReference w:type="even" r:id="rId26"/>
      <w:footerReference w:type="default" r:id="rId27"/>
      <w:headerReference w:type="first" r:id="rId28"/>
      <w:footerReference w:type="first" r:id="rId29"/>
      <w:type w:val="continuous"/>
      <w:pgSz w:w="11906" w:h="16838"/>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6B3173" w14:textId="77777777" w:rsidR="007D0C96" w:rsidRDefault="007D0C96" w:rsidP="006B56BB">
      <w:r>
        <w:separator/>
      </w:r>
    </w:p>
    <w:p w14:paraId="3554B330" w14:textId="77777777" w:rsidR="007D0C96" w:rsidRDefault="007D0C96"/>
  </w:endnote>
  <w:endnote w:type="continuationSeparator" w:id="0">
    <w:p w14:paraId="5E8F4C23" w14:textId="77777777" w:rsidR="007D0C96" w:rsidRDefault="007D0C96" w:rsidP="006B56BB">
      <w:r>
        <w:continuationSeparator/>
      </w:r>
    </w:p>
    <w:p w14:paraId="3A68C856" w14:textId="77777777" w:rsidR="007D0C96" w:rsidRDefault="007D0C96"/>
  </w:endnote>
  <w:endnote w:type="continuationNotice" w:id="1">
    <w:p w14:paraId="33E65981" w14:textId="77777777" w:rsidR="007D0C96" w:rsidRDefault="007D0C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69E2A" w14:textId="095CAEB6" w:rsidR="00B10BE0" w:rsidRDefault="00B10BE0">
    <w:pPr>
      <w:pStyle w:val="Footer"/>
    </w:pPr>
    <w:r>
      <w:rPr>
        <w:noProof/>
      </w:rPr>
      <mc:AlternateContent>
        <mc:Choice Requires="wps">
          <w:drawing>
            <wp:anchor distT="0" distB="0" distL="0" distR="0" simplePos="0" relativeHeight="251658241" behindDoc="0" locked="0" layoutInCell="1" allowOverlap="1" wp14:anchorId="43A74147" wp14:editId="02800D60">
              <wp:simplePos x="635" y="635"/>
              <wp:positionH relativeFrom="page">
                <wp:align>center</wp:align>
              </wp:positionH>
              <wp:positionV relativeFrom="page">
                <wp:align>bottom</wp:align>
              </wp:positionV>
              <wp:extent cx="609600" cy="485775"/>
              <wp:effectExtent l="0" t="0" r="0" b="0"/>
              <wp:wrapNone/>
              <wp:docPr id="157593669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2A41D96D" w14:textId="3B3EF3DE"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v:shapetype id="_x0000_t202" coordsize="21600,21600" o:spt="202" path="m,l,21600r21600,l21600,xe" w14:anchorId="43A74147">
              <v:stroke joinstyle="miter"/>
              <v:path gradientshapeok="t" o:connecttype="rect"/>
            </v:shapetype>
            <v:shape id="Text Box 5" style="position:absolute;left:0;text-align:left;margin-left:0;margin-top:0;width:48pt;height:38.25pt;z-index:251658241;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e79DAIAABwEAAAOAAAAZHJzL2Uyb0RvYy54bWysU8Fu2zAMvQ/YPwi6L3aKJW2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Sjc57fznOMcAx9vZldX88iSna5bJ0P3wVoEo2SOtxKIosd&#10;Nj4MqWNKrGVg3SqVNqPMOwdiRk926TBaoa960tZvuq+gPuJQDoZ9e8vXLZbeMB+emcMFY7co2vCE&#10;h1TQlRROFiUNuF9/88d85B2jlHQomJIaVDQl6ofBfURtjYYbjSoZ09t8Fukxe30PKMMpvgjLk4le&#10;F9RoSgf6FeW8ioUwxAzHciWtRvM+DMrF58DFapWSUEaWhY3ZWh6hI12Ry5f+lTl7Ijzgph5hVBMr&#10;PvA+5Mab3q72AdlPS4nUDkSeGEcJprWenkvU+Nv/lHV51MvfAAAA//8DAFBLAwQUAAYACAAAACEA&#10;gBRPAtoAAAADAQAADwAAAGRycy9kb3ducmV2LnhtbEyPwW7CMBBE75X4B2uReisOINIS4iCE1BNV&#10;JaCX3oy9JGnjdRQ7EP6+217KZaTRrGbe5uvBNeKCXag9KZhOEhBIxtuaSgUfx9enFxAharK68YQK&#10;bhhgXYwecp1Zf6U9Xg6xFFxCIdMKqhjbTMpgKnQ6THyLxNnZd05Htl0pbaevXO4aOUuSVDpdEy9U&#10;usVtheb70DsFi31869/pOP8cZrevXbs18/POKPU4HjYrEBGH+H8Mv/iMDgUznXxPNohGAT8S/5Sz&#10;ZcrupOA5XYAscnnPXvwAAAD//wMAUEsBAi0AFAAGAAgAAAAhALaDOJL+AAAA4QEAABMAAAAAAAAA&#10;AAAAAAAAAAAAAFtDb250ZW50X1R5cGVzXS54bWxQSwECLQAUAAYACAAAACEAOP0h/9YAAACUAQAA&#10;CwAAAAAAAAAAAAAAAAAvAQAAX3JlbHMvLnJlbHNQSwECLQAUAAYACAAAACEAa3Hu/QwCAAAcBAAA&#10;DgAAAAAAAAAAAAAAAAAuAgAAZHJzL2Uyb0RvYy54bWxQSwECLQAUAAYACAAAACEAgBRPAtoAAAAD&#10;AQAADwAAAAAAAAAAAAAAAABmBAAAZHJzL2Rvd25yZXYueG1sUEsFBgAAAAAEAAQA8wAAAG0FAAAA&#10;AA==&#10;">
              <v:textbox style="mso-fit-shape-to-text:t" inset="0,0,0,15pt">
                <w:txbxContent>
                  <w:p w:rsidRPr="00B10BE0" w:rsidR="00B10BE0" w:rsidP="00B10BE0" w:rsidRDefault="00B10BE0" w14:paraId="2A41D96D" w14:textId="3B3EF3DE">
                    <w:pPr>
                      <w:spacing w:after="0"/>
                      <w:rPr>
                        <w:rFonts w:ascii="Aptos" w:hAnsi="Aptos" w:eastAsia="Aptos" w:cs="Aptos"/>
                        <w:noProof/>
                        <w:color w:val="FF0000"/>
                        <w:sz w:val="24"/>
                      </w:rPr>
                    </w:pPr>
                    <w:r w:rsidRPr="00B10BE0">
                      <w:rPr>
                        <w:rFonts w:ascii="Aptos" w:hAnsi="Aptos" w:eastAsia="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7ABF" w14:textId="3B8BAE58" w:rsidR="00B53987" w:rsidRPr="00863819" w:rsidRDefault="00863819" w:rsidP="00863819">
    <w:pPr>
      <w:pStyle w:val="Footer"/>
      <w:pBdr>
        <w:top w:val="single" w:sz="4" w:space="6" w:color="auto"/>
      </w:pBdr>
      <w:jc w:val="left"/>
    </w:pPr>
    <w:r w:rsidRPr="006F2CC9">
      <w:t xml:space="preserve">Medicare Mental Health Centres – </w:t>
    </w:r>
    <w:r>
      <w:t xml:space="preserve">2025 </w:t>
    </w:r>
    <w:r w:rsidRPr="006F2CC9">
      <w:t xml:space="preserve">Clinical Review </w:t>
    </w:r>
    <w:r>
      <w:t xml:space="preserve"> </w:t>
    </w:r>
    <w:sdt>
      <w:sdtPr>
        <w:id w:val="1888914563"/>
        <w:docPartObj>
          <w:docPartGallery w:val="Page Numbers (Bottom of Page)"/>
          <w:docPartUnique/>
        </w:docPartObj>
      </w:sdtPr>
      <w:sdtEndPr/>
      <w:sdtContent>
        <w:r>
          <w:tab/>
        </w:r>
        <w:r w:rsidRPr="00E0254E">
          <w:rPr>
            <w:b/>
            <w:bCs/>
          </w:rPr>
          <w:fldChar w:fldCharType="begin"/>
        </w:r>
        <w:r w:rsidRPr="00E0254E">
          <w:rPr>
            <w:b/>
            <w:bCs/>
          </w:rPr>
          <w:instrText xml:space="preserve"> PAGE   \* MERGEFORMAT </w:instrText>
        </w:r>
        <w:r w:rsidRPr="00E0254E">
          <w:rPr>
            <w:b/>
            <w:bCs/>
          </w:rPr>
          <w:fldChar w:fldCharType="separate"/>
        </w:r>
        <w:r>
          <w:rPr>
            <w:b/>
            <w:bCs/>
          </w:rPr>
          <w:t>1</w:t>
        </w:r>
        <w:r w:rsidRPr="00E0254E">
          <w:rPr>
            <w:b/>
            <w:bCs/>
          </w:rPr>
          <w:fldChar w:fldCharType="end"/>
        </w:r>
        <w:r>
          <w:t>/</w:t>
        </w:r>
      </w:sdtContent>
    </w:sdt>
    <w:r>
      <w:fldChar w:fldCharType="begin"/>
    </w:r>
    <w:r>
      <w:instrText xml:space="preserve"> NUMPAGES  \* MERGEFORMAT </w:instrText>
    </w:r>
    <w:r>
      <w:fldChar w:fldCharType="separate"/>
    </w:r>
    <w:r>
      <w:t>8</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8B0E" w14:textId="0F69F27D" w:rsidR="00B53987" w:rsidRPr="00444A86" w:rsidRDefault="00863819" w:rsidP="00444A86">
    <w:pPr>
      <w:pStyle w:val="Footer"/>
      <w:pBdr>
        <w:top w:val="single" w:sz="4" w:space="6" w:color="auto"/>
      </w:pBdr>
      <w:jc w:val="left"/>
    </w:pPr>
    <w:r w:rsidRPr="006F2CC9">
      <w:t xml:space="preserve">Medicare Mental Health Centres – </w:t>
    </w:r>
    <w:r>
      <w:t xml:space="preserve">2025 </w:t>
    </w:r>
    <w:r w:rsidRPr="006F2CC9">
      <w:t>Clinical Review</w:t>
    </w:r>
    <w:r>
      <w:t xml:space="preserve"> </w:t>
    </w:r>
    <w:sdt>
      <w:sdtPr>
        <w:id w:val="-359207175"/>
        <w:docPartObj>
          <w:docPartGallery w:val="Page Numbers (Bottom of Page)"/>
          <w:docPartUnique/>
        </w:docPartObj>
      </w:sdtPr>
      <w:sdtEndPr/>
      <w:sdtContent>
        <w:r w:rsidR="00444A86">
          <w:tab/>
        </w:r>
        <w:r w:rsidR="00444A86" w:rsidRPr="00E0254E">
          <w:rPr>
            <w:b/>
            <w:bCs/>
          </w:rPr>
          <w:fldChar w:fldCharType="begin"/>
        </w:r>
        <w:r w:rsidR="00444A86" w:rsidRPr="00E0254E">
          <w:rPr>
            <w:b/>
            <w:bCs/>
          </w:rPr>
          <w:instrText xml:space="preserve"> PAGE   \* MERGEFORMAT </w:instrText>
        </w:r>
        <w:r w:rsidR="00444A86" w:rsidRPr="00E0254E">
          <w:rPr>
            <w:b/>
            <w:bCs/>
          </w:rPr>
          <w:fldChar w:fldCharType="separate"/>
        </w:r>
        <w:r w:rsidR="00444A86">
          <w:rPr>
            <w:b/>
            <w:bCs/>
          </w:rPr>
          <w:t>4</w:t>
        </w:r>
        <w:r w:rsidR="00444A86" w:rsidRPr="00E0254E">
          <w:rPr>
            <w:b/>
            <w:bCs/>
          </w:rPr>
          <w:fldChar w:fldCharType="end"/>
        </w:r>
        <w:r w:rsidR="00444A86">
          <w:t>/</w:t>
        </w:r>
      </w:sdtContent>
    </w:sdt>
    <w:r w:rsidR="00444A86">
      <w:fldChar w:fldCharType="begin"/>
    </w:r>
    <w:r w:rsidR="00444A86">
      <w:instrText xml:space="preserve"> NUMPAGES  \* MERGEFORMAT </w:instrText>
    </w:r>
    <w:r w:rsidR="00444A86">
      <w:fldChar w:fldCharType="separate"/>
    </w:r>
    <w:r w:rsidR="00444A86">
      <w:t>6</w:t>
    </w:r>
    <w:r w:rsidR="00444A8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A8115" w14:textId="77777777" w:rsidR="007D0C96" w:rsidRDefault="007D0C96" w:rsidP="006B56BB">
      <w:r>
        <w:separator/>
      </w:r>
    </w:p>
    <w:p w14:paraId="6E96D26D" w14:textId="77777777" w:rsidR="007D0C96" w:rsidRDefault="007D0C96"/>
  </w:footnote>
  <w:footnote w:type="continuationSeparator" w:id="0">
    <w:p w14:paraId="27B8D1BF" w14:textId="77777777" w:rsidR="007D0C96" w:rsidRDefault="007D0C96" w:rsidP="006B56BB">
      <w:r>
        <w:continuationSeparator/>
      </w:r>
    </w:p>
    <w:p w14:paraId="78534EC5" w14:textId="77777777" w:rsidR="007D0C96" w:rsidRDefault="007D0C96"/>
  </w:footnote>
  <w:footnote w:type="continuationNotice" w:id="1">
    <w:p w14:paraId="74F72AB5" w14:textId="77777777" w:rsidR="007D0C96" w:rsidRDefault="007D0C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34683" w14:textId="4929C2A9" w:rsidR="00B10BE0" w:rsidRDefault="00B10BE0">
    <w:pPr>
      <w:pStyle w:val="Header"/>
    </w:pPr>
    <w:r>
      <w:rPr>
        <w:noProof/>
      </w:rPr>
      <mc:AlternateContent>
        <mc:Choice Requires="wps">
          <w:drawing>
            <wp:anchor distT="0" distB="0" distL="0" distR="0" simplePos="0" relativeHeight="251658240" behindDoc="0" locked="0" layoutInCell="1" allowOverlap="1" wp14:anchorId="621DB205" wp14:editId="19ED7A28">
              <wp:simplePos x="635" y="635"/>
              <wp:positionH relativeFrom="page">
                <wp:align>center</wp:align>
              </wp:positionH>
              <wp:positionV relativeFrom="page">
                <wp:align>top</wp:align>
              </wp:positionV>
              <wp:extent cx="609600" cy="485775"/>
              <wp:effectExtent l="0" t="0" r="0" b="9525"/>
              <wp:wrapNone/>
              <wp:docPr id="7722224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09600" cy="485775"/>
                      </a:xfrm>
                      <a:prstGeom prst="rect">
                        <a:avLst/>
                      </a:prstGeom>
                      <a:noFill/>
                      <a:ln>
                        <a:noFill/>
                      </a:ln>
                    </wps:spPr>
                    <wps:txbx>
                      <w:txbxContent>
                        <w:p w14:paraId="6CC97CF8" w14:textId="08CC1FD2" w:rsidR="00B10BE0" w:rsidRPr="00B10BE0" w:rsidRDefault="00B10BE0" w:rsidP="00B10BE0">
                          <w:pPr>
                            <w:spacing w:after="0"/>
                            <w:rPr>
                              <w:rFonts w:ascii="Aptos" w:eastAsia="Aptos" w:hAnsi="Aptos" w:cs="Aptos"/>
                              <w:noProof/>
                              <w:color w:val="FF0000"/>
                              <w:sz w:val="24"/>
                            </w:rPr>
                          </w:pPr>
                          <w:r w:rsidRPr="00B10BE0">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xmlns:w16cei="http://schemas.microsoft.com/office/word/2026/wordml/cei">
          <w:pict>
            <v:shapetype id="_x0000_t202" coordsize="21600,21600" o:spt="202" path="m,l,21600r21600,l21600,xe" w14:anchorId="621DB205">
              <v:stroke joinstyle="miter"/>
              <v:path gradientshapeok="t" o:connecttype="rect"/>
            </v:shapetype>
            <v:shape id="Text Box 2" style="position:absolute;margin-left:0;margin-top:0;width:48pt;height:38.25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PAHCQIAABUEAAAOAAAAZHJzL2Uyb0RvYy54bWysU8Fu2zAMvQ/YPwi6L3aKJW2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ROc9v5zlGOIa+3syur2cRJbtcts6H7wI0iUZJHW4lkcWO&#10;Gx/61DEl1jKwbpRKm1HmLwdiRk926TBaodt1Q9s7qE44jYN+0d7ydYM1N8yHZ+Zws9gmqjU84SEV&#10;tCWFwaKkBvfrPX/MR8IxSkmLSimpQSlTon4YXEQUVTKmt/kssuBG9240zEHfA+pvik/B8mTGvKBG&#10;UzrQr6jjVSyEIWY4litpGM370EsW3wEXq1VKQv1YFjZma3mEjjxFEl+6V+bswHTAFT3CKCNWvCG8&#10;z403vV0dAtKethE57YkcqEbtpX0O7ySK+8//lHV5zcvfAAAA//8DAFBLAwQUAAYACAAAACEAY+eT&#10;vdkAAAADAQAADwAAAGRycy9kb3ducmV2LnhtbEyPwU7DMBBE70j8g7VI3KgTpARIs6kqpB56K6Vw&#10;duNtEojXUey2oV/PwgUuI41mNfO2XEyuVycaQ+cZIZ0loIhrbztuEHavq7tHUCEatqb3TAhfFGBR&#10;XV+VprD+zC902sZGSQmHwiC0MQ6F1qFuyZkw8wOxZAc/OhPFjo22ozlLuev1fZLk2pmOZaE1Az23&#10;VH9ujw6hy5Y+pvS2Xn28u9Snl806u2wQb2+m5RxUpCn+HcMPvqBDJUx7f2QbVI8gj8RflewpF7dH&#10;eMgz0FWp/7NX3wAAAP//AwBQSwECLQAUAAYACAAAACEAtoM4kv4AAADhAQAAEwAAAAAAAAAAAAAA&#10;AAAAAAAAW0NvbnRlbnRfVHlwZXNdLnhtbFBLAQItABQABgAIAAAAIQA4/SH/1gAAAJQBAAALAAAA&#10;AAAAAAAAAAAAAC8BAABfcmVscy8ucmVsc1BLAQItABQABgAIAAAAIQBMGPAHCQIAABUEAAAOAAAA&#10;AAAAAAAAAAAAAC4CAABkcnMvZTJvRG9jLnhtbFBLAQItABQABgAIAAAAIQBj55O92QAAAAMBAAAP&#10;AAAAAAAAAAAAAAAAAGMEAABkcnMvZG93bnJldi54bWxQSwUGAAAAAAQABADzAAAAaQUAAAAA&#10;">
              <v:textbox style="mso-fit-shape-to-text:t" inset="0,15pt,0,0">
                <w:txbxContent>
                  <w:p w:rsidRPr="00B10BE0" w:rsidR="00B10BE0" w:rsidP="00B10BE0" w:rsidRDefault="00B10BE0" w14:paraId="6CC97CF8" w14:textId="08CC1FD2">
                    <w:pPr>
                      <w:spacing w:after="0"/>
                      <w:rPr>
                        <w:rFonts w:ascii="Aptos" w:hAnsi="Aptos" w:eastAsia="Aptos" w:cs="Aptos"/>
                        <w:noProof/>
                        <w:color w:val="FF0000"/>
                        <w:sz w:val="24"/>
                      </w:rPr>
                    </w:pPr>
                    <w:r w:rsidRPr="00B10BE0">
                      <w:rPr>
                        <w:rFonts w:ascii="Aptos" w:hAnsi="Apto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5442B" w14:textId="42CFE441" w:rsidR="008E0C77" w:rsidRDefault="00C5715B" w:rsidP="008E0C77">
    <w:pPr>
      <w:pStyle w:val="Headertext"/>
      <w:spacing w:after="180"/>
      <w:jc w:val="left"/>
    </w:pPr>
    <w:r>
      <w:rPr>
        <w:noProof/>
      </w:rPr>
      <w:drawing>
        <wp:anchor distT="0" distB="0" distL="114300" distR="114300" simplePos="0" relativeHeight="251661313" behindDoc="1" locked="0" layoutInCell="1" allowOverlap="1" wp14:anchorId="3C7460D0" wp14:editId="515C7EA7">
          <wp:simplePos x="0" y="0"/>
          <wp:positionH relativeFrom="page">
            <wp:align>left</wp:align>
          </wp:positionH>
          <wp:positionV relativeFrom="page">
            <wp:align>top</wp:align>
          </wp:positionV>
          <wp:extent cx="7578000" cy="115200"/>
          <wp:effectExtent l="0" t="0" r="0" b="0"/>
          <wp:wrapNone/>
          <wp:docPr id="110329338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293385"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204" b="95602"/>
                  <a:stretch>
                    <a:fillRect/>
                  </a:stretch>
                </pic:blipFill>
                <pic:spPr bwMode="auto">
                  <a:xfrm>
                    <a:off x="0" y="0"/>
                    <a:ext cx="7578000" cy="115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5D2DF" w14:textId="49EA780D" w:rsidR="00B53987" w:rsidRDefault="009C3138">
    <w:pPr>
      <w:pStyle w:val="Header"/>
    </w:pPr>
    <w:r>
      <w:rPr>
        <w:noProof/>
      </w:rPr>
      <w:drawing>
        <wp:anchor distT="0" distB="0" distL="114300" distR="114300" simplePos="0" relativeHeight="251659265" behindDoc="1" locked="0" layoutInCell="1" allowOverlap="1" wp14:anchorId="430C5534" wp14:editId="4355BEB9">
          <wp:simplePos x="0" y="0"/>
          <wp:positionH relativeFrom="page">
            <wp:align>left</wp:align>
          </wp:positionH>
          <wp:positionV relativeFrom="page">
            <wp:align>top</wp:align>
          </wp:positionV>
          <wp:extent cx="7578000" cy="2484000"/>
          <wp:effectExtent l="0" t="0" r="4445" b="5715"/>
          <wp:wrapNone/>
          <wp:docPr id="1326814468" name="Picture 3" descr="Australian Government Department of Health, Disability and Aging logo within mast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14468" name="Picture 3" descr="Australian Government Department of Health, Disability and Aging logo within masthead."/>
                  <pic:cNvPicPr/>
                </pic:nvPicPr>
                <pic:blipFill>
                  <a:blip r:embed="rId1">
                    <a:extLst>
                      <a:ext uri="{28A0092B-C50C-407E-A947-70E740481C1C}">
                        <a14:useLocalDpi xmlns:a14="http://schemas.microsoft.com/office/drawing/2010/main" val="0"/>
                      </a:ext>
                    </a:extLst>
                  </a:blip>
                  <a:stretch>
                    <a:fillRect/>
                  </a:stretch>
                </pic:blipFill>
                <pic:spPr>
                  <a:xfrm>
                    <a:off x="0" y="0"/>
                    <a:ext cx="7578000" cy="248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EA0D6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1C57EE"/>
    <w:lvl w:ilvl="0">
      <w:start w:val="1"/>
      <w:numFmt w:val="decimal"/>
      <w:lvlText w:val="%1."/>
      <w:lvlJc w:val="left"/>
      <w:pPr>
        <w:tabs>
          <w:tab w:val="num" w:pos="1209"/>
        </w:tabs>
        <w:ind w:left="1209" w:hanging="360"/>
      </w:pPr>
    </w:lvl>
  </w:abstractNum>
  <w:abstractNum w:abstractNumId="2" w15:restartNumberingAfterBreak="0">
    <w:nsid w:val="FFFFFF7F"/>
    <w:multiLevelType w:val="singleLevel"/>
    <w:tmpl w:val="B9A0CBAA"/>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4DD2D666"/>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B82AA00E"/>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1126434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12025D4A"/>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1594553A"/>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7B247ED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3311526"/>
    <w:multiLevelType w:val="hybridMultilevel"/>
    <w:tmpl w:val="1A242556"/>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A017652"/>
    <w:multiLevelType w:val="hybridMultilevel"/>
    <w:tmpl w:val="CD164538"/>
    <w:lvl w:ilvl="0" w:tplc="0809000F">
      <w:start w:val="1"/>
      <w:numFmt w:val="decimal"/>
      <w:lvlText w:val="%1."/>
      <w:lvlJc w:val="left"/>
      <w:pPr>
        <w:ind w:left="644" w:hanging="360"/>
      </w:pPr>
      <w:rPr>
        <w:rFonts w:hint="default"/>
        <w:color w:val="auto"/>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815B3B"/>
    <w:multiLevelType w:val="hybridMultilevel"/>
    <w:tmpl w:val="AD029CAC"/>
    <w:lvl w:ilvl="0" w:tplc="0C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3363506"/>
    <w:multiLevelType w:val="hybridMultilevel"/>
    <w:tmpl w:val="9FEA7CEA"/>
    <w:lvl w:ilvl="0" w:tplc="B722292C">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7F2DF0"/>
    <w:multiLevelType w:val="hybridMultilevel"/>
    <w:tmpl w:val="38E635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CD50FD"/>
    <w:multiLevelType w:val="hybridMultilevel"/>
    <w:tmpl w:val="2EC6E5F4"/>
    <w:lvl w:ilvl="0" w:tplc="98DA49D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18" w15:restartNumberingAfterBreak="0">
    <w:nsid w:val="4B055023"/>
    <w:multiLevelType w:val="hybridMultilevel"/>
    <w:tmpl w:val="2D5A5F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CF8287E"/>
    <w:multiLevelType w:val="hybridMultilevel"/>
    <w:tmpl w:val="A44C6632"/>
    <w:lvl w:ilvl="0" w:tplc="B6B6120E">
      <w:start w:val="1"/>
      <w:numFmt w:val="bullet"/>
      <w:pStyle w:val="Tablelist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75550011"/>
    <w:multiLevelType w:val="hybridMultilevel"/>
    <w:tmpl w:val="0812F726"/>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1428187210">
    <w:abstractNumId w:val="8"/>
  </w:num>
  <w:num w:numId="2" w16cid:durableId="2105878216">
    <w:abstractNumId w:val="20"/>
  </w:num>
  <w:num w:numId="3" w16cid:durableId="671226532">
    <w:abstractNumId w:val="22"/>
  </w:num>
  <w:num w:numId="4" w16cid:durableId="1506937884">
    <w:abstractNumId w:val="9"/>
  </w:num>
  <w:num w:numId="5" w16cid:durableId="1265769880">
    <w:abstractNumId w:val="9"/>
    <w:lvlOverride w:ilvl="0">
      <w:startOverride w:val="1"/>
    </w:lvlOverride>
  </w:num>
  <w:num w:numId="6" w16cid:durableId="1288003406">
    <w:abstractNumId w:val="11"/>
  </w:num>
  <w:num w:numId="7" w16cid:durableId="1551646069">
    <w:abstractNumId w:val="17"/>
  </w:num>
  <w:num w:numId="8" w16cid:durableId="407311294">
    <w:abstractNumId w:val="21"/>
  </w:num>
  <w:num w:numId="9" w16cid:durableId="1855923538">
    <w:abstractNumId w:val="6"/>
  </w:num>
  <w:num w:numId="10" w16cid:durableId="788933602">
    <w:abstractNumId w:val="5"/>
  </w:num>
  <w:num w:numId="11" w16cid:durableId="5327513">
    <w:abstractNumId w:val="4"/>
  </w:num>
  <w:num w:numId="12" w16cid:durableId="344138758">
    <w:abstractNumId w:val="3"/>
  </w:num>
  <w:num w:numId="13" w16cid:durableId="1879080393">
    <w:abstractNumId w:val="7"/>
  </w:num>
  <w:num w:numId="14" w16cid:durableId="1399593633">
    <w:abstractNumId w:val="1"/>
  </w:num>
  <w:num w:numId="15" w16cid:durableId="1336497471">
    <w:abstractNumId w:val="0"/>
  </w:num>
  <w:num w:numId="16" w16cid:durableId="1887570050">
    <w:abstractNumId w:val="24"/>
  </w:num>
  <w:num w:numId="17" w16cid:durableId="803278780">
    <w:abstractNumId w:val="13"/>
  </w:num>
  <w:num w:numId="18" w16cid:durableId="364212072">
    <w:abstractNumId w:val="14"/>
  </w:num>
  <w:num w:numId="19" w16cid:durableId="808983311">
    <w:abstractNumId w:val="16"/>
  </w:num>
  <w:num w:numId="20" w16cid:durableId="1108499705">
    <w:abstractNumId w:val="13"/>
  </w:num>
  <w:num w:numId="21" w16cid:durableId="2135168833">
    <w:abstractNumId w:val="16"/>
  </w:num>
  <w:num w:numId="22" w16cid:durableId="1331519124">
    <w:abstractNumId w:val="24"/>
  </w:num>
  <w:num w:numId="23" w16cid:durableId="768160667">
    <w:abstractNumId w:val="20"/>
  </w:num>
  <w:num w:numId="24" w16cid:durableId="501624301">
    <w:abstractNumId w:val="22"/>
  </w:num>
  <w:num w:numId="25" w16cid:durableId="1331903733">
    <w:abstractNumId w:val="9"/>
  </w:num>
  <w:num w:numId="26" w16cid:durableId="350230098">
    <w:abstractNumId w:val="19"/>
  </w:num>
  <w:num w:numId="27" w16cid:durableId="577640241">
    <w:abstractNumId w:val="12"/>
  </w:num>
  <w:num w:numId="28" w16cid:durableId="971638399">
    <w:abstractNumId w:val="22"/>
  </w:num>
  <w:num w:numId="29" w16cid:durableId="1130126358">
    <w:abstractNumId w:val="23"/>
  </w:num>
  <w:num w:numId="30" w16cid:durableId="1037507565">
    <w:abstractNumId w:val="22"/>
  </w:num>
  <w:num w:numId="31" w16cid:durableId="476071920">
    <w:abstractNumId w:val="22"/>
  </w:num>
  <w:num w:numId="32" w16cid:durableId="1270549869">
    <w:abstractNumId w:val="22"/>
  </w:num>
  <w:num w:numId="33" w16cid:durableId="435713206">
    <w:abstractNumId w:val="15"/>
  </w:num>
  <w:num w:numId="34" w16cid:durableId="2001808308">
    <w:abstractNumId w:val="10"/>
  </w:num>
  <w:num w:numId="35" w16cid:durableId="1635136550">
    <w:abstractNumId w:val="2"/>
  </w:num>
  <w:num w:numId="36" w16cid:durableId="108502789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38E"/>
    <w:rsid w:val="00003743"/>
    <w:rsid w:val="00003916"/>
    <w:rsid w:val="000047B4"/>
    <w:rsid w:val="00005712"/>
    <w:rsid w:val="00007FD8"/>
    <w:rsid w:val="000117F8"/>
    <w:rsid w:val="00012877"/>
    <w:rsid w:val="0001460F"/>
    <w:rsid w:val="00022629"/>
    <w:rsid w:val="00023357"/>
    <w:rsid w:val="00026139"/>
    <w:rsid w:val="00026DA5"/>
    <w:rsid w:val="00027601"/>
    <w:rsid w:val="00033321"/>
    <w:rsid w:val="000338E5"/>
    <w:rsid w:val="00033ECC"/>
    <w:rsid w:val="0003422F"/>
    <w:rsid w:val="00034A70"/>
    <w:rsid w:val="000350F9"/>
    <w:rsid w:val="00041E34"/>
    <w:rsid w:val="00046FF0"/>
    <w:rsid w:val="00047FD4"/>
    <w:rsid w:val="00050176"/>
    <w:rsid w:val="00050342"/>
    <w:rsid w:val="0005659A"/>
    <w:rsid w:val="000635CE"/>
    <w:rsid w:val="00067456"/>
    <w:rsid w:val="00071506"/>
    <w:rsid w:val="0007154F"/>
    <w:rsid w:val="00081AB1"/>
    <w:rsid w:val="00090316"/>
    <w:rsid w:val="00093981"/>
    <w:rsid w:val="00096075"/>
    <w:rsid w:val="000A0D3B"/>
    <w:rsid w:val="000A3039"/>
    <w:rsid w:val="000B067A"/>
    <w:rsid w:val="000B1540"/>
    <w:rsid w:val="000B1E53"/>
    <w:rsid w:val="000B33FD"/>
    <w:rsid w:val="000B4ABA"/>
    <w:rsid w:val="000C030F"/>
    <w:rsid w:val="000C4148"/>
    <w:rsid w:val="000C4B16"/>
    <w:rsid w:val="000C50C3"/>
    <w:rsid w:val="000C5E14"/>
    <w:rsid w:val="000D0D4F"/>
    <w:rsid w:val="000D21F6"/>
    <w:rsid w:val="000D368B"/>
    <w:rsid w:val="000D4500"/>
    <w:rsid w:val="000D7AEA"/>
    <w:rsid w:val="000E2C66"/>
    <w:rsid w:val="000E3DEA"/>
    <w:rsid w:val="000F123C"/>
    <w:rsid w:val="000F2FED"/>
    <w:rsid w:val="000F35F1"/>
    <w:rsid w:val="0010616D"/>
    <w:rsid w:val="00110478"/>
    <w:rsid w:val="0011711B"/>
    <w:rsid w:val="00117F8A"/>
    <w:rsid w:val="00121B9B"/>
    <w:rsid w:val="00122ADC"/>
    <w:rsid w:val="00123BEC"/>
    <w:rsid w:val="00125860"/>
    <w:rsid w:val="00130F59"/>
    <w:rsid w:val="00133EC0"/>
    <w:rsid w:val="00141CE5"/>
    <w:rsid w:val="00144155"/>
    <w:rsid w:val="00144908"/>
    <w:rsid w:val="00154CB5"/>
    <w:rsid w:val="00156D96"/>
    <w:rsid w:val="001571C7"/>
    <w:rsid w:val="00161094"/>
    <w:rsid w:val="00164DA7"/>
    <w:rsid w:val="00165AE9"/>
    <w:rsid w:val="0017665C"/>
    <w:rsid w:val="00176EF3"/>
    <w:rsid w:val="00177AD2"/>
    <w:rsid w:val="001815A8"/>
    <w:rsid w:val="001840FA"/>
    <w:rsid w:val="00190079"/>
    <w:rsid w:val="0019099C"/>
    <w:rsid w:val="00192C5F"/>
    <w:rsid w:val="0019622E"/>
    <w:rsid w:val="001966A7"/>
    <w:rsid w:val="001A2787"/>
    <w:rsid w:val="001A4627"/>
    <w:rsid w:val="001A4979"/>
    <w:rsid w:val="001A7001"/>
    <w:rsid w:val="001B15D3"/>
    <w:rsid w:val="001B3443"/>
    <w:rsid w:val="001C0326"/>
    <w:rsid w:val="001C192F"/>
    <w:rsid w:val="001C3C42"/>
    <w:rsid w:val="001C6063"/>
    <w:rsid w:val="001D4E37"/>
    <w:rsid w:val="001D7869"/>
    <w:rsid w:val="001E5EBE"/>
    <w:rsid w:val="001F7CF6"/>
    <w:rsid w:val="002026CD"/>
    <w:rsid w:val="002033FC"/>
    <w:rsid w:val="002044BB"/>
    <w:rsid w:val="00210B09"/>
    <w:rsid w:val="00210C9E"/>
    <w:rsid w:val="00211840"/>
    <w:rsid w:val="00220E5F"/>
    <w:rsid w:val="00220FBD"/>
    <w:rsid w:val="002212B5"/>
    <w:rsid w:val="00222666"/>
    <w:rsid w:val="00223F3E"/>
    <w:rsid w:val="00226668"/>
    <w:rsid w:val="002269EA"/>
    <w:rsid w:val="00233809"/>
    <w:rsid w:val="00235612"/>
    <w:rsid w:val="00240046"/>
    <w:rsid w:val="00241260"/>
    <w:rsid w:val="00242A4C"/>
    <w:rsid w:val="0024797F"/>
    <w:rsid w:val="0025119E"/>
    <w:rsid w:val="00251269"/>
    <w:rsid w:val="002535C0"/>
    <w:rsid w:val="00256D12"/>
    <w:rsid w:val="002579FE"/>
    <w:rsid w:val="00260552"/>
    <w:rsid w:val="0026311C"/>
    <w:rsid w:val="00263860"/>
    <w:rsid w:val="0026668C"/>
    <w:rsid w:val="00266AC1"/>
    <w:rsid w:val="0027178C"/>
    <w:rsid w:val="002719FA"/>
    <w:rsid w:val="00272668"/>
    <w:rsid w:val="0027330B"/>
    <w:rsid w:val="00274C20"/>
    <w:rsid w:val="002803AD"/>
    <w:rsid w:val="00281A7F"/>
    <w:rsid w:val="00282052"/>
    <w:rsid w:val="002831A3"/>
    <w:rsid w:val="0028519E"/>
    <w:rsid w:val="002856A5"/>
    <w:rsid w:val="002872ED"/>
    <w:rsid w:val="002905C2"/>
    <w:rsid w:val="00295AF2"/>
    <w:rsid w:val="00295C91"/>
    <w:rsid w:val="00296C97"/>
    <w:rsid w:val="00297151"/>
    <w:rsid w:val="002A72FE"/>
    <w:rsid w:val="002B20E6"/>
    <w:rsid w:val="002B2E41"/>
    <w:rsid w:val="002B42A3"/>
    <w:rsid w:val="002C0CDD"/>
    <w:rsid w:val="002C38C4"/>
    <w:rsid w:val="002D2A61"/>
    <w:rsid w:val="002D57AC"/>
    <w:rsid w:val="002E1A1D"/>
    <w:rsid w:val="002E4081"/>
    <w:rsid w:val="002E5B78"/>
    <w:rsid w:val="002F045F"/>
    <w:rsid w:val="002F3AE3"/>
    <w:rsid w:val="002F7941"/>
    <w:rsid w:val="002F7E5D"/>
    <w:rsid w:val="0030464B"/>
    <w:rsid w:val="0030786C"/>
    <w:rsid w:val="003124F1"/>
    <w:rsid w:val="00320F51"/>
    <w:rsid w:val="003233DE"/>
    <w:rsid w:val="0032466B"/>
    <w:rsid w:val="003330EB"/>
    <w:rsid w:val="003415FD"/>
    <w:rsid w:val="003429F0"/>
    <w:rsid w:val="00345A82"/>
    <w:rsid w:val="003461DE"/>
    <w:rsid w:val="0034673E"/>
    <w:rsid w:val="0035097A"/>
    <w:rsid w:val="003540A4"/>
    <w:rsid w:val="003556F3"/>
    <w:rsid w:val="003560BB"/>
    <w:rsid w:val="00357783"/>
    <w:rsid w:val="00357BCC"/>
    <w:rsid w:val="00360E4E"/>
    <w:rsid w:val="00363EAF"/>
    <w:rsid w:val="00370AAA"/>
    <w:rsid w:val="003712FF"/>
    <w:rsid w:val="00375F77"/>
    <w:rsid w:val="00377694"/>
    <w:rsid w:val="00380BD3"/>
    <w:rsid w:val="00381BBE"/>
    <w:rsid w:val="00382903"/>
    <w:rsid w:val="003846BB"/>
    <w:rsid w:val="003846FF"/>
    <w:rsid w:val="003857D4"/>
    <w:rsid w:val="00385928"/>
    <w:rsid w:val="00385AD4"/>
    <w:rsid w:val="00387924"/>
    <w:rsid w:val="00392930"/>
    <w:rsid w:val="0039384D"/>
    <w:rsid w:val="00395C23"/>
    <w:rsid w:val="003973EA"/>
    <w:rsid w:val="003A29A8"/>
    <w:rsid w:val="003A2E4F"/>
    <w:rsid w:val="003A4438"/>
    <w:rsid w:val="003A5013"/>
    <w:rsid w:val="003A5078"/>
    <w:rsid w:val="003A62DD"/>
    <w:rsid w:val="003A7299"/>
    <w:rsid w:val="003A775A"/>
    <w:rsid w:val="003B213A"/>
    <w:rsid w:val="003B43AD"/>
    <w:rsid w:val="003C0728"/>
    <w:rsid w:val="003C0FEC"/>
    <w:rsid w:val="003C13ED"/>
    <w:rsid w:val="003C2AC8"/>
    <w:rsid w:val="003D033A"/>
    <w:rsid w:val="003D17F9"/>
    <w:rsid w:val="003D2D88"/>
    <w:rsid w:val="003D41EA"/>
    <w:rsid w:val="003D4850"/>
    <w:rsid w:val="003D535A"/>
    <w:rsid w:val="003E39D6"/>
    <w:rsid w:val="003E5265"/>
    <w:rsid w:val="003E5F21"/>
    <w:rsid w:val="003E678F"/>
    <w:rsid w:val="003F0955"/>
    <w:rsid w:val="003F2DDC"/>
    <w:rsid w:val="003F5F4D"/>
    <w:rsid w:val="003F646F"/>
    <w:rsid w:val="003F7B5E"/>
    <w:rsid w:val="00400F00"/>
    <w:rsid w:val="004048AB"/>
    <w:rsid w:val="00404F8B"/>
    <w:rsid w:val="00405256"/>
    <w:rsid w:val="00410031"/>
    <w:rsid w:val="00415C81"/>
    <w:rsid w:val="0041692C"/>
    <w:rsid w:val="004209DA"/>
    <w:rsid w:val="00421BA2"/>
    <w:rsid w:val="00432378"/>
    <w:rsid w:val="00434034"/>
    <w:rsid w:val="00440D65"/>
    <w:rsid w:val="004435E6"/>
    <w:rsid w:val="00443E56"/>
    <w:rsid w:val="00444A86"/>
    <w:rsid w:val="00444AF5"/>
    <w:rsid w:val="00447E31"/>
    <w:rsid w:val="00453923"/>
    <w:rsid w:val="00454B9B"/>
    <w:rsid w:val="00457858"/>
    <w:rsid w:val="00460B0B"/>
    <w:rsid w:val="00461023"/>
    <w:rsid w:val="00461BCB"/>
    <w:rsid w:val="00462FAC"/>
    <w:rsid w:val="00464631"/>
    <w:rsid w:val="00464B79"/>
    <w:rsid w:val="00465803"/>
    <w:rsid w:val="00467BBF"/>
    <w:rsid w:val="00481E88"/>
    <w:rsid w:val="00483CB1"/>
    <w:rsid w:val="0048593C"/>
    <w:rsid w:val="004867E2"/>
    <w:rsid w:val="00490F0A"/>
    <w:rsid w:val="004929A9"/>
    <w:rsid w:val="004A78D9"/>
    <w:rsid w:val="004B6344"/>
    <w:rsid w:val="004C1BCD"/>
    <w:rsid w:val="004C6BCF"/>
    <w:rsid w:val="004D44D7"/>
    <w:rsid w:val="004D58BF"/>
    <w:rsid w:val="004D6645"/>
    <w:rsid w:val="004E4335"/>
    <w:rsid w:val="004F13EE"/>
    <w:rsid w:val="004F14C1"/>
    <w:rsid w:val="004F2022"/>
    <w:rsid w:val="004F3F9E"/>
    <w:rsid w:val="004F7C05"/>
    <w:rsid w:val="00501C94"/>
    <w:rsid w:val="005022AA"/>
    <w:rsid w:val="00506432"/>
    <w:rsid w:val="00506E82"/>
    <w:rsid w:val="00511A41"/>
    <w:rsid w:val="005125B6"/>
    <w:rsid w:val="00514CA8"/>
    <w:rsid w:val="0052051D"/>
    <w:rsid w:val="0054078E"/>
    <w:rsid w:val="00545EE6"/>
    <w:rsid w:val="005477E9"/>
    <w:rsid w:val="00550581"/>
    <w:rsid w:val="00551143"/>
    <w:rsid w:val="00552556"/>
    <w:rsid w:val="005533F3"/>
    <w:rsid w:val="005550E7"/>
    <w:rsid w:val="005564FB"/>
    <w:rsid w:val="005572C7"/>
    <w:rsid w:val="005650ED"/>
    <w:rsid w:val="005652BC"/>
    <w:rsid w:val="005703AD"/>
    <w:rsid w:val="00575754"/>
    <w:rsid w:val="00581FBA"/>
    <w:rsid w:val="00586AA2"/>
    <w:rsid w:val="00591E20"/>
    <w:rsid w:val="005921AE"/>
    <w:rsid w:val="005939C5"/>
    <w:rsid w:val="00595408"/>
    <w:rsid w:val="00595E84"/>
    <w:rsid w:val="005A0C36"/>
    <w:rsid w:val="005A0C59"/>
    <w:rsid w:val="005A48EB"/>
    <w:rsid w:val="005A6CFB"/>
    <w:rsid w:val="005B098A"/>
    <w:rsid w:val="005C45CF"/>
    <w:rsid w:val="005C5AEB"/>
    <w:rsid w:val="005D7DCA"/>
    <w:rsid w:val="005E0A3F"/>
    <w:rsid w:val="005E6758"/>
    <w:rsid w:val="005E6883"/>
    <w:rsid w:val="005E772F"/>
    <w:rsid w:val="005F027A"/>
    <w:rsid w:val="005F4ECA"/>
    <w:rsid w:val="006041BE"/>
    <w:rsid w:val="006043C7"/>
    <w:rsid w:val="0061010A"/>
    <w:rsid w:val="0061480B"/>
    <w:rsid w:val="006171F4"/>
    <w:rsid w:val="006231B8"/>
    <w:rsid w:val="00624B52"/>
    <w:rsid w:val="00625D89"/>
    <w:rsid w:val="006275D5"/>
    <w:rsid w:val="006304BD"/>
    <w:rsid w:val="00630794"/>
    <w:rsid w:val="00630AE8"/>
    <w:rsid w:val="00631DF4"/>
    <w:rsid w:val="00632538"/>
    <w:rsid w:val="00634175"/>
    <w:rsid w:val="006408AC"/>
    <w:rsid w:val="006511B6"/>
    <w:rsid w:val="006548ED"/>
    <w:rsid w:val="00657FF8"/>
    <w:rsid w:val="00670D99"/>
    <w:rsid w:val="00670E2B"/>
    <w:rsid w:val="006734BB"/>
    <w:rsid w:val="0067444D"/>
    <w:rsid w:val="0067697A"/>
    <w:rsid w:val="006821EB"/>
    <w:rsid w:val="00695FBC"/>
    <w:rsid w:val="006A1F82"/>
    <w:rsid w:val="006B2286"/>
    <w:rsid w:val="006B4B53"/>
    <w:rsid w:val="006B56BB"/>
    <w:rsid w:val="006C0021"/>
    <w:rsid w:val="006C0271"/>
    <w:rsid w:val="006C593C"/>
    <w:rsid w:val="006C77A8"/>
    <w:rsid w:val="006D4098"/>
    <w:rsid w:val="006D7681"/>
    <w:rsid w:val="006D7B2E"/>
    <w:rsid w:val="006E02EA"/>
    <w:rsid w:val="006E0968"/>
    <w:rsid w:val="006E2AF6"/>
    <w:rsid w:val="006E56E4"/>
    <w:rsid w:val="006F3BAB"/>
    <w:rsid w:val="00701275"/>
    <w:rsid w:val="00702020"/>
    <w:rsid w:val="00707F56"/>
    <w:rsid w:val="00713558"/>
    <w:rsid w:val="00716262"/>
    <w:rsid w:val="007172F8"/>
    <w:rsid w:val="00720D08"/>
    <w:rsid w:val="007263B9"/>
    <w:rsid w:val="007334F8"/>
    <w:rsid w:val="007339CD"/>
    <w:rsid w:val="007359D8"/>
    <w:rsid w:val="007362D4"/>
    <w:rsid w:val="00753918"/>
    <w:rsid w:val="0076672A"/>
    <w:rsid w:val="00775E45"/>
    <w:rsid w:val="00776E74"/>
    <w:rsid w:val="00782960"/>
    <w:rsid w:val="00785169"/>
    <w:rsid w:val="00792B1F"/>
    <w:rsid w:val="007954AB"/>
    <w:rsid w:val="007978FC"/>
    <w:rsid w:val="007A14C5"/>
    <w:rsid w:val="007A4A10"/>
    <w:rsid w:val="007A582D"/>
    <w:rsid w:val="007B1760"/>
    <w:rsid w:val="007B68E7"/>
    <w:rsid w:val="007C1FDC"/>
    <w:rsid w:val="007C276A"/>
    <w:rsid w:val="007C4D46"/>
    <w:rsid w:val="007C6D9C"/>
    <w:rsid w:val="007C7DDB"/>
    <w:rsid w:val="007D0C96"/>
    <w:rsid w:val="007D2CC7"/>
    <w:rsid w:val="007D673D"/>
    <w:rsid w:val="007E0FB8"/>
    <w:rsid w:val="007E4D09"/>
    <w:rsid w:val="007E7272"/>
    <w:rsid w:val="007F135C"/>
    <w:rsid w:val="007F2220"/>
    <w:rsid w:val="007F4B3E"/>
    <w:rsid w:val="008127AF"/>
    <w:rsid w:val="00812B46"/>
    <w:rsid w:val="008145B1"/>
    <w:rsid w:val="0081465E"/>
    <w:rsid w:val="00815700"/>
    <w:rsid w:val="0082246B"/>
    <w:rsid w:val="008264EB"/>
    <w:rsid w:val="00826B8F"/>
    <w:rsid w:val="00831E8A"/>
    <w:rsid w:val="00835C76"/>
    <w:rsid w:val="008376E2"/>
    <w:rsid w:val="00840DB2"/>
    <w:rsid w:val="00843049"/>
    <w:rsid w:val="00844497"/>
    <w:rsid w:val="0085209B"/>
    <w:rsid w:val="00856B66"/>
    <w:rsid w:val="008601AC"/>
    <w:rsid w:val="008609A1"/>
    <w:rsid w:val="00861A5F"/>
    <w:rsid w:val="00863819"/>
    <w:rsid w:val="008644AD"/>
    <w:rsid w:val="00865735"/>
    <w:rsid w:val="00865DDB"/>
    <w:rsid w:val="00867538"/>
    <w:rsid w:val="00873D90"/>
    <w:rsid w:val="00873FC8"/>
    <w:rsid w:val="008756A3"/>
    <w:rsid w:val="008769D3"/>
    <w:rsid w:val="00884C63"/>
    <w:rsid w:val="00885908"/>
    <w:rsid w:val="008864B7"/>
    <w:rsid w:val="0089677E"/>
    <w:rsid w:val="00896D80"/>
    <w:rsid w:val="00897ED4"/>
    <w:rsid w:val="008A7438"/>
    <w:rsid w:val="008B1334"/>
    <w:rsid w:val="008B25C7"/>
    <w:rsid w:val="008B26D3"/>
    <w:rsid w:val="008B7F64"/>
    <w:rsid w:val="008C0278"/>
    <w:rsid w:val="008C24E9"/>
    <w:rsid w:val="008D0533"/>
    <w:rsid w:val="008D42CB"/>
    <w:rsid w:val="008D48C9"/>
    <w:rsid w:val="008D6381"/>
    <w:rsid w:val="008E0C77"/>
    <w:rsid w:val="008E625F"/>
    <w:rsid w:val="008F1EAB"/>
    <w:rsid w:val="008F264D"/>
    <w:rsid w:val="008F280A"/>
    <w:rsid w:val="008F37CE"/>
    <w:rsid w:val="00903667"/>
    <w:rsid w:val="00903E35"/>
    <w:rsid w:val="009040E9"/>
    <w:rsid w:val="009074E1"/>
    <w:rsid w:val="009112F7"/>
    <w:rsid w:val="009122AF"/>
    <w:rsid w:val="00912D54"/>
    <w:rsid w:val="0091389F"/>
    <w:rsid w:val="00913EE2"/>
    <w:rsid w:val="009208F7"/>
    <w:rsid w:val="00921649"/>
    <w:rsid w:val="00922517"/>
    <w:rsid w:val="00922722"/>
    <w:rsid w:val="009251D5"/>
    <w:rsid w:val="009261E6"/>
    <w:rsid w:val="009268E1"/>
    <w:rsid w:val="009271EE"/>
    <w:rsid w:val="009273C6"/>
    <w:rsid w:val="00932F90"/>
    <w:rsid w:val="00933B5F"/>
    <w:rsid w:val="009344AE"/>
    <w:rsid w:val="009344DE"/>
    <w:rsid w:val="00934B8B"/>
    <w:rsid w:val="00945E7F"/>
    <w:rsid w:val="00951735"/>
    <w:rsid w:val="009557C1"/>
    <w:rsid w:val="009575DC"/>
    <w:rsid w:val="009602E1"/>
    <w:rsid w:val="00960D6E"/>
    <w:rsid w:val="00974B59"/>
    <w:rsid w:val="0098340B"/>
    <w:rsid w:val="00986830"/>
    <w:rsid w:val="00986A64"/>
    <w:rsid w:val="0098741D"/>
    <w:rsid w:val="009924C3"/>
    <w:rsid w:val="0099261C"/>
    <w:rsid w:val="00993102"/>
    <w:rsid w:val="009A3002"/>
    <w:rsid w:val="009B1570"/>
    <w:rsid w:val="009B7F7A"/>
    <w:rsid w:val="009C3138"/>
    <w:rsid w:val="009C586E"/>
    <w:rsid w:val="009C6F10"/>
    <w:rsid w:val="009D148F"/>
    <w:rsid w:val="009D3CD1"/>
    <w:rsid w:val="009D3D70"/>
    <w:rsid w:val="009E3822"/>
    <w:rsid w:val="009E4870"/>
    <w:rsid w:val="009E6F7E"/>
    <w:rsid w:val="009E7A57"/>
    <w:rsid w:val="009F4803"/>
    <w:rsid w:val="009F4F6A"/>
    <w:rsid w:val="00A04C7A"/>
    <w:rsid w:val="00A1138E"/>
    <w:rsid w:val="00A1227E"/>
    <w:rsid w:val="00A1371A"/>
    <w:rsid w:val="00A13EB5"/>
    <w:rsid w:val="00A16E36"/>
    <w:rsid w:val="00A24961"/>
    <w:rsid w:val="00A24B10"/>
    <w:rsid w:val="00A26603"/>
    <w:rsid w:val="00A277EF"/>
    <w:rsid w:val="00A30E9B"/>
    <w:rsid w:val="00A4512D"/>
    <w:rsid w:val="00A461F4"/>
    <w:rsid w:val="00A47590"/>
    <w:rsid w:val="00A50244"/>
    <w:rsid w:val="00A55EE3"/>
    <w:rsid w:val="00A61419"/>
    <w:rsid w:val="00A627D7"/>
    <w:rsid w:val="00A656C7"/>
    <w:rsid w:val="00A705AF"/>
    <w:rsid w:val="00A719F6"/>
    <w:rsid w:val="00A72454"/>
    <w:rsid w:val="00A77696"/>
    <w:rsid w:val="00A80557"/>
    <w:rsid w:val="00A81D33"/>
    <w:rsid w:val="00A8341C"/>
    <w:rsid w:val="00A930AE"/>
    <w:rsid w:val="00AA1A95"/>
    <w:rsid w:val="00AA260F"/>
    <w:rsid w:val="00AA571D"/>
    <w:rsid w:val="00AA673E"/>
    <w:rsid w:val="00AB1EE7"/>
    <w:rsid w:val="00AB4B37"/>
    <w:rsid w:val="00AB5762"/>
    <w:rsid w:val="00AB7E41"/>
    <w:rsid w:val="00AC2679"/>
    <w:rsid w:val="00AC4BE4"/>
    <w:rsid w:val="00AC7CAE"/>
    <w:rsid w:val="00AD05C4"/>
    <w:rsid w:val="00AD05E6"/>
    <w:rsid w:val="00AD0D3F"/>
    <w:rsid w:val="00AE1D7D"/>
    <w:rsid w:val="00AE2A8B"/>
    <w:rsid w:val="00AE2E8C"/>
    <w:rsid w:val="00AE3F64"/>
    <w:rsid w:val="00AF2B55"/>
    <w:rsid w:val="00AF7386"/>
    <w:rsid w:val="00AF7934"/>
    <w:rsid w:val="00B00B81"/>
    <w:rsid w:val="00B01E0B"/>
    <w:rsid w:val="00B04580"/>
    <w:rsid w:val="00B04B09"/>
    <w:rsid w:val="00B054C3"/>
    <w:rsid w:val="00B10BE0"/>
    <w:rsid w:val="00B16A51"/>
    <w:rsid w:val="00B32222"/>
    <w:rsid w:val="00B324B4"/>
    <w:rsid w:val="00B3618D"/>
    <w:rsid w:val="00B36233"/>
    <w:rsid w:val="00B42851"/>
    <w:rsid w:val="00B43902"/>
    <w:rsid w:val="00B45AC7"/>
    <w:rsid w:val="00B5372F"/>
    <w:rsid w:val="00B53987"/>
    <w:rsid w:val="00B61129"/>
    <w:rsid w:val="00B67E7F"/>
    <w:rsid w:val="00B824F4"/>
    <w:rsid w:val="00B839B2"/>
    <w:rsid w:val="00B9279E"/>
    <w:rsid w:val="00B94252"/>
    <w:rsid w:val="00B9715A"/>
    <w:rsid w:val="00BA14BE"/>
    <w:rsid w:val="00BA2732"/>
    <w:rsid w:val="00BA293D"/>
    <w:rsid w:val="00BA4143"/>
    <w:rsid w:val="00BA49BC"/>
    <w:rsid w:val="00BA56B7"/>
    <w:rsid w:val="00BA7A1E"/>
    <w:rsid w:val="00BB2F6C"/>
    <w:rsid w:val="00BB3875"/>
    <w:rsid w:val="00BB5860"/>
    <w:rsid w:val="00BB6AAD"/>
    <w:rsid w:val="00BC4A19"/>
    <w:rsid w:val="00BC4E6D"/>
    <w:rsid w:val="00BD0617"/>
    <w:rsid w:val="00BD2E9B"/>
    <w:rsid w:val="00BD7FB2"/>
    <w:rsid w:val="00BE163C"/>
    <w:rsid w:val="00BE27FB"/>
    <w:rsid w:val="00BF2F59"/>
    <w:rsid w:val="00BF736D"/>
    <w:rsid w:val="00C00930"/>
    <w:rsid w:val="00C012EA"/>
    <w:rsid w:val="00C060AD"/>
    <w:rsid w:val="00C066E2"/>
    <w:rsid w:val="00C113BF"/>
    <w:rsid w:val="00C15D38"/>
    <w:rsid w:val="00C175E6"/>
    <w:rsid w:val="00C2176E"/>
    <w:rsid w:val="00C23430"/>
    <w:rsid w:val="00C27D67"/>
    <w:rsid w:val="00C33A67"/>
    <w:rsid w:val="00C37376"/>
    <w:rsid w:val="00C410D3"/>
    <w:rsid w:val="00C4631F"/>
    <w:rsid w:val="00C47CDE"/>
    <w:rsid w:val="00C50E16"/>
    <w:rsid w:val="00C55258"/>
    <w:rsid w:val="00C5715B"/>
    <w:rsid w:val="00C57CDE"/>
    <w:rsid w:val="00C601C8"/>
    <w:rsid w:val="00C75445"/>
    <w:rsid w:val="00C82EEB"/>
    <w:rsid w:val="00C856C6"/>
    <w:rsid w:val="00C86FF0"/>
    <w:rsid w:val="00C94876"/>
    <w:rsid w:val="00C971DC"/>
    <w:rsid w:val="00CA16B7"/>
    <w:rsid w:val="00CA47CB"/>
    <w:rsid w:val="00CA62AE"/>
    <w:rsid w:val="00CB5B1A"/>
    <w:rsid w:val="00CC220B"/>
    <w:rsid w:val="00CC5C43"/>
    <w:rsid w:val="00CD02AE"/>
    <w:rsid w:val="00CD02C5"/>
    <w:rsid w:val="00CD2A4F"/>
    <w:rsid w:val="00CE03CA"/>
    <w:rsid w:val="00CE22F1"/>
    <w:rsid w:val="00CE275E"/>
    <w:rsid w:val="00CE50F2"/>
    <w:rsid w:val="00CE6502"/>
    <w:rsid w:val="00CF15F3"/>
    <w:rsid w:val="00CF48BA"/>
    <w:rsid w:val="00CF7D3C"/>
    <w:rsid w:val="00D00F2B"/>
    <w:rsid w:val="00D01F09"/>
    <w:rsid w:val="00D065F6"/>
    <w:rsid w:val="00D074A2"/>
    <w:rsid w:val="00D147EB"/>
    <w:rsid w:val="00D14911"/>
    <w:rsid w:val="00D34667"/>
    <w:rsid w:val="00D401E1"/>
    <w:rsid w:val="00D408B4"/>
    <w:rsid w:val="00D44330"/>
    <w:rsid w:val="00D46254"/>
    <w:rsid w:val="00D524C8"/>
    <w:rsid w:val="00D6276D"/>
    <w:rsid w:val="00D64D1A"/>
    <w:rsid w:val="00D70E24"/>
    <w:rsid w:val="00D72B61"/>
    <w:rsid w:val="00D75A6F"/>
    <w:rsid w:val="00D81D8F"/>
    <w:rsid w:val="00D854A3"/>
    <w:rsid w:val="00D92AE1"/>
    <w:rsid w:val="00DA3D1D"/>
    <w:rsid w:val="00DB0FD3"/>
    <w:rsid w:val="00DB6286"/>
    <w:rsid w:val="00DB645F"/>
    <w:rsid w:val="00DB76E9"/>
    <w:rsid w:val="00DC0A67"/>
    <w:rsid w:val="00DC1D5E"/>
    <w:rsid w:val="00DC3F7A"/>
    <w:rsid w:val="00DC5220"/>
    <w:rsid w:val="00DD2061"/>
    <w:rsid w:val="00DD7DAB"/>
    <w:rsid w:val="00DE3355"/>
    <w:rsid w:val="00DE4728"/>
    <w:rsid w:val="00DF0C60"/>
    <w:rsid w:val="00DF486F"/>
    <w:rsid w:val="00DF5B5B"/>
    <w:rsid w:val="00DF7619"/>
    <w:rsid w:val="00E00211"/>
    <w:rsid w:val="00E0254E"/>
    <w:rsid w:val="00E042D8"/>
    <w:rsid w:val="00E04643"/>
    <w:rsid w:val="00E06942"/>
    <w:rsid w:val="00E07EE7"/>
    <w:rsid w:val="00E1103B"/>
    <w:rsid w:val="00E13DC8"/>
    <w:rsid w:val="00E17B44"/>
    <w:rsid w:val="00E20F27"/>
    <w:rsid w:val="00E21668"/>
    <w:rsid w:val="00E22443"/>
    <w:rsid w:val="00E239AA"/>
    <w:rsid w:val="00E257A1"/>
    <w:rsid w:val="00E25B1F"/>
    <w:rsid w:val="00E25DF5"/>
    <w:rsid w:val="00E27FEA"/>
    <w:rsid w:val="00E4086F"/>
    <w:rsid w:val="00E42F28"/>
    <w:rsid w:val="00E43B3C"/>
    <w:rsid w:val="00E50188"/>
    <w:rsid w:val="00E50BB3"/>
    <w:rsid w:val="00E515CB"/>
    <w:rsid w:val="00E52260"/>
    <w:rsid w:val="00E639B6"/>
    <w:rsid w:val="00E6434B"/>
    <w:rsid w:val="00E6463D"/>
    <w:rsid w:val="00E72E9B"/>
    <w:rsid w:val="00E850C3"/>
    <w:rsid w:val="00E87DF2"/>
    <w:rsid w:val="00E90059"/>
    <w:rsid w:val="00E92F2E"/>
    <w:rsid w:val="00E9462E"/>
    <w:rsid w:val="00EA470E"/>
    <w:rsid w:val="00EA47A7"/>
    <w:rsid w:val="00EA57EB"/>
    <w:rsid w:val="00EA6305"/>
    <w:rsid w:val="00EB3226"/>
    <w:rsid w:val="00EC213A"/>
    <w:rsid w:val="00EC4A7B"/>
    <w:rsid w:val="00EC7744"/>
    <w:rsid w:val="00ED0DAD"/>
    <w:rsid w:val="00ED0F46"/>
    <w:rsid w:val="00ED2373"/>
    <w:rsid w:val="00ED732F"/>
    <w:rsid w:val="00EE3E8A"/>
    <w:rsid w:val="00EE4A93"/>
    <w:rsid w:val="00EE5B59"/>
    <w:rsid w:val="00EE6C79"/>
    <w:rsid w:val="00EF58B8"/>
    <w:rsid w:val="00EF6ECA"/>
    <w:rsid w:val="00EF70F7"/>
    <w:rsid w:val="00F019F3"/>
    <w:rsid w:val="00F024E1"/>
    <w:rsid w:val="00F0603D"/>
    <w:rsid w:val="00F06C10"/>
    <w:rsid w:val="00F1096F"/>
    <w:rsid w:val="00F12589"/>
    <w:rsid w:val="00F12595"/>
    <w:rsid w:val="00F134D9"/>
    <w:rsid w:val="00F1403D"/>
    <w:rsid w:val="00F1463F"/>
    <w:rsid w:val="00F21302"/>
    <w:rsid w:val="00F2300B"/>
    <w:rsid w:val="00F2430D"/>
    <w:rsid w:val="00F321DE"/>
    <w:rsid w:val="00F33777"/>
    <w:rsid w:val="00F40648"/>
    <w:rsid w:val="00F40F1D"/>
    <w:rsid w:val="00F4307F"/>
    <w:rsid w:val="00F47DA2"/>
    <w:rsid w:val="00F519FC"/>
    <w:rsid w:val="00F51BE4"/>
    <w:rsid w:val="00F57E93"/>
    <w:rsid w:val="00F6239D"/>
    <w:rsid w:val="00F704D0"/>
    <w:rsid w:val="00F715D2"/>
    <w:rsid w:val="00F72574"/>
    <w:rsid w:val="00F7274F"/>
    <w:rsid w:val="00F73EA4"/>
    <w:rsid w:val="00F74E84"/>
    <w:rsid w:val="00F76FA8"/>
    <w:rsid w:val="00F80E9F"/>
    <w:rsid w:val="00F828BE"/>
    <w:rsid w:val="00F8306D"/>
    <w:rsid w:val="00F93F08"/>
    <w:rsid w:val="00F94CED"/>
    <w:rsid w:val="00F959B8"/>
    <w:rsid w:val="00F97297"/>
    <w:rsid w:val="00FA02BB"/>
    <w:rsid w:val="00FA2CEE"/>
    <w:rsid w:val="00FA318C"/>
    <w:rsid w:val="00FA3954"/>
    <w:rsid w:val="00FB08D7"/>
    <w:rsid w:val="00FB6F92"/>
    <w:rsid w:val="00FC026E"/>
    <w:rsid w:val="00FC1223"/>
    <w:rsid w:val="00FC23F3"/>
    <w:rsid w:val="00FC5124"/>
    <w:rsid w:val="00FD4731"/>
    <w:rsid w:val="00FD6768"/>
    <w:rsid w:val="00FE38A5"/>
    <w:rsid w:val="00FF0AB0"/>
    <w:rsid w:val="00FF28AC"/>
    <w:rsid w:val="00FF777D"/>
    <w:rsid w:val="00FF7F62"/>
    <w:rsid w:val="0330B6C4"/>
    <w:rsid w:val="0AC83DE9"/>
    <w:rsid w:val="0BE00CFA"/>
    <w:rsid w:val="1DB09747"/>
    <w:rsid w:val="32C52DC1"/>
    <w:rsid w:val="58B0C5FF"/>
    <w:rsid w:val="5F600006"/>
    <w:rsid w:val="7926FBCD"/>
    <w:rsid w:val="7AC0CF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0DAAB"/>
  <w15:docId w15:val="{C16B0877-DB17-0D4A-B49D-5A564734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A719F6"/>
    <w:pPr>
      <w:spacing w:before="120" w:after="120" w:line="276" w:lineRule="auto"/>
    </w:pPr>
    <w:rPr>
      <w:rFonts w:ascii="Arial" w:hAnsi="Arial"/>
      <w:color w:val="000000" w:themeColor="text1"/>
      <w:sz w:val="22"/>
      <w:szCs w:val="24"/>
      <w:lang w:eastAsia="en-US"/>
    </w:rPr>
  </w:style>
  <w:style w:type="paragraph" w:styleId="Heading1">
    <w:name w:val="heading 1"/>
    <w:next w:val="Normal"/>
    <w:qFormat/>
    <w:rsid w:val="00A719F6"/>
    <w:pPr>
      <w:keepNext/>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qFormat/>
    <w:rsid w:val="00BE163C"/>
    <w:pPr>
      <w:keepNext/>
      <w:spacing w:before="240" w:after="60"/>
      <w:outlineLvl w:val="1"/>
    </w:pPr>
    <w:rPr>
      <w:rFonts w:ascii="Arial" w:hAnsi="Arial" w:cs="Arial"/>
      <w:b/>
      <w:bCs/>
      <w:iCs/>
      <w:color w:val="245457" w:themeColor="accent2"/>
      <w:sz w:val="36"/>
      <w:szCs w:val="28"/>
      <w:lang w:eastAsia="en-US"/>
    </w:rPr>
  </w:style>
  <w:style w:type="paragraph" w:styleId="Heading3">
    <w:name w:val="heading 3"/>
    <w:next w:val="Normal"/>
    <w:link w:val="Heading3Char"/>
    <w:qFormat/>
    <w:rsid w:val="00BE163C"/>
    <w:pPr>
      <w:keepNext/>
      <w:spacing w:before="180" w:after="60"/>
      <w:outlineLvl w:val="2"/>
    </w:pPr>
    <w:rPr>
      <w:rFonts w:ascii="Arial" w:hAnsi="Arial" w:cs="Arial"/>
      <w:b/>
      <w:bCs/>
      <w:color w:val="245457" w:themeColor="accent2"/>
      <w:sz w:val="28"/>
      <w:szCs w:val="28"/>
      <w:lang w:eastAsia="en-US"/>
    </w:rPr>
  </w:style>
  <w:style w:type="paragraph" w:styleId="Heading4">
    <w:name w:val="heading 4"/>
    <w:next w:val="Normal"/>
    <w:qFormat/>
    <w:rsid w:val="00ED732F"/>
    <w:pPr>
      <w:keepNext/>
      <w:spacing w:before="240" w:after="60"/>
      <w:outlineLvl w:val="3"/>
    </w:pPr>
    <w:rPr>
      <w:rFonts w:ascii="Arial" w:hAnsi="Arial"/>
      <w:b/>
      <w:bCs/>
      <w:i/>
      <w:color w:val="245457" w:themeColor="accent2"/>
      <w:sz w:val="24"/>
      <w:szCs w:val="24"/>
      <w:lang w:eastAsia="en-US"/>
    </w:rPr>
  </w:style>
  <w:style w:type="paragraph" w:styleId="Heading5">
    <w:name w:val="heading 5"/>
    <w:next w:val="Normal"/>
    <w:rsid w:val="00695FBC"/>
    <w:pPr>
      <w:keepNext/>
      <w:spacing w:after="240"/>
      <w:outlineLvl w:val="4"/>
    </w:pPr>
    <w:rPr>
      <w:rFonts w:ascii="Arial" w:hAnsi="Arial"/>
      <w:b/>
      <w:bCs/>
      <w:iCs/>
      <w:color w:val="245457" w:themeColor="accent2"/>
      <w:sz w:val="24"/>
      <w:szCs w:val="26"/>
      <w:lang w:eastAsia="en-US"/>
    </w:rPr>
  </w:style>
  <w:style w:type="paragraph" w:styleId="Heading6">
    <w:name w:val="heading 6"/>
    <w:next w:val="Normal"/>
    <w:rsid w:val="00A719F6"/>
    <w:pPr>
      <w:keepNext/>
      <w:spacing w:before="240" w:after="60"/>
      <w:outlineLvl w:val="5"/>
    </w:pPr>
    <w:rPr>
      <w:rFonts w:ascii="Arial" w:hAnsi="Arial"/>
      <w:b/>
      <w:bCs/>
      <w:sz w:val="22"/>
      <w:szCs w:val="22"/>
      <w:lang w:eastAsia="en-US"/>
    </w:rPr>
  </w:style>
  <w:style w:type="paragraph" w:styleId="Heading7">
    <w:name w:val="heading 7"/>
    <w:next w:val="Normal"/>
    <w:link w:val="Heading7Char"/>
    <w:unhideWhenUsed/>
    <w:rsid w:val="00A719F6"/>
    <w:pPr>
      <w:keepNext/>
      <w:keepLines/>
      <w:spacing w:before="40"/>
      <w:outlineLvl w:val="6"/>
    </w:pPr>
    <w:rPr>
      <w:rFonts w:ascii="Arial" w:eastAsiaTheme="majorEastAsia" w:hAnsi="Arial" w:cstheme="majorBidi"/>
      <w:b/>
      <w:i/>
      <w:iCs/>
      <w:color w:val="1F243A"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19F6"/>
    <w:rPr>
      <w:i/>
      <w:iCs/>
    </w:rPr>
  </w:style>
  <w:style w:type="character" w:styleId="Strong">
    <w:name w:val="Strong"/>
    <w:basedOn w:val="DefaultParagraphFont"/>
    <w:rsid w:val="00A719F6"/>
    <w:rPr>
      <w:b/>
      <w:bCs/>
    </w:rPr>
  </w:style>
  <w:style w:type="paragraph" w:styleId="Subtitle">
    <w:name w:val="Subtitle"/>
    <w:next w:val="Normal"/>
    <w:link w:val="SubtitleChar"/>
    <w:qFormat/>
    <w:rsid w:val="00A719F6"/>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A719F6"/>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A719F6"/>
    <w:pPr>
      <w:spacing w:before="36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A719F6"/>
    <w:rPr>
      <w:rFonts w:ascii="Arial" w:eastAsiaTheme="majorEastAsia" w:hAnsi="Arial" w:cstheme="majorBidi"/>
      <w:b/>
      <w:color w:val="3F4A75"/>
      <w:kern w:val="28"/>
      <w:sz w:val="48"/>
      <w:szCs w:val="52"/>
      <w:lang w:eastAsia="en-US"/>
    </w:rPr>
  </w:style>
  <w:style w:type="paragraph" w:customStyle="1" w:styleId="Boxheading">
    <w:name w:val="Box heading"/>
    <w:basedOn w:val="Boxtype"/>
    <w:qFormat/>
    <w:rsid w:val="00BE163C"/>
    <w:pPr>
      <w:spacing w:before="240"/>
    </w:pPr>
    <w:rPr>
      <w:rFonts w:cs="Times New Roman"/>
      <w:b/>
      <w:bCs/>
      <w:caps/>
      <w:color w:val="245457" w:themeColor="accent2"/>
      <w:szCs w:val="20"/>
    </w:rPr>
  </w:style>
  <w:style w:type="character" w:styleId="SubtleEmphasis">
    <w:name w:val="Subtle Emphasis"/>
    <w:basedOn w:val="DefaultParagraphFont"/>
    <w:uiPriority w:val="19"/>
    <w:rsid w:val="00A719F6"/>
    <w:rPr>
      <w:i/>
      <w:iCs/>
      <w:color w:val="808080" w:themeColor="text1" w:themeTint="7F"/>
    </w:rPr>
  </w:style>
  <w:style w:type="character" w:styleId="IntenseEmphasis">
    <w:name w:val="Intense Emphasis"/>
    <w:basedOn w:val="DefaultParagraphFont"/>
    <w:uiPriority w:val="21"/>
    <w:rsid w:val="00A719F6"/>
    <w:rPr>
      <w:b/>
      <w:bCs/>
      <w:i/>
      <w:iCs/>
      <w:color w:val="3F4A75" w:themeColor="accent1"/>
    </w:rPr>
  </w:style>
  <w:style w:type="paragraph" w:styleId="Quote">
    <w:name w:val="Quote"/>
    <w:next w:val="Normal"/>
    <w:link w:val="QuoteChar"/>
    <w:uiPriority w:val="29"/>
    <w:qFormat/>
    <w:rsid w:val="00A719F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A719F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A719F6"/>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A719F6"/>
    <w:rPr>
      <w:rFonts w:ascii="Arial" w:hAnsi="Arial"/>
      <w:b/>
      <w:bCs/>
      <w:i/>
      <w:iCs/>
      <w:color w:val="3F4A75" w:themeColor="accent1"/>
      <w:sz w:val="22"/>
      <w:szCs w:val="24"/>
      <w:lang w:eastAsia="en-US"/>
    </w:rPr>
  </w:style>
  <w:style w:type="character" w:styleId="SubtleReference">
    <w:name w:val="Subtle Reference"/>
    <w:basedOn w:val="DefaultParagraphFont"/>
    <w:uiPriority w:val="31"/>
    <w:rsid w:val="00A719F6"/>
    <w:rPr>
      <w:smallCaps/>
      <w:color w:val="245457" w:themeColor="accent2"/>
      <w:u w:val="single"/>
    </w:rPr>
  </w:style>
  <w:style w:type="character" w:styleId="IntenseReference">
    <w:name w:val="Intense Reference"/>
    <w:basedOn w:val="DefaultParagraphFont"/>
    <w:uiPriority w:val="32"/>
    <w:rsid w:val="00A719F6"/>
    <w:rPr>
      <w:b/>
      <w:bCs/>
      <w:i/>
      <w:smallCaps/>
      <w:color w:val="245457" w:themeColor="accent2"/>
      <w:spacing w:val="5"/>
      <w:u w:val="none"/>
    </w:rPr>
  </w:style>
  <w:style w:type="paragraph" w:styleId="ListBullet2">
    <w:name w:val="List Bullet 2"/>
    <w:basedOn w:val="ListNumber2"/>
    <w:rsid w:val="00A719F6"/>
    <w:pPr>
      <w:numPr>
        <w:numId w:val="22"/>
      </w:numPr>
    </w:pPr>
  </w:style>
  <w:style w:type="paragraph" w:styleId="ListNumber2">
    <w:name w:val="List Number 2"/>
    <w:basedOn w:val="ListBullet"/>
    <w:qFormat/>
    <w:rsid w:val="00A719F6"/>
    <w:pPr>
      <w:numPr>
        <w:numId w:val="21"/>
      </w:numPr>
    </w:pPr>
  </w:style>
  <w:style w:type="paragraph" w:styleId="ListBullet">
    <w:name w:val="List Bullet"/>
    <w:basedOn w:val="Normal"/>
    <w:qFormat/>
    <w:rsid w:val="00A719F6"/>
    <w:pPr>
      <w:numPr>
        <w:numId w:val="20"/>
      </w:numPr>
      <w:tabs>
        <w:tab w:val="left" w:pos="340"/>
        <w:tab w:val="left" w:pos="680"/>
      </w:tabs>
      <w:spacing w:before="60" w:after="60"/>
    </w:pPr>
  </w:style>
  <w:style w:type="paragraph" w:styleId="ListParagraph">
    <w:name w:val="List Paragraph"/>
    <w:aliases w:val="List Paragraph1,List Paragraph11,Recommendation,First level bullet point,Bullet point,Bullets,CV text,Dot pt,F5 List Paragraph,FooterText,L,List Paragraph111,List Paragraph2,Medium Grid 1 - Accent 21,NAST Quote,NFP GP Bulleted List,列,Ha"/>
    <w:basedOn w:val="Normal"/>
    <w:link w:val="ListParagraphChar"/>
    <w:uiPriority w:val="34"/>
    <w:qFormat/>
    <w:rsid w:val="00A719F6"/>
    <w:pPr>
      <w:ind w:left="720"/>
      <w:contextualSpacing/>
    </w:pPr>
  </w:style>
  <w:style w:type="paragraph" w:styleId="ListNumber3">
    <w:name w:val="List Number 3"/>
    <w:aliases w:val="List Third Level"/>
    <w:basedOn w:val="ListNumber2"/>
    <w:rsid w:val="00A719F6"/>
    <w:pPr>
      <w:numPr>
        <w:numId w:val="23"/>
      </w:numPr>
      <w:tabs>
        <w:tab w:val="num" w:pos="1440"/>
      </w:tabs>
    </w:pPr>
    <w:rPr>
      <w:rFonts w:eastAsia="Cambria"/>
      <w:color w:val="auto"/>
      <w:szCs w:val="22"/>
      <w:lang w:val="en-US"/>
    </w:rPr>
  </w:style>
  <w:style w:type="paragraph" w:customStyle="1" w:styleId="ImageTitle">
    <w:name w:val="Image Title"/>
    <w:locked/>
    <w:rsid w:val="00A719F6"/>
    <w:pPr>
      <w:tabs>
        <w:tab w:val="num" w:pos="1080"/>
      </w:tabs>
      <w:spacing w:before="120" w:line="240" w:lineRule="exact"/>
    </w:pPr>
    <w:rPr>
      <w:rFonts w:ascii="Arial" w:hAnsi="Arial"/>
      <w:color w:val="000000" w:themeColor="text1"/>
      <w:sz w:val="22"/>
      <w:szCs w:val="24"/>
      <w:lang w:eastAsia="en-US"/>
    </w:rPr>
  </w:style>
  <w:style w:type="paragraph" w:styleId="BodyText">
    <w:name w:val="Body Text"/>
    <w:basedOn w:val="Normal"/>
    <w:link w:val="BodyTextChar"/>
    <w:semiHidden/>
    <w:unhideWhenUsed/>
    <w:rsid w:val="00A719F6"/>
  </w:style>
  <w:style w:type="character" w:customStyle="1" w:styleId="BodyTextChar">
    <w:name w:val="Body Text Char"/>
    <w:basedOn w:val="DefaultParagraphFont"/>
    <w:link w:val="BodyText"/>
    <w:semiHidden/>
    <w:rsid w:val="00A719F6"/>
    <w:rPr>
      <w:rFonts w:ascii="Arial" w:hAnsi="Arial"/>
      <w:color w:val="000000" w:themeColor="text1"/>
      <w:sz w:val="22"/>
      <w:szCs w:val="24"/>
      <w:lang w:eastAsia="en-US"/>
    </w:rPr>
  </w:style>
  <w:style w:type="table" w:styleId="TableGrid">
    <w:name w:val="Table Grid"/>
    <w:basedOn w:val="TableNormal"/>
    <w:locked/>
    <w:rsid w:val="00A719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A719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autoRedefine/>
    <w:qFormat/>
    <w:locked/>
    <w:rsid w:val="000047B4"/>
    <w:pPr>
      <w:spacing w:before="60" w:after="60"/>
    </w:pPr>
    <w:rPr>
      <w:rFonts w:ascii="Arial" w:hAnsi="Arial"/>
      <w:color w:val="000000" w:themeColor="text1"/>
      <w:sz w:val="22"/>
      <w:szCs w:val="24"/>
      <w:lang w:eastAsia="en-US"/>
    </w:rPr>
  </w:style>
  <w:style w:type="table" w:styleId="TableColumns2">
    <w:name w:val="Table Columns 2"/>
    <w:basedOn w:val="TableNormal"/>
    <w:locked/>
    <w:rsid w:val="00A719F6"/>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A719F6"/>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A719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A719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A719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A719F6"/>
    <w:pPr>
      <w:spacing w:before="120" w:after="120"/>
    </w:pPr>
    <w:rPr>
      <w:rFonts w:ascii="Arial" w:hAnsi="Arial"/>
      <w:b/>
      <w:color w:val="000000" w:themeColor="text1"/>
      <w:sz w:val="22"/>
      <w:szCs w:val="24"/>
      <w:lang w:val="en-US" w:eastAsia="en-US"/>
    </w:rPr>
  </w:style>
  <w:style w:type="paragraph" w:styleId="Header">
    <w:name w:val="header"/>
    <w:link w:val="HeaderChar"/>
    <w:qFormat/>
    <w:rsid w:val="00A719F6"/>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A719F6"/>
    <w:rPr>
      <w:rFonts w:ascii="Arial" w:hAnsi="Arial"/>
      <w:sz w:val="22"/>
      <w:szCs w:val="24"/>
      <w:lang w:eastAsia="en-US"/>
    </w:rPr>
  </w:style>
  <w:style w:type="paragraph" w:styleId="Footer">
    <w:name w:val="footer"/>
    <w:link w:val="FooterChar"/>
    <w:uiPriority w:val="99"/>
    <w:qFormat/>
    <w:rsid w:val="00A719F6"/>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A719F6"/>
    <w:rPr>
      <w:rFonts w:ascii="Arial" w:hAnsi="Arial"/>
      <w:szCs w:val="24"/>
      <w:lang w:eastAsia="en-US"/>
    </w:rPr>
  </w:style>
  <w:style w:type="paragraph" w:customStyle="1" w:styleId="TableHeaderWhite">
    <w:name w:val="Table Header White"/>
    <w:basedOn w:val="Normal"/>
    <w:next w:val="Tabletextleft"/>
    <w:qFormat/>
    <w:rsid w:val="00A719F6"/>
    <w:pPr>
      <w:spacing w:before="80" w:after="80"/>
    </w:pPr>
    <w:rPr>
      <w:rFonts w:eastAsia="Cambria"/>
      <w:b/>
      <w:color w:val="FFFFFF" w:themeColor="background1"/>
      <w:szCs w:val="22"/>
      <w:lang w:val="en-US"/>
    </w:rPr>
  </w:style>
  <w:style w:type="table" w:styleId="TableGrid7">
    <w:name w:val="Table Grid 7"/>
    <w:basedOn w:val="TableNormal"/>
    <w:locked/>
    <w:rsid w:val="00A719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A719F6"/>
    <w:pPr>
      <w:spacing w:before="60"/>
    </w:pPr>
    <w:rPr>
      <w:rFonts w:cs="Arial"/>
      <w:b/>
      <w:sz w:val="20"/>
    </w:rPr>
  </w:style>
  <w:style w:type="paragraph" w:customStyle="1" w:styleId="FigureTitle">
    <w:name w:val="Figure Title"/>
    <w:next w:val="Normal"/>
    <w:qFormat/>
    <w:rsid w:val="00A719F6"/>
    <w:pPr>
      <w:spacing w:before="120" w:after="120"/>
    </w:pPr>
    <w:rPr>
      <w:rFonts w:ascii="Arial" w:hAnsi="Arial" w:cs="Arial"/>
      <w:b/>
      <w:bCs/>
      <w:iCs/>
      <w:color w:val="000000" w:themeColor="text1"/>
      <w:sz w:val="22"/>
      <w:szCs w:val="22"/>
      <w:lang w:eastAsia="en-US"/>
    </w:rPr>
  </w:style>
  <w:style w:type="paragraph" w:customStyle="1" w:styleId="Headertext">
    <w:name w:val="Header text"/>
    <w:rsid w:val="00A719F6"/>
    <w:pPr>
      <w:jc w:val="right"/>
    </w:pPr>
    <w:rPr>
      <w:rFonts w:ascii="Arial" w:hAnsi="Arial"/>
      <w:szCs w:val="24"/>
      <w:lang w:eastAsia="en-US"/>
    </w:rPr>
  </w:style>
  <w:style w:type="character" w:styleId="Hyperlink">
    <w:name w:val="Hyperlink"/>
    <w:basedOn w:val="DefaultParagraphFont"/>
    <w:uiPriority w:val="99"/>
    <w:qFormat/>
    <w:rsid w:val="00C066E2"/>
    <w:rPr>
      <w:color w:val="000000" w:themeColor="text1"/>
      <w:u w:val="single"/>
    </w:rPr>
  </w:style>
  <w:style w:type="table" w:customStyle="1" w:styleId="PHNGreyTable">
    <w:name w:val="PHN Grey Table"/>
    <w:basedOn w:val="TableNormal"/>
    <w:uiPriority w:val="99"/>
    <w:rsid w:val="00A719F6"/>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A719F6"/>
    <w:pPr>
      <w:numPr>
        <w:numId w:val="24"/>
      </w:numPr>
    </w:pPr>
    <w:rPr>
      <w:szCs w:val="20"/>
    </w:rPr>
  </w:style>
  <w:style w:type="paragraph" w:customStyle="1" w:styleId="Tablelistnumber">
    <w:name w:val="Table list number"/>
    <w:basedOn w:val="Tabletextleft"/>
    <w:qFormat/>
    <w:rsid w:val="00A719F6"/>
    <w:pPr>
      <w:numPr>
        <w:numId w:val="25"/>
      </w:numPr>
    </w:pPr>
    <w:rPr>
      <w:bCs/>
      <w14:numSpacing w14:val="proportional"/>
    </w:rPr>
  </w:style>
  <w:style w:type="paragraph" w:customStyle="1" w:styleId="TableHeader">
    <w:name w:val="Table Header"/>
    <w:basedOn w:val="Normal"/>
    <w:next w:val="Tabletextleft"/>
    <w:qFormat/>
    <w:rsid w:val="00A719F6"/>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A719F6"/>
    <w:rPr>
      <w:szCs w:val="32"/>
    </w:rPr>
  </w:style>
  <w:style w:type="paragraph" w:styleId="FootnoteText">
    <w:name w:val="footnote text"/>
    <w:link w:val="FootnoteTextChar"/>
    <w:rsid w:val="00A719F6"/>
    <w:rPr>
      <w:rFonts w:ascii="Arial" w:hAnsi="Arial"/>
      <w:lang w:eastAsia="en-US"/>
    </w:rPr>
  </w:style>
  <w:style w:type="character" w:customStyle="1" w:styleId="FootnoteTextChar">
    <w:name w:val="Footnote Text Char"/>
    <w:basedOn w:val="DefaultParagraphFont"/>
    <w:link w:val="FootnoteText"/>
    <w:rsid w:val="00A719F6"/>
    <w:rPr>
      <w:rFonts w:ascii="Arial" w:hAnsi="Arial"/>
      <w:lang w:eastAsia="en-US"/>
    </w:rPr>
  </w:style>
  <w:style w:type="paragraph" w:customStyle="1" w:styleId="VisionBox">
    <w:name w:val="VisionBox"/>
    <w:basedOn w:val="Normal"/>
    <w:qFormat/>
    <w:rsid w:val="00BE163C"/>
    <w:pPr>
      <w:pBdr>
        <w:top w:val="single" w:sz="4" w:space="15" w:color="358189"/>
        <w:bottom w:val="single" w:sz="4" w:space="10" w:color="358189"/>
      </w:pBdr>
      <w:spacing w:before="240" w:after="240" w:line="340" w:lineRule="exact"/>
    </w:pPr>
    <w:rPr>
      <w:rFonts w:eastAsiaTheme="minorHAnsi"/>
      <w:color w:val="245457" w:themeColor="accent2"/>
    </w:rPr>
  </w:style>
  <w:style w:type="paragraph" w:customStyle="1" w:styleId="Boxtype">
    <w:name w:val="Box type"/>
    <w:next w:val="Normal"/>
    <w:qFormat/>
    <w:rsid w:val="00A719F6"/>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character" w:customStyle="1" w:styleId="BoldAllCaps">
    <w:name w:val="Bold All Caps"/>
    <w:basedOn w:val="DefaultParagraphFont"/>
    <w:uiPriority w:val="1"/>
    <w:qFormat/>
    <w:rsid w:val="00BE163C"/>
    <w:rPr>
      <w:b/>
      <w:caps/>
      <w:smallCaps w:val="0"/>
      <w:color w:val="245457" w:themeColor="accent2"/>
      <w:bdr w:val="none" w:sz="0" w:space="0" w:color="auto"/>
    </w:rPr>
  </w:style>
  <w:style w:type="paragraph" w:customStyle="1" w:styleId="PolicyStatement">
    <w:name w:val="PolicyStatement"/>
    <w:basedOn w:val="Normal"/>
    <w:qFormat/>
    <w:rsid w:val="00A719F6"/>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paragraph" w:customStyle="1" w:styleId="IntroPara">
    <w:name w:val="Intro Para"/>
    <w:basedOn w:val="Normal"/>
    <w:next w:val="Normal"/>
    <w:qFormat/>
    <w:rsid w:val="00A719F6"/>
    <w:pPr>
      <w:spacing w:before="480" w:line="400" w:lineRule="exact"/>
    </w:pPr>
    <w:rPr>
      <w:color w:val="358189"/>
      <w:sz w:val="28"/>
    </w:rPr>
  </w:style>
  <w:style w:type="paragraph" w:customStyle="1" w:styleId="Intropara0">
    <w:name w:val="Intro para"/>
    <w:basedOn w:val="VisionBox"/>
    <w:rsid w:val="008376E2"/>
    <w:pPr>
      <w:pBdr>
        <w:top w:val="none" w:sz="0" w:space="0" w:color="auto"/>
        <w:bottom w:val="none" w:sz="0" w:space="0" w:color="auto"/>
      </w:pBdr>
      <w:spacing w:before="480" w:line="400" w:lineRule="exact"/>
    </w:pPr>
    <w:rPr>
      <w:sz w:val="28"/>
    </w:rPr>
  </w:style>
  <w:style w:type="table" w:customStyle="1" w:styleId="DepartmentofHealthtable">
    <w:name w:val="Department of Health table"/>
    <w:basedOn w:val="TableNormal"/>
    <w:uiPriority w:val="99"/>
    <w:rsid w:val="00A719F6"/>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paragraph" w:customStyle="1" w:styleId="Tabletitle0">
    <w:name w:val="Table title"/>
    <w:basedOn w:val="Normal"/>
    <w:rsid w:val="009040E9"/>
    <w:rPr>
      <w:b/>
      <w:bCs/>
      <w:szCs w:val="20"/>
    </w:rPr>
  </w:style>
  <w:style w:type="paragraph" w:customStyle="1" w:styleId="Tableheader0">
    <w:name w:val="Table header"/>
    <w:basedOn w:val="Normal"/>
    <w:rsid w:val="009040E9"/>
    <w:pPr>
      <w:spacing w:before="80" w:after="80"/>
    </w:pPr>
    <w:rPr>
      <w:b/>
      <w:bCs/>
      <w:color w:val="FFFFFF" w:themeColor="background1"/>
      <w:szCs w:val="20"/>
    </w:rPr>
  </w:style>
  <w:style w:type="paragraph" w:customStyle="1" w:styleId="Tabletextleft">
    <w:name w:val="Table text left"/>
    <w:autoRedefine/>
    <w:qFormat/>
    <w:rsid w:val="00A719F6"/>
    <w:pPr>
      <w:spacing w:before="60" w:after="60"/>
    </w:pPr>
    <w:rPr>
      <w:rFonts w:ascii="Arial" w:hAnsi="Arial"/>
      <w:color w:val="000000" w:themeColor="text1"/>
      <w:sz w:val="21"/>
      <w:szCs w:val="24"/>
      <w:lang w:eastAsia="en-US"/>
    </w:rPr>
  </w:style>
  <w:style w:type="paragraph" w:customStyle="1" w:styleId="TabletextRight">
    <w:name w:val="Table text Right"/>
    <w:basedOn w:val="Tabletextleft"/>
    <w:rsid w:val="009040E9"/>
    <w:pPr>
      <w:jc w:val="right"/>
    </w:pPr>
  </w:style>
  <w:style w:type="paragraph" w:customStyle="1" w:styleId="Tabletextright0">
    <w:name w:val="Table text right"/>
    <w:basedOn w:val="Tabletextleft"/>
    <w:rsid w:val="00A719F6"/>
    <w:pPr>
      <w:jc w:val="right"/>
    </w:pPr>
  </w:style>
  <w:style w:type="paragraph" w:styleId="BalloonText">
    <w:name w:val="Balloon Text"/>
    <w:basedOn w:val="Normal"/>
    <w:link w:val="BalloonTextChar"/>
    <w:rsid w:val="00A719F6"/>
    <w:rPr>
      <w:rFonts w:ascii="Tahoma" w:hAnsi="Tahoma" w:cs="Tahoma"/>
      <w:sz w:val="16"/>
      <w:szCs w:val="16"/>
    </w:rPr>
  </w:style>
  <w:style w:type="character" w:customStyle="1" w:styleId="BalloonTextChar">
    <w:name w:val="Balloon Text Char"/>
    <w:basedOn w:val="DefaultParagraphFont"/>
    <w:link w:val="BalloonText"/>
    <w:rsid w:val="00A719F6"/>
    <w:rPr>
      <w:rFonts w:ascii="Tahoma" w:hAnsi="Tahoma" w:cs="Tahoma"/>
      <w:color w:val="000000" w:themeColor="text1"/>
      <w:sz w:val="16"/>
      <w:szCs w:val="16"/>
      <w:lang w:eastAsia="en-US"/>
    </w:rPr>
  </w:style>
  <w:style w:type="paragraph" w:styleId="Caption">
    <w:name w:val="caption"/>
    <w:basedOn w:val="Normal"/>
    <w:next w:val="Normal"/>
    <w:unhideWhenUsed/>
    <w:rsid w:val="00A719F6"/>
    <w:pPr>
      <w:spacing w:after="200"/>
    </w:pPr>
    <w:rPr>
      <w:b/>
      <w:bCs/>
      <w:color w:val="3F4A75" w:themeColor="accent1"/>
      <w:sz w:val="18"/>
      <w:szCs w:val="18"/>
    </w:rPr>
  </w:style>
  <w:style w:type="paragraph" w:customStyle="1" w:styleId="Footerrightpage">
    <w:name w:val="Footer right page"/>
    <w:basedOn w:val="Footer"/>
    <w:rsid w:val="00A719F6"/>
  </w:style>
  <w:style w:type="character" w:customStyle="1" w:styleId="Heading7Char">
    <w:name w:val="Heading 7 Char"/>
    <w:basedOn w:val="DefaultParagraphFont"/>
    <w:link w:val="Heading7"/>
    <w:rsid w:val="00A719F6"/>
    <w:rPr>
      <w:rFonts w:ascii="Arial" w:eastAsiaTheme="majorEastAsia" w:hAnsi="Arial" w:cstheme="majorBidi"/>
      <w:b/>
      <w:i/>
      <w:iCs/>
      <w:color w:val="1F243A" w:themeColor="accent1" w:themeShade="7F"/>
      <w:sz w:val="22"/>
      <w:szCs w:val="24"/>
      <w:lang w:eastAsia="en-US"/>
    </w:rPr>
  </w:style>
  <w:style w:type="paragraph" w:styleId="NoSpacing">
    <w:name w:val="No Spacing"/>
    <w:uiPriority w:val="1"/>
    <w:rsid w:val="00A719F6"/>
    <w:rPr>
      <w:sz w:val="24"/>
      <w:szCs w:val="24"/>
      <w:lang w:eastAsia="en-US"/>
    </w:rPr>
  </w:style>
  <w:style w:type="paragraph" w:styleId="NormalWeb">
    <w:name w:val="Normal (Web)"/>
    <w:basedOn w:val="Normal"/>
    <w:uiPriority w:val="99"/>
    <w:unhideWhenUsed/>
    <w:rsid w:val="00A719F6"/>
    <w:pPr>
      <w:spacing w:before="100" w:beforeAutospacing="1" w:after="100" w:afterAutospacing="1"/>
    </w:pPr>
    <w:rPr>
      <w:rFonts w:ascii="Times New Roman" w:hAnsi="Times New Roman"/>
      <w:sz w:val="24"/>
      <w:lang w:eastAsia="en-AU"/>
    </w:rPr>
  </w:style>
  <w:style w:type="paragraph" w:customStyle="1" w:styleId="Style1">
    <w:name w:val="Style1"/>
    <w:next w:val="Normal"/>
    <w:rsid w:val="00A719F6"/>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Tabletextcentre">
    <w:name w:val="Table text centre"/>
    <w:basedOn w:val="Tabletextleft"/>
    <w:rsid w:val="00A719F6"/>
    <w:pPr>
      <w:jc w:val="center"/>
    </w:pPr>
  </w:style>
  <w:style w:type="paragraph" w:customStyle="1" w:styleId="TableTextright1">
    <w:name w:val="Table Text right"/>
    <w:basedOn w:val="Tabletextleft"/>
    <w:rsid w:val="00A719F6"/>
    <w:pPr>
      <w:jc w:val="right"/>
    </w:pPr>
  </w:style>
  <w:style w:type="character" w:customStyle="1" w:styleId="TableTitleChar">
    <w:name w:val="Table Title Char"/>
    <w:basedOn w:val="DefaultParagraphFont"/>
    <w:link w:val="TableTitle"/>
    <w:rsid w:val="00A719F6"/>
    <w:rPr>
      <w:rFonts w:ascii="Arial" w:hAnsi="Arial"/>
      <w:b/>
      <w:color w:val="000000" w:themeColor="text1"/>
      <w:sz w:val="22"/>
      <w:szCs w:val="24"/>
      <w:lang w:val="en-US" w:eastAsia="en-US"/>
    </w:rPr>
  </w:style>
  <w:style w:type="paragraph" w:customStyle="1" w:styleId="URL">
    <w:name w:val="URL"/>
    <w:basedOn w:val="Normal"/>
    <w:rsid w:val="00A719F6"/>
    <w:pPr>
      <w:spacing w:before="3120"/>
      <w:jc w:val="center"/>
    </w:pPr>
    <w:rPr>
      <w:b/>
      <w:bCs/>
      <w:sz w:val="24"/>
      <w:szCs w:val="20"/>
    </w:rPr>
  </w:style>
  <w:style w:type="character" w:customStyle="1" w:styleId="Heading2Char">
    <w:name w:val="Heading 2 Char"/>
    <w:basedOn w:val="DefaultParagraphFont"/>
    <w:link w:val="Heading2"/>
    <w:rsid w:val="00BE163C"/>
    <w:rPr>
      <w:rFonts w:ascii="Arial" w:hAnsi="Arial" w:cs="Arial"/>
      <w:b/>
      <w:bCs/>
      <w:iCs/>
      <w:color w:val="245457" w:themeColor="accent2"/>
      <w:sz w:val="36"/>
      <w:szCs w:val="28"/>
      <w:lang w:eastAsia="en-US"/>
    </w:rPr>
  </w:style>
  <w:style w:type="character" w:customStyle="1" w:styleId="Heading3Char">
    <w:name w:val="Heading 3 Char"/>
    <w:basedOn w:val="DefaultParagraphFont"/>
    <w:link w:val="Heading3"/>
    <w:rsid w:val="00BE163C"/>
    <w:rPr>
      <w:rFonts w:ascii="Arial" w:hAnsi="Arial" w:cs="Arial"/>
      <w:b/>
      <w:bCs/>
      <w:color w:val="245457" w:themeColor="accent2"/>
      <w:sz w:val="28"/>
      <w:szCs w:val="28"/>
      <w:lang w:eastAsia="en-US"/>
    </w:rPr>
  </w:style>
  <w:style w:type="character" w:customStyle="1" w:styleId="ListParagraphChar">
    <w:name w:val="List Paragraph Char"/>
    <w:aliases w:val="List Paragraph1 Char,List Paragraph11 Char,Recommendation Char,First level bullet point Char,Bullet point Char,Bullets Char,CV text Char,Dot pt Char,F5 List Paragraph Char,FooterText Char,L Char,List Paragraph111 Char,NAST Quote Char"/>
    <w:link w:val="ListParagraph"/>
    <w:uiPriority w:val="34"/>
    <w:qFormat/>
    <w:locked/>
    <w:rsid w:val="000F35F1"/>
    <w:rPr>
      <w:rFonts w:ascii="Arial" w:hAnsi="Arial"/>
      <w:color w:val="000000" w:themeColor="text1"/>
      <w:sz w:val="22"/>
      <w:szCs w:val="24"/>
      <w:lang w:eastAsia="en-US"/>
    </w:rPr>
  </w:style>
  <w:style w:type="paragraph" w:styleId="Revision">
    <w:name w:val="Revision"/>
    <w:hidden/>
    <w:uiPriority w:val="99"/>
    <w:semiHidden/>
    <w:rsid w:val="00D92AE1"/>
    <w:rPr>
      <w:rFonts w:ascii="Arial" w:hAnsi="Arial"/>
      <w:color w:val="000000" w:themeColor="text1"/>
      <w:sz w:val="22"/>
      <w:szCs w:val="24"/>
      <w:lang w:eastAsia="en-US"/>
    </w:rPr>
  </w:style>
  <w:style w:type="character" w:styleId="CommentReference">
    <w:name w:val="annotation reference"/>
    <w:basedOn w:val="DefaultParagraphFont"/>
    <w:semiHidden/>
    <w:unhideWhenUsed/>
    <w:rsid w:val="007C4D46"/>
    <w:rPr>
      <w:sz w:val="16"/>
      <w:szCs w:val="16"/>
    </w:rPr>
  </w:style>
  <w:style w:type="paragraph" w:styleId="CommentText">
    <w:name w:val="annotation text"/>
    <w:basedOn w:val="Normal"/>
    <w:link w:val="CommentTextChar"/>
    <w:unhideWhenUsed/>
    <w:rsid w:val="007C4D46"/>
    <w:pPr>
      <w:spacing w:line="240" w:lineRule="auto"/>
    </w:pPr>
    <w:rPr>
      <w:sz w:val="20"/>
      <w:szCs w:val="20"/>
    </w:rPr>
  </w:style>
  <w:style w:type="character" w:customStyle="1" w:styleId="CommentTextChar">
    <w:name w:val="Comment Text Char"/>
    <w:basedOn w:val="DefaultParagraphFont"/>
    <w:link w:val="CommentText"/>
    <w:rsid w:val="007C4D46"/>
    <w:rPr>
      <w:rFonts w:ascii="Arial" w:hAnsi="Arial"/>
      <w:color w:val="000000" w:themeColor="text1"/>
      <w:lang w:eastAsia="en-US"/>
    </w:rPr>
  </w:style>
  <w:style w:type="paragraph" w:styleId="CommentSubject">
    <w:name w:val="annotation subject"/>
    <w:basedOn w:val="CommentText"/>
    <w:next w:val="CommentText"/>
    <w:link w:val="CommentSubjectChar"/>
    <w:semiHidden/>
    <w:unhideWhenUsed/>
    <w:rsid w:val="007C4D46"/>
    <w:rPr>
      <w:b/>
      <w:bCs/>
    </w:rPr>
  </w:style>
  <w:style w:type="character" w:customStyle="1" w:styleId="CommentSubjectChar">
    <w:name w:val="Comment Subject Char"/>
    <w:basedOn w:val="CommentTextChar"/>
    <w:link w:val="CommentSubject"/>
    <w:semiHidden/>
    <w:rsid w:val="007C4D46"/>
    <w:rPr>
      <w:rFonts w:ascii="Arial" w:hAnsi="Arial"/>
      <w:b/>
      <w:bCs/>
      <w:color w:val="000000" w:themeColor="text1"/>
      <w:lang w:eastAsia="en-US"/>
    </w:rPr>
  </w:style>
  <w:style w:type="table" w:styleId="GridTable1Light">
    <w:name w:val="Grid Table 1 Light"/>
    <w:basedOn w:val="TableNormal"/>
    <w:uiPriority w:val="46"/>
    <w:rsid w:val="00444AF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481E88"/>
    <w:tblPr>
      <w:tblStyleRowBandSize w:val="1"/>
      <w:tblStyleColBandSize w:val="1"/>
      <w:tblBorders>
        <w:top w:val="single" w:sz="4" w:space="0" w:color="A9B1D0" w:themeColor="accent1" w:themeTint="66"/>
        <w:left w:val="single" w:sz="4" w:space="0" w:color="A9B1D0" w:themeColor="accent1" w:themeTint="66"/>
        <w:bottom w:val="single" w:sz="4" w:space="0" w:color="A9B1D0" w:themeColor="accent1" w:themeTint="66"/>
        <w:right w:val="single" w:sz="4" w:space="0" w:color="A9B1D0" w:themeColor="accent1" w:themeTint="66"/>
        <w:insideH w:val="single" w:sz="4" w:space="0" w:color="A9B1D0" w:themeColor="accent1" w:themeTint="66"/>
        <w:insideV w:val="single" w:sz="4" w:space="0" w:color="A9B1D0" w:themeColor="accent1" w:themeTint="66"/>
      </w:tblBorders>
    </w:tblPr>
    <w:tblStylePr w:type="firstRow">
      <w:rPr>
        <w:b/>
        <w:bCs/>
      </w:rPr>
      <w:tblPr/>
      <w:tcPr>
        <w:tcBorders>
          <w:bottom w:val="single" w:sz="12" w:space="0" w:color="7E8AB9" w:themeColor="accent1" w:themeTint="99"/>
        </w:tcBorders>
      </w:tcPr>
    </w:tblStylePr>
    <w:tblStylePr w:type="lastRow">
      <w:rPr>
        <w:b/>
        <w:bCs/>
      </w:rPr>
      <w:tblPr/>
      <w:tcPr>
        <w:tcBorders>
          <w:top w:val="double" w:sz="2" w:space="0" w:color="7E8AB9" w:themeColor="accen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99261C"/>
    <w:rPr>
      <w:color w:val="605E5C"/>
      <w:shd w:val="clear" w:color="auto" w:fill="E1DFDD"/>
    </w:rPr>
  </w:style>
  <w:style w:type="paragraph" w:customStyle="1" w:styleId="Heading3-nospace">
    <w:name w:val="Heading 3 - no space"/>
    <w:basedOn w:val="Heading3"/>
    <w:rsid w:val="00461BCB"/>
    <w:pPr>
      <w:spacing w:before="0" w:after="0"/>
    </w:pPr>
  </w:style>
  <w:style w:type="character" w:styleId="FollowedHyperlink">
    <w:name w:val="FollowedHyperlink"/>
    <w:basedOn w:val="DefaultParagraphFont"/>
    <w:semiHidden/>
    <w:unhideWhenUsed/>
    <w:rsid w:val="00C066E2"/>
    <w:rPr>
      <w:color w:val="000000" w:themeColor="text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sv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pn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medicarementalhealth.gov.au/"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png"/><Relationship Id="rId27" Type="http://schemas.openxmlformats.org/officeDocument/2006/relationships/footer" Target="footer2.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3.jpg"/></Relationships>
</file>

<file path=word/_rels/header3.xml.rels><?xml version="1.0" encoding="UTF-8" standalone="yes"?>
<Relationships xmlns="http://schemas.openxmlformats.org/package/2006/relationships"><Relationship Id="rId1" Type="http://schemas.openxmlformats.org/officeDocument/2006/relationships/image" Target="media/image1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ngzh\Downloads\Department%20of%20Health,%20Disability%20and%20Ageing%20fact%20sheet%20template%20teal.dotx" TargetMode="External"/></Relationships>
</file>

<file path=word/theme/theme1.xml><?xml version="1.0" encoding="utf-8"?>
<a:theme xmlns:a="http://schemas.openxmlformats.org/drawingml/2006/main" name="MMHC review">
  <a:themeElements>
    <a:clrScheme name="MMHC review">
      <a:dk1>
        <a:srgbClr val="000000"/>
      </a:dk1>
      <a:lt1>
        <a:srgbClr val="FFFFFF"/>
      </a:lt1>
      <a:dk2>
        <a:srgbClr val="3F4A75"/>
      </a:dk2>
      <a:lt2>
        <a:srgbClr val="E8E8E8"/>
      </a:lt2>
      <a:accent1>
        <a:srgbClr val="3F4A75"/>
      </a:accent1>
      <a:accent2>
        <a:srgbClr val="245457"/>
      </a:accent2>
      <a:accent3>
        <a:srgbClr val="0077BF"/>
      </a:accent3>
      <a:accent4>
        <a:srgbClr val="9E4B6E"/>
      </a:accent4>
      <a:accent5>
        <a:srgbClr val="3997B5"/>
      </a:accent5>
      <a:accent6>
        <a:srgbClr val="97A825"/>
      </a:accent6>
      <a:hlink>
        <a:srgbClr val="3F4A75"/>
      </a:hlink>
      <a:folHlink>
        <a:srgbClr val="3F4A75"/>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MMHC review" id="{CB1C809D-11FF-364D-BC53-113EC939E44B}" vid="{13609D3A-B4E1-FD4F-90DF-D5A36FFD122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386D899F9CA4298648C0791762DBC" ma:contentTypeVersion="12" ma:contentTypeDescription="Create a new document." ma:contentTypeScope="" ma:versionID="3adc39874ba8c2e96aadd99fffcdf697">
  <xsd:schema xmlns:xsd="http://www.w3.org/2001/XMLSchema" xmlns:xs="http://www.w3.org/2001/XMLSchema" xmlns:p="http://schemas.microsoft.com/office/2006/metadata/properties" xmlns:ns2="31ed7be0-71df-4ef7-a44a-46c20e97f856" xmlns:ns3="55f32057-c7d7-4cf2-a083-f930dcef3185" targetNamespace="http://schemas.microsoft.com/office/2006/metadata/properties" ma:root="true" ma:fieldsID="5578c61acc1d915a6d1c94964bcf9103" ns2:_="" ns3:_="">
    <xsd:import namespace="31ed7be0-71df-4ef7-a44a-46c20e97f856"/>
    <xsd:import namespace="55f32057-c7d7-4cf2-a083-f930dcef31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ed7be0-71df-4ef7-a44a-46c20e97f8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f32057-c7d7-4cf2-a083-f930dcef31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f77b1-0cd5-4996-9aae-a29d6c83050c}" ma:internalName="TaxCatchAll" ma:showField="CatchAllData" ma:web="55f32057-c7d7-4cf2-a083-f930dcef31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5f32057-c7d7-4cf2-a083-f930dcef3185" xsi:nil="true"/>
    <lcf76f155ced4ddcb4097134ff3c332f xmlns="31ed7be0-71df-4ef7-a44a-46c20e97f85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CCFA90-427B-4B5F-ACF6-3368746A0E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ed7be0-71df-4ef7-a44a-46c20e97f856"/>
    <ds:schemaRef ds:uri="55f32057-c7d7-4cf2-a083-f930dcef31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0C6417-ADBB-487B-9091-DC3471F064BF}">
  <ds:schemaRefs>
    <ds:schemaRef ds:uri="http://schemas.microsoft.com/office/2006/metadata/properties"/>
    <ds:schemaRef ds:uri="http://schemas.microsoft.com/office/infopath/2007/PartnerControls"/>
    <ds:schemaRef ds:uri="55f32057-c7d7-4cf2-a083-f930dcef3185"/>
    <ds:schemaRef ds:uri="31ed7be0-71df-4ef7-a44a-46c20e97f856"/>
  </ds:schemaRefs>
</ds:datastoreItem>
</file>

<file path=customXml/itemProps3.xml><?xml version="1.0" encoding="utf-8"?>
<ds:datastoreItem xmlns:ds="http://schemas.openxmlformats.org/officeDocument/2006/customXml" ds:itemID="{200C2AE0-42EB-455C-957E-E788C41DA600}">
  <ds:schemaRefs>
    <ds:schemaRef ds:uri="http://schemas.openxmlformats.org/officeDocument/2006/bibliography"/>
  </ds:schemaRefs>
</ds:datastoreItem>
</file>

<file path=customXml/itemProps4.xml><?xml version="1.0" encoding="utf-8"?>
<ds:datastoreItem xmlns:ds="http://schemas.openxmlformats.org/officeDocument/2006/customXml" ds:itemID="{3BFCAFB5-863C-4C24-ACB5-1626D6CA3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Department of Health, Disability and Ageing fact sheet template teal.dotx</Template>
  <TotalTime>4</TotalTime>
  <Pages>8</Pages>
  <Words>2040</Words>
  <Characters>11981</Characters>
  <Application>Microsoft Office Word</Application>
  <DocSecurity>0</DocSecurity>
  <Lines>249</Lines>
  <Paragraphs>103</Paragraphs>
  <ScaleCrop>false</ScaleCrop>
  <HeadingPairs>
    <vt:vector size="2" baseType="variant">
      <vt:variant>
        <vt:lpstr>Title</vt:lpstr>
      </vt:variant>
      <vt:variant>
        <vt:i4>1</vt:i4>
      </vt:variant>
    </vt:vector>
  </HeadingPairs>
  <TitlesOfParts>
    <vt:vector size="1" baseType="lpstr">
      <vt:lpstr>Medicare Mental Health Centres 2025 Clinical Review – Summary Report</vt:lpstr>
    </vt:vector>
  </TitlesOfParts>
  <Manager/>
  <Company/>
  <LinksUpToDate>false</LinksUpToDate>
  <CharactersWithSpaces>13918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Medicare Mental Health Centres 2025 Clinical Review – Summary Report</dc:title>
  <dc:subject>Medicare Mental Health</dc:subject>
  <dc:creator>Australian Government Department of Health, Disability and Ageing</dc:creator>
  <cp:keywords>Medicare Mental Health Centres; 2025 Clinical Review; Summary; Report</cp:keywords>
  <dc:description/>
  <cp:revision>5</cp:revision>
  <dcterms:created xsi:type="dcterms:W3CDTF">2026-10-20T23:18:00Z</dcterms:created>
  <dcterms:modified xsi:type="dcterms:W3CDTF">2026-10-22T05:48:00Z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170;#Style Guide|fae42d66-6622-4466-b060-a03a1a4f59f8</vt:lpwstr>
  </property>
  <property fmtid="{D5CDD505-2E9C-101B-9397-08002B2CF9AE}" pid="3" name="File Structure">
    <vt:lpwstr>169;#Style Guide|aa9bcad4-d3b7-4fe1-b475-a8e6573a6ad1</vt:lpwstr>
  </property>
  <property fmtid="{D5CDD505-2E9C-101B-9397-08002B2CF9AE}" pid="4" name="ContentTypeId">
    <vt:lpwstr>0x010100A51386D899F9CA4298648C0791762DBC</vt:lpwstr>
  </property>
  <property fmtid="{D5CDD505-2E9C-101B-9397-08002B2CF9AE}" pid="5" name="Section">
    <vt:lpwstr>5;#PCPD CC Corporate Communication SN|73cff0d0-7b20-43e0-ad96-75a3b55de641</vt:lpwstr>
  </property>
  <property fmtid="{D5CDD505-2E9C-101B-9397-08002B2CF9AE}" pid="6" name="_dlc_DocIdItemGuid">
    <vt:lpwstr>33366af3-1a16-4eef-937d-3293887031f4</vt:lpwstr>
  </property>
  <property fmtid="{D5CDD505-2E9C-101B-9397-08002B2CF9AE}" pid="7" name="Keywords1">
    <vt:lpwstr>45;#Factsheet|e6399178-8246-423e-9818-2fbb787c959a;#4;# Visual identity|a54ebda2-a0fd-45ec-8fc0-1cf31001b526</vt:lpwstr>
  </property>
  <property fmtid="{D5CDD505-2E9C-101B-9397-08002B2CF9AE}" pid="8" name="Information type">
    <vt:lpwstr>42;#Template|0635ea83-9a41-497c-9b11-d9d7178dcab7</vt:lpwstr>
  </property>
  <property fmtid="{D5CDD505-2E9C-101B-9397-08002B2CF9AE}" pid="9" name="MediaServiceImageTags">
    <vt:lpwstr/>
  </property>
  <property fmtid="{D5CDD505-2E9C-101B-9397-08002B2CF9AE}" pid="10" name="Contact">
    <vt:lpwstr>89;#designteam@health.gov.au|08e901f7-7c65-407e-b680-5c7872e4b1fa</vt:lpwstr>
  </property>
  <property fmtid="{D5CDD505-2E9C-101B-9397-08002B2CF9AE}" pid="11" name="cb2019c76ecc464c80d551fda75bd74e">
    <vt:lpwstr>PCPD CC Corporate Communication SN|73cff0d0-7b20-43e0-ad96-75a3b55de641</vt:lpwstr>
  </property>
  <property fmtid="{D5CDD505-2E9C-101B-9397-08002B2CF9AE}" pid="12" name="p76df81b8fed4a2fa2af18761f9ff90d">
    <vt:lpwstr>Factsheet|e6399178-8246-423e-9818-2fbb787c959a; Visual identity|a54ebda2-a0fd-45ec-8fc0-1cf31001b526</vt:lpwstr>
  </property>
  <property fmtid="{D5CDD505-2E9C-101B-9397-08002B2CF9AE}" pid="13" name="Intranet">
    <vt:bool>true</vt:bool>
  </property>
  <property fmtid="{D5CDD505-2E9C-101B-9397-08002B2CF9AE}" pid="14" name="Int_x002d_InformationType">
    <vt:lpwstr/>
  </property>
  <property fmtid="{D5CDD505-2E9C-101B-9397-08002B2CF9AE}" pid="15" name="pfd27f99efda4409b63228bea026394d">
    <vt:lpwstr>Template|0635ea83-9a41-497c-9b11-d9d7178dcab7</vt:lpwstr>
  </property>
  <property fmtid="{D5CDD505-2E9C-101B-9397-08002B2CF9AE}" pid="16" name="Int_x002d_Topics">
    <vt:lpwstr/>
  </property>
  <property fmtid="{D5CDD505-2E9C-101B-9397-08002B2CF9AE}" pid="17" name="Last reviewed">
    <vt:filetime>2023-05-11T10:00:00Z</vt:filetime>
  </property>
  <property fmtid="{D5CDD505-2E9C-101B-9397-08002B2CF9AE}" pid="18" name="jf042baad2b143719d8a0cfd36411dfb">
    <vt:lpwstr>designteam@health.gov.au|08e901f7-7c65-407e-b680-5c7872e4b1fa</vt:lpwstr>
  </property>
  <property fmtid="{D5CDD505-2E9C-101B-9397-08002B2CF9AE}" pid="19" name="Int_x002d_Contact">
    <vt:lpwstr/>
  </property>
  <property fmtid="{D5CDD505-2E9C-101B-9397-08002B2CF9AE}" pid="20" name="Int-Contact">
    <vt:lpwstr>89;#|08e901f7-7c65-407e-b680-5c7872e4b1fa</vt:lpwstr>
  </property>
  <property fmtid="{D5CDD505-2E9C-101B-9397-08002B2CF9AE}" pid="21" name="Int-InformationType">
    <vt:lpwstr>42;#|0635ea83-9a41-497c-9b11-d9d7178dcab7</vt:lpwstr>
  </property>
  <property fmtid="{D5CDD505-2E9C-101B-9397-08002B2CF9AE}" pid="22" name="Int-Topics">
    <vt:lpwstr>45;#Factsheet|e6399178-8246-423e-9818-2fbb787c959a;#4;#visual identity|a54ebda2-a0fd-45ec-8fc0-1cf31001b526</vt:lpwstr>
  </property>
  <property fmtid="{D5CDD505-2E9C-101B-9397-08002B2CF9AE}" pid="23" name="lcf76f155ced4ddcb4097134ff3c332f">
    <vt:lpwstr/>
  </property>
  <property fmtid="{D5CDD505-2E9C-101B-9397-08002B2CF9AE}" pid="24" name="ClassificationContentMarkingHeaderShapeIds">
    <vt:lpwstr>72470d99,2e072e14,3c5665bd</vt:lpwstr>
  </property>
  <property fmtid="{D5CDD505-2E9C-101B-9397-08002B2CF9AE}" pid="25" name="ClassificationContentMarkingHeaderFontProps">
    <vt:lpwstr>#ff0000,12,Aptos</vt:lpwstr>
  </property>
  <property fmtid="{D5CDD505-2E9C-101B-9397-08002B2CF9AE}" pid="26" name="ClassificationContentMarkingHeaderText">
    <vt:lpwstr>OFFICIAL</vt:lpwstr>
  </property>
  <property fmtid="{D5CDD505-2E9C-101B-9397-08002B2CF9AE}" pid="27" name="ClassificationContentMarkingFooterShapeIds">
    <vt:lpwstr>9cd6429,5deee2b6,1f9619aa</vt:lpwstr>
  </property>
  <property fmtid="{D5CDD505-2E9C-101B-9397-08002B2CF9AE}" pid="28" name="ClassificationContentMarkingFooterFontProps">
    <vt:lpwstr>#ff0000,12,Aptos</vt:lpwstr>
  </property>
  <property fmtid="{D5CDD505-2E9C-101B-9397-08002B2CF9AE}" pid="29" name="ClassificationContentMarkingFooterText">
    <vt:lpwstr>OFFICIAL</vt:lpwstr>
  </property>
  <property fmtid="{D5CDD505-2E9C-101B-9397-08002B2CF9AE}" pid="30" name="MSIP_Label_7cd3e8b9-ffed-43a8-b7f4-cc2fa0382d36_Enabled">
    <vt:lpwstr>true</vt:lpwstr>
  </property>
  <property fmtid="{D5CDD505-2E9C-101B-9397-08002B2CF9AE}" pid="31" name="MSIP_Label_7cd3e8b9-ffed-43a8-b7f4-cc2fa0382d36_SetDate">
    <vt:lpwstr>2025-09-03T02:17:04Z</vt:lpwstr>
  </property>
  <property fmtid="{D5CDD505-2E9C-101B-9397-08002B2CF9AE}" pid="32" name="MSIP_Label_7cd3e8b9-ffed-43a8-b7f4-cc2fa0382d36_Method">
    <vt:lpwstr>Privileged</vt:lpwstr>
  </property>
  <property fmtid="{D5CDD505-2E9C-101B-9397-08002B2CF9AE}" pid="33" name="MSIP_Label_7cd3e8b9-ffed-43a8-b7f4-cc2fa0382d36_Name">
    <vt:lpwstr>O</vt:lpwstr>
  </property>
  <property fmtid="{D5CDD505-2E9C-101B-9397-08002B2CF9AE}" pid="34" name="MSIP_Label_7cd3e8b9-ffed-43a8-b7f4-cc2fa0382d36_SiteId">
    <vt:lpwstr>34a3929c-73cf-4954-abfe-147dc3517892</vt:lpwstr>
  </property>
  <property fmtid="{D5CDD505-2E9C-101B-9397-08002B2CF9AE}" pid="35" name="MSIP_Label_7cd3e8b9-ffed-43a8-b7f4-cc2fa0382d36_ActionId">
    <vt:lpwstr>e4c4a8a2-4173-4122-84b4-746d8d7108c6</vt:lpwstr>
  </property>
  <property fmtid="{D5CDD505-2E9C-101B-9397-08002B2CF9AE}" pid="36" name="MSIP_Label_7cd3e8b9-ffed-43a8-b7f4-cc2fa0382d36_ContentBits">
    <vt:lpwstr>3</vt:lpwstr>
  </property>
  <property fmtid="{D5CDD505-2E9C-101B-9397-08002B2CF9AE}" pid="37" name="MSIP_Label_7cd3e8b9-ffed-43a8-b7f4-cc2fa0382d36_Tag">
    <vt:lpwstr>10, 0, 1, 2</vt:lpwstr>
  </property>
  <property fmtid="{D5CDD505-2E9C-101B-9397-08002B2CF9AE}" pid="38" name="docLang">
    <vt:lpwstr>en</vt:lpwstr>
  </property>
</Properties>
</file>