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6398" w14:textId="63A99307" w:rsidR="00762BB6" w:rsidRDefault="00FA5888" w:rsidP="00762BB6">
      <w:pPr>
        <w:pStyle w:val="Heading1"/>
        <w:rPr>
          <w:lang w:eastAsia="en-AU"/>
        </w:rPr>
      </w:pPr>
      <w:r>
        <w:rPr>
          <w:lang w:eastAsia="en-AU"/>
        </w:rPr>
        <w:t>Integrated Assessment Tool (IAT)</w:t>
      </w:r>
      <w:r w:rsidR="00D16852" w:rsidRPr="00D16852">
        <w:rPr>
          <w:lang w:eastAsia="en-AU"/>
        </w:rPr>
        <w:t xml:space="preserve"> </w:t>
      </w:r>
      <w:r w:rsidR="00D16852">
        <w:rPr>
          <w:lang w:eastAsia="en-AU"/>
        </w:rPr>
        <w:t>classification algorithm decision tree</w:t>
      </w:r>
    </w:p>
    <w:p w14:paraId="565233E8" w14:textId="64CC0E0C" w:rsidR="003E5E1F" w:rsidRDefault="00762BB6" w:rsidP="00D16852">
      <w:pPr>
        <w:pStyle w:val="Heading2"/>
        <w:rPr>
          <w:lang w:eastAsia="en-AU"/>
        </w:rPr>
        <w:sectPr w:rsidR="003E5E1F" w:rsidSect="005473F9">
          <w:headerReference w:type="even" r:id="rId11"/>
          <w:footerReference w:type="even" r:id="rId12"/>
          <w:footerReference w:type="default" r:id="rId13"/>
          <w:headerReference w:type="first" r:id="rId14"/>
          <w:footerReference w:type="first" r:id="rId15"/>
          <w:pgSz w:w="23811" w:h="16838" w:orient="landscape" w:code="8"/>
          <w:pgMar w:top="851" w:right="1440" w:bottom="851" w:left="851" w:header="1701" w:footer="709" w:gutter="0"/>
          <w:cols w:space="708"/>
          <w:titlePg/>
          <w:docGrid w:linePitch="360"/>
        </w:sectPr>
      </w:pPr>
      <w:r>
        <w:rPr>
          <w:noProof/>
          <w:lang w:eastAsia="en-AU"/>
        </w:rPr>
        <w:drawing>
          <wp:anchor distT="0" distB="0" distL="114300" distR="114300" simplePos="0" relativeHeight="251658240" behindDoc="0" locked="0" layoutInCell="1" allowOverlap="1" wp14:anchorId="2B327316" wp14:editId="787BD194">
            <wp:simplePos x="0" y="0"/>
            <wp:positionH relativeFrom="page">
              <wp:align>left</wp:align>
            </wp:positionH>
            <wp:positionV relativeFrom="paragraph">
              <wp:posOffset>498474</wp:posOffset>
            </wp:positionV>
            <wp:extent cx="15091410" cy="5267325"/>
            <wp:effectExtent l="0" t="0" r="0" b="0"/>
            <wp:wrapSquare wrapText="bothSides"/>
            <wp:docPr id="1425548500" name="Picture 1" descr="Hierarchical flowchart shows detailed IAT classification algorithm decision tree. 'All IAT Participants' branching into five participant pathways for functional ability score, with yes and no decision nodes. Leads to needs met score, with yes and no decision nodes. Followed by compounding factors score with yes and no decision nodes. Arrows lead to endpoint boxes labelled with CHSP and Support at Home outcome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548500" name="Picture 1" descr="Hierarchical flowchart shows detailed IAT classification algorithm decision tree. 'All IAT Participants' branching into five participant pathways for functional ability score, with yes and no decision nodes. Leads to needs met score, with yes and no decision nodes. Followed by compounding factors score with yes and no decision nodes. Arrows lead to endpoint boxes labelled with CHSP and Support at Home outcome categorie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098227" cy="5269587"/>
                    </a:xfrm>
                    <a:prstGeom prst="rect">
                      <a:avLst/>
                    </a:prstGeom>
                  </pic:spPr>
                </pic:pic>
              </a:graphicData>
            </a:graphic>
            <wp14:sizeRelH relativeFrom="margin">
              <wp14:pctWidth>0</wp14:pctWidth>
            </wp14:sizeRelH>
            <wp14:sizeRelV relativeFrom="margin">
              <wp14:pctHeight>0</wp14:pctHeight>
            </wp14:sizeRelV>
          </wp:anchor>
        </w:drawing>
      </w:r>
      <w:r>
        <w:rPr>
          <w:lang w:eastAsia="en-AU"/>
        </w:rPr>
        <w:t xml:space="preserve">Detailed </w:t>
      </w:r>
    </w:p>
    <w:p w14:paraId="5FF692EA" w14:textId="77777777" w:rsidR="00232B55" w:rsidRDefault="00232B55">
      <w:pPr>
        <w:spacing w:before="0" w:after="0" w:line="240" w:lineRule="auto"/>
        <w:rPr>
          <w:rFonts w:eastAsiaTheme="majorEastAsia" w:cstheme="majorBidi"/>
          <w:b/>
          <w:color w:val="1E1544" w:themeColor="text1"/>
          <w:sz w:val="32"/>
          <w:szCs w:val="26"/>
          <w:lang w:eastAsia="en-AU"/>
        </w:rPr>
      </w:pPr>
      <w:r>
        <w:rPr>
          <w:lang w:eastAsia="en-AU"/>
        </w:rPr>
        <w:br w:type="page"/>
      </w:r>
    </w:p>
    <w:p w14:paraId="1BD9486C" w14:textId="309DB0F3" w:rsidR="00F13333" w:rsidRPr="003E5E1F" w:rsidRDefault="006F6BC8" w:rsidP="003E5E1F">
      <w:pPr>
        <w:pStyle w:val="Heading3"/>
        <w:rPr>
          <w:sz w:val="32"/>
          <w:szCs w:val="26"/>
          <w:lang w:eastAsia="en-AU"/>
        </w:rPr>
      </w:pPr>
      <w:r>
        <w:rPr>
          <w:noProof/>
          <w:lang w:eastAsia="en-AU"/>
        </w:rPr>
        <w:lastRenderedPageBreak/>
        <w:drawing>
          <wp:anchor distT="0" distB="0" distL="114300" distR="114300" simplePos="0" relativeHeight="251658241" behindDoc="0" locked="0" layoutInCell="1" allowOverlap="1" wp14:anchorId="71CC0059" wp14:editId="0EFC81E2">
            <wp:simplePos x="0" y="0"/>
            <wp:positionH relativeFrom="page">
              <wp:align>center</wp:align>
            </wp:positionH>
            <wp:positionV relativeFrom="paragraph">
              <wp:posOffset>400050</wp:posOffset>
            </wp:positionV>
            <wp:extent cx="14229715" cy="2524125"/>
            <wp:effectExtent l="0" t="0" r="635" b="9525"/>
            <wp:wrapTopAndBottom/>
            <wp:docPr id="512697333" name="Picture 1" descr="Hierarchical flowchart shows component of the IAT classification algorithm decision tree. 'All IAT Participants' branching into five participant pathways for functional ability score compon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697333" name="Picture 1" descr="Hierarchical flowchart shows component of the IAT classification algorithm decision tree. 'All IAT Participants' branching into five participant pathways for functional ability score component."/>
                    <pic:cNvPicPr/>
                  </pic:nvPicPr>
                  <pic:blipFill rotWithShape="1">
                    <a:blip r:embed="rId17" cstate="print">
                      <a:extLst>
                        <a:ext uri="{28A0092B-C50C-407E-A947-70E740481C1C}">
                          <a14:useLocalDpi xmlns:a14="http://schemas.microsoft.com/office/drawing/2010/main" val="0"/>
                        </a:ext>
                      </a:extLst>
                    </a:blip>
                    <a:srcRect l="6564" t="9946" r="11953" b="48643"/>
                    <a:stretch>
                      <a:fillRect/>
                    </a:stretch>
                  </pic:blipFill>
                  <pic:spPr bwMode="auto">
                    <a:xfrm>
                      <a:off x="0" y="0"/>
                      <a:ext cx="14229715" cy="2524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156DE">
        <w:rPr>
          <w:lang w:eastAsia="en-AU"/>
        </w:rPr>
        <w:t>Functional ability component of classification algorithm decision tree</w:t>
      </w:r>
    </w:p>
    <w:p w14:paraId="4F4B787B" w14:textId="4F6621EB" w:rsidR="00C156DE" w:rsidRDefault="00B508A9" w:rsidP="006F6BC8">
      <w:pPr>
        <w:pStyle w:val="Heading3"/>
        <w:rPr>
          <w:lang w:eastAsia="en-AU"/>
        </w:rPr>
      </w:pPr>
      <w:r>
        <w:rPr>
          <w:noProof/>
          <w:lang w:eastAsia="en-AU"/>
        </w:rPr>
        <w:drawing>
          <wp:anchor distT="0" distB="0" distL="114300" distR="114300" simplePos="0" relativeHeight="251658242" behindDoc="0" locked="0" layoutInCell="1" allowOverlap="1" wp14:anchorId="5812FB01" wp14:editId="6B7C4946">
            <wp:simplePos x="0" y="0"/>
            <wp:positionH relativeFrom="margin">
              <wp:align>left</wp:align>
            </wp:positionH>
            <wp:positionV relativeFrom="paragraph">
              <wp:posOffset>3177540</wp:posOffset>
            </wp:positionV>
            <wp:extent cx="3957433" cy="2676525"/>
            <wp:effectExtent l="0" t="0" r="5080" b="0"/>
            <wp:wrapTopAndBottom/>
            <wp:docPr id="502250759" name="Picture 8" descr="Hierarchical flowchart shows detailed IAT classification algorithm decision tree. Example of needs met score, with yes and no decision nod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250759" name="Picture 8" descr="Hierarchical flowchart shows detailed IAT classification algorithm decision tree. Example of needs met score, with yes and no decision nodes. "/>
                    <pic:cNvPicPr>
                      <a:picLocks noChangeAspect="1" noChangeArrowheads="1"/>
                    </pic:cNvPicPr>
                  </pic:nvPicPr>
                  <pic:blipFill rotWithShape="1">
                    <a:blip r:embed="rId18">
                      <a:extLst>
                        <a:ext uri="{28A0092B-C50C-407E-A947-70E740481C1C}">
                          <a14:useLocalDpi xmlns:a14="http://schemas.microsoft.com/office/drawing/2010/main" val="0"/>
                        </a:ext>
                      </a:extLst>
                    </a:blip>
                    <a:srcRect l="38933" t="42857" r="48006" b="31826"/>
                    <a:stretch>
                      <a:fillRect/>
                    </a:stretch>
                  </pic:blipFill>
                  <pic:spPr bwMode="auto">
                    <a:xfrm>
                      <a:off x="0" y="0"/>
                      <a:ext cx="3957433" cy="2676525"/>
                    </a:xfrm>
                    <a:prstGeom prst="rect">
                      <a:avLst/>
                    </a:prstGeom>
                    <a:noFill/>
                    <a:ln>
                      <a:noFill/>
                    </a:ln>
                    <a:extLst>
                      <a:ext uri="{53640926-AAD7-44D8-BBD7-CCE9431645EC}">
                        <a14:shadowObscured xmlns:a14="http://schemas.microsoft.com/office/drawing/2010/main"/>
                      </a:ext>
                    </a:extLst>
                  </pic:spPr>
                </pic:pic>
              </a:graphicData>
            </a:graphic>
          </wp:anchor>
        </w:drawing>
      </w:r>
      <w:r w:rsidR="00F13333">
        <w:rPr>
          <w:lang w:eastAsia="en-AU"/>
        </w:rPr>
        <w:t>Example of needs met component of classification algorithm</w:t>
      </w:r>
    </w:p>
    <w:p w14:paraId="56C5FD25" w14:textId="77777777" w:rsidR="00E8683A" w:rsidRPr="00F13333" w:rsidRDefault="00E8683A" w:rsidP="00E8683A">
      <w:pPr>
        <w:pStyle w:val="Heading3"/>
        <w:rPr>
          <w:lang w:eastAsia="en-AU"/>
        </w:rPr>
      </w:pPr>
      <w:r>
        <w:rPr>
          <w:noProof/>
          <w:lang w:eastAsia="en-AU"/>
        </w:rPr>
        <w:drawing>
          <wp:anchor distT="0" distB="0" distL="114300" distR="114300" simplePos="0" relativeHeight="251658243" behindDoc="0" locked="0" layoutInCell="1" allowOverlap="1" wp14:anchorId="048D52B5" wp14:editId="437027B4">
            <wp:simplePos x="0" y="0"/>
            <wp:positionH relativeFrom="margin">
              <wp:posOffset>20955</wp:posOffset>
            </wp:positionH>
            <wp:positionV relativeFrom="paragraph">
              <wp:posOffset>3206115</wp:posOffset>
            </wp:positionV>
            <wp:extent cx="2343150" cy="2840355"/>
            <wp:effectExtent l="0" t="0" r="0" b="0"/>
            <wp:wrapTopAndBottom/>
            <wp:docPr id="2003962095" name="Picture 9" descr="Hierarchical flowchart shows detailed IAT classification algorithm decision tree. Example of compounding factors score with yes and no decision nodes. Arrows lead to endpoint boxes labelled with Support at Home outcome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62095" name="Picture 9" descr="Hierarchical flowchart shows detailed IAT classification algorithm decision tree. Example of compounding factors score with yes and no decision nodes. Arrows lead to endpoint boxes labelled with Support at Home outcome categories."/>
                    <pic:cNvPicPr>
                      <a:picLocks noChangeAspect="1" noChangeArrowheads="1"/>
                    </pic:cNvPicPr>
                  </pic:nvPicPr>
                  <pic:blipFill rotWithShape="1">
                    <a:blip r:embed="rId18">
                      <a:extLst>
                        <a:ext uri="{28A0092B-C50C-407E-A947-70E740481C1C}">
                          <a14:useLocalDpi xmlns:a14="http://schemas.microsoft.com/office/drawing/2010/main" val="0"/>
                        </a:ext>
                      </a:extLst>
                    </a:blip>
                    <a:srcRect l="36416" t="67631" r="54891" b="2170"/>
                    <a:stretch>
                      <a:fillRect/>
                    </a:stretch>
                  </pic:blipFill>
                  <pic:spPr bwMode="auto">
                    <a:xfrm>
                      <a:off x="0" y="0"/>
                      <a:ext cx="2343150" cy="28403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lang w:eastAsia="en-AU"/>
        </w:rPr>
        <w:t>Example of compounding factors component of classification algorithm decision tree</w:t>
      </w:r>
    </w:p>
    <w:p w14:paraId="1301ABA3" w14:textId="42225858" w:rsidR="00EA7C3B" w:rsidRDefault="00FD2311" w:rsidP="00EA7C3B">
      <w:pPr>
        <w:pStyle w:val="Heading3"/>
        <w:rPr>
          <w:lang w:eastAsia="en-AU"/>
        </w:rPr>
      </w:pPr>
      <w:r w:rsidRPr="00FD2311">
        <w:rPr>
          <w:lang w:eastAsia="en-AU"/>
        </w:rPr>
        <w:lastRenderedPageBreak/>
        <w:t>Aged Care Rules 2025</w:t>
      </w:r>
      <w:r>
        <w:rPr>
          <w:lang w:eastAsia="en-AU"/>
        </w:rPr>
        <w:t xml:space="preserve"> </w:t>
      </w:r>
      <w:r w:rsidR="00E8683A">
        <w:rPr>
          <w:lang w:eastAsia="en-AU"/>
        </w:rPr>
        <w:t xml:space="preserve">81-10 </w:t>
      </w:r>
      <w:r>
        <w:rPr>
          <w:lang w:eastAsia="en-AU"/>
        </w:rPr>
        <w:t>table</w:t>
      </w:r>
    </w:p>
    <w:p w14:paraId="4D728B19" w14:textId="04963F29" w:rsidR="00E8683A" w:rsidRDefault="00EA7C3B" w:rsidP="00E8683A">
      <w:pPr>
        <w:rPr>
          <w:lang w:eastAsia="en-AU"/>
        </w:rPr>
      </w:pPr>
      <w:r>
        <w:rPr>
          <w:lang w:eastAsia="en-AU"/>
        </w:rPr>
        <w:t>D</w:t>
      </w:r>
      <w:r w:rsidR="00FD2311">
        <w:rPr>
          <w:lang w:eastAsia="en-AU"/>
        </w:rPr>
        <w:t>escribe</w:t>
      </w:r>
      <w:r>
        <w:rPr>
          <w:lang w:eastAsia="en-AU"/>
        </w:rPr>
        <w:t>s</w:t>
      </w:r>
      <w:r w:rsidR="00E8683A">
        <w:rPr>
          <w:lang w:eastAsia="en-AU"/>
        </w:rPr>
        <w:t xml:space="preserve"> </w:t>
      </w:r>
      <w:r w:rsidR="0048741D">
        <w:rPr>
          <w:lang w:eastAsia="en-AU"/>
        </w:rPr>
        <w:t>the</w:t>
      </w:r>
      <w:r>
        <w:rPr>
          <w:lang w:eastAsia="en-AU"/>
        </w:rPr>
        <w:t xml:space="preserve"> </w:t>
      </w:r>
      <w:r w:rsidRPr="00EA7C3B">
        <w:rPr>
          <w:lang w:eastAsia="en-AU"/>
        </w:rPr>
        <w:t>scores for each level</w:t>
      </w:r>
      <w:r>
        <w:rPr>
          <w:lang w:eastAsia="en-AU"/>
        </w:rPr>
        <w:t xml:space="preserve"> of the</w:t>
      </w:r>
      <w:r w:rsidR="0048741D">
        <w:rPr>
          <w:lang w:eastAsia="en-AU"/>
        </w:rPr>
        <w:t xml:space="preserve"> </w:t>
      </w:r>
      <w:r w:rsidR="0048741D" w:rsidRPr="0048741D">
        <w:rPr>
          <w:lang w:eastAsia="en-AU"/>
        </w:rPr>
        <w:t xml:space="preserve">detailed </w:t>
      </w:r>
      <w:r w:rsidR="0048741D">
        <w:rPr>
          <w:lang w:eastAsia="en-AU"/>
        </w:rPr>
        <w:t xml:space="preserve">IAT </w:t>
      </w:r>
      <w:r w:rsidR="0048741D" w:rsidRPr="0048741D">
        <w:rPr>
          <w:lang w:eastAsia="en-AU"/>
        </w:rPr>
        <w:t>classification algorithm decision tree</w:t>
      </w:r>
    </w:p>
    <w:tbl>
      <w:tblPr>
        <w:tblW w:w="0" w:type="auto"/>
        <w:tblInd w:w="113" w:type="dxa"/>
        <w:tblBorders>
          <w:top w:val="single" w:sz="4" w:space="0" w:color="auto"/>
          <w:bottom w:val="single" w:sz="2" w:space="0" w:color="auto"/>
          <w:insideH w:val="single" w:sz="2" w:space="0" w:color="auto"/>
        </w:tblBorders>
        <w:tblLayout w:type="fixed"/>
        <w:tblLook w:val="0000" w:firstRow="0" w:lastRow="0" w:firstColumn="0" w:lastColumn="0" w:noHBand="0" w:noVBand="0"/>
      </w:tblPr>
      <w:tblGrid>
        <w:gridCol w:w="714"/>
        <w:gridCol w:w="1975"/>
        <w:gridCol w:w="5623"/>
      </w:tblGrid>
      <w:tr w:rsidR="00D47128" w:rsidRPr="004E66AF" w14:paraId="12297871" w14:textId="77777777" w:rsidTr="009E49A0">
        <w:trPr>
          <w:tblHeader/>
        </w:trPr>
        <w:tc>
          <w:tcPr>
            <w:tcW w:w="8312" w:type="dxa"/>
            <w:gridSpan w:val="3"/>
            <w:tcBorders>
              <w:top w:val="single" w:sz="12" w:space="0" w:color="auto"/>
              <w:bottom w:val="single" w:sz="6" w:space="0" w:color="auto"/>
            </w:tcBorders>
          </w:tcPr>
          <w:p w14:paraId="4EE3BF29" w14:textId="77777777" w:rsidR="00D47128" w:rsidRPr="004E66AF" w:rsidRDefault="00D47128" w:rsidP="009E49A0">
            <w:pPr>
              <w:pStyle w:val="TableHeading"/>
            </w:pPr>
            <w:r w:rsidRPr="004E66AF">
              <w:t>Classification levels and criteria</w:t>
            </w:r>
          </w:p>
        </w:tc>
      </w:tr>
      <w:tr w:rsidR="00D47128" w:rsidRPr="004E66AF" w14:paraId="284EA5FD" w14:textId="77777777" w:rsidTr="009E49A0">
        <w:trPr>
          <w:tblHeader/>
        </w:trPr>
        <w:tc>
          <w:tcPr>
            <w:tcW w:w="714" w:type="dxa"/>
            <w:tcBorders>
              <w:top w:val="single" w:sz="6" w:space="0" w:color="auto"/>
              <w:bottom w:val="single" w:sz="12" w:space="0" w:color="auto"/>
            </w:tcBorders>
          </w:tcPr>
          <w:p w14:paraId="5BFE33C8" w14:textId="77777777" w:rsidR="00D47128" w:rsidRPr="004E66AF" w:rsidRDefault="00D47128" w:rsidP="009E49A0">
            <w:pPr>
              <w:pStyle w:val="TableHeading"/>
            </w:pPr>
            <w:r w:rsidRPr="004E66AF">
              <w:t>Item</w:t>
            </w:r>
          </w:p>
        </w:tc>
        <w:tc>
          <w:tcPr>
            <w:tcW w:w="1975" w:type="dxa"/>
            <w:tcBorders>
              <w:top w:val="single" w:sz="6" w:space="0" w:color="auto"/>
              <w:bottom w:val="single" w:sz="12" w:space="0" w:color="auto"/>
            </w:tcBorders>
          </w:tcPr>
          <w:p w14:paraId="42156A5B" w14:textId="77777777" w:rsidR="00D47128" w:rsidRPr="004E66AF" w:rsidRDefault="00D47128" w:rsidP="009E49A0">
            <w:pPr>
              <w:pStyle w:val="TableHeading"/>
            </w:pPr>
            <w:r w:rsidRPr="004E66AF">
              <w:t>Column 1</w:t>
            </w:r>
            <w:r w:rsidRPr="004E66AF">
              <w:br/>
              <w:t>Classification level</w:t>
            </w:r>
          </w:p>
        </w:tc>
        <w:tc>
          <w:tcPr>
            <w:tcW w:w="5623" w:type="dxa"/>
            <w:tcBorders>
              <w:top w:val="single" w:sz="6" w:space="0" w:color="auto"/>
              <w:bottom w:val="single" w:sz="12" w:space="0" w:color="auto"/>
            </w:tcBorders>
          </w:tcPr>
          <w:p w14:paraId="4A9DF1B6" w14:textId="77777777" w:rsidR="00D47128" w:rsidRPr="004E66AF" w:rsidRDefault="00D47128" w:rsidP="009E49A0">
            <w:pPr>
              <w:pStyle w:val="TableHeading"/>
            </w:pPr>
            <w:r w:rsidRPr="004E66AF">
              <w:t>Column 2</w:t>
            </w:r>
            <w:r w:rsidRPr="004E66AF">
              <w:br/>
              <w:t>Criteria</w:t>
            </w:r>
          </w:p>
        </w:tc>
      </w:tr>
      <w:tr w:rsidR="00D47128" w:rsidRPr="004E66AF" w14:paraId="09BB7F51" w14:textId="77777777" w:rsidTr="009E49A0">
        <w:tc>
          <w:tcPr>
            <w:tcW w:w="714" w:type="dxa"/>
            <w:tcBorders>
              <w:top w:val="single" w:sz="12" w:space="0" w:color="auto"/>
            </w:tcBorders>
          </w:tcPr>
          <w:p w14:paraId="6C42B0B3" w14:textId="77777777" w:rsidR="00D47128" w:rsidRPr="004E66AF" w:rsidRDefault="00D47128" w:rsidP="009E49A0">
            <w:pPr>
              <w:pStyle w:val="Tabletext"/>
            </w:pPr>
            <w:r w:rsidRPr="004E66AF">
              <w:t>1</w:t>
            </w:r>
          </w:p>
        </w:tc>
        <w:tc>
          <w:tcPr>
            <w:tcW w:w="1975" w:type="dxa"/>
            <w:tcBorders>
              <w:top w:val="single" w:sz="12" w:space="0" w:color="auto"/>
            </w:tcBorders>
          </w:tcPr>
          <w:p w14:paraId="5581C268" w14:textId="77777777" w:rsidR="00D47128" w:rsidRPr="004E66AF" w:rsidRDefault="00D47128" w:rsidP="009E49A0">
            <w:pPr>
              <w:pStyle w:val="Tabletext"/>
            </w:pPr>
            <w:r w:rsidRPr="004E66AF">
              <w:t>CHSP class</w:t>
            </w:r>
          </w:p>
        </w:tc>
        <w:tc>
          <w:tcPr>
            <w:tcW w:w="5623" w:type="dxa"/>
            <w:tcBorders>
              <w:top w:val="single" w:sz="12" w:space="0" w:color="auto"/>
            </w:tcBorders>
          </w:tcPr>
          <w:p w14:paraId="6E0BE187" w14:textId="77777777" w:rsidR="00D47128" w:rsidRPr="004E66AF" w:rsidRDefault="00D47128" w:rsidP="009E49A0">
            <w:pPr>
              <w:pStyle w:val="Tabletext"/>
            </w:pPr>
            <w:r w:rsidRPr="004E66AF">
              <w:t>Any of the following:</w:t>
            </w:r>
          </w:p>
          <w:p w14:paraId="58D7D866" w14:textId="77777777" w:rsidR="00D47128" w:rsidRPr="004E66AF" w:rsidRDefault="00D47128" w:rsidP="009E49A0">
            <w:pPr>
              <w:pStyle w:val="Tablea"/>
            </w:pPr>
            <w:r w:rsidRPr="004E66AF">
              <w:t>(a) the individual:</w:t>
            </w:r>
          </w:p>
          <w:p w14:paraId="6B95B1AB"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42</w:t>
            </w:r>
            <w:r w:rsidRPr="004E66AF">
              <w:noBreakHyphen/>
              <w:t>48; and</w:t>
            </w:r>
          </w:p>
          <w:p w14:paraId="68CDED8C"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35 or 36;</w:t>
            </w:r>
          </w:p>
          <w:p w14:paraId="3F1EFA96" w14:textId="77777777" w:rsidR="00D47128" w:rsidRPr="004E66AF" w:rsidRDefault="00D47128" w:rsidP="009E49A0">
            <w:pPr>
              <w:pStyle w:val="Tablea"/>
            </w:pPr>
            <w:r w:rsidRPr="004E66AF">
              <w:t>(b) the individual:</w:t>
            </w:r>
          </w:p>
          <w:p w14:paraId="22802775"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42</w:t>
            </w:r>
            <w:r w:rsidRPr="004E66AF">
              <w:noBreakHyphen/>
              <w:t>48; and</w:t>
            </w:r>
          </w:p>
          <w:p w14:paraId="29767A9D"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0</w:t>
            </w:r>
            <w:r w:rsidRPr="004E66AF">
              <w:noBreakHyphen/>
              <w:t>34;</w:t>
            </w:r>
          </w:p>
          <w:p w14:paraId="414A9AF9" w14:textId="77777777" w:rsidR="00D47128" w:rsidRPr="004E66AF" w:rsidRDefault="00D47128" w:rsidP="009E49A0">
            <w:pPr>
              <w:pStyle w:val="Tablea"/>
            </w:pPr>
            <w:r w:rsidRPr="004E66AF">
              <w:t>(c) the individual:</w:t>
            </w:r>
          </w:p>
          <w:p w14:paraId="6628164D"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35</w:t>
            </w:r>
            <w:r w:rsidRPr="004E66AF">
              <w:noBreakHyphen/>
              <w:t>41; and</w:t>
            </w:r>
          </w:p>
          <w:p w14:paraId="2AEC6BA1"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31</w:t>
            </w:r>
            <w:r w:rsidRPr="004E66AF">
              <w:noBreakHyphen/>
              <w:t>36;</w:t>
            </w:r>
          </w:p>
          <w:p w14:paraId="4AE9C94B" w14:textId="77777777" w:rsidR="00D47128" w:rsidRPr="004E66AF" w:rsidRDefault="00D47128" w:rsidP="009E49A0">
            <w:pPr>
              <w:pStyle w:val="Tablea"/>
            </w:pPr>
            <w:r w:rsidRPr="004E66AF">
              <w:t>(d) the individual:</w:t>
            </w:r>
          </w:p>
          <w:p w14:paraId="05DC18DE"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35</w:t>
            </w:r>
            <w:r w:rsidRPr="004E66AF">
              <w:noBreakHyphen/>
              <w:t>41; and</w:t>
            </w:r>
          </w:p>
          <w:p w14:paraId="67B2AF39"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0</w:t>
            </w:r>
            <w:r w:rsidRPr="004E66AF">
              <w:noBreakHyphen/>
              <w:t>30; and</w:t>
            </w:r>
          </w:p>
          <w:p w14:paraId="4CF90ED9" w14:textId="77777777" w:rsidR="00D47128" w:rsidRPr="004E66AF" w:rsidRDefault="00D47128" w:rsidP="009E49A0">
            <w:pPr>
              <w:pStyle w:val="Tablei"/>
            </w:pPr>
            <w:r w:rsidRPr="004E66AF">
              <w:t>(iii) does not have significant compounding factors</w:t>
            </w:r>
          </w:p>
        </w:tc>
      </w:tr>
      <w:tr w:rsidR="00D47128" w:rsidRPr="004E66AF" w14:paraId="16062195" w14:textId="77777777" w:rsidTr="009E49A0">
        <w:tc>
          <w:tcPr>
            <w:tcW w:w="714" w:type="dxa"/>
          </w:tcPr>
          <w:p w14:paraId="790FE9CA" w14:textId="77777777" w:rsidR="00D47128" w:rsidRPr="004E66AF" w:rsidRDefault="00D47128" w:rsidP="009E49A0">
            <w:pPr>
              <w:pStyle w:val="Tabletext"/>
            </w:pPr>
            <w:r w:rsidRPr="004E66AF">
              <w:t>2</w:t>
            </w:r>
          </w:p>
        </w:tc>
        <w:tc>
          <w:tcPr>
            <w:tcW w:w="1975" w:type="dxa"/>
          </w:tcPr>
          <w:p w14:paraId="7288E064" w14:textId="77777777" w:rsidR="00D47128" w:rsidRPr="004E66AF" w:rsidRDefault="00D47128" w:rsidP="009E49A0">
            <w:pPr>
              <w:pStyle w:val="Tabletext"/>
            </w:pPr>
            <w:r w:rsidRPr="004E66AF">
              <w:t>SAH class 1</w:t>
            </w:r>
          </w:p>
        </w:tc>
        <w:tc>
          <w:tcPr>
            <w:tcW w:w="5623" w:type="dxa"/>
          </w:tcPr>
          <w:p w14:paraId="08155FD5" w14:textId="77777777" w:rsidR="00D47128" w:rsidRPr="004E66AF" w:rsidRDefault="00D47128" w:rsidP="009E49A0">
            <w:pPr>
              <w:pStyle w:val="Tabletext"/>
            </w:pPr>
            <w:r w:rsidRPr="004E66AF">
              <w:t>Either:</w:t>
            </w:r>
          </w:p>
          <w:p w14:paraId="370A1977" w14:textId="77777777" w:rsidR="00D47128" w:rsidRPr="004E66AF" w:rsidRDefault="00D47128" w:rsidP="009E49A0">
            <w:pPr>
              <w:pStyle w:val="Tablea"/>
            </w:pPr>
            <w:r w:rsidRPr="004E66AF">
              <w:t>(a) the individual:</w:t>
            </w:r>
          </w:p>
          <w:p w14:paraId="197FAEB8"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35</w:t>
            </w:r>
            <w:r w:rsidRPr="004E66AF">
              <w:noBreakHyphen/>
              <w:t>41; and</w:t>
            </w:r>
          </w:p>
          <w:p w14:paraId="525E7D11"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0</w:t>
            </w:r>
            <w:r w:rsidRPr="004E66AF">
              <w:noBreakHyphen/>
              <w:t>30; and</w:t>
            </w:r>
          </w:p>
          <w:p w14:paraId="0DF0E62C" w14:textId="77777777" w:rsidR="00D47128" w:rsidRPr="004E66AF" w:rsidRDefault="00D47128" w:rsidP="009E49A0">
            <w:pPr>
              <w:pStyle w:val="Tablei"/>
            </w:pPr>
            <w:r w:rsidRPr="004E66AF">
              <w:t>(iii) has significant compounding factors; or</w:t>
            </w:r>
          </w:p>
          <w:p w14:paraId="6DBAD629" w14:textId="77777777" w:rsidR="00D47128" w:rsidRPr="004E66AF" w:rsidRDefault="00D47128" w:rsidP="009E49A0">
            <w:pPr>
              <w:pStyle w:val="Tablea"/>
            </w:pPr>
            <w:r w:rsidRPr="004E66AF">
              <w:t>(b) the individual:</w:t>
            </w:r>
          </w:p>
          <w:p w14:paraId="33B6DB3B"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30</w:t>
            </w:r>
            <w:r w:rsidRPr="004E66AF">
              <w:noBreakHyphen/>
              <w:t>34; and</w:t>
            </w:r>
          </w:p>
          <w:p w14:paraId="0905357D"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30</w:t>
            </w:r>
            <w:r w:rsidRPr="004E66AF">
              <w:noBreakHyphen/>
              <w:t>36; and</w:t>
            </w:r>
          </w:p>
          <w:p w14:paraId="27E1A1BA" w14:textId="77777777" w:rsidR="00D47128" w:rsidRPr="004E66AF" w:rsidRDefault="00D47128" w:rsidP="009E49A0">
            <w:pPr>
              <w:pStyle w:val="Tablei"/>
            </w:pPr>
            <w:r w:rsidRPr="004E66AF">
              <w:t>(iii) does not have significant compounding factors</w:t>
            </w:r>
          </w:p>
        </w:tc>
      </w:tr>
      <w:tr w:rsidR="00D47128" w:rsidRPr="004E66AF" w14:paraId="68F3E306" w14:textId="77777777" w:rsidTr="009E49A0">
        <w:tc>
          <w:tcPr>
            <w:tcW w:w="714" w:type="dxa"/>
          </w:tcPr>
          <w:p w14:paraId="04430FC6" w14:textId="77777777" w:rsidR="00D47128" w:rsidRPr="004E66AF" w:rsidRDefault="00D47128" w:rsidP="009E49A0">
            <w:pPr>
              <w:pStyle w:val="Tabletext"/>
            </w:pPr>
            <w:r w:rsidRPr="004E66AF">
              <w:t>3</w:t>
            </w:r>
          </w:p>
        </w:tc>
        <w:tc>
          <w:tcPr>
            <w:tcW w:w="1975" w:type="dxa"/>
          </w:tcPr>
          <w:p w14:paraId="1BC0CCB7" w14:textId="77777777" w:rsidR="00D47128" w:rsidRPr="004E66AF" w:rsidRDefault="00D47128" w:rsidP="009E49A0">
            <w:pPr>
              <w:pStyle w:val="Tabletext"/>
            </w:pPr>
            <w:r w:rsidRPr="004E66AF">
              <w:t>SAH class 2</w:t>
            </w:r>
          </w:p>
        </w:tc>
        <w:tc>
          <w:tcPr>
            <w:tcW w:w="5623" w:type="dxa"/>
          </w:tcPr>
          <w:p w14:paraId="4E7A3B48" w14:textId="77777777" w:rsidR="00D47128" w:rsidRPr="004E66AF" w:rsidRDefault="00D47128" w:rsidP="009E49A0">
            <w:pPr>
              <w:pStyle w:val="Tabletext"/>
            </w:pPr>
            <w:r w:rsidRPr="004E66AF">
              <w:t>Either:</w:t>
            </w:r>
          </w:p>
          <w:p w14:paraId="424118D7" w14:textId="77777777" w:rsidR="00D47128" w:rsidRPr="004E66AF" w:rsidRDefault="00D47128" w:rsidP="009E49A0">
            <w:pPr>
              <w:pStyle w:val="Tablea"/>
            </w:pPr>
            <w:r w:rsidRPr="004E66AF">
              <w:t>(a) the individual:</w:t>
            </w:r>
          </w:p>
          <w:p w14:paraId="5662C838"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30</w:t>
            </w:r>
            <w:r w:rsidRPr="004E66AF">
              <w:noBreakHyphen/>
              <w:t>34; and</w:t>
            </w:r>
          </w:p>
          <w:p w14:paraId="26A7FD90"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30</w:t>
            </w:r>
            <w:r w:rsidRPr="004E66AF">
              <w:noBreakHyphen/>
              <w:t>36; and</w:t>
            </w:r>
          </w:p>
          <w:p w14:paraId="15B74266" w14:textId="77777777" w:rsidR="00D47128" w:rsidRPr="004E66AF" w:rsidRDefault="00D47128" w:rsidP="009E49A0">
            <w:pPr>
              <w:pStyle w:val="Tablei"/>
            </w:pPr>
            <w:r w:rsidRPr="004E66AF">
              <w:t>(iii) has significant compounding factors; or</w:t>
            </w:r>
          </w:p>
          <w:p w14:paraId="327B08AA" w14:textId="77777777" w:rsidR="00D47128" w:rsidRPr="004E66AF" w:rsidRDefault="00D47128" w:rsidP="009E49A0">
            <w:pPr>
              <w:pStyle w:val="Tablea"/>
            </w:pPr>
            <w:r w:rsidRPr="004E66AF">
              <w:t>(b) the individual:</w:t>
            </w:r>
          </w:p>
          <w:p w14:paraId="350831C8"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30</w:t>
            </w:r>
            <w:r w:rsidRPr="004E66AF">
              <w:noBreakHyphen/>
              <w:t>34; and</w:t>
            </w:r>
          </w:p>
          <w:p w14:paraId="166A9F33"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0</w:t>
            </w:r>
            <w:r w:rsidRPr="004E66AF">
              <w:noBreakHyphen/>
              <w:t>29; and</w:t>
            </w:r>
          </w:p>
          <w:p w14:paraId="136A1D54" w14:textId="77777777" w:rsidR="00D47128" w:rsidRPr="004E66AF" w:rsidRDefault="00D47128" w:rsidP="009E49A0">
            <w:pPr>
              <w:pStyle w:val="Tablei"/>
            </w:pPr>
            <w:r w:rsidRPr="004E66AF">
              <w:t>(iii) does not have significant compounding factors</w:t>
            </w:r>
          </w:p>
        </w:tc>
      </w:tr>
      <w:tr w:rsidR="00D47128" w:rsidRPr="004E66AF" w14:paraId="204DEBB2" w14:textId="77777777" w:rsidTr="009E49A0">
        <w:tc>
          <w:tcPr>
            <w:tcW w:w="714" w:type="dxa"/>
          </w:tcPr>
          <w:p w14:paraId="6F595044" w14:textId="77777777" w:rsidR="00D47128" w:rsidRPr="004E66AF" w:rsidRDefault="00D47128" w:rsidP="009E49A0">
            <w:pPr>
              <w:pStyle w:val="Tabletext"/>
            </w:pPr>
            <w:r w:rsidRPr="004E66AF">
              <w:t>4</w:t>
            </w:r>
          </w:p>
        </w:tc>
        <w:tc>
          <w:tcPr>
            <w:tcW w:w="1975" w:type="dxa"/>
          </w:tcPr>
          <w:p w14:paraId="506940E8" w14:textId="77777777" w:rsidR="00D47128" w:rsidRPr="004E66AF" w:rsidRDefault="00D47128" w:rsidP="009E49A0">
            <w:pPr>
              <w:pStyle w:val="Tabletext"/>
            </w:pPr>
            <w:r w:rsidRPr="004E66AF">
              <w:t>SAH class 3</w:t>
            </w:r>
          </w:p>
        </w:tc>
        <w:tc>
          <w:tcPr>
            <w:tcW w:w="5623" w:type="dxa"/>
          </w:tcPr>
          <w:p w14:paraId="70EBD606" w14:textId="77777777" w:rsidR="00D47128" w:rsidRPr="004E66AF" w:rsidRDefault="00D47128" w:rsidP="009E49A0">
            <w:pPr>
              <w:pStyle w:val="Tabletext"/>
            </w:pPr>
            <w:r w:rsidRPr="004E66AF">
              <w:t>Either:</w:t>
            </w:r>
          </w:p>
          <w:p w14:paraId="227EAAE7" w14:textId="77777777" w:rsidR="00D47128" w:rsidRPr="004E66AF" w:rsidRDefault="00D47128" w:rsidP="009E49A0">
            <w:pPr>
              <w:pStyle w:val="Tablea"/>
            </w:pPr>
            <w:r w:rsidRPr="004E66AF">
              <w:t>(a) the individual:</w:t>
            </w:r>
          </w:p>
          <w:p w14:paraId="706F2A2B"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30</w:t>
            </w:r>
            <w:r w:rsidRPr="004E66AF">
              <w:noBreakHyphen/>
              <w:t>34; and</w:t>
            </w:r>
          </w:p>
          <w:p w14:paraId="73B1B40C"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0</w:t>
            </w:r>
            <w:r w:rsidRPr="004E66AF">
              <w:noBreakHyphen/>
              <w:t>29; and</w:t>
            </w:r>
          </w:p>
          <w:p w14:paraId="03551717" w14:textId="77777777" w:rsidR="00D47128" w:rsidRPr="004E66AF" w:rsidRDefault="00D47128" w:rsidP="009E49A0">
            <w:pPr>
              <w:pStyle w:val="Tablei"/>
            </w:pPr>
            <w:r w:rsidRPr="004E66AF">
              <w:t>(iii) has significant compounding factors; or</w:t>
            </w:r>
          </w:p>
          <w:p w14:paraId="72638207" w14:textId="77777777" w:rsidR="00D47128" w:rsidRPr="004E66AF" w:rsidRDefault="00D47128" w:rsidP="009E49A0">
            <w:pPr>
              <w:pStyle w:val="Tablea"/>
            </w:pPr>
            <w:r w:rsidRPr="004E66AF">
              <w:t>(b) the individual:</w:t>
            </w:r>
          </w:p>
          <w:p w14:paraId="6E803AFB"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25</w:t>
            </w:r>
            <w:r w:rsidRPr="004E66AF">
              <w:noBreakHyphen/>
              <w:t>29; and</w:t>
            </w:r>
          </w:p>
          <w:p w14:paraId="4863AA71"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28</w:t>
            </w:r>
            <w:r w:rsidRPr="004E66AF">
              <w:noBreakHyphen/>
              <w:t>36; and</w:t>
            </w:r>
          </w:p>
          <w:p w14:paraId="328E8340" w14:textId="77777777" w:rsidR="00D47128" w:rsidRPr="004E66AF" w:rsidRDefault="00D47128" w:rsidP="009E49A0">
            <w:pPr>
              <w:pStyle w:val="Tablei"/>
            </w:pPr>
            <w:r w:rsidRPr="004E66AF">
              <w:t>(iii) does not have significant compounding factors</w:t>
            </w:r>
          </w:p>
        </w:tc>
      </w:tr>
      <w:tr w:rsidR="00D47128" w:rsidRPr="004E66AF" w14:paraId="3232FAAC" w14:textId="77777777" w:rsidTr="009E49A0">
        <w:tc>
          <w:tcPr>
            <w:tcW w:w="714" w:type="dxa"/>
          </w:tcPr>
          <w:p w14:paraId="6857BD0A" w14:textId="77777777" w:rsidR="00D47128" w:rsidRPr="004E66AF" w:rsidRDefault="00D47128" w:rsidP="009E49A0">
            <w:pPr>
              <w:pStyle w:val="Tabletext"/>
            </w:pPr>
            <w:r w:rsidRPr="004E66AF">
              <w:t>5</w:t>
            </w:r>
          </w:p>
        </w:tc>
        <w:tc>
          <w:tcPr>
            <w:tcW w:w="1975" w:type="dxa"/>
          </w:tcPr>
          <w:p w14:paraId="08FC1D60" w14:textId="77777777" w:rsidR="00D47128" w:rsidRPr="004E66AF" w:rsidRDefault="00D47128" w:rsidP="009E49A0">
            <w:pPr>
              <w:pStyle w:val="Tabletext"/>
            </w:pPr>
            <w:r w:rsidRPr="004E66AF">
              <w:t>SAH class 4</w:t>
            </w:r>
          </w:p>
        </w:tc>
        <w:tc>
          <w:tcPr>
            <w:tcW w:w="5623" w:type="dxa"/>
          </w:tcPr>
          <w:p w14:paraId="4AFF9F33" w14:textId="77777777" w:rsidR="00D47128" w:rsidRPr="004E66AF" w:rsidRDefault="00D47128" w:rsidP="009E49A0">
            <w:pPr>
              <w:pStyle w:val="Tabletext"/>
            </w:pPr>
            <w:r w:rsidRPr="004E66AF">
              <w:t>Either:</w:t>
            </w:r>
          </w:p>
          <w:p w14:paraId="4B8B51A0" w14:textId="77777777" w:rsidR="00D47128" w:rsidRPr="004E66AF" w:rsidRDefault="00D47128" w:rsidP="009E49A0">
            <w:pPr>
              <w:pStyle w:val="Tablea"/>
            </w:pPr>
            <w:r w:rsidRPr="004E66AF">
              <w:t>(a) the individual:</w:t>
            </w:r>
          </w:p>
          <w:p w14:paraId="3AC748C2"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25</w:t>
            </w:r>
            <w:r w:rsidRPr="004E66AF">
              <w:noBreakHyphen/>
              <w:t>29; and</w:t>
            </w:r>
          </w:p>
          <w:p w14:paraId="0A3F07F5"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28</w:t>
            </w:r>
            <w:r w:rsidRPr="004E66AF">
              <w:noBreakHyphen/>
              <w:t>36; and</w:t>
            </w:r>
          </w:p>
          <w:p w14:paraId="2F20EE70" w14:textId="77777777" w:rsidR="00D47128" w:rsidRPr="004E66AF" w:rsidRDefault="00D47128" w:rsidP="009E49A0">
            <w:pPr>
              <w:pStyle w:val="Tablei"/>
            </w:pPr>
            <w:r w:rsidRPr="004E66AF">
              <w:t>(iii) has significant compounding factors; or</w:t>
            </w:r>
          </w:p>
          <w:p w14:paraId="1D680D84" w14:textId="77777777" w:rsidR="00D47128" w:rsidRPr="004E66AF" w:rsidRDefault="00D47128" w:rsidP="009E49A0">
            <w:pPr>
              <w:pStyle w:val="Tablea"/>
            </w:pPr>
            <w:r w:rsidRPr="004E66AF">
              <w:lastRenderedPageBreak/>
              <w:t>(b) the individual:</w:t>
            </w:r>
          </w:p>
          <w:p w14:paraId="3BDB37BA"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25</w:t>
            </w:r>
            <w:r w:rsidRPr="004E66AF">
              <w:noBreakHyphen/>
              <w:t>29; and</w:t>
            </w:r>
          </w:p>
          <w:p w14:paraId="63F5ABF1"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0</w:t>
            </w:r>
            <w:r w:rsidRPr="004E66AF">
              <w:noBreakHyphen/>
              <w:t>27; and</w:t>
            </w:r>
          </w:p>
          <w:p w14:paraId="62D2206E" w14:textId="77777777" w:rsidR="00D47128" w:rsidRPr="004E66AF" w:rsidRDefault="00D47128" w:rsidP="009E49A0">
            <w:pPr>
              <w:pStyle w:val="Tablei"/>
            </w:pPr>
            <w:r w:rsidRPr="004E66AF">
              <w:t>(iii) does not have significant compounding factors</w:t>
            </w:r>
          </w:p>
        </w:tc>
      </w:tr>
      <w:tr w:rsidR="00D47128" w:rsidRPr="004E66AF" w14:paraId="049BAA40" w14:textId="77777777" w:rsidTr="009E49A0">
        <w:tc>
          <w:tcPr>
            <w:tcW w:w="714" w:type="dxa"/>
          </w:tcPr>
          <w:p w14:paraId="68C762BC" w14:textId="77777777" w:rsidR="00D47128" w:rsidRPr="004E66AF" w:rsidRDefault="00D47128" w:rsidP="009E49A0">
            <w:pPr>
              <w:pStyle w:val="Tabletext"/>
            </w:pPr>
            <w:r w:rsidRPr="004E66AF">
              <w:lastRenderedPageBreak/>
              <w:t>6</w:t>
            </w:r>
          </w:p>
        </w:tc>
        <w:tc>
          <w:tcPr>
            <w:tcW w:w="1975" w:type="dxa"/>
          </w:tcPr>
          <w:p w14:paraId="4423C6B9" w14:textId="77777777" w:rsidR="00D47128" w:rsidRPr="004E66AF" w:rsidRDefault="00D47128" w:rsidP="009E49A0">
            <w:pPr>
              <w:pStyle w:val="Tabletext"/>
            </w:pPr>
            <w:r w:rsidRPr="004E66AF">
              <w:t>SAH class 5</w:t>
            </w:r>
          </w:p>
        </w:tc>
        <w:tc>
          <w:tcPr>
            <w:tcW w:w="5623" w:type="dxa"/>
          </w:tcPr>
          <w:p w14:paraId="2B8B8DC9" w14:textId="77777777" w:rsidR="00D47128" w:rsidRPr="004E66AF" w:rsidRDefault="00D47128" w:rsidP="009E49A0">
            <w:pPr>
              <w:pStyle w:val="Tabletext"/>
            </w:pPr>
            <w:r w:rsidRPr="004E66AF">
              <w:t>Either:</w:t>
            </w:r>
          </w:p>
          <w:p w14:paraId="23CB250C" w14:textId="77777777" w:rsidR="00D47128" w:rsidRPr="004E66AF" w:rsidRDefault="00D47128" w:rsidP="009E49A0">
            <w:pPr>
              <w:pStyle w:val="Tablea"/>
            </w:pPr>
            <w:r w:rsidRPr="004E66AF">
              <w:t>(a) the individual:</w:t>
            </w:r>
          </w:p>
          <w:p w14:paraId="43590CB5"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25</w:t>
            </w:r>
            <w:r w:rsidRPr="004E66AF">
              <w:noBreakHyphen/>
              <w:t>29; and</w:t>
            </w:r>
          </w:p>
          <w:p w14:paraId="4A49634E"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0</w:t>
            </w:r>
            <w:r w:rsidRPr="004E66AF">
              <w:noBreakHyphen/>
              <w:t>27; and</w:t>
            </w:r>
          </w:p>
          <w:p w14:paraId="7C738238" w14:textId="77777777" w:rsidR="00D47128" w:rsidRPr="004E66AF" w:rsidRDefault="00D47128" w:rsidP="009E49A0">
            <w:pPr>
              <w:pStyle w:val="Tablei"/>
            </w:pPr>
            <w:r w:rsidRPr="004E66AF">
              <w:t>(iii) has significant compounding factors; or</w:t>
            </w:r>
          </w:p>
          <w:p w14:paraId="7657AB35" w14:textId="77777777" w:rsidR="00D47128" w:rsidRPr="004E66AF" w:rsidRDefault="00D47128" w:rsidP="009E49A0">
            <w:pPr>
              <w:pStyle w:val="Tablea"/>
            </w:pPr>
            <w:r w:rsidRPr="004E66AF">
              <w:t>(b) the individual:</w:t>
            </w:r>
          </w:p>
          <w:p w14:paraId="1C4FFCAD"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0</w:t>
            </w:r>
            <w:r w:rsidRPr="004E66AF">
              <w:noBreakHyphen/>
              <w:t>24; and</w:t>
            </w:r>
          </w:p>
          <w:p w14:paraId="439D4C65"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29</w:t>
            </w:r>
            <w:r w:rsidRPr="004E66AF">
              <w:noBreakHyphen/>
              <w:t>36; and</w:t>
            </w:r>
          </w:p>
          <w:p w14:paraId="0488867A" w14:textId="77777777" w:rsidR="00D47128" w:rsidRPr="004E66AF" w:rsidRDefault="00D47128" w:rsidP="009E49A0">
            <w:pPr>
              <w:pStyle w:val="Tablei"/>
            </w:pPr>
            <w:r w:rsidRPr="004E66AF">
              <w:t>(iii) does not have significant compounding factors</w:t>
            </w:r>
          </w:p>
        </w:tc>
      </w:tr>
      <w:tr w:rsidR="00D47128" w:rsidRPr="004E66AF" w14:paraId="01AB1540" w14:textId="77777777" w:rsidTr="009E49A0">
        <w:tc>
          <w:tcPr>
            <w:tcW w:w="714" w:type="dxa"/>
          </w:tcPr>
          <w:p w14:paraId="62DF0801" w14:textId="77777777" w:rsidR="00D47128" w:rsidRPr="004E66AF" w:rsidRDefault="00D47128" w:rsidP="009E49A0">
            <w:pPr>
              <w:pStyle w:val="Tabletext"/>
            </w:pPr>
            <w:r w:rsidRPr="004E66AF">
              <w:t>7</w:t>
            </w:r>
          </w:p>
        </w:tc>
        <w:tc>
          <w:tcPr>
            <w:tcW w:w="1975" w:type="dxa"/>
          </w:tcPr>
          <w:p w14:paraId="2142F564" w14:textId="77777777" w:rsidR="00D47128" w:rsidRPr="004E66AF" w:rsidRDefault="00D47128" w:rsidP="009E49A0">
            <w:pPr>
              <w:pStyle w:val="Tabletext"/>
            </w:pPr>
            <w:r w:rsidRPr="004E66AF">
              <w:t>SAH class 6</w:t>
            </w:r>
          </w:p>
        </w:tc>
        <w:tc>
          <w:tcPr>
            <w:tcW w:w="5623" w:type="dxa"/>
          </w:tcPr>
          <w:p w14:paraId="20CCCDCE" w14:textId="77777777" w:rsidR="00D47128" w:rsidRPr="004E66AF" w:rsidRDefault="00D47128" w:rsidP="009E49A0">
            <w:pPr>
              <w:pStyle w:val="Tabletext"/>
            </w:pPr>
            <w:r w:rsidRPr="004E66AF">
              <w:t>Either:</w:t>
            </w:r>
          </w:p>
          <w:p w14:paraId="6C000E75" w14:textId="77777777" w:rsidR="00D47128" w:rsidRPr="004E66AF" w:rsidRDefault="00D47128" w:rsidP="009E49A0">
            <w:pPr>
              <w:pStyle w:val="Tablea"/>
            </w:pPr>
            <w:r w:rsidRPr="004E66AF">
              <w:t>(a) the individual:</w:t>
            </w:r>
          </w:p>
          <w:p w14:paraId="5937884D"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0</w:t>
            </w:r>
            <w:r w:rsidRPr="004E66AF">
              <w:noBreakHyphen/>
              <w:t>24; and</w:t>
            </w:r>
          </w:p>
          <w:p w14:paraId="4274DE18"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29</w:t>
            </w:r>
            <w:r w:rsidRPr="004E66AF">
              <w:noBreakHyphen/>
              <w:t>36; and</w:t>
            </w:r>
          </w:p>
          <w:p w14:paraId="18791CAE" w14:textId="77777777" w:rsidR="00D47128" w:rsidRPr="004E66AF" w:rsidRDefault="00D47128" w:rsidP="009E49A0">
            <w:pPr>
              <w:pStyle w:val="Tablei"/>
            </w:pPr>
            <w:r w:rsidRPr="004E66AF">
              <w:t>(iii) has significant compounding factors; or</w:t>
            </w:r>
          </w:p>
          <w:p w14:paraId="794E1081" w14:textId="77777777" w:rsidR="00D47128" w:rsidRPr="004E66AF" w:rsidRDefault="00D47128" w:rsidP="009E49A0">
            <w:pPr>
              <w:pStyle w:val="Tablea"/>
            </w:pPr>
            <w:r w:rsidRPr="004E66AF">
              <w:t>(b) the individual:</w:t>
            </w:r>
          </w:p>
          <w:p w14:paraId="42DC2823"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0</w:t>
            </w:r>
            <w:r w:rsidRPr="004E66AF">
              <w:noBreakHyphen/>
              <w:t>24; and</w:t>
            </w:r>
          </w:p>
          <w:p w14:paraId="12FCA98C"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23</w:t>
            </w:r>
            <w:r w:rsidRPr="004E66AF">
              <w:noBreakHyphen/>
              <w:t>28; and</w:t>
            </w:r>
          </w:p>
          <w:p w14:paraId="020129BE" w14:textId="77777777" w:rsidR="00D47128" w:rsidRPr="004E66AF" w:rsidRDefault="00D47128" w:rsidP="009E49A0">
            <w:pPr>
              <w:pStyle w:val="Tablei"/>
            </w:pPr>
            <w:r w:rsidRPr="004E66AF">
              <w:t>(iii) does not have significant compounding factors</w:t>
            </w:r>
          </w:p>
        </w:tc>
      </w:tr>
      <w:tr w:rsidR="00D47128" w:rsidRPr="004E66AF" w14:paraId="41C13354" w14:textId="77777777" w:rsidTr="009E49A0">
        <w:tc>
          <w:tcPr>
            <w:tcW w:w="714" w:type="dxa"/>
            <w:tcBorders>
              <w:bottom w:val="single" w:sz="4" w:space="0" w:color="auto"/>
            </w:tcBorders>
          </w:tcPr>
          <w:p w14:paraId="1B5AE6B6" w14:textId="77777777" w:rsidR="00D47128" w:rsidRPr="004E66AF" w:rsidRDefault="00D47128" w:rsidP="009E49A0">
            <w:pPr>
              <w:pStyle w:val="Tabletext"/>
            </w:pPr>
            <w:r w:rsidRPr="004E66AF">
              <w:t>8</w:t>
            </w:r>
          </w:p>
        </w:tc>
        <w:tc>
          <w:tcPr>
            <w:tcW w:w="1975" w:type="dxa"/>
            <w:tcBorders>
              <w:bottom w:val="single" w:sz="4" w:space="0" w:color="auto"/>
            </w:tcBorders>
          </w:tcPr>
          <w:p w14:paraId="09518FE9" w14:textId="77777777" w:rsidR="00D47128" w:rsidRPr="004E66AF" w:rsidRDefault="00D47128" w:rsidP="009E49A0">
            <w:pPr>
              <w:pStyle w:val="Tabletext"/>
            </w:pPr>
            <w:r w:rsidRPr="004E66AF">
              <w:t>SAH class 7</w:t>
            </w:r>
          </w:p>
        </w:tc>
        <w:tc>
          <w:tcPr>
            <w:tcW w:w="5623" w:type="dxa"/>
            <w:tcBorders>
              <w:bottom w:val="single" w:sz="4" w:space="0" w:color="auto"/>
            </w:tcBorders>
          </w:tcPr>
          <w:p w14:paraId="190A8788" w14:textId="77777777" w:rsidR="00D47128" w:rsidRPr="004E66AF" w:rsidRDefault="00D47128" w:rsidP="009E49A0">
            <w:pPr>
              <w:pStyle w:val="Tabletext"/>
            </w:pPr>
            <w:r w:rsidRPr="004E66AF">
              <w:t>Either:</w:t>
            </w:r>
          </w:p>
          <w:p w14:paraId="43FE347D" w14:textId="77777777" w:rsidR="00D47128" w:rsidRPr="004E66AF" w:rsidRDefault="00D47128" w:rsidP="009E49A0">
            <w:pPr>
              <w:pStyle w:val="Tablea"/>
            </w:pPr>
            <w:r w:rsidRPr="004E66AF">
              <w:t>(a) the individual:</w:t>
            </w:r>
          </w:p>
          <w:p w14:paraId="0A306F36"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0</w:t>
            </w:r>
            <w:r w:rsidRPr="004E66AF">
              <w:noBreakHyphen/>
              <w:t>24; and</w:t>
            </w:r>
          </w:p>
          <w:p w14:paraId="7F272F3F"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23</w:t>
            </w:r>
            <w:r w:rsidRPr="004E66AF">
              <w:noBreakHyphen/>
              <w:t>28; and</w:t>
            </w:r>
          </w:p>
          <w:p w14:paraId="1D4C92C7" w14:textId="77777777" w:rsidR="00D47128" w:rsidRPr="004E66AF" w:rsidRDefault="00D47128" w:rsidP="009E49A0">
            <w:pPr>
              <w:pStyle w:val="Tablei"/>
            </w:pPr>
            <w:r w:rsidRPr="004E66AF">
              <w:t>(iii) has significant compounding factors; or</w:t>
            </w:r>
          </w:p>
          <w:p w14:paraId="1DA79EC2" w14:textId="77777777" w:rsidR="00D47128" w:rsidRPr="004E66AF" w:rsidRDefault="00D47128" w:rsidP="009E49A0">
            <w:pPr>
              <w:pStyle w:val="Tablea"/>
            </w:pPr>
            <w:r w:rsidRPr="004E66AF">
              <w:t>(b) the individual:</w:t>
            </w:r>
          </w:p>
          <w:p w14:paraId="42823060" w14:textId="77777777" w:rsidR="00D47128" w:rsidRPr="004E66AF" w:rsidRDefault="00D47128" w:rsidP="009E49A0">
            <w:pPr>
              <w:pStyle w:val="Tablei"/>
            </w:pPr>
            <w:r w:rsidRPr="004E66AF">
              <w:t>(</w:t>
            </w:r>
            <w:proofErr w:type="spellStart"/>
            <w:r w:rsidRPr="004E66AF">
              <w:t>i</w:t>
            </w:r>
            <w:proofErr w:type="spellEnd"/>
            <w:r w:rsidRPr="004E66AF">
              <w:t>) has a functional independence score of 0</w:t>
            </w:r>
            <w:r w:rsidRPr="004E66AF">
              <w:noBreakHyphen/>
              <w:t>24; and</w:t>
            </w:r>
          </w:p>
          <w:p w14:paraId="178699AF" w14:textId="77777777" w:rsidR="00D47128" w:rsidRPr="004E66AF" w:rsidRDefault="00D47128" w:rsidP="009E49A0">
            <w:pPr>
              <w:pStyle w:val="Tablei"/>
            </w:pPr>
            <w:r w:rsidRPr="004E66AF">
              <w:t xml:space="preserve">(ii) has a </w:t>
            </w:r>
            <w:proofErr w:type="gramStart"/>
            <w:r w:rsidRPr="004E66AF">
              <w:t>needs</w:t>
            </w:r>
            <w:proofErr w:type="gramEnd"/>
            <w:r w:rsidRPr="004E66AF">
              <w:t xml:space="preserve"> met score of 0</w:t>
            </w:r>
            <w:r w:rsidRPr="004E66AF">
              <w:noBreakHyphen/>
              <w:t>22; and</w:t>
            </w:r>
          </w:p>
          <w:p w14:paraId="21C29B01" w14:textId="77777777" w:rsidR="00D47128" w:rsidRPr="004E66AF" w:rsidRDefault="00D47128" w:rsidP="009E49A0">
            <w:pPr>
              <w:pStyle w:val="Tablei"/>
            </w:pPr>
            <w:r w:rsidRPr="004E66AF">
              <w:t>(iii) does not have significant compounding factors</w:t>
            </w:r>
          </w:p>
        </w:tc>
      </w:tr>
      <w:tr w:rsidR="00D47128" w:rsidRPr="004E66AF" w14:paraId="41757147" w14:textId="77777777" w:rsidTr="009E49A0">
        <w:tc>
          <w:tcPr>
            <w:tcW w:w="714" w:type="dxa"/>
            <w:tcBorders>
              <w:top w:val="single" w:sz="4" w:space="0" w:color="auto"/>
              <w:bottom w:val="single" w:sz="12" w:space="0" w:color="auto"/>
            </w:tcBorders>
          </w:tcPr>
          <w:p w14:paraId="2BDAFFAC" w14:textId="77777777" w:rsidR="00D47128" w:rsidRPr="004E66AF" w:rsidRDefault="00D47128" w:rsidP="009E49A0">
            <w:pPr>
              <w:pStyle w:val="Tabletext"/>
            </w:pPr>
            <w:r w:rsidRPr="004E66AF">
              <w:t>9</w:t>
            </w:r>
          </w:p>
        </w:tc>
        <w:tc>
          <w:tcPr>
            <w:tcW w:w="1975" w:type="dxa"/>
            <w:tcBorders>
              <w:top w:val="single" w:sz="4" w:space="0" w:color="auto"/>
              <w:bottom w:val="single" w:sz="12" w:space="0" w:color="auto"/>
            </w:tcBorders>
          </w:tcPr>
          <w:p w14:paraId="0B8F4161" w14:textId="77777777" w:rsidR="00D47128" w:rsidRPr="004E66AF" w:rsidRDefault="00D47128" w:rsidP="009E49A0">
            <w:pPr>
              <w:pStyle w:val="Tabletext"/>
            </w:pPr>
            <w:r w:rsidRPr="004E66AF">
              <w:t>SAH class 8</w:t>
            </w:r>
          </w:p>
        </w:tc>
        <w:tc>
          <w:tcPr>
            <w:tcW w:w="5623" w:type="dxa"/>
            <w:tcBorders>
              <w:top w:val="single" w:sz="4" w:space="0" w:color="auto"/>
              <w:bottom w:val="single" w:sz="12" w:space="0" w:color="auto"/>
            </w:tcBorders>
          </w:tcPr>
          <w:p w14:paraId="11CBDC31" w14:textId="77777777" w:rsidR="00D47128" w:rsidRPr="004E66AF" w:rsidRDefault="00D47128" w:rsidP="009E49A0">
            <w:pPr>
              <w:pStyle w:val="Tabletext"/>
            </w:pPr>
            <w:r w:rsidRPr="004E66AF">
              <w:t>The individual:</w:t>
            </w:r>
          </w:p>
          <w:p w14:paraId="54CAEEE2" w14:textId="77777777" w:rsidR="00D47128" w:rsidRPr="004E66AF" w:rsidRDefault="00D47128" w:rsidP="009E49A0">
            <w:pPr>
              <w:pStyle w:val="Tablea"/>
            </w:pPr>
            <w:r w:rsidRPr="004E66AF">
              <w:t>(a) has a functional independence score of 0</w:t>
            </w:r>
            <w:r w:rsidRPr="004E66AF">
              <w:noBreakHyphen/>
              <w:t>24; and</w:t>
            </w:r>
          </w:p>
          <w:p w14:paraId="083B3EF4" w14:textId="77777777" w:rsidR="00D47128" w:rsidRPr="004E66AF" w:rsidRDefault="00D47128" w:rsidP="009E49A0">
            <w:pPr>
              <w:pStyle w:val="Tablea"/>
            </w:pPr>
            <w:r w:rsidRPr="004E66AF">
              <w:t xml:space="preserve">(b) has a </w:t>
            </w:r>
            <w:proofErr w:type="gramStart"/>
            <w:r w:rsidRPr="004E66AF">
              <w:t>needs</w:t>
            </w:r>
            <w:proofErr w:type="gramEnd"/>
            <w:r w:rsidRPr="004E66AF">
              <w:t xml:space="preserve"> met score of 0</w:t>
            </w:r>
            <w:r w:rsidRPr="004E66AF">
              <w:noBreakHyphen/>
              <w:t>22; and</w:t>
            </w:r>
          </w:p>
          <w:p w14:paraId="63EACADD" w14:textId="77777777" w:rsidR="00D47128" w:rsidRPr="004E66AF" w:rsidRDefault="00D47128" w:rsidP="009E49A0">
            <w:pPr>
              <w:pStyle w:val="Tabletext"/>
            </w:pPr>
            <w:r w:rsidRPr="004E66AF">
              <w:t>(c) has significant compounding factors</w:t>
            </w:r>
          </w:p>
        </w:tc>
      </w:tr>
    </w:tbl>
    <w:p w14:paraId="5EF2F7D7" w14:textId="77777777" w:rsidR="00E8683A" w:rsidRPr="00E8683A" w:rsidRDefault="00E8683A" w:rsidP="00E8683A">
      <w:pPr>
        <w:rPr>
          <w:lang w:eastAsia="en-AU"/>
        </w:rPr>
      </w:pPr>
    </w:p>
    <w:sectPr w:rsidR="00E8683A" w:rsidRPr="00E8683A" w:rsidSect="003E5E1F">
      <w:type w:val="continuous"/>
      <w:pgSz w:w="23811" w:h="16838" w:orient="landscape" w:code="8"/>
      <w:pgMar w:top="851" w:right="1440" w:bottom="851" w:left="851" w:header="170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D0C0B" w14:textId="77777777" w:rsidR="00FC79AE" w:rsidRDefault="00FC79AE" w:rsidP="0076491B">
      <w:pPr>
        <w:spacing w:before="0" w:after="0" w:line="240" w:lineRule="auto"/>
      </w:pPr>
      <w:r>
        <w:separator/>
      </w:r>
    </w:p>
  </w:endnote>
  <w:endnote w:type="continuationSeparator" w:id="0">
    <w:p w14:paraId="40B8E99F" w14:textId="77777777" w:rsidR="00FC79AE" w:rsidRDefault="00FC79AE" w:rsidP="0076491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E20E1" w14:textId="4CB74577" w:rsidR="005473F9" w:rsidRDefault="00E8683A">
    <w:pPr>
      <w:pStyle w:val="Footer"/>
    </w:pPr>
    <w:r>
      <w:rPr>
        <w:noProof/>
      </w:rPr>
      <mc:AlternateContent>
        <mc:Choice Requires="wps">
          <w:drawing>
            <wp:anchor distT="0" distB="0" distL="0" distR="0" simplePos="0" relativeHeight="251658245" behindDoc="0" locked="0" layoutInCell="1" allowOverlap="1" wp14:anchorId="2DF0BB0D" wp14:editId="5C079CF6">
              <wp:simplePos x="635" y="635"/>
              <wp:positionH relativeFrom="page">
                <wp:align>center</wp:align>
              </wp:positionH>
              <wp:positionV relativeFrom="page">
                <wp:align>bottom</wp:align>
              </wp:positionV>
              <wp:extent cx="622300" cy="480695"/>
              <wp:effectExtent l="0" t="0" r="6350" b="0"/>
              <wp:wrapNone/>
              <wp:docPr id="1775171833"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BCC0E5E" w14:textId="7E4FFDBE" w:rsidR="00E8683A" w:rsidRPr="00E8683A" w:rsidRDefault="00E8683A" w:rsidP="00E8683A">
                          <w:pPr>
                            <w:spacing w:after="0"/>
                            <w:rPr>
                              <w:rFonts w:ascii="Aptos" w:eastAsia="Aptos" w:hAnsi="Aptos" w:cs="Aptos"/>
                              <w:noProof/>
                              <w:color w:val="FF0000"/>
                            </w:rPr>
                          </w:pPr>
                          <w:r w:rsidRPr="00E8683A">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DF0BB0D" id="_x0000_t202" coordsize="21600,21600" o:spt="202" path="m,l,21600r21600,l21600,xe">
              <v:stroke joinstyle="miter"/>
              <v:path gradientshapeok="t" o:connecttype="rect"/>
            </v:shapetype>
            <v:shape id="Text Box 7" o:spid="_x0000_s1027" type="#_x0000_t202" alt="OFFICIAL" style="position:absolute;margin-left:0;margin-top:0;width:49pt;height:37.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rXsf3gwCAAAcBAAA&#10;DgAAAAAAAAAAAAAAAAAuAgAAZHJzL2Uyb0RvYy54bWxQSwECLQAUAAYACAAAACEAHblB0doAAAAD&#10;AQAADwAAAAAAAAAAAAAAAABmBAAAZHJzL2Rvd25yZXYueG1sUEsFBgAAAAAEAAQA8wAAAG0FAAAA&#10;AA==&#10;" filled="f" stroked="f">
              <v:textbox style="mso-fit-shape-to-text:t" inset="0,0,0,15pt">
                <w:txbxContent>
                  <w:p w14:paraId="1BCC0E5E" w14:textId="7E4FFDBE" w:rsidR="00E8683A" w:rsidRPr="00E8683A" w:rsidRDefault="00E8683A" w:rsidP="00E8683A">
                    <w:pPr>
                      <w:spacing w:after="0"/>
                      <w:rPr>
                        <w:rFonts w:ascii="Aptos" w:eastAsia="Aptos" w:hAnsi="Aptos" w:cs="Aptos"/>
                        <w:noProof/>
                        <w:color w:val="FF0000"/>
                      </w:rPr>
                    </w:pPr>
                    <w:r w:rsidRPr="00E8683A">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220AC" w14:textId="5B98E66A" w:rsidR="005473F9" w:rsidRDefault="00D16852" w:rsidP="00D16852">
    <w:pPr>
      <w:pStyle w:val="Footer"/>
      <w:jc w:val="right"/>
    </w:pPr>
    <w:r>
      <w:t xml:space="preserve">IAT classification algorithm decision tree </w:t>
    </w:r>
    <w:sdt>
      <w:sdtPr>
        <w:id w:val="-1159450337"/>
        <w:docPartObj>
          <w:docPartGallery w:val="Page Numbers (Bottom of Page)"/>
          <w:docPartUnique/>
        </w:docPartObj>
      </w:sdtPr>
      <w:sdtEndPr/>
      <w:sdtContent>
        <w:r>
          <w:fldChar w:fldCharType="begin"/>
        </w:r>
        <w:r>
          <w:instrText>PAGE   \* MERGEFORMAT</w:instrText>
        </w:r>
        <w:r>
          <w:fldChar w:fldCharType="separate"/>
        </w:r>
        <w:r>
          <w:rPr>
            <w:lang w:val="en-GB"/>
          </w:rPr>
          <w:t>2</w:t>
        </w:r>
        <w: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E52B" w14:textId="71DBB900" w:rsidR="005473F9" w:rsidRDefault="00D16852" w:rsidP="00762BB6">
    <w:pPr>
      <w:pStyle w:val="Footer"/>
      <w:jc w:val="right"/>
    </w:pPr>
    <w:r>
      <w:t xml:space="preserve">IAT classification algorithm decision tree </w:t>
    </w:r>
    <w:sdt>
      <w:sdtPr>
        <w:id w:val="-1067179329"/>
        <w:docPartObj>
          <w:docPartGallery w:val="Page Numbers (Bottom of Page)"/>
          <w:docPartUnique/>
        </w:docPartObj>
      </w:sdtPr>
      <w:sdtEndPr/>
      <w:sdtContent>
        <w:r w:rsidR="00762BB6">
          <w:fldChar w:fldCharType="begin"/>
        </w:r>
        <w:r w:rsidR="00762BB6">
          <w:instrText>PAGE   \* MERGEFORMAT</w:instrText>
        </w:r>
        <w:r w:rsidR="00762BB6">
          <w:fldChar w:fldCharType="separate"/>
        </w:r>
        <w:r w:rsidR="00762BB6">
          <w:rPr>
            <w:lang w:val="en-GB"/>
          </w:rPr>
          <w:t>2</w:t>
        </w:r>
        <w:r w:rsidR="00762BB6">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D3976" w14:textId="77777777" w:rsidR="00FC79AE" w:rsidRDefault="00FC79AE" w:rsidP="0076491B">
      <w:pPr>
        <w:spacing w:before="0" w:after="0" w:line="240" w:lineRule="auto"/>
      </w:pPr>
      <w:r>
        <w:separator/>
      </w:r>
    </w:p>
  </w:footnote>
  <w:footnote w:type="continuationSeparator" w:id="0">
    <w:p w14:paraId="0495F953" w14:textId="77777777" w:rsidR="00FC79AE" w:rsidRDefault="00FC79AE" w:rsidP="0076491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6E23D" w14:textId="466D3F81" w:rsidR="005473F9" w:rsidRDefault="00E8683A">
    <w:pPr>
      <w:pStyle w:val="Header"/>
    </w:pPr>
    <w:r>
      <w:rPr>
        <w:noProof/>
      </w:rPr>
      <mc:AlternateContent>
        <mc:Choice Requires="wps">
          <w:drawing>
            <wp:anchor distT="0" distB="0" distL="0" distR="0" simplePos="0" relativeHeight="251658243" behindDoc="0" locked="0" layoutInCell="1" allowOverlap="1" wp14:anchorId="682A01BE" wp14:editId="15D95B5C">
              <wp:simplePos x="635" y="635"/>
              <wp:positionH relativeFrom="page">
                <wp:align>center</wp:align>
              </wp:positionH>
              <wp:positionV relativeFrom="page">
                <wp:align>top</wp:align>
              </wp:positionV>
              <wp:extent cx="622300" cy="480695"/>
              <wp:effectExtent l="0" t="0" r="6350" b="14605"/>
              <wp:wrapNone/>
              <wp:docPr id="725222508"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5B178EE" w14:textId="0478FD0F" w:rsidR="00E8683A" w:rsidRPr="00E8683A" w:rsidRDefault="00E8683A" w:rsidP="00E8683A">
                          <w:pPr>
                            <w:spacing w:after="0"/>
                            <w:rPr>
                              <w:rFonts w:ascii="Aptos" w:eastAsia="Aptos" w:hAnsi="Aptos" w:cs="Aptos"/>
                              <w:noProof/>
                              <w:color w:val="FF0000"/>
                            </w:rPr>
                          </w:pPr>
                          <w:r w:rsidRPr="00E8683A">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2A01BE" id="_x0000_t202" coordsize="21600,21600" o:spt="202" path="m,l,21600r21600,l21600,xe">
              <v:stroke joinstyle="miter"/>
              <v:path gradientshapeok="t" o:connecttype="rect"/>
            </v:shapetype>
            <v:shape id="Text Box 4" o:spid="_x0000_s1026" type="#_x0000_t202" alt="OFFICIAL" style="position:absolute;margin-left:0;margin-top:0;width:49pt;height:37.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05B178EE" w14:textId="0478FD0F" w:rsidR="00E8683A" w:rsidRPr="00E8683A" w:rsidRDefault="00E8683A" w:rsidP="00E8683A">
                    <w:pPr>
                      <w:spacing w:after="0"/>
                      <w:rPr>
                        <w:rFonts w:ascii="Aptos" w:eastAsia="Aptos" w:hAnsi="Aptos" w:cs="Aptos"/>
                        <w:noProof/>
                        <w:color w:val="FF0000"/>
                      </w:rPr>
                    </w:pPr>
                    <w:r w:rsidRPr="00E8683A">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53620" w14:textId="4C711354" w:rsidR="0076491B" w:rsidRDefault="005473F9">
    <w:pPr>
      <w:pStyle w:val="Header"/>
    </w:pPr>
    <w:r>
      <w:rPr>
        <w:noProof/>
      </w:rPr>
      <w:drawing>
        <wp:anchor distT="0" distB="0" distL="114300" distR="114300" simplePos="0" relativeHeight="251658241" behindDoc="0" locked="0" layoutInCell="1" allowOverlap="1" wp14:anchorId="578CB464" wp14:editId="28FF5D80">
          <wp:simplePos x="0" y="0"/>
          <wp:positionH relativeFrom="page">
            <wp:posOffset>12807950</wp:posOffset>
          </wp:positionH>
          <wp:positionV relativeFrom="page">
            <wp:posOffset>19050</wp:posOffset>
          </wp:positionV>
          <wp:extent cx="2283822" cy="2109470"/>
          <wp:effectExtent l="0" t="0" r="2540" b="508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69673"/>
                  <a:stretch/>
                </pic:blipFill>
                <pic:spPr bwMode="auto">
                  <a:xfrm>
                    <a:off x="0" y="0"/>
                    <a:ext cx="2283822" cy="21094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34D73">
      <w:rPr>
        <w:noProof/>
      </w:rPr>
      <w:drawing>
        <wp:anchor distT="0" distB="0" distL="114300" distR="114300" simplePos="0" relativeHeight="251658240" behindDoc="0" locked="0" layoutInCell="1" allowOverlap="1" wp14:anchorId="60EDB168" wp14:editId="0B17B751">
          <wp:simplePos x="0" y="0"/>
          <wp:positionH relativeFrom="page">
            <wp:align>left</wp:align>
          </wp:positionH>
          <wp:positionV relativeFrom="page">
            <wp:align>top</wp:align>
          </wp:positionV>
          <wp:extent cx="4858046" cy="1105104"/>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t="-1" r="-243" b="-2613"/>
                  <a:stretch/>
                </pic:blipFill>
                <pic:spPr bwMode="auto">
                  <a:xfrm>
                    <a:off x="0" y="0"/>
                    <a:ext cx="4861321" cy="11058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0C9B"/>
    <w:multiLevelType w:val="hybridMultilevel"/>
    <w:tmpl w:val="CB484122"/>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D850F3"/>
    <w:multiLevelType w:val="hybridMultilevel"/>
    <w:tmpl w:val="7EB2E112"/>
    <w:lvl w:ilvl="0" w:tplc="FC34FDC6">
      <w:start w:val="1"/>
      <w:numFmt w:val="bullet"/>
      <w:lvlText w:val=""/>
      <w:lvlJc w:val="left"/>
      <w:pPr>
        <w:ind w:left="720" w:hanging="360"/>
      </w:pPr>
      <w:rPr>
        <w:rFonts w:ascii="Symbol" w:hAnsi="Symbol" w:hint="default"/>
        <w:color w:val="2AB1BB"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9A6CFC"/>
    <w:multiLevelType w:val="hybridMultilevel"/>
    <w:tmpl w:val="F04C3AF0"/>
    <w:lvl w:ilvl="0" w:tplc="5770D766">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06F5CDB"/>
    <w:multiLevelType w:val="hybridMultilevel"/>
    <w:tmpl w:val="7F926684"/>
    <w:lvl w:ilvl="0" w:tplc="C9CE7010">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0ED3C1E"/>
    <w:multiLevelType w:val="hybridMultilevel"/>
    <w:tmpl w:val="0B2ABC50"/>
    <w:lvl w:ilvl="0" w:tplc="0C090001">
      <w:start w:val="1"/>
      <w:numFmt w:val="bullet"/>
      <w:lvlText w:val=""/>
      <w:lvlJc w:val="left"/>
      <w:pPr>
        <w:ind w:left="1222" w:hanging="360"/>
      </w:pPr>
      <w:rPr>
        <w:rFonts w:ascii="Symbol" w:hAnsi="Symbol" w:hint="default"/>
      </w:rPr>
    </w:lvl>
    <w:lvl w:ilvl="1" w:tplc="0C090003" w:tentative="1">
      <w:start w:val="1"/>
      <w:numFmt w:val="bullet"/>
      <w:lvlText w:val="o"/>
      <w:lvlJc w:val="left"/>
      <w:pPr>
        <w:ind w:left="1942" w:hanging="360"/>
      </w:pPr>
      <w:rPr>
        <w:rFonts w:ascii="Courier New" w:hAnsi="Courier New" w:cs="Courier New" w:hint="default"/>
      </w:rPr>
    </w:lvl>
    <w:lvl w:ilvl="2" w:tplc="0C090005" w:tentative="1">
      <w:start w:val="1"/>
      <w:numFmt w:val="bullet"/>
      <w:lvlText w:val=""/>
      <w:lvlJc w:val="left"/>
      <w:pPr>
        <w:ind w:left="2662" w:hanging="360"/>
      </w:pPr>
      <w:rPr>
        <w:rFonts w:ascii="Wingdings" w:hAnsi="Wingdings" w:hint="default"/>
      </w:rPr>
    </w:lvl>
    <w:lvl w:ilvl="3" w:tplc="0C090001" w:tentative="1">
      <w:start w:val="1"/>
      <w:numFmt w:val="bullet"/>
      <w:lvlText w:val=""/>
      <w:lvlJc w:val="left"/>
      <w:pPr>
        <w:ind w:left="3382" w:hanging="360"/>
      </w:pPr>
      <w:rPr>
        <w:rFonts w:ascii="Symbol" w:hAnsi="Symbol" w:hint="default"/>
      </w:rPr>
    </w:lvl>
    <w:lvl w:ilvl="4" w:tplc="0C090003" w:tentative="1">
      <w:start w:val="1"/>
      <w:numFmt w:val="bullet"/>
      <w:lvlText w:val="o"/>
      <w:lvlJc w:val="left"/>
      <w:pPr>
        <w:ind w:left="4102" w:hanging="360"/>
      </w:pPr>
      <w:rPr>
        <w:rFonts w:ascii="Courier New" w:hAnsi="Courier New" w:cs="Courier New" w:hint="default"/>
      </w:rPr>
    </w:lvl>
    <w:lvl w:ilvl="5" w:tplc="0C090005" w:tentative="1">
      <w:start w:val="1"/>
      <w:numFmt w:val="bullet"/>
      <w:lvlText w:val=""/>
      <w:lvlJc w:val="left"/>
      <w:pPr>
        <w:ind w:left="4822" w:hanging="360"/>
      </w:pPr>
      <w:rPr>
        <w:rFonts w:ascii="Wingdings" w:hAnsi="Wingdings" w:hint="default"/>
      </w:rPr>
    </w:lvl>
    <w:lvl w:ilvl="6" w:tplc="0C090001" w:tentative="1">
      <w:start w:val="1"/>
      <w:numFmt w:val="bullet"/>
      <w:lvlText w:val=""/>
      <w:lvlJc w:val="left"/>
      <w:pPr>
        <w:ind w:left="5542" w:hanging="360"/>
      </w:pPr>
      <w:rPr>
        <w:rFonts w:ascii="Symbol" w:hAnsi="Symbol" w:hint="default"/>
      </w:rPr>
    </w:lvl>
    <w:lvl w:ilvl="7" w:tplc="0C090003" w:tentative="1">
      <w:start w:val="1"/>
      <w:numFmt w:val="bullet"/>
      <w:lvlText w:val="o"/>
      <w:lvlJc w:val="left"/>
      <w:pPr>
        <w:ind w:left="6262" w:hanging="360"/>
      </w:pPr>
      <w:rPr>
        <w:rFonts w:ascii="Courier New" w:hAnsi="Courier New" w:cs="Courier New" w:hint="default"/>
      </w:rPr>
    </w:lvl>
    <w:lvl w:ilvl="8" w:tplc="0C090005" w:tentative="1">
      <w:start w:val="1"/>
      <w:numFmt w:val="bullet"/>
      <w:lvlText w:val=""/>
      <w:lvlJc w:val="left"/>
      <w:pPr>
        <w:ind w:left="6982" w:hanging="360"/>
      </w:pPr>
      <w:rPr>
        <w:rFonts w:ascii="Wingdings" w:hAnsi="Wingdings" w:hint="default"/>
      </w:rPr>
    </w:lvl>
  </w:abstractNum>
  <w:abstractNum w:abstractNumId="5" w15:restartNumberingAfterBreak="0">
    <w:nsid w:val="316478CD"/>
    <w:multiLevelType w:val="hybridMultilevel"/>
    <w:tmpl w:val="0276DAE8"/>
    <w:lvl w:ilvl="0" w:tplc="D11EFA4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061057"/>
    <w:multiLevelType w:val="hybridMultilevel"/>
    <w:tmpl w:val="F9F266F8"/>
    <w:lvl w:ilvl="0" w:tplc="52A619C4">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EBA1844"/>
    <w:multiLevelType w:val="hybridMultilevel"/>
    <w:tmpl w:val="3CC4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882E49"/>
    <w:multiLevelType w:val="hybridMultilevel"/>
    <w:tmpl w:val="00FC372E"/>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82A2C4D"/>
    <w:multiLevelType w:val="hybridMultilevel"/>
    <w:tmpl w:val="9F4255D2"/>
    <w:lvl w:ilvl="0" w:tplc="0C090001">
      <w:start w:val="1"/>
      <w:numFmt w:val="bullet"/>
      <w:lvlText w:val=""/>
      <w:lvlJc w:val="left"/>
      <w:pPr>
        <w:ind w:left="1582" w:hanging="360"/>
      </w:pPr>
      <w:rPr>
        <w:rFonts w:ascii="Symbol" w:hAnsi="Symbol" w:hint="default"/>
      </w:rPr>
    </w:lvl>
    <w:lvl w:ilvl="1" w:tplc="0C090003" w:tentative="1">
      <w:start w:val="1"/>
      <w:numFmt w:val="bullet"/>
      <w:lvlText w:val="o"/>
      <w:lvlJc w:val="left"/>
      <w:pPr>
        <w:ind w:left="2302" w:hanging="360"/>
      </w:pPr>
      <w:rPr>
        <w:rFonts w:ascii="Courier New" w:hAnsi="Courier New" w:cs="Courier New" w:hint="default"/>
      </w:rPr>
    </w:lvl>
    <w:lvl w:ilvl="2" w:tplc="0C090005" w:tentative="1">
      <w:start w:val="1"/>
      <w:numFmt w:val="bullet"/>
      <w:lvlText w:val=""/>
      <w:lvlJc w:val="left"/>
      <w:pPr>
        <w:ind w:left="3022" w:hanging="360"/>
      </w:pPr>
      <w:rPr>
        <w:rFonts w:ascii="Wingdings" w:hAnsi="Wingdings" w:hint="default"/>
      </w:rPr>
    </w:lvl>
    <w:lvl w:ilvl="3" w:tplc="0C090001" w:tentative="1">
      <w:start w:val="1"/>
      <w:numFmt w:val="bullet"/>
      <w:lvlText w:val=""/>
      <w:lvlJc w:val="left"/>
      <w:pPr>
        <w:ind w:left="3742" w:hanging="360"/>
      </w:pPr>
      <w:rPr>
        <w:rFonts w:ascii="Symbol" w:hAnsi="Symbol" w:hint="default"/>
      </w:rPr>
    </w:lvl>
    <w:lvl w:ilvl="4" w:tplc="0C090003" w:tentative="1">
      <w:start w:val="1"/>
      <w:numFmt w:val="bullet"/>
      <w:lvlText w:val="o"/>
      <w:lvlJc w:val="left"/>
      <w:pPr>
        <w:ind w:left="4462" w:hanging="360"/>
      </w:pPr>
      <w:rPr>
        <w:rFonts w:ascii="Courier New" w:hAnsi="Courier New" w:cs="Courier New" w:hint="default"/>
      </w:rPr>
    </w:lvl>
    <w:lvl w:ilvl="5" w:tplc="0C090005" w:tentative="1">
      <w:start w:val="1"/>
      <w:numFmt w:val="bullet"/>
      <w:lvlText w:val=""/>
      <w:lvlJc w:val="left"/>
      <w:pPr>
        <w:ind w:left="5182" w:hanging="360"/>
      </w:pPr>
      <w:rPr>
        <w:rFonts w:ascii="Wingdings" w:hAnsi="Wingdings" w:hint="default"/>
      </w:rPr>
    </w:lvl>
    <w:lvl w:ilvl="6" w:tplc="0C090001" w:tentative="1">
      <w:start w:val="1"/>
      <w:numFmt w:val="bullet"/>
      <w:lvlText w:val=""/>
      <w:lvlJc w:val="left"/>
      <w:pPr>
        <w:ind w:left="5902" w:hanging="360"/>
      </w:pPr>
      <w:rPr>
        <w:rFonts w:ascii="Symbol" w:hAnsi="Symbol" w:hint="default"/>
      </w:rPr>
    </w:lvl>
    <w:lvl w:ilvl="7" w:tplc="0C090003" w:tentative="1">
      <w:start w:val="1"/>
      <w:numFmt w:val="bullet"/>
      <w:lvlText w:val="o"/>
      <w:lvlJc w:val="left"/>
      <w:pPr>
        <w:ind w:left="6622" w:hanging="360"/>
      </w:pPr>
      <w:rPr>
        <w:rFonts w:ascii="Courier New" w:hAnsi="Courier New" w:cs="Courier New" w:hint="default"/>
      </w:rPr>
    </w:lvl>
    <w:lvl w:ilvl="8" w:tplc="0C090005" w:tentative="1">
      <w:start w:val="1"/>
      <w:numFmt w:val="bullet"/>
      <w:lvlText w:val=""/>
      <w:lvlJc w:val="left"/>
      <w:pPr>
        <w:ind w:left="7342" w:hanging="360"/>
      </w:pPr>
      <w:rPr>
        <w:rFonts w:ascii="Wingdings" w:hAnsi="Wingdings" w:hint="default"/>
      </w:rPr>
    </w:lvl>
  </w:abstractNum>
  <w:abstractNum w:abstractNumId="10" w15:restartNumberingAfterBreak="0">
    <w:nsid w:val="491D2983"/>
    <w:multiLevelType w:val="hybridMultilevel"/>
    <w:tmpl w:val="54605FE8"/>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F1D57B8"/>
    <w:multiLevelType w:val="hybridMultilevel"/>
    <w:tmpl w:val="CB54CEB0"/>
    <w:lvl w:ilvl="0" w:tplc="FC34FDC6">
      <w:start w:val="1"/>
      <w:numFmt w:val="bullet"/>
      <w:lvlText w:val=""/>
      <w:lvlJc w:val="left"/>
      <w:pPr>
        <w:ind w:left="720" w:hanging="360"/>
      </w:pPr>
      <w:rPr>
        <w:rFonts w:ascii="Symbol" w:hAnsi="Symbol" w:hint="default"/>
        <w:color w:val="2AB1BB"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F509F4"/>
    <w:multiLevelType w:val="hybridMultilevel"/>
    <w:tmpl w:val="0E401322"/>
    <w:lvl w:ilvl="0" w:tplc="FC34FDC6">
      <w:start w:val="1"/>
      <w:numFmt w:val="bullet"/>
      <w:lvlText w:val=""/>
      <w:lvlJc w:val="left"/>
      <w:pPr>
        <w:ind w:left="360" w:hanging="360"/>
      </w:pPr>
      <w:rPr>
        <w:rFonts w:ascii="Symbol" w:hAnsi="Symbol" w:hint="default"/>
        <w:color w:val="2AB1BB" w:themeColor="accent1"/>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9B95FCA"/>
    <w:multiLevelType w:val="hybridMultilevel"/>
    <w:tmpl w:val="140C4EAC"/>
    <w:lvl w:ilvl="0" w:tplc="C698354E">
      <w:numFmt w:val="bullet"/>
      <w:lvlText w:val="○"/>
      <w:lvlJc w:val="left"/>
      <w:pPr>
        <w:ind w:left="1582" w:hanging="720"/>
      </w:pPr>
      <w:rPr>
        <w:rFonts w:ascii="Arial" w:eastAsiaTheme="minorHAnsi" w:hAnsi="Aria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4" w15:restartNumberingAfterBreak="0">
    <w:nsid w:val="65C57DFD"/>
    <w:multiLevelType w:val="hybridMultilevel"/>
    <w:tmpl w:val="521E9DF2"/>
    <w:lvl w:ilvl="0" w:tplc="FD900A08">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9570BA3"/>
    <w:multiLevelType w:val="hybridMultilevel"/>
    <w:tmpl w:val="48C8B4FA"/>
    <w:lvl w:ilvl="0" w:tplc="FC34FDC6">
      <w:start w:val="1"/>
      <w:numFmt w:val="bullet"/>
      <w:lvlText w:val=""/>
      <w:lvlJc w:val="left"/>
      <w:pPr>
        <w:ind w:left="360" w:hanging="360"/>
      </w:pPr>
      <w:rPr>
        <w:rFonts w:ascii="Symbol" w:hAnsi="Symbol" w:hint="default"/>
        <w:color w:val="2AB1BB" w:themeColor="accen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6AF21357"/>
    <w:multiLevelType w:val="hybridMultilevel"/>
    <w:tmpl w:val="62E215F0"/>
    <w:lvl w:ilvl="0" w:tplc="FC34FDC6">
      <w:start w:val="1"/>
      <w:numFmt w:val="bullet"/>
      <w:lvlText w:val=""/>
      <w:lvlJc w:val="left"/>
      <w:pPr>
        <w:ind w:left="360" w:hanging="360"/>
      </w:pPr>
      <w:rPr>
        <w:rFonts w:ascii="Symbol" w:hAnsi="Symbol" w:hint="default"/>
        <w:color w:val="2AB1BB" w:themeColor="accen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8996252"/>
    <w:multiLevelType w:val="hybridMultilevel"/>
    <w:tmpl w:val="73109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C44157D"/>
    <w:multiLevelType w:val="hybridMultilevel"/>
    <w:tmpl w:val="01709A6E"/>
    <w:lvl w:ilvl="0" w:tplc="FC34FDC6">
      <w:start w:val="1"/>
      <w:numFmt w:val="bullet"/>
      <w:lvlText w:val=""/>
      <w:lvlJc w:val="left"/>
      <w:pPr>
        <w:ind w:left="720" w:hanging="360"/>
      </w:pPr>
      <w:rPr>
        <w:rFonts w:ascii="Symbol" w:hAnsi="Symbol" w:hint="default"/>
        <w:color w:val="2AB1BB"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5023209">
    <w:abstractNumId w:val="17"/>
  </w:num>
  <w:num w:numId="2" w16cid:durableId="1933007477">
    <w:abstractNumId w:val="3"/>
  </w:num>
  <w:num w:numId="3" w16cid:durableId="997610691">
    <w:abstractNumId w:val="15"/>
  </w:num>
  <w:num w:numId="4" w16cid:durableId="1888835334">
    <w:abstractNumId w:val="16"/>
  </w:num>
  <w:num w:numId="5" w16cid:durableId="1091395719">
    <w:abstractNumId w:val="7"/>
  </w:num>
  <w:num w:numId="6" w16cid:durableId="1700473532">
    <w:abstractNumId w:val="2"/>
  </w:num>
  <w:num w:numId="7" w16cid:durableId="652030708">
    <w:abstractNumId w:val="12"/>
  </w:num>
  <w:num w:numId="8" w16cid:durableId="1301494228">
    <w:abstractNumId w:val="11"/>
  </w:num>
  <w:num w:numId="9" w16cid:durableId="376048316">
    <w:abstractNumId w:val="14"/>
  </w:num>
  <w:num w:numId="10" w16cid:durableId="1398548906">
    <w:abstractNumId w:val="0"/>
  </w:num>
  <w:num w:numId="11" w16cid:durableId="2082294185">
    <w:abstractNumId w:val="18"/>
  </w:num>
  <w:num w:numId="12" w16cid:durableId="723287101">
    <w:abstractNumId w:val="5"/>
  </w:num>
  <w:num w:numId="13" w16cid:durableId="844200328">
    <w:abstractNumId w:val="10"/>
  </w:num>
  <w:num w:numId="14" w16cid:durableId="748426769">
    <w:abstractNumId w:val="1"/>
  </w:num>
  <w:num w:numId="15" w16cid:durableId="591281801">
    <w:abstractNumId w:val="6"/>
  </w:num>
  <w:num w:numId="16" w16cid:durableId="234240845">
    <w:abstractNumId w:val="8"/>
  </w:num>
  <w:num w:numId="17" w16cid:durableId="1878156111">
    <w:abstractNumId w:val="13"/>
  </w:num>
  <w:num w:numId="18" w16cid:durableId="2083411323">
    <w:abstractNumId w:val="9"/>
  </w:num>
  <w:num w:numId="19" w16cid:durableId="12927067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185"/>
    <w:rsid w:val="000614E5"/>
    <w:rsid w:val="0018537B"/>
    <w:rsid w:val="001B472E"/>
    <w:rsid w:val="00232B55"/>
    <w:rsid w:val="00261C73"/>
    <w:rsid w:val="00270FF9"/>
    <w:rsid w:val="00296BA9"/>
    <w:rsid w:val="002A1A5D"/>
    <w:rsid w:val="002C2D46"/>
    <w:rsid w:val="003208FD"/>
    <w:rsid w:val="00336F90"/>
    <w:rsid w:val="00360B34"/>
    <w:rsid w:val="003619F4"/>
    <w:rsid w:val="003E5E1F"/>
    <w:rsid w:val="00422631"/>
    <w:rsid w:val="004557A0"/>
    <w:rsid w:val="0048741D"/>
    <w:rsid w:val="004C11EB"/>
    <w:rsid w:val="004D7C5F"/>
    <w:rsid w:val="004F7E50"/>
    <w:rsid w:val="005035B6"/>
    <w:rsid w:val="00524659"/>
    <w:rsid w:val="005473F9"/>
    <w:rsid w:val="00573AF3"/>
    <w:rsid w:val="005B32CC"/>
    <w:rsid w:val="00633DB4"/>
    <w:rsid w:val="00690BD9"/>
    <w:rsid w:val="006C07D3"/>
    <w:rsid w:val="006C4383"/>
    <w:rsid w:val="006F6BC8"/>
    <w:rsid w:val="00726939"/>
    <w:rsid w:val="00762BB6"/>
    <w:rsid w:val="0076491B"/>
    <w:rsid w:val="007B5D27"/>
    <w:rsid w:val="007E444A"/>
    <w:rsid w:val="008049E1"/>
    <w:rsid w:val="008F467F"/>
    <w:rsid w:val="00932CBE"/>
    <w:rsid w:val="009346B6"/>
    <w:rsid w:val="009851B9"/>
    <w:rsid w:val="009B2828"/>
    <w:rsid w:val="00A2791B"/>
    <w:rsid w:val="00A37E08"/>
    <w:rsid w:val="00AC04A6"/>
    <w:rsid w:val="00AF3EEB"/>
    <w:rsid w:val="00B34D73"/>
    <w:rsid w:val="00B508A9"/>
    <w:rsid w:val="00B714A7"/>
    <w:rsid w:val="00B83185"/>
    <w:rsid w:val="00BD577C"/>
    <w:rsid w:val="00C074CB"/>
    <w:rsid w:val="00C156DE"/>
    <w:rsid w:val="00C46331"/>
    <w:rsid w:val="00C76B54"/>
    <w:rsid w:val="00C9187A"/>
    <w:rsid w:val="00CA0CFC"/>
    <w:rsid w:val="00CD612D"/>
    <w:rsid w:val="00D16852"/>
    <w:rsid w:val="00D47128"/>
    <w:rsid w:val="00D80FED"/>
    <w:rsid w:val="00DC57BC"/>
    <w:rsid w:val="00E065C3"/>
    <w:rsid w:val="00E8683A"/>
    <w:rsid w:val="00E91CEE"/>
    <w:rsid w:val="00EA7C3B"/>
    <w:rsid w:val="00EC5E46"/>
    <w:rsid w:val="00F13333"/>
    <w:rsid w:val="00F32C4E"/>
    <w:rsid w:val="00F35219"/>
    <w:rsid w:val="00F92369"/>
    <w:rsid w:val="00FA5888"/>
    <w:rsid w:val="00FC79AE"/>
    <w:rsid w:val="00FD23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1CDE3"/>
  <w15:chartTrackingRefBased/>
  <w15:docId w15:val="{B3D27887-3CD8-49BF-A365-732BB73B2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87A"/>
    <w:pPr>
      <w:spacing w:before="120" w:after="120" w:line="276" w:lineRule="auto"/>
    </w:pPr>
    <w:rPr>
      <w:rFonts w:ascii="Arial" w:hAnsi="Arial"/>
    </w:rPr>
  </w:style>
  <w:style w:type="paragraph" w:styleId="Heading1">
    <w:name w:val="heading 1"/>
    <w:basedOn w:val="Normal"/>
    <w:next w:val="Normal"/>
    <w:link w:val="Heading1Char"/>
    <w:uiPriority w:val="9"/>
    <w:qFormat/>
    <w:rsid w:val="004D7C5F"/>
    <w:pPr>
      <w:keepNext/>
      <w:keepLines/>
      <w:spacing w:before="360" w:after="240"/>
      <w:outlineLvl w:val="0"/>
    </w:pPr>
    <w:rPr>
      <w:rFonts w:eastAsiaTheme="majorEastAsia" w:cs="Arial"/>
      <w:b/>
      <w:bCs/>
      <w:color w:val="1E1544" w:themeColor="text1"/>
      <w:sz w:val="60"/>
      <w:szCs w:val="60"/>
    </w:rPr>
  </w:style>
  <w:style w:type="paragraph" w:styleId="Heading2">
    <w:name w:val="heading 2"/>
    <w:basedOn w:val="Normal"/>
    <w:next w:val="Normal"/>
    <w:link w:val="Heading2Char"/>
    <w:uiPriority w:val="9"/>
    <w:unhideWhenUsed/>
    <w:qFormat/>
    <w:rsid w:val="00422631"/>
    <w:pPr>
      <w:keepNext/>
      <w:keepLines/>
      <w:spacing w:before="240"/>
      <w:outlineLvl w:val="1"/>
    </w:pPr>
    <w:rPr>
      <w:rFonts w:eastAsiaTheme="majorEastAsia" w:cstheme="majorBidi"/>
      <w:b/>
      <w:color w:val="1E1544" w:themeColor="text1"/>
      <w:sz w:val="32"/>
      <w:szCs w:val="26"/>
    </w:rPr>
  </w:style>
  <w:style w:type="paragraph" w:styleId="Heading3">
    <w:name w:val="heading 3"/>
    <w:basedOn w:val="Heading2"/>
    <w:next w:val="Normal"/>
    <w:link w:val="Heading3Char"/>
    <w:uiPriority w:val="9"/>
    <w:unhideWhenUsed/>
    <w:qFormat/>
    <w:rsid w:val="006F6BC8"/>
    <w:pPr>
      <w:spacing w:before="480"/>
      <w:outlineLvl w:val="2"/>
    </w:pPr>
    <w:rPr>
      <w:sz w:val="28"/>
      <w:szCs w:val="24"/>
    </w:rPr>
  </w:style>
  <w:style w:type="paragraph" w:styleId="Heading4">
    <w:name w:val="heading 4"/>
    <w:basedOn w:val="Heading3"/>
    <w:next w:val="Normal"/>
    <w:link w:val="Heading4Char"/>
    <w:uiPriority w:val="9"/>
    <w:unhideWhenUsed/>
    <w:qFormat/>
    <w:rsid w:val="0076491B"/>
    <w:pPr>
      <w:outlineLvl w:val="3"/>
    </w:pPr>
    <w:rPr>
      <w:sz w:val="24"/>
      <w:szCs w:val="22"/>
    </w:rPr>
  </w:style>
  <w:style w:type="paragraph" w:styleId="Heading5">
    <w:name w:val="heading 5"/>
    <w:basedOn w:val="Normal"/>
    <w:next w:val="Normal"/>
    <w:link w:val="Heading5Char"/>
    <w:uiPriority w:val="9"/>
    <w:unhideWhenUsed/>
    <w:qFormat/>
    <w:rsid w:val="0018537B"/>
    <w:pPr>
      <w:keepNext/>
      <w:keepLines/>
      <w:spacing w:before="40" w:after="0"/>
      <w:outlineLvl w:val="4"/>
    </w:pPr>
    <w:rPr>
      <w:rFonts w:eastAsiaTheme="majorEastAsia" w:cstheme="majorBidi"/>
      <w:color w:val="1E1544"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C5F"/>
    <w:rPr>
      <w:rFonts w:ascii="Arial" w:eastAsiaTheme="majorEastAsia" w:hAnsi="Arial" w:cs="Arial"/>
      <w:b/>
      <w:bCs/>
      <w:color w:val="1E1544" w:themeColor="text1"/>
      <w:sz w:val="60"/>
      <w:szCs w:val="60"/>
    </w:rPr>
  </w:style>
  <w:style w:type="paragraph" w:styleId="NoSpacing">
    <w:name w:val="No Spacing"/>
    <w:uiPriority w:val="1"/>
    <w:qFormat/>
    <w:rsid w:val="00C9187A"/>
    <w:pPr>
      <w:spacing w:line="276" w:lineRule="auto"/>
    </w:pPr>
    <w:rPr>
      <w:rFonts w:ascii="Arial" w:hAnsi="Arial"/>
    </w:rPr>
  </w:style>
  <w:style w:type="character" w:customStyle="1" w:styleId="Heading2Char">
    <w:name w:val="Heading 2 Char"/>
    <w:basedOn w:val="DefaultParagraphFont"/>
    <w:link w:val="Heading2"/>
    <w:uiPriority w:val="9"/>
    <w:rsid w:val="00422631"/>
    <w:rPr>
      <w:rFonts w:ascii="Arial" w:eastAsiaTheme="majorEastAsia" w:hAnsi="Arial" w:cstheme="majorBidi"/>
      <w:b/>
      <w:color w:val="1E1544" w:themeColor="text1"/>
      <w:sz w:val="32"/>
      <w:szCs w:val="26"/>
    </w:rPr>
  </w:style>
  <w:style w:type="paragraph" w:styleId="ListParagraph">
    <w:name w:val="List Paragraph"/>
    <w:basedOn w:val="Normal"/>
    <w:uiPriority w:val="34"/>
    <w:qFormat/>
    <w:rsid w:val="00C9187A"/>
    <w:pPr>
      <w:ind w:left="720"/>
      <w:contextualSpacing/>
    </w:pPr>
  </w:style>
  <w:style w:type="character" w:customStyle="1" w:styleId="Heading3Char">
    <w:name w:val="Heading 3 Char"/>
    <w:basedOn w:val="DefaultParagraphFont"/>
    <w:link w:val="Heading3"/>
    <w:uiPriority w:val="9"/>
    <w:rsid w:val="006F6BC8"/>
    <w:rPr>
      <w:rFonts w:ascii="Arial" w:eastAsiaTheme="majorEastAsia" w:hAnsi="Arial" w:cstheme="majorBidi"/>
      <w:b/>
      <w:color w:val="1E1544" w:themeColor="text1"/>
      <w:sz w:val="28"/>
    </w:rPr>
  </w:style>
  <w:style w:type="character" w:customStyle="1" w:styleId="Heading4Char">
    <w:name w:val="Heading 4 Char"/>
    <w:basedOn w:val="DefaultParagraphFont"/>
    <w:link w:val="Heading4"/>
    <w:uiPriority w:val="9"/>
    <w:rsid w:val="0076491B"/>
    <w:rPr>
      <w:rFonts w:ascii="Arial" w:eastAsiaTheme="majorEastAsia" w:hAnsi="Arial" w:cstheme="majorBidi"/>
      <w:b/>
      <w:color w:val="1E1544" w:themeColor="text1"/>
      <w:szCs w:val="22"/>
    </w:rPr>
  </w:style>
  <w:style w:type="paragraph" w:styleId="Header">
    <w:name w:val="header"/>
    <w:basedOn w:val="Normal"/>
    <w:link w:val="HeaderChar"/>
    <w:uiPriority w:val="99"/>
    <w:unhideWhenUsed/>
    <w:rsid w:val="0076491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6491B"/>
    <w:rPr>
      <w:rFonts w:ascii="Arial" w:hAnsi="Arial"/>
    </w:rPr>
  </w:style>
  <w:style w:type="paragraph" w:styleId="Footer">
    <w:name w:val="footer"/>
    <w:basedOn w:val="Normal"/>
    <w:link w:val="FooterChar"/>
    <w:uiPriority w:val="99"/>
    <w:unhideWhenUsed/>
    <w:rsid w:val="0076491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491B"/>
    <w:rPr>
      <w:rFonts w:ascii="Arial" w:hAnsi="Arial"/>
    </w:rPr>
  </w:style>
  <w:style w:type="paragraph" w:customStyle="1" w:styleId="Introduction">
    <w:name w:val="Introduction"/>
    <w:basedOn w:val="Normal"/>
    <w:qFormat/>
    <w:rsid w:val="009B2828"/>
    <w:pPr>
      <w:spacing w:before="0"/>
    </w:pPr>
    <w:rPr>
      <w:color w:val="1E1544" w:themeColor="text1"/>
      <w:sz w:val="32"/>
      <w:szCs w:val="32"/>
    </w:rPr>
  </w:style>
  <w:style w:type="character" w:customStyle="1" w:styleId="Heading5Char">
    <w:name w:val="Heading 5 Char"/>
    <w:basedOn w:val="DefaultParagraphFont"/>
    <w:link w:val="Heading5"/>
    <w:uiPriority w:val="9"/>
    <w:rsid w:val="0018537B"/>
    <w:rPr>
      <w:rFonts w:ascii="Arial" w:eastAsiaTheme="majorEastAsia" w:hAnsi="Arial" w:cstheme="majorBidi"/>
      <w:color w:val="1E1544" w:themeColor="text1"/>
    </w:rPr>
  </w:style>
  <w:style w:type="paragraph" w:customStyle="1" w:styleId="TableHeading">
    <w:name w:val="TableHeading"/>
    <w:aliases w:val="th"/>
    <w:qFormat/>
    <w:rsid w:val="0018537B"/>
    <w:pPr>
      <w:spacing w:before="240" w:after="120" w:line="276" w:lineRule="auto"/>
    </w:pPr>
    <w:rPr>
      <w:rFonts w:ascii="Arial" w:eastAsiaTheme="majorEastAsia" w:hAnsi="Arial" w:cstheme="majorBidi"/>
      <w:b/>
      <w:bCs/>
      <w:color w:val="1E1544" w:themeColor="text1"/>
    </w:rPr>
  </w:style>
  <w:style w:type="table" w:styleId="TableGrid">
    <w:name w:val="Table Grid"/>
    <w:aliases w:val="Aged Care"/>
    <w:basedOn w:val="TableNormal"/>
    <w:uiPriority w:val="39"/>
    <w:rsid w:val="008F467F"/>
    <w:pPr>
      <w:spacing w:after="240"/>
    </w:pPr>
    <w:rPr>
      <w:rFonts w:ascii="Arial" w:hAnsi="Arial"/>
    </w:rPr>
    <w:tblPr>
      <w:tblBorders>
        <w:top w:val="single" w:sz="4" w:space="0" w:color="2AB1BB" w:themeColor="accent1"/>
        <w:bottom w:val="single" w:sz="4" w:space="0" w:color="2AB1BB" w:themeColor="accent1"/>
        <w:insideH w:val="single" w:sz="4" w:space="0" w:color="2AB1BB" w:themeColor="accent1"/>
      </w:tblBorders>
    </w:tblPr>
    <w:trPr>
      <w:cantSplit/>
    </w:trPr>
    <w:tcPr>
      <w:shd w:val="clear" w:color="auto" w:fill="auto"/>
    </w:tcPr>
    <w:tblStylePr w:type="firstRow">
      <w:rPr>
        <w:rFonts w:ascii="Arial" w:hAnsi="Arial"/>
        <w:b/>
        <w:sz w:val="24"/>
      </w:rPr>
    </w:tblStylePr>
  </w:style>
  <w:style w:type="table" w:styleId="GridTable1Light">
    <w:name w:val="Grid Table 1 Light"/>
    <w:basedOn w:val="TableNormal"/>
    <w:uiPriority w:val="46"/>
    <w:rsid w:val="0018537B"/>
    <w:tblPr>
      <w:tblStyleRowBandSize w:val="1"/>
      <w:tblStyleColBandSize w:val="1"/>
      <w:tblBorders>
        <w:top w:val="single" w:sz="4" w:space="0" w:color="8E7ED7" w:themeColor="text1" w:themeTint="66"/>
        <w:bottom w:val="single" w:sz="4" w:space="0" w:color="8E7ED7" w:themeColor="text1" w:themeTint="66"/>
        <w:insideH w:val="single" w:sz="4" w:space="0" w:color="8E7ED7" w:themeColor="text1" w:themeTint="66"/>
      </w:tblBorders>
    </w:tblPr>
    <w:tblStylePr w:type="firstRow">
      <w:rPr>
        <w:b/>
        <w:bCs/>
      </w:rPr>
      <w:tblPr/>
      <w:tcPr>
        <w:tcBorders>
          <w:bottom w:val="single" w:sz="12" w:space="0" w:color="573EC3" w:themeColor="text1" w:themeTint="99"/>
        </w:tcBorders>
      </w:tcPr>
    </w:tblStylePr>
    <w:tblStylePr w:type="lastRow">
      <w:rPr>
        <w:b/>
        <w:bCs/>
      </w:rPr>
      <w:tblPr/>
      <w:tcPr>
        <w:tcBorders>
          <w:top w:val="double" w:sz="2" w:space="0" w:color="573EC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8537B"/>
    <w:rPr>
      <w:rFonts w:ascii="Arial" w:hAnsi="Arial"/>
    </w:rPr>
    <w:tblPr>
      <w:tblStyleRowBandSize w:val="1"/>
      <w:tblStyleColBandSize w:val="1"/>
      <w:tblBorders>
        <w:top w:val="single" w:sz="4" w:space="0" w:color="A3E5EA" w:themeColor="accent1" w:themeTint="66"/>
        <w:bottom w:val="single" w:sz="4" w:space="0" w:color="A3E5EA" w:themeColor="accent1" w:themeTint="66"/>
        <w:insideH w:val="single" w:sz="4" w:space="0" w:color="A3E5EA" w:themeColor="accent1" w:themeTint="66"/>
      </w:tblBorders>
    </w:tblPr>
    <w:tblStylePr w:type="firstRow">
      <w:rPr>
        <w:b/>
        <w:bCs/>
      </w:rPr>
      <w:tblPr/>
      <w:tcPr>
        <w:tcBorders>
          <w:bottom w:val="single" w:sz="12" w:space="0" w:color="75D8E0" w:themeColor="accent1" w:themeTint="99"/>
        </w:tcBorders>
      </w:tcPr>
    </w:tblStylePr>
    <w:tblStylePr w:type="lastRow">
      <w:rPr>
        <w:b/>
        <w:bCs/>
      </w:rPr>
      <w:tblPr/>
      <w:tcPr>
        <w:tcBorders>
          <w:top w:val="double" w:sz="2" w:space="0" w:color="75D8E0" w:themeColor="accent1" w:themeTint="99"/>
        </w:tcBorders>
      </w:tcPr>
    </w:tblStylePr>
    <w:tblStylePr w:type="firstCol">
      <w:rPr>
        <w:b/>
        <w:bCs/>
      </w:rPr>
    </w:tblStylePr>
    <w:tblStylePr w:type="lastCol">
      <w:rPr>
        <w:b/>
        <w:bCs/>
      </w:rPr>
    </w:tblStylePr>
  </w:style>
  <w:style w:type="paragraph" w:styleId="Quote">
    <w:name w:val="Quote"/>
    <w:basedOn w:val="Normal"/>
    <w:next w:val="Normal"/>
    <w:link w:val="QuoteChar"/>
    <w:uiPriority w:val="29"/>
    <w:qFormat/>
    <w:rsid w:val="00AC04A6"/>
    <w:pPr>
      <w:spacing w:before="200" w:after="160"/>
      <w:ind w:left="864" w:right="864"/>
      <w:jc w:val="center"/>
    </w:pPr>
    <w:rPr>
      <w:i/>
      <w:iCs/>
      <w:color w:val="412E94" w:themeColor="text1" w:themeTint="BF"/>
    </w:rPr>
  </w:style>
  <w:style w:type="character" w:customStyle="1" w:styleId="QuoteChar">
    <w:name w:val="Quote Char"/>
    <w:basedOn w:val="DefaultParagraphFont"/>
    <w:link w:val="Quote"/>
    <w:uiPriority w:val="29"/>
    <w:rsid w:val="00AC04A6"/>
    <w:rPr>
      <w:rFonts w:ascii="Arial" w:hAnsi="Arial"/>
      <w:i/>
      <w:iCs/>
      <w:color w:val="412E94" w:themeColor="text1" w:themeTint="BF"/>
    </w:rPr>
  </w:style>
  <w:style w:type="paragraph" w:styleId="IntenseQuote">
    <w:name w:val="Intense Quote"/>
    <w:aliases w:val="Boxed text Heading"/>
    <w:basedOn w:val="Normal"/>
    <w:next w:val="Normal"/>
    <w:link w:val="IntenseQuoteChar"/>
    <w:uiPriority w:val="30"/>
    <w:qFormat/>
    <w:rsid w:val="00AC04A6"/>
    <w:pPr>
      <w:pBdr>
        <w:top w:val="single" w:sz="4" w:space="10" w:color="2AB1BB" w:themeColor="accent1"/>
        <w:left w:val="single" w:sz="4" w:space="4" w:color="2AB1BB" w:themeColor="accent1"/>
        <w:bottom w:val="single" w:sz="4" w:space="10" w:color="2AB1BB" w:themeColor="accent1"/>
        <w:right w:val="single" w:sz="4" w:space="4" w:color="2AB1BB" w:themeColor="accent1"/>
      </w:pBdr>
      <w:ind w:left="862" w:right="862"/>
    </w:pPr>
    <w:rPr>
      <w:b/>
      <w:iCs/>
    </w:rPr>
  </w:style>
  <w:style w:type="character" w:customStyle="1" w:styleId="IntenseQuoteChar">
    <w:name w:val="Intense Quote Char"/>
    <w:aliases w:val="Boxed text Heading Char"/>
    <w:basedOn w:val="DefaultParagraphFont"/>
    <w:link w:val="IntenseQuote"/>
    <w:uiPriority w:val="30"/>
    <w:rsid w:val="00AC04A6"/>
    <w:rPr>
      <w:rFonts w:ascii="Arial" w:hAnsi="Arial"/>
      <w:b/>
      <w:iCs/>
    </w:rPr>
  </w:style>
  <w:style w:type="paragraph" w:customStyle="1" w:styleId="boxtext">
    <w:name w:val="box text"/>
    <w:basedOn w:val="IntenseQuote"/>
    <w:qFormat/>
    <w:rsid w:val="00AC04A6"/>
    <w:rPr>
      <w:b w:val="0"/>
      <w:bCs/>
    </w:rPr>
  </w:style>
  <w:style w:type="paragraph" w:customStyle="1" w:styleId="Boxtexthead">
    <w:name w:val="Box text head"/>
    <w:basedOn w:val="IntenseQuote"/>
    <w:qFormat/>
    <w:rsid w:val="00AC04A6"/>
  </w:style>
  <w:style w:type="character" w:styleId="IntenseEmphasis">
    <w:name w:val="Intense Emphasis"/>
    <w:basedOn w:val="DefaultParagraphFont"/>
    <w:uiPriority w:val="21"/>
    <w:qFormat/>
    <w:rsid w:val="008F467F"/>
    <w:rPr>
      <w:i/>
      <w:iCs/>
      <w:color w:val="2AB1BB" w:themeColor="accent1"/>
    </w:rPr>
  </w:style>
  <w:style w:type="paragraph" w:styleId="NormalWeb">
    <w:name w:val="Normal (Web)"/>
    <w:basedOn w:val="Normal"/>
    <w:uiPriority w:val="99"/>
    <w:unhideWhenUsed/>
    <w:rsid w:val="00E91CEE"/>
    <w:pPr>
      <w:spacing w:before="100" w:beforeAutospacing="1" w:after="100" w:afterAutospacing="1" w:line="240" w:lineRule="auto"/>
    </w:pPr>
    <w:rPr>
      <w:rFonts w:eastAsia="Times New Roman" w:cs="Times New Roman"/>
      <w:u w:val="single"/>
      <w:lang w:eastAsia="en-AU"/>
    </w:rPr>
  </w:style>
  <w:style w:type="character" w:styleId="Hyperlink">
    <w:name w:val="Hyperlink"/>
    <w:basedOn w:val="DefaultParagraphFont"/>
    <w:uiPriority w:val="99"/>
    <w:unhideWhenUsed/>
    <w:rsid w:val="00E91CEE"/>
    <w:rPr>
      <w:color w:val="1E1545" w:themeColor="hyperlink"/>
      <w:u w:val="single"/>
    </w:rPr>
  </w:style>
  <w:style w:type="character" w:styleId="UnresolvedMention">
    <w:name w:val="Unresolved Mention"/>
    <w:basedOn w:val="DefaultParagraphFont"/>
    <w:uiPriority w:val="99"/>
    <w:semiHidden/>
    <w:unhideWhenUsed/>
    <w:rsid w:val="00E91CEE"/>
    <w:rPr>
      <w:color w:val="605E5C"/>
      <w:shd w:val="clear" w:color="auto" w:fill="E1DFDD"/>
    </w:rPr>
  </w:style>
  <w:style w:type="paragraph" w:customStyle="1" w:styleId="Tablea">
    <w:name w:val="Table(a)"/>
    <w:aliases w:val="ta"/>
    <w:basedOn w:val="Normal"/>
    <w:rsid w:val="00D47128"/>
    <w:pPr>
      <w:spacing w:before="60" w:after="0" w:line="240" w:lineRule="auto"/>
      <w:ind w:left="284" w:hanging="284"/>
    </w:pPr>
    <w:rPr>
      <w:rFonts w:ascii="Times New Roman" w:eastAsia="Times New Roman" w:hAnsi="Times New Roman" w:cs="Times New Roman"/>
      <w:sz w:val="20"/>
      <w:szCs w:val="20"/>
      <w:lang w:eastAsia="en-AU"/>
    </w:rPr>
  </w:style>
  <w:style w:type="paragraph" w:customStyle="1" w:styleId="Tablei">
    <w:name w:val="Table(i)"/>
    <w:aliases w:val="taa"/>
    <w:basedOn w:val="Normal"/>
    <w:rsid w:val="00D47128"/>
    <w:pPr>
      <w:tabs>
        <w:tab w:val="left" w:pos="-6543"/>
        <w:tab w:val="left" w:pos="-6260"/>
        <w:tab w:val="right" w:pos="970"/>
      </w:tabs>
      <w:spacing w:before="0" w:after="0" w:line="240" w:lineRule="exact"/>
      <w:ind w:left="828" w:hanging="284"/>
    </w:pPr>
    <w:rPr>
      <w:rFonts w:ascii="Times New Roman" w:eastAsia="Times New Roman" w:hAnsi="Times New Roman" w:cs="Times New Roman"/>
      <w:sz w:val="20"/>
      <w:szCs w:val="20"/>
      <w:lang w:eastAsia="en-AU"/>
    </w:rPr>
  </w:style>
  <w:style w:type="paragraph" w:customStyle="1" w:styleId="Tabletext">
    <w:name w:val="Tabletext"/>
    <w:aliases w:val="tt"/>
    <w:basedOn w:val="Normal"/>
    <w:rsid w:val="00D47128"/>
    <w:pPr>
      <w:spacing w:before="60" w:after="0" w:line="240" w:lineRule="atLeast"/>
    </w:pPr>
    <w:rPr>
      <w:rFonts w:ascii="Times New Roman" w:eastAsia="Times New Roman" w:hAnsi="Times New Roman" w:cs="Times New Roman"/>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88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AGEDCARE">
      <a:dk1>
        <a:srgbClr val="1E1544"/>
      </a:dk1>
      <a:lt1>
        <a:srgbClr val="F1F2F2"/>
      </a:lt1>
      <a:dk2>
        <a:srgbClr val="1E1545"/>
      </a:dk2>
      <a:lt2>
        <a:srgbClr val="F1F2F2"/>
      </a:lt2>
      <a:accent1>
        <a:srgbClr val="2AB1BB"/>
      </a:accent1>
      <a:accent2>
        <a:srgbClr val="78BE43"/>
      </a:accent2>
      <a:accent3>
        <a:srgbClr val="8C59A5"/>
      </a:accent3>
      <a:accent4>
        <a:srgbClr val="DA576C"/>
      </a:accent4>
      <a:accent5>
        <a:srgbClr val="F2692B"/>
      </a:accent5>
      <a:accent6>
        <a:srgbClr val="F3B223"/>
      </a:accent6>
      <a:hlink>
        <a:srgbClr val="1E1545"/>
      </a:hlink>
      <a:folHlink>
        <a:srgbClr val="6D6D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8758008AA089649B939E4F739F50CDB" ma:contentTypeVersion="5" ma:contentTypeDescription="Create a new document." ma:contentTypeScope="" ma:versionID="a7a67f920bddb66a1e7e4e937af86891">
  <xsd:schema xmlns:xsd="http://www.w3.org/2001/XMLSchema" xmlns:xs="http://www.w3.org/2001/XMLSchema" xmlns:p="http://schemas.microsoft.com/office/2006/metadata/properties" xmlns:ns1="http://schemas.microsoft.com/sharepoint/v3" xmlns:ns2="be988ecc-1828-4663-9a8c-017728ddbfc2" targetNamespace="http://schemas.microsoft.com/office/2006/metadata/properties" ma:root="true" ma:fieldsID="1ea175ac64e581c55a1f1a38b9f27c60" ns1:_="" ns2:_="">
    <xsd:import namespace="http://schemas.microsoft.com/sharepoint/v3"/>
    <xsd:import namespace="be988ecc-1828-4663-9a8c-017728ddbfc2"/>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988ecc-1828-4663-9a8c-017728ddbfc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BF3291-9B48-0A45-B0DA-D92CB654D195}">
  <ds:schemaRefs>
    <ds:schemaRef ds:uri="http://schemas.openxmlformats.org/officeDocument/2006/bibliography"/>
  </ds:schemaRefs>
</ds:datastoreItem>
</file>

<file path=customXml/itemProps2.xml><?xml version="1.0" encoding="utf-8"?>
<ds:datastoreItem xmlns:ds="http://schemas.openxmlformats.org/officeDocument/2006/customXml" ds:itemID="{C40E2362-356C-4CDA-9392-C485AD76B771}">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5D96EAC-3A13-492B-A4CA-7E03B6E7C9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988ecc-1828-4663-9a8c-017728ddb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482C8F-E0B2-481F-A178-9FE4AA0C5F6D}">
  <ds:schemaRefs>
    <ds:schemaRef ds:uri="http://schemas.microsoft.com/sharepoint/v3/contenttype/forms"/>
  </ds:schemaRefs>
</ds:datastoreItem>
</file>

<file path=docMetadata/LabelInfo.xml><?xml version="1.0" encoding="utf-8"?>
<clbl:labelList xmlns:clbl="http://schemas.microsoft.com/office/2020/mipLabelMetadata">
  <clbl:label id="{540cdab9-3592-4269-8944-10949a3bf55a}" enabled="1" method="Privileged" siteId="{311f614e-2687-4905-bb5c-f592370e0d41}" removed="0"/>
</clbl:labelList>
</file>

<file path=docProps/app.xml><?xml version="1.0" encoding="utf-8"?>
<Properties xmlns="http://schemas.openxmlformats.org/officeDocument/2006/extended-properties" xmlns:vt="http://schemas.openxmlformats.org/officeDocument/2006/docPropsVTypes">
  <Template>Normal.dotm</Template>
  <TotalTime>50</TotalTime>
  <Pages>4</Pages>
  <Words>381</Words>
  <Characters>3285</Characters>
  <Application>Microsoft Office Word</Application>
  <DocSecurity>0</DocSecurity>
  <Lines>142</Lines>
  <Paragraphs>52</Paragraphs>
  <ScaleCrop>false</ScaleCrop>
  <HeadingPairs>
    <vt:vector size="2" baseType="variant">
      <vt:variant>
        <vt:lpstr>Title</vt:lpstr>
      </vt:variant>
      <vt:variant>
        <vt:i4>1</vt:i4>
      </vt:variant>
    </vt:vector>
  </HeadingPairs>
  <TitlesOfParts>
    <vt:vector size="1" baseType="lpstr">
      <vt:lpstr>IAT detailed classification algorithm decision tree</vt:lpstr>
    </vt:vector>
  </TitlesOfParts>
  <Company>Australian Government Department of Health, Disability and Ageing</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IAT detailed classification algorithm decision tree</dc:title>
  <dc:subject/>
  <dc:creator>Australian Government Department of Health, Disability and Ageing</dc:creator>
  <cp:keywords>Aged Care, older people, assessment classification</cp:keywords>
  <dc:description/>
  <cp:revision>1</cp:revision>
  <dcterms:created xsi:type="dcterms:W3CDTF">2026-08-17T04:37:00Z</dcterms:created>
  <dcterms:modified xsi:type="dcterms:W3CDTF">2026-10-05T04:21:00Z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0x01010098758008AA089649B939E4F739F50CDB</vt:lpwstr>
  </property>
  <property fmtid="{D5CDD505-2E9C-101B-9397-08002B2CF9AE}" pid="3" name="MediaServiceImageTags">
    <vt:lpwstr/>
  </property>
  <property fmtid="{D5CDD505-2E9C-101B-9397-08002B2CF9AE}" pid="4" name="_dlc_DocIdItemGuid">
    <vt:lpwstr>5044d99b-ef58-441b-b8bb-3a8426ade8ee</vt:lpwstr>
  </property>
  <property fmtid="{D5CDD505-2E9C-101B-9397-08002B2CF9AE}" pid="5" name="Keywords1">
    <vt:lpwstr>30;#Aged care|15037316-ccb1-4430-a7dd-5c4031a389b1;#4;#visual identity|a54ebda2-a0fd-45ec-8fc0-1cf31001b526</vt:lpwstr>
  </property>
  <property fmtid="{D5CDD505-2E9C-101B-9397-08002B2CF9AE}" pid="6" name="Information type">
    <vt:lpwstr>42;#Template|0635ea83-9a41-497c-9b11-d9d7178dcab7</vt:lpwstr>
  </property>
  <property fmtid="{D5CDD505-2E9C-101B-9397-08002B2CF9AE}" pid="7" name="Contact">
    <vt:lpwstr>104;#Aged Care Communications and Change|e5d142d6-a25f-4b81-a8a4-d8f9e5839eea</vt:lpwstr>
  </property>
  <property fmtid="{D5CDD505-2E9C-101B-9397-08002B2CF9AE}" pid="8" name="p76df81b8fed4a2fa2af18761f9ff90d">
    <vt:lpwstr>Aged care|15037316-ccb1-4430-a7dd-5c4031a389b1;visual identity|a54ebda2-a0fd-45ec-8fc0-1cf31001b526</vt:lpwstr>
  </property>
  <property fmtid="{D5CDD505-2E9C-101B-9397-08002B2CF9AE}" pid="9" name="Intranet">
    <vt:bool>true</vt:bool>
  </property>
  <property fmtid="{D5CDD505-2E9C-101B-9397-08002B2CF9AE}" pid="10" name="Int_x002d_InformationType">
    <vt:lpwstr/>
  </property>
  <property fmtid="{D5CDD505-2E9C-101B-9397-08002B2CF9AE}" pid="11" name="pfd27f99efda4409b63228bea026394d">
    <vt:lpwstr>Template|0635ea83-9a41-497c-9b11-d9d7178dcab7</vt:lpwstr>
  </property>
  <property fmtid="{D5CDD505-2E9C-101B-9397-08002B2CF9AE}" pid="12" name="Int_x002d_Topics">
    <vt:lpwstr/>
  </property>
  <property fmtid="{D5CDD505-2E9C-101B-9397-08002B2CF9AE}" pid="13" name="Last reviewed">
    <vt:filetime>2023-11-28T13:00:00Z</vt:filetime>
  </property>
  <property fmtid="{D5CDD505-2E9C-101B-9397-08002B2CF9AE}" pid="14" name="jf042baad2b143719d8a0cfd36411dfb">
    <vt:lpwstr>Aged Care Communications and Change|e5d142d6-a25f-4b81-a8a4-d8f9e5839eea</vt:lpwstr>
  </property>
  <property fmtid="{D5CDD505-2E9C-101B-9397-08002B2CF9AE}" pid="15" name="Int_x002d_Contact">
    <vt:lpwstr/>
  </property>
  <property fmtid="{D5CDD505-2E9C-101B-9397-08002B2CF9AE}" pid="16" name="Int-Contact">
    <vt:lpwstr>104;#|e5d142d6-a25f-4b81-a8a4-d8f9e5839eea</vt:lpwstr>
  </property>
  <property fmtid="{D5CDD505-2E9C-101B-9397-08002B2CF9AE}" pid="17" name="Int-InformationType">
    <vt:lpwstr>42;#|0635ea83-9a41-497c-9b11-d9d7178dcab7</vt:lpwstr>
  </property>
  <property fmtid="{D5CDD505-2E9C-101B-9397-08002B2CF9AE}" pid="18" name="Int-Topics">
    <vt:lpwstr>4;#visual identity|a54ebda2-a0fd-45ec-8fc0-1cf31001b526;#30;#Aged care|15037316-ccb1-4430-a7dd-5c4031a389b1</vt:lpwstr>
  </property>
  <property fmtid="{D5CDD505-2E9C-101B-9397-08002B2CF9AE}" pid="19" name="lcf76f155ced4ddcb4097134ff3c332f">
    <vt:lpwstr/>
  </property>
  <property fmtid="{D5CDD505-2E9C-101B-9397-08002B2CF9AE}" pid="20" name="ClassificationContentMarkingHeaderShapeIds">
    <vt:lpwstr>79999081,ca2feb7,14e6f218,2b3a046c,719eb2ab</vt:lpwstr>
  </property>
  <property fmtid="{D5CDD505-2E9C-101B-9397-08002B2CF9AE}" pid="21" name="ClassificationContentMarkingHeaderFontProps">
    <vt:lpwstr>#ff0000,12,Aptos</vt:lpwstr>
  </property>
  <property fmtid="{D5CDD505-2E9C-101B-9397-08002B2CF9AE}" pid="22" name="ClassificationContentMarkingHeaderText">
    <vt:lpwstr>OFFICIAL</vt:lpwstr>
  </property>
  <property fmtid="{D5CDD505-2E9C-101B-9397-08002B2CF9AE}" pid="23" name="ClassificationContentMarkingFooterShapeIds">
    <vt:lpwstr>4aabebdc,36cdd5b9,43dfda9a,69cef8f9,7e175a0e</vt:lpwstr>
  </property>
  <property fmtid="{D5CDD505-2E9C-101B-9397-08002B2CF9AE}" pid="24" name="ClassificationContentMarkingFooterFontProps">
    <vt:lpwstr>#ff0000,12,Aptos</vt:lpwstr>
  </property>
  <property fmtid="{D5CDD505-2E9C-101B-9397-08002B2CF9AE}" pid="25" name="ClassificationContentMarkingFooterText">
    <vt:lpwstr>OFFICIAL</vt:lpwstr>
  </property>
  <property fmtid="{D5CDD505-2E9C-101B-9397-08002B2CF9AE}" pid="26" name="MSIP_Label_7cd3e8b9-ffed-43a8-b7f4-cc2fa0382d36_Enabled">
    <vt:lpwstr>true</vt:lpwstr>
  </property>
  <property fmtid="{D5CDD505-2E9C-101B-9397-08002B2CF9AE}" pid="27" name="MSIP_Label_7cd3e8b9-ffed-43a8-b7f4-cc2fa0382d36_SetDate">
    <vt:lpwstr>2026-08-17T05:07:24Z</vt:lpwstr>
  </property>
  <property fmtid="{D5CDD505-2E9C-101B-9397-08002B2CF9AE}" pid="28" name="MSIP_Label_7cd3e8b9-ffed-43a8-b7f4-cc2fa0382d36_Method">
    <vt:lpwstr>Privileged</vt:lpwstr>
  </property>
  <property fmtid="{D5CDD505-2E9C-101B-9397-08002B2CF9AE}" pid="29" name="MSIP_Label_7cd3e8b9-ffed-43a8-b7f4-cc2fa0382d36_Name">
    <vt:lpwstr>O</vt:lpwstr>
  </property>
  <property fmtid="{D5CDD505-2E9C-101B-9397-08002B2CF9AE}" pid="30" name="MSIP_Label_7cd3e8b9-ffed-43a8-b7f4-cc2fa0382d36_SiteId">
    <vt:lpwstr>34a3929c-73cf-4954-abfe-147dc3517892</vt:lpwstr>
  </property>
  <property fmtid="{D5CDD505-2E9C-101B-9397-08002B2CF9AE}" pid="31" name="MSIP_Label_7cd3e8b9-ffed-43a8-b7f4-cc2fa0382d36_ActionId">
    <vt:lpwstr>aeaa9e69-39ea-4024-bb4d-285a907a923b</vt:lpwstr>
  </property>
  <property fmtid="{D5CDD505-2E9C-101B-9397-08002B2CF9AE}" pid="32" name="MSIP_Label_7cd3e8b9-ffed-43a8-b7f4-cc2fa0382d36_ContentBits">
    <vt:lpwstr>3</vt:lpwstr>
  </property>
  <property fmtid="{D5CDD505-2E9C-101B-9397-08002B2CF9AE}" pid="33" name="MSIP_Label_7cd3e8b9-ffed-43a8-b7f4-cc2fa0382d36_Tag">
    <vt:lpwstr>10, 0, 1, 1</vt:lpwstr>
  </property>
</Properties>
</file>