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0"/>
      </w:tblGrid>
      <w:tr w:rsidR="00E0254E" w14:paraId="028874F3" w14:textId="77777777" w:rsidTr="00E0254E">
        <w:trPr>
          <w:trHeight w:val="2684"/>
        </w:trPr>
        <w:tc>
          <w:tcPr>
            <w:tcW w:w="7650" w:type="dxa"/>
          </w:tcPr>
          <w:p w14:paraId="2C0CCFB1" w14:textId="01C34648" w:rsidR="00E0254E" w:rsidRDefault="00E0254E" w:rsidP="0005659A">
            <w:pPr>
              <w:pStyle w:val="Heading1"/>
            </w:pPr>
            <w:r>
              <w:t xml:space="preserve">Evaluation of </w:t>
            </w:r>
            <w:r w:rsidR="00444A86">
              <w:br/>
            </w:r>
            <w:r>
              <w:t xml:space="preserve">Medicare Mental Health Centres </w:t>
            </w:r>
            <w:r w:rsidR="00444A86">
              <w:br/>
            </w:r>
            <w:r>
              <w:t>and the Medicare Mental Health Phone Service</w:t>
            </w:r>
          </w:p>
        </w:tc>
      </w:tr>
    </w:tbl>
    <w:p w14:paraId="25D80115" w14:textId="77777777" w:rsidR="00E0254E" w:rsidRDefault="00E0254E" w:rsidP="006B4B53">
      <w:pPr>
        <w:pStyle w:val="Heading3"/>
      </w:pPr>
    </w:p>
    <w:p w14:paraId="5DCBF2B5" w14:textId="0AFCF88D" w:rsidR="00222666" w:rsidRPr="006B4B53" w:rsidRDefault="00222666" w:rsidP="006B4B53">
      <w:pPr>
        <w:pStyle w:val="Heading2"/>
      </w:pPr>
      <w:r w:rsidRPr="006B4B53">
        <w:t xml:space="preserve">About </w:t>
      </w:r>
      <w:r w:rsidR="007E7272" w:rsidRPr="006B4B53">
        <w:t xml:space="preserve">Medicare Mental Health </w:t>
      </w:r>
      <w:r w:rsidR="002269EA" w:rsidRPr="006B4B53">
        <w:t xml:space="preserve">Centres </w:t>
      </w:r>
    </w:p>
    <w:p w14:paraId="63C5AE7F" w14:textId="46B2A48C" w:rsidR="00E12FA5" w:rsidRDefault="00E12FA5" w:rsidP="002F137C">
      <w:r>
        <w:t>Medicare Mental Health Centres are an Australian Government initiative, providing free mental health support to people with moderate to high levels of psychological distress or mental health need through short-to-medium term episodes of care.</w:t>
      </w:r>
      <w:r w:rsidR="00DE5FF2">
        <w:t xml:space="preserve"> </w:t>
      </w:r>
      <w:r w:rsidR="00DE5FF2" w:rsidRPr="004F22B4">
        <w:t>Medicare Mental Health Centres offer immediate support, and no appointment or referral is needed. Centres are staffed by qualified professionals and people with lived experience</w:t>
      </w:r>
      <w:r w:rsidR="006F0629" w:rsidRPr="004F22B4">
        <w:t xml:space="preserve"> and</w:t>
      </w:r>
      <w:r w:rsidR="006F0629">
        <w:t xml:space="preserve"> can provide warm referrals to other local services where appropriate.</w:t>
      </w:r>
    </w:p>
    <w:p w14:paraId="5D6C1981" w14:textId="7ACAFB00" w:rsidR="00E04643" w:rsidRDefault="00E04643" w:rsidP="002F137C">
      <w:r>
        <w:t xml:space="preserve">They </w:t>
      </w:r>
      <w:r w:rsidR="00F66BC0">
        <w:t>have been</w:t>
      </w:r>
      <w:r>
        <w:t xml:space="preserve"> designed to </w:t>
      </w:r>
      <w:r w:rsidR="002269EA">
        <w:t xml:space="preserve">fill </w:t>
      </w:r>
      <w:r>
        <w:t>a gap in Australia’s mental health system</w:t>
      </w:r>
      <w:r w:rsidRPr="00E04643">
        <w:t xml:space="preserve"> </w:t>
      </w:r>
      <w:r>
        <w:t xml:space="preserve">for </w:t>
      </w:r>
      <w:r w:rsidR="00630AE8">
        <w:t>people who require</w:t>
      </w:r>
      <w:r w:rsidR="00A23A96">
        <w:t xml:space="preserve"> </w:t>
      </w:r>
      <w:r w:rsidR="0089089A">
        <w:t>greater support</w:t>
      </w:r>
      <w:r w:rsidR="008B2FA0">
        <w:t>, or more timely</w:t>
      </w:r>
      <w:r w:rsidR="00BA2E7D">
        <w:t xml:space="preserve"> and</w:t>
      </w:r>
      <w:r w:rsidR="008B2FA0">
        <w:t xml:space="preserve"> affordable support,</w:t>
      </w:r>
      <w:r w:rsidR="00630AE8">
        <w:t xml:space="preserve"> </w:t>
      </w:r>
      <w:r w:rsidR="003919F2">
        <w:t xml:space="preserve">than is available through </w:t>
      </w:r>
      <w:r w:rsidR="0039633E">
        <w:t xml:space="preserve">other </w:t>
      </w:r>
      <w:r w:rsidR="00B20A49">
        <w:t xml:space="preserve">Commonwealth </w:t>
      </w:r>
      <w:r w:rsidR="00627692">
        <w:t>or</w:t>
      </w:r>
      <w:r w:rsidR="00021160">
        <w:t xml:space="preserve"> state and territory mental health service</w:t>
      </w:r>
      <w:r w:rsidR="003F26B7">
        <w:t>s</w:t>
      </w:r>
      <w:r w:rsidR="00021160">
        <w:t xml:space="preserve">. </w:t>
      </w:r>
      <w:r w:rsidR="006B79FA">
        <w:t>Multiple reviews and inquiries</w:t>
      </w:r>
      <w:r w:rsidR="00CC6948">
        <w:t xml:space="preserve"> have</w:t>
      </w:r>
      <w:r w:rsidR="00AE5F68">
        <w:t xml:space="preserve"> recommended </w:t>
      </w:r>
      <w:r w:rsidR="001803A6">
        <w:t>the introduction of services to fill this gap.</w:t>
      </w:r>
      <w:r w:rsidR="006B79FA">
        <w:t xml:space="preserve"> </w:t>
      </w:r>
    </w:p>
    <w:p w14:paraId="04244AB2" w14:textId="71C7713A" w:rsidR="000635CE" w:rsidRDefault="00630AE8" w:rsidP="000635CE">
      <w:r>
        <w:t>Centres</w:t>
      </w:r>
      <w:r w:rsidR="000635CE">
        <w:t xml:space="preserve"> </w:t>
      </w:r>
      <w:r w:rsidR="00434BE8">
        <w:t xml:space="preserve">employ </w:t>
      </w:r>
      <w:r w:rsidR="000635CE">
        <w:t>multidisciplinary teams</w:t>
      </w:r>
      <w:r w:rsidR="00434BE8">
        <w:t xml:space="preserve">, </w:t>
      </w:r>
      <w:r w:rsidR="00215CE2">
        <w:t xml:space="preserve">each </w:t>
      </w:r>
      <w:r w:rsidR="000635CE">
        <w:t xml:space="preserve">with a unique mix of </w:t>
      </w:r>
      <w:r w:rsidR="00863689">
        <w:t xml:space="preserve">clinical and non-clinical </w:t>
      </w:r>
      <w:r w:rsidR="000635CE">
        <w:t xml:space="preserve">roles </w:t>
      </w:r>
      <w:r w:rsidR="00215CE2">
        <w:t xml:space="preserve">to </w:t>
      </w:r>
      <w:r w:rsidR="000635CE">
        <w:t xml:space="preserve">best meet the needs of their local </w:t>
      </w:r>
      <w:r w:rsidR="00863689">
        <w:t>community</w:t>
      </w:r>
      <w:r w:rsidR="000635CE">
        <w:t xml:space="preserve">. Teams are made up of </w:t>
      </w:r>
      <w:r w:rsidR="004D7C52">
        <w:t xml:space="preserve">a combination of </w:t>
      </w:r>
      <w:r w:rsidR="000635CE">
        <w:t>lived experience workers, social workers, psychologists</w:t>
      </w:r>
      <w:r w:rsidR="00F96DCD">
        <w:t>,</w:t>
      </w:r>
      <w:r w:rsidR="000635CE">
        <w:t xml:space="preserve"> psychiatrists, nurses, </w:t>
      </w:r>
      <w:r w:rsidR="00AC44EC">
        <w:t xml:space="preserve">GPs </w:t>
      </w:r>
      <w:r w:rsidR="000635CE">
        <w:t xml:space="preserve">and other allied health workers. </w:t>
      </w:r>
    </w:p>
    <w:p w14:paraId="52E50EE7" w14:textId="5B33D671" w:rsidR="000F35F1" w:rsidRDefault="00FC20F8" w:rsidP="0005659A">
      <w:r>
        <w:t>In</w:t>
      </w:r>
      <w:r w:rsidR="00847E35">
        <w:t xml:space="preserve"> </w:t>
      </w:r>
      <w:r w:rsidR="003C4A48">
        <w:t>August 2026, t</w:t>
      </w:r>
      <w:r w:rsidR="000F35F1">
        <w:t>here are 55 centres operati</w:t>
      </w:r>
      <w:r w:rsidR="00320F51">
        <w:t>ng</w:t>
      </w:r>
      <w:r w:rsidR="000F35F1">
        <w:t xml:space="preserve"> across the country, in a range of </w:t>
      </w:r>
      <w:r w:rsidR="0094623C">
        <w:t>metropolitan</w:t>
      </w:r>
      <w:r w:rsidR="009E10D6">
        <w:t>,</w:t>
      </w:r>
      <w:r w:rsidR="000F35F1">
        <w:t xml:space="preserve"> rural</w:t>
      </w:r>
      <w:r w:rsidR="009E10D6">
        <w:t xml:space="preserve"> and </w:t>
      </w:r>
      <w:r w:rsidR="000F35F1">
        <w:t xml:space="preserve">remote locations, with 92 centres </w:t>
      </w:r>
      <w:r w:rsidR="00B8593B">
        <w:t>to be open by</w:t>
      </w:r>
      <w:r w:rsidR="000F35F1">
        <w:t xml:space="preserve"> mid-2030. </w:t>
      </w:r>
    </w:p>
    <w:p w14:paraId="2B19472E" w14:textId="77777777" w:rsidR="006B4B53" w:rsidRDefault="006B4B53" w:rsidP="0005659A"/>
    <w:p w14:paraId="1EDE4109" w14:textId="44F25FCC" w:rsidR="002F045F" w:rsidRDefault="006B4B53" w:rsidP="006B4B53">
      <w:pPr>
        <w:jc w:val="center"/>
      </w:pPr>
      <w:r w:rsidRPr="006B4B53">
        <w:rPr>
          <w:noProof/>
        </w:rPr>
        <w:drawing>
          <wp:inline distT="0" distB="0" distL="0" distR="0" wp14:anchorId="2151F4CC" wp14:editId="4DC42339">
            <wp:extent cx="3569335" cy="2613660"/>
            <wp:effectExtent l="0" t="0" r="0" b="0"/>
            <wp:docPr id="1484203715" name="Picture 1" descr="Map detailing centres operating across Australian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715" name="Picture 1" descr="Map detailing centres operating across Australian states."/>
                    <pic:cNvPicPr/>
                  </pic:nvPicPr>
                  <pic:blipFill rotWithShape="1">
                    <a:blip r:embed="rId11"/>
                    <a:srcRect b="930"/>
                    <a:stretch>
                      <a:fillRect/>
                    </a:stretch>
                  </pic:blipFill>
                  <pic:spPr bwMode="auto">
                    <a:xfrm>
                      <a:off x="0" y="0"/>
                      <a:ext cx="3569633" cy="2613878"/>
                    </a:xfrm>
                    <a:prstGeom prst="rect">
                      <a:avLst/>
                    </a:prstGeom>
                    <a:ln>
                      <a:noFill/>
                    </a:ln>
                    <a:extLst>
                      <a:ext uri="{53640926-AAD7-44D8-BBD7-CCE9431645EC}">
                        <a14:shadowObscured xmlns:a14="http://schemas.microsoft.com/office/drawing/2010/main"/>
                      </a:ext>
                    </a:extLst>
                  </pic:spPr>
                </pic:pic>
              </a:graphicData>
            </a:graphic>
          </wp:inline>
        </w:drawing>
      </w:r>
    </w:p>
    <w:p w14:paraId="33FF6D2A" w14:textId="0C92EEF1" w:rsidR="007E7272" w:rsidRPr="00222666" w:rsidRDefault="007E7272" w:rsidP="006B4B53">
      <w:pPr>
        <w:pStyle w:val="Heading2"/>
      </w:pPr>
      <w:r>
        <w:lastRenderedPageBreak/>
        <w:t>About the Medicare Mental Health</w:t>
      </w:r>
      <w:r w:rsidRPr="00222666">
        <w:t xml:space="preserve"> </w:t>
      </w:r>
      <w:r w:rsidR="002269EA">
        <w:t>P</w:t>
      </w:r>
      <w:r w:rsidR="002269EA" w:rsidRPr="00222666">
        <w:t xml:space="preserve">hone </w:t>
      </w:r>
      <w:r w:rsidR="002269EA">
        <w:t>S</w:t>
      </w:r>
      <w:r w:rsidR="002269EA" w:rsidRPr="00222666">
        <w:t>ervice</w:t>
      </w:r>
    </w:p>
    <w:p w14:paraId="0CE1CDD2" w14:textId="5459F68B" w:rsidR="007E7272" w:rsidRDefault="00320F51" w:rsidP="00320F51">
      <w:r>
        <w:t xml:space="preserve">The Medicare Mental Health Phone Service is a free </w:t>
      </w:r>
      <w:r w:rsidR="009E3822">
        <w:t xml:space="preserve">national </w:t>
      </w:r>
      <w:r>
        <w:t xml:space="preserve">phone line designed to provide support and guidance for </w:t>
      </w:r>
      <w:r w:rsidR="007C4D46">
        <w:t>people who call</w:t>
      </w:r>
      <w:r>
        <w:t xml:space="preserve">, as well as for family members and loved ones. </w:t>
      </w:r>
    </w:p>
    <w:p w14:paraId="3A6DB5DE" w14:textId="7BE55449" w:rsidR="00320F51" w:rsidRDefault="00320F51" w:rsidP="00320F51">
      <w:r>
        <w:t xml:space="preserve">It is not a crisis support service, but a way to connect </w:t>
      </w:r>
      <w:r w:rsidR="00363EAF">
        <w:t xml:space="preserve">people </w:t>
      </w:r>
      <w:r>
        <w:t xml:space="preserve">with local mental health services, provide information and advice, and conduct an initial assessment to understand individual needs. </w:t>
      </w:r>
    </w:p>
    <w:p w14:paraId="4EF850D4" w14:textId="425308D2" w:rsidR="007E7272" w:rsidRPr="006B4B53" w:rsidRDefault="007E7272" w:rsidP="006B4B53">
      <w:pPr>
        <w:pStyle w:val="Heading3"/>
      </w:pPr>
      <w:r w:rsidRPr="006B4B53">
        <w:t>Delivery of services</w:t>
      </w:r>
    </w:p>
    <w:p w14:paraId="2A967046" w14:textId="54A28360" w:rsidR="000F35F1" w:rsidRDefault="000F35F1" w:rsidP="0005659A">
      <w:r>
        <w:t xml:space="preserve">Medicare Mental Health Centres and the Medicare Mental Health Phone Service are delivered in partnership with Primary Health Networks (PHN). </w:t>
      </w:r>
    </w:p>
    <w:p w14:paraId="084C9E13" w14:textId="1705CD52" w:rsidR="006B79FA" w:rsidRDefault="000F35F1" w:rsidP="00860400">
      <w:r>
        <w:t>Both programs rely on the In</w:t>
      </w:r>
      <w:r w:rsidR="005F3D19">
        <w:t>take,</w:t>
      </w:r>
      <w:r>
        <w:t xml:space="preserve"> Assessment and Referral Decision Support Tool </w:t>
      </w:r>
      <w:r w:rsidR="00D961ED">
        <w:br/>
      </w:r>
      <w:r>
        <w:t>(IAR-DST)</w:t>
      </w:r>
      <w:r w:rsidR="006F2477">
        <w:t xml:space="preserve">. </w:t>
      </w:r>
      <w:r w:rsidR="00860400">
        <w:t xml:space="preserve">Assessment processes are designed to identify suicide risk, immediate safety needs, and the most appropriate response. </w:t>
      </w:r>
      <w:r w:rsidR="006F2477">
        <w:t>This tool</w:t>
      </w:r>
      <w:r w:rsidR="00A36E68">
        <w:t xml:space="preserve"> support</w:t>
      </w:r>
      <w:r w:rsidR="006F2477">
        <w:t>s</w:t>
      </w:r>
      <w:r w:rsidR="00A36E68">
        <w:t xml:space="preserve"> </w:t>
      </w:r>
      <w:r w:rsidR="002E23E9">
        <w:t>clinicians and trained staff</w:t>
      </w:r>
      <w:r w:rsidR="00762EBF">
        <w:t xml:space="preserve"> to assess and </w:t>
      </w:r>
      <w:r w:rsidR="006F0E1C">
        <w:t>recommend</w:t>
      </w:r>
      <w:r w:rsidR="001E2A1B">
        <w:t xml:space="preserve"> appropriate services or treatment</w:t>
      </w:r>
      <w:r w:rsidR="008D6B55">
        <w:t xml:space="preserve"> for</w:t>
      </w:r>
      <w:r w:rsidR="00D03270">
        <w:t xml:space="preserve"> </w:t>
      </w:r>
      <w:r w:rsidR="00A47590">
        <w:t>people</w:t>
      </w:r>
      <w:r>
        <w:t xml:space="preserve"> presenting with mental health </w:t>
      </w:r>
      <w:r w:rsidR="009444E0">
        <w:t>concerns</w:t>
      </w:r>
      <w:r w:rsidR="006F2477">
        <w:t>.</w:t>
      </w:r>
      <w:r>
        <w:t xml:space="preserve"> </w:t>
      </w:r>
    </w:p>
    <w:p w14:paraId="4E514AD9" w14:textId="7B27326D" w:rsidR="00222666" w:rsidRPr="00222666" w:rsidRDefault="00222666" w:rsidP="00CE5444">
      <w:pPr>
        <w:pStyle w:val="Heading2"/>
      </w:pPr>
      <w:r w:rsidRPr="00222666">
        <w:t>About the evaluation</w:t>
      </w:r>
    </w:p>
    <w:p w14:paraId="283779F4" w14:textId="77777777" w:rsidR="006241D8" w:rsidRDefault="007C4D46" w:rsidP="007C4D46">
      <w:r>
        <w:t xml:space="preserve">An Evaluation of Medicare Mental Health Centres and the Medicare Mental Health Phone Service (evaluation) was commissioned by the Australian Government to assess the extent to which these </w:t>
      </w:r>
      <w:r w:rsidR="007B16FC">
        <w:t xml:space="preserve">two </w:t>
      </w:r>
      <w:r>
        <w:t xml:space="preserve">programs have met their policy intent. </w:t>
      </w:r>
    </w:p>
    <w:p w14:paraId="7794F2E7" w14:textId="0BA9A3D5" w:rsidR="000F35F1" w:rsidRDefault="00F81C00" w:rsidP="007C4D46">
      <w:r w:rsidRPr="00B22214">
        <w:rPr>
          <w:color w:val="auto"/>
        </w:rPr>
        <w:t xml:space="preserve">It was conducted by Monash University and the University of Melbourne </w:t>
      </w:r>
      <w:r w:rsidR="007C4D46">
        <w:t xml:space="preserve">throughout 2024 and 2025 </w:t>
      </w:r>
      <w:r w:rsidR="000F35F1">
        <w:t>us</w:t>
      </w:r>
      <w:r w:rsidR="007C4D46">
        <w:t>ing</w:t>
      </w:r>
      <w:r w:rsidR="000F35F1">
        <w:t xml:space="preserve"> a mix of qualitative and quantitative data sources</w:t>
      </w:r>
      <w:r w:rsidR="007C4D46">
        <w:t>,</w:t>
      </w:r>
      <w:r w:rsidR="000F35F1">
        <w:t xml:space="preserve"> including reviewing over 230 program documents, consumer and</w:t>
      </w:r>
      <w:r w:rsidR="00003916">
        <w:t xml:space="preserve"> service</w:t>
      </w:r>
      <w:r w:rsidR="000F35F1">
        <w:t xml:space="preserve"> provider survey responses and interviews, focus groups with PHN representatives, and routinely collected program (and comparator) data. </w:t>
      </w:r>
    </w:p>
    <w:p w14:paraId="2C0E98C0" w14:textId="0D5C77A3" w:rsidR="00ED732F" w:rsidRPr="00F46FE5" w:rsidRDefault="007B16FC" w:rsidP="00F46FE5">
      <w:r>
        <w:t>T</w:t>
      </w:r>
      <w:r w:rsidR="000F35F1">
        <w:t>he evaluation included the first 20 centres opened across Australia and all provider organisations involved in the phone service.</w:t>
      </w:r>
      <w:r w:rsidR="00222666">
        <w:t xml:space="preserve"> </w:t>
      </w:r>
    </w:p>
    <w:p w14:paraId="73A62677" w14:textId="42C8CA88" w:rsidR="000F35F1" w:rsidRPr="008C0A10" w:rsidRDefault="000635CE" w:rsidP="007E7272">
      <w:pPr>
        <w:pStyle w:val="Heading2"/>
      </w:pPr>
      <w:r>
        <w:t>Overview of</w:t>
      </w:r>
      <w:r w:rsidR="000F35F1">
        <w:t xml:space="preserve"> Medicare Mental Health Centre</w:t>
      </w:r>
      <w:r>
        <w:t xml:space="preserve"> </w:t>
      </w:r>
      <w:r w:rsidR="000F35F1">
        <w:t>findings</w:t>
      </w:r>
    </w:p>
    <w:p w14:paraId="66EB4F83" w14:textId="05FEEBAA" w:rsidR="00F019F3" w:rsidRDefault="000F35F1" w:rsidP="0005659A">
      <w:r>
        <w:t xml:space="preserve">The evaluation sought to understand how well the </w:t>
      </w:r>
      <w:r w:rsidR="000635CE">
        <w:t>Medicare Mental Health Centr</w:t>
      </w:r>
      <w:r w:rsidR="00F019F3">
        <w:t xml:space="preserve">e </w:t>
      </w:r>
      <w:r>
        <w:t>program is meeting its overarching policy intent</w:t>
      </w:r>
      <w:r w:rsidR="00F019F3">
        <w:t xml:space="preserve"> of </w:t>
      </w:r>
      <w:r w:rsidRPr="00FF6BA7">
        <w:t>provid</w:t>
      </w:r>
      <w:r w:rsidR="00F019F3">
        <w:t>ing</w:t>
      </w:r>
      <w:r w:rsidRPr="00FF6BA7">
        <w:t xml:space="preserve"> free, accessible, high-quality mental health care </w:t>
      </w:r>
      <w:r w:rsidR="00F019F3" w:rsidRPr="00FF6BA7">
        <w:t>to adults experiencing moderate to high levels of mental health nee</w:t>
      </w:r>
      <w:r w:rsidR="00F019F3">
        <w:t xml:space="preserve">d. This care is delivered </w:t>
      </w:r>
      <w:r w:rsidRPr="00FF6BA7">
        <w:t>by multidisciplinary care teams over extended hours.</w:t>
      </w:r>
      <w:r>
        <w:t xml:space="preserve"> </w:t>
      </w:r>
    </w:p>
    <w:p w14:paraId="5A70AB12" w14:textId="4E30C79D" w:rsidR="000F35F1" w:rsidRDefault="00F019F3" w:rsidP="0005659A">
      <w:r>
        <w:t xml:space="preserve">A </w:t>
      </w:r>
      <w:r w:rsidR="000F35F1">
        <w:t>National Service Model</w:t>
      </w:r>
      <w:r>
        <w:t xml:space="preserve"> guides operation of the centres through</w:t>
      </w:r>
      <w:r w:rsidR="00A47590">
        <w:t xml:space="preserve"> </w:t>
      </w:r>
      <w:r w:rsidR="00EA34DF">
        <w:t>four</w:t>
      </w:r>
      <w:r>
        <w:t xml:space="preserve"> </w:t>
      </w:r>
      <w:r w:rsidR="000F35F1">
        <w:t>core elements</w:t>
      </w:r>
      <w:r w:rsidR="00AD5EC4">
        <w:t>:</w:t>
      </w:r>
    </w:p>
    <w:tbl>
      <w:tblPr>
        <w:tblStyle w:val="TableGrid"/>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15"/>
        <w:gridCol w:w="8428"/>
      </w:tblGrid>
      <w:tr w:rsidR="00ED732F" w14:paraId="5ABDD07F" w14:textId="77777777" w:rsidTr="005F7A98">
        <w:trPr>
          <w:cantSplit/>
          <w:trHeight w:hRule="exact" w:val="648"/>
        </w:trPr>
        <w:tc>
          <w:tcPr>
            <w:tcW w:w="715" w:type="dxa"/>
            <w:vAlign w:val="center"/>
          </w:tcPr>
          <w:p w14:paraId="0D3C8CF4" w14:textId="54882025" w:rsidR="00ED732F" w:rsidRPr="003846BB" w:rsidRDefault="00ED732F" w:rsidP="003846BB">
            <w:r w:rsidRPr="003846BB">
              <w:rPr>
                <w:noProof/>
              </w:rPr>
              <w:drawing>
                <wp:inline distT="0" distB="0" distL="0" distR="0" wp14:anchorId="05461026" wp14:editId="3F644D88">
                  <wp:extent cx="297180" cy="297180"/>
                  <wp:effectExtent l="0" t="0" r="7620" b="7620"/>
                  <wp:docPr id="1632388451" name="Graphic 4" descr="Icon of two hands holding a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88451" name="Graphic 4" descr="Icon of two hands holding a heart."/>
                          <pic:cNvPicPr/>
                        </pic:nvPicPr>
                        <pic:blipFill>
                          <a:blip r:embed="rId12">
                            <a:extLst>
                              <a:ext uri="{96DAC541-7B7A-43D3-8B79-37D633B846F1}">
                                <asvg:svgBlip xmlns:asvg="http://schemas.microsoft.com/office/drawing/2016/SVG/main" r:embed="rId13"/>
                              </a:ext>
                            </a:extLst>
                          </a:blip>
                          <a:stretch>
                            <a:fillRect/>
                          </a:stretch>
                        </pic:blipFill>
                        <pic:spPr>
                          <a:xfrm>
                            <a:off x="0" y="0"/>
                            <a:ext cx="297300" cy="297300"/>
                          </a:xfrm>
                          <a:prstGeom prst="rect">
                            <a:avLst/>
                          </a:prstGeom>
                        </pic:spPr>
                      </pic:pic>
                    </a:graphicData>
                  </a:graphic>
                </wp:inline>
              </w:drawing>
            </w:r>
          </w:p>
        </w:tc>
        <w:tc>
          <w:tcPr>
            <w:tcW w:w="8428" w:type="dxa"/>
            <w:tcBorders>
              <w:bottom w:val="single" w:sz="4" w:space="0" w:color="auto"/>
            </w:tcBorders>
            <w:vAlign w:val="center"/>
          </w:tcPr>
          <w:p w14:paraId="66F832B2" w14:textId="4FDD22BA" w:rsidR="00ED732F" w:rsidRPr="00C01704" w:rsidRDefault="00ED732F" w:rsidP="00D961ED">
            <w:pPr>
              <w:spacing w:line="240" w:lineRule="auto"/>
            </w:pPr>
            <w:r w:rsidRPr="00C01704">
              <w:t xml:space="preserve">Respond to people </w:t>
            </w:r>
            <w:r w:rsidR="00800C79" w:rsidRPr="00C01704">
              <w:t xml:space="preserve">with moderate to severe mental health needs, including those </w:t>
            </w:r>
            <w:r w:rsidRPr="00C01704">
              <w:t>in significant distress</w:t>
            </w:r>
            <w:r w:rsidR="00800C79" w:rsidRPr="00C01704">
              <w:t xml:space="preserve"> </w:t>
            </w:r>
            <w:r w:rsidR="00A115AC">
              <w:t>or</w:t>
            </w:r>
            <w:r w:rsidRPr="00C01704">
              <w:t xml:space="preserve"> at heightened risk of suicide</w:t>
            </w:r>
          </w:p>
        </w:tc>
      </w:tr>
      <w:tr w:rsidR="00ED732F" w14:paraId="54633CB3" w14:textId="77777777" w:rsidTr="00456409">
        <w:trPr>
          <w:cantSplit/>
          <w:trHeight w:hRule="exact" w:val="624"/>
        </w:trPr>
        <w:tc>
          <w:tcPr>
            <w:tcW w:w="715" w:type="dxa"/>
            <w:vAlign w:val="center"/>
          </w:tcPr>
          <w:p w14:paraId="3EF47F50" w14:textId="41EEB838" w:rsidR="00ED732F" w:rsidRPr="003846BB" w:rsidRDefault="00ED732F" w:rsidP="003846BB">
            <w:r w:rsidRPr="003846BB">
              <w:rPr>
                <w:noProof/>
              </w:rPr>
              <w:drawing>
                <wp:inline distT="0" distB="0" distL="0" distR="0" wp14:anchorId="7E1E1EF2" wp14:editId="2080398B">
                  <wp:extent cx="297180" cy="297180"/>
                  <wp:effectExtent l="0" t="0" r="7620" b="7620"/>
                  <wp:docPr id="1152436458" name="Graphic 4" descr="Icon of thre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36458" name="Graphic 4" descr="Icon of three people."/>
                          <pic:cNvPicPr/>
                        </pic:nvPicPr>
                        <pic:blipFill>
                          <a:blip r:embed="rId14">
                            <a:extLst>
                              <a:ext uri="{96DAC541-7B7A-43D3-8B79-37D633B846F1}">
                                <asvg:svgBlip xmlns:asvg="http://schemas.microsoft.com/office/drawing/2016/SVG/main" r:embed="rId15"/>
                              </a:ext>
                            </a:extLst>
                          </a:blip>
                          <a:stretch>
                            <a:fillRect/>
                          </a:stretch>
                        </pic:blipFill>
                        <pic:spPr>
                          <a:xfrm>
                            <a:off x="0" y="0"/>
                            <a:ext cx="297660" cy="297660"/>
                          </a:xfrm>
                          <a:prstGeom prst="rect">
                            <a:avLst/>
                          </a:prstGeom>
                        </pic:spPr>
                      </pic:pic>
                    </a:graphicData>
                  </a:graphic>
                </wp:inline>
              </w:drawing>
            </w:r>
          </w:p>
        </w:tc>
        <w:tc>
          <w:tcPr>
            <w:tcW w:w="8428" w:type="dxa"/>
            <w:tcBorders>
              <w:top w:val="single" w:sz="4" w:space="0" w:color="auto"/>
              <w:bottom w:val="single" w:sz="4" w:space="0" w:color="auto"/>
            </w:tcBorders>
            <w:vAlign w:val="center"/>
          </w:tcPr>
          <w:p w14:paraId="44C4FE79" w14:textId="0ABAF3C1" w:rsidR="00ED732F" w:rsidRPr="00C01704" w:rsidRDefault="00ED732F" w:rsidP="00D961ED">
            <w:pPr>
              <w:pStyle w:val="ListNumber2"/>
              <w:numPr>
                <w:ilvl w:val="0"/>
                <w:numId w:val="0"/>
              </w:numPr>
              <w:spacing w:line="240" w:lineRule="auto"/>
            </w:pPr>
            <w:r w:rsidRPr="00C01704">
              <w:t>Provide a central point to connect people to other services in the region</w:t>
            </w:r>
            <w:r w:rsidR="00667F4A" w:rsidRPr="00C01704">
              <w:t xml:space="preserve"> through service navigation and warm referral pathways</w:t>
            </w:r>
          </w:p>
        </w:tc>
      </w:tr>
      <w:tr w:rsidR="00ED732F" w14:paraId="726396DE" w14:textId="77777777" w:rsidTr="00456409">
        <w:trPr>
          <w:cantSplit/>
          <w:trHeight w:hRule="exact" w:val="624"/>
        </w:trPr>
        <w:tc>
          <w:tcPr>
            <w:tcW w:w="715" w:type="dxa"/>
            <w:vAlign w:val="center"/>
          </w:tcPr>
          <w:p w14:paraId="7E1C8992" w14:textId="6AF220AC" w:rsidR="00ED732F" w:rsidRPr="003846BB" w:rsidRDefault="00ED732F" w:rsidP="003846BB">
            <w:r w:rsidRPr="003846BB">
              <w:rPr>
                <w:noProof/>
              </w:rPr>
              <w:drawing>
                <wp:inline distT="0" distB="0" distL="0" distR="0" wp14:anchorId="65DC6795" wp14:editId="7F9B2C22">
                  <wp:extent cx="289560" cy="289560"/>
                  <wp:effectExtent l="0" t="0" r="0" b="0"/>
                  <wp:docPr id="106365116" name="Graphic 4" descr="Icon of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5116" name="Graphic 4" descr="Icon of checklist."/>
                          <pic:cNvPicPr/>
                        </pic:nvPicPr>
                        <pic:blipFill>
                          <a:blip r:embed="rId16">
                            <a:extLst>
                              <a:ext uri="{96DAC541-7B7A-43D3-8B79-37D633B846F1}">
                                <asvg:svgBlip xmlns:asvg="http://schemas.microsoft.com/office/drawing/2016/SVG/main" r:embed="rId17"/>
                              </a:ext>
                            </a:extLst>
                          </a:blip>
                          <a:stretch>
                            <a:fillRect/>
                          </a:stretch>
                        </pic:blipFill>
                        <pic:spPr>
                          <a:xfrm>
                            <a:off x="0" y="0"/>
                            <a:ext cx="289760" cy="289760"/>
                          </a:xfrm>
                          <a:prstGeom prst="rect">
                            <a:avLst/>
                          </a:prstGeom>
                        </pic:spPr>
                      </pic:pic>
                    </a:graphicData>
                  </a:graphic>
                </wp:inline>
              </w:drawing>
            </w:r>
          </w:p>
        </w:tc>
        <w:tc>
          <w:tcPr>
            <w:tcW w:w="8428" w:type="dxa"/>
            <w:tcBorders>
              <w:top w:val="single" w:sz="4" w:space="0" w:color="auto"/>
              <w:bottom w:val="single" w:sz="4" w:space="0" w:color="auto"/>
            </w:tcBorders>
            <w:vAlign w:val="center"/>
          </w:tcPr>
          <w:p w14:paraId="27D6B17B" w14:textId="75427704" w:rsidR="00ED732F" w:rsidRPr="00C01704" w:rsidRDefault="00ED732F" w:rsidP="00D961ED">
            <w:pPr>
              <w:pStyle w:val="ListNumber2"/>
              <w:numPr>
                <w:ilvl w:val="0"/>
                <w:numId w:val="0"/>
              </w:numPr>
              <w:spacing w:line="240" w:lineRule="auto"/>
            </w:pPr>
            <w:r w:rsidRPr="00C01704">
              <w:t>Provide in-house assessment</w:t>
            </w:r>
            <w:r w:rsidR="000A5B03" w:rsidRPr="00C01704">
              <w:t>, information, and support to access services</w:t>
            </w:r>
          </w:p>
        </w:tc>
      </w:tr>
      <w:tr w:rsidR="00ED732F" w14:paraId="1FBF7AF2" w14:textId="77777777" w:rsidTr="00456409">
        <w:trPr>
          <w:cantSplit/>
          <w:trHeight w:hRule="exact" w:val="624"/>
        </w:trPr>
        <w:tc>
          <w:tcPr>
            <w:tcW w:w="715" w:type="dxa"/>
            <w:vAlign w:val="center"/>
          </w:tcPr>
          <w:p w14:paraId="719FC505" w14:textId="0E561DE7" w:rsidR="00ED732F" w:rsidRPr="003846BB" w:rsidRDefault="00ED732F" w:rsidP="003846BB">
            <w:r w:rsidRPr="003846BB">
              <w:rPr>
                <w:noProof/>
              </w:rPr>
              <w:drawing>
                <wp:inline distT="0" distB="0" distL="0" distR="0" wp14:anchorId="18C5E3B0" wp14:editId="6202BC9A">
                  <wp:extent cx="281940" cy="281940"/>
                  <wp:effectExtent l="0" t="0" r="3810" b="3810"/>
                  <wp:docPr id="2095759704" name="Graphic 4" descr="Icon of head in profile with heart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59704" name="Graphic 4" descr="Icon of head in profile with heart inside."/>
                          <pic:cNvPicPr/>
                        </pic:nvPicPr>
                        <pic:blipFill>
                          <a:blip r:embed="rId18">
                            <a:extLst>
                              <a:ext uri="{96DAC541-7B7A-43D3-8B79-37D633B846F1}">
                                <asvg:svgBlip xmlns:asvg="http://schemas.microsoft.com/office/drawing/2016/SVG/main" r:embed="rId19"/>
                              </a:ext>
                            </a:extLst>
                          </a:blip>
                          <a:stretch>
                            <a:fillRect/>
                          </a:stretch>
                        </pic:blipFill>
                        <pic:spPr>
                          <a:xfrm>
                            <a:off x="0" y="0"/>
                            <a:ext cx="282020" cy="282020"/>
                          </a:xfrm>
                          <a:prstGeom prst="rect">
                            <a:avLst/>
                          </a:prstGeom>
                        </pic:spPr>
                      </pic:pic>
                    </a:graphicData>
                  </a:graphic>
                </wp:inline>
              </w:drawing>
            </w:r>
          </w:p>
        </w:tc>
        <w:tc>
          <w:tcPr>
            <w:tcW w:w="8428" w:type="dxa"/>
            <w:tcBorders>
              <w:top w:val="single" w:sz="4" w:space="0" w:color="auto"/>
            </w:tcBorders>
            <w:vAlign w:val="center"/>
          </w:tcPr>
          <w:p w14:paraId="1956531F" w14:textId="5E2603D8" w:rsidR="00ED732F" w:rsidRPr="00C01704" w:rsidRDefault="00ED732F" w:rsidP="00D961ED">
            <w:pPr>
              <w:pStyle w:val="ListNumber2"/>
              <w:numPr>
                <w:ilvl w:val="0"/>
                <w:numId w:val="0"/>
              </w:numPr>
              <w:spacing w:line="240" w:lineRule="auto"/>
            </w:pPr>
            <w:r w:rsidRPr="00C01704">
              <w:t>Provide evidence-based short-to-medium term</w:t>
            </w:r>
            <w:r w:rsidR="004264DD" w:rsidRPr="00C01704">
              <w:t xml:space="preserve"> episodes of</w:t>
            </w:r>
            <w:r w:rsidRPr="00C01704">
              <w:t xml:space="preserve"> care</w:t>
            </w:r>
          </w:p>
        </w:tc>
      </w:tr>
    </w:tbl>
    <w:p w14:paraId="2F5FB1E6" w14:textId="74FFF4D9" w:rsidR="000F35F1" w:rsidRDefault="000F35F1" w:rsidP="0005659A">
      <w:r>
        <w:t xml:space="preserve">Findings </w:t>
      </w:r>
      <w:r w:rsidR="00925BA2">
        <w:t>relating</w:t>
      </w:r>
      <w:r w:rsidR="00F019F3">
        <w:t xml:space="preserve"> to each of the elements</w:t>
      </w:r>
      <w:r w:rsidR="00925BA2">
        <w:t xml:space="preserve"> of the National Service Model</w:t>
      </w:r>
      <w:r w:rsidR="00F019F3">
        <w:t xml:space="preserve"> </w:t>
      </w:r>
      <w:r>
        <w:t>are explored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
        <w:gridCol w:w="8209"/>
      </w:tblGrid>
      <w:tr w:rsidR="003846BB" w14:paraId="4C350581" w14:textId="77777777">
        <w:tc>
          <w:tcPr>
            <w:tcW w:w="851" w:type="dxa"/>
            <w:vAlign w:val="center"/>
          </w:tcPr>
          <w:p w14:paraId="5FA63C26" w14:textId="77777777" w:rsidR="003846BB" w:rsidRDefault="003846BB">
            <w:r>
              <w:rPr>
                <w:noProof/>
              </w:rPr>
              <w:lastRenderedPageBreak/>
              <w:drawing>
                <wp:inline distT="0" distB="0" distL="0" distR="0" wp14:anchorId="29211270" wp14:editId="1E2C4F38">
                  <wp:extent cx="458744" cy="458744"/>
                  <wp:effectExtent l="0" t="0" r="0" b="0"/>
                  <wp:docPr id="1604176392" name="Graphic 4" descr="Icon of two hands holding a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6392" name="Graphic 4" descr="Icon of two hands holding a heart."/>
                          <pic:cNvPicPr/>
                        </pic:nvPicPr>
                        <pic:blipFill>
                          <a:blip r:embed="rId12">
                            <a:extLst>
                              <a:ext uri="{96DAC541-7B7A-43D3-8B79-37D633B846F1}">
                                <asvg:svgBlip xmlns:asvg="http://schemas.microsoft.com/office/drawing/2016/SVG/main" r:embed="rId13"/>
                              </a:ext>
                            </a:extLst>
                          </a:blip>
                          <a:stretch>
                            <a:fillRect/>
                          </a:stretch>
                        </pic:blipFill>
                        <pic:spPr>
                          <a:xfrm>
                            <a:off x="0" y="0"/>
                            <a:ext cx="458744" cy="458744"/>
                          </a:xfrm>
                          <a:prstGeom prst="rect">
                            <a:avLst/>
                          </a:prstGeom>
                        </pic:spPr>
                      </pic:pic>
                    </a:graphicData>
                  </a:graphic>
                </wp:inline>
              </w:drawing>
            </w:r>
          </w:p>
        </w:tc>
        <w:tc>
          <w:tcPr>
            <w:tcW w:w="8209" w:type="dxa"/>
            <w:vAlign w:val="center"/>
          </w:tcPr>
          <w:p w14:paraId="075E6AD4" w14:textId="3EC9AA97" w:rsidR="003846BB" w:rsidRDefault="003846BB" w:rsidP="00461BCB">
            <w:pPr>
              <w:pStyle w:val="Heading3"/>
              <w:spacing w:before="0" w:after="0"/>
            </w:pPr>
            <w:r w:rsidRPr="003846BB">
              <w:t>Respond</w:t>
            </w:r>
            <w:r w:rsidRPr="00A47590">
              <w:t xml:space="preserve"> to people</w:t>
            </w:r>
            <w:r w:rsidR="00BF084A">
              <w:t xml:space="preserve"> with moderate to severe mental health needs, including those</w:t>
            </w:r>
            <w:r w:rsidRPr="00A47590">
              <w:t xml:space="preserve"> in significant distress</w:t>
            </w:r>
            <w:r w:rsidR="00BF084A">
              <w:t xml:space="preserve"> </w:t>
            </w:r>
            <w:r w:rsidR="00880952">
              <w:t xml:space="preserve">or </w:t>
            </w:r>
            <w:r w:rsidRPr="00A47590">
              <w:t>at heightened risk of suicide</w:t>
            </w:r>
          </w:p>
        </w:tc>
      </w:tr>
    </w:tbl>
    <w:p w14:paraId="65C5B585" w14:textId="116EB830" w:rsidR="000F35F1" w:rsidRPr="00ED732F" w:rsidRDefault="000F35F1" w:rsidP="00ED732F">
      <w:pPr>
        <w:pStyle w:val="Heading4"/>
      </w:pPr>
      <w:r w:rsidRPr="00ED732F">
        <w:t>What the evaluation found</w:t>
      </w:r>
    </w:p>
    <w:p w14:paraId="6CD19E22" w14:textId="1DA8B03A" w:rsidR="000F35F1" w:rsidRPr="00313FCC" w:rsidRDefault="000F35F1" w:rsidP="0005659A">
      <w:r w:rsidRPr="00313FCC">
        <w:t xml:space="preserve">Data analysis showed that centres are </w:t>
      </w:r>
      <w:r w:rsidRPr="00ED6E41">
        <w:t xml:space="preserve">most often </w:t>
      </w:r>
      <w:r w:rsidR="00AC44EC" w:rsidRPr="00ED6E41">
        <w:t xml:space="preserve">supporting </w:t>
      </w:r>
      <w:r w:rsidR="007B68E7" w:rsidRPr="00ED6E41">
        <w:t xml:space="preserve">people </w:t>
      </w:r>
      <w:r w:rsidRPr="00ED6E41">
        <w:t xml:space="preserve">with moderate or </w:t>
      </w:r>
      <w:r w:rsidR="002066C6" w:rsidRPr="00ED6E41">
        <w:t xml:space="preserve">severe </w:t>
      </w:r>
      <w:r w:rsidRPr="00ED6E41">
        <w:t>levels of psychological distress</w:t>
      </w:r>
      <w:r w:rsidRPr="00313FCC">
        <w:t xml:space="preserve">. Results from IAR-DST assessments showed that </w:t>
      </w:r>
      <w:r w:rsidR="002066C6" w:rsidRPr="00313FCC">
        <w:t xml:space="preserve">people visiting centres most often have level 3 IAR-DST scores (moderate intensity care needed). </w:t>
      </w:r>
      <w:r w:rsidR="00A47590" w:rsidRPr="00313FCC">
        <w:t xml:space="preserve">Measurement of </w:t>
      </w:r>
      <w:r w:rsidR="007B68E7" w:rsidRPr="00313FCC">
        <w:t xml:space="preserve">people’s </w:t>
      </w:r>
      <w:r w:rsidR="00A47590" w:rsidRPr="00313FCC">
        <w:t>levels of psychological distress using a different</w:t>
      </w:r>
      <w:r w:rsidR="00A61419" w:rsidRPr="00313FCC">
        <w:t xml:space="preserve">, simple method of assessment (called the Kessler Psychological Distress Scale or K10) </w:t>
      </w:r>
      <w:r w:rsidRPr="00313FCC">
        <w:t xml:space="preserve">showed that </w:t>
      </w:r>
      <w:r w:rsidR="004B6344" w:rsidRPr="00ED6E41">
        <w:t>most</w:t>
      </w:r>
      <w:r w:rsidRPr="00ED6E41">
        <w:t xml:space="preserve"> </w:t>
      </w:r>
      <w:r w:rsidR="007B68E7" w:rsidRPr="00ED6E41">
        <w:t xml:space="preserve">people </w:t>
      </w:r>
      <w:r w:rsidRPr="00ED6E41">
        <w:t>entering centres reported severe psychological distress</w:t>
      </w:r>
      <w:r w:rsidRPr="00313FCC">
        <w:t xml:space="preserve">. </w:t>
      </w:r>
    </w:p>
    <w:p w14:paraId="40AC70FE" w14:textId="654C30F2" w:rsidR="000F35F1" w:rsidRPr="00313FCC" w:rsidRDefault="000F35F1" w:rsidP="0005659A">
      <w:r w:rsidRPr="00313FCC">
        <w:t xml:space="preserve">Further analysis showed that that </w:t>
      </w:r>
      <w:r w:rsidR="00A47590" w:rsidRPr="00ED6E41">
        <w:t>people</w:t>
      </w:r>
      <w:r w:rsidRPr="00ED6E41">
        <w:t xml:space="preserve"> with high distress levels had the greatest levels of clinical improvement</w:t>
      </w:r>
      <w:r w:rsidRPr="00313FCC">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
        <w:gridCol w:w="8209"/>
      </w:tblGrid>
      <w:tr w:rsidR="00461BCB" w14:paraId="47DF0E66" w14:textId="77777777">
        <w:tc>
          <w:tcPr>
            <w:tcW w:w="851" w:type="dxa"/>
            <w:vAlign w:val="center"/>
          </w:tcPr>
          <w:p w14:paraId="78419582" w14:textId="77777777" w:rsidR="00461BCB" w:rsidRDefault="00461BCB">
            <w:r>
              <w:rPr>
                <w:noProof/>
              </w:rPr>
              <w:drawing>
                <wp:inline distT="0" distB="0" distL="0" distR="0" wp14:anchorId="5338469B" wp14:editId="55A6E988">
                  <wp:extent cx="458744" cy="458744"/>
                  <wp:effectExtent l="0" t="0" r="0" b="0"/>
                  <wp:docPr id="1632014656" name="Graphic 4" descr="Icon of thre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14656" name="Graphic 4" descr="Icon of three people."/>
                          <pic:cNvPicPr/>
                        </pic:nvPicPr>
                        <pic:blipFill>
                          <a:blip r:embed="rId14">
                            <a:extLst>
                              <a:ext uri="{96DAC541-7B7A-43D3-8B79-37D633B846F1}">
                                <asvg:svgBlip xmlns:asvg="http://schemas.microsoft.com/office/drawing/2016/SVG/main" r:embed="rId15"/>
                              </a:ext>
                            </a:extLst>
                          </a:blip>
                          <a:stretch>
                            <a:fillRect/>
                          </a:stretch>
                        </pic:blipFill>
                        <pic:spPr>
                          <a:xfrm>
                            <a:off x="0" y="0"/>
                            <a:ext cx="458744" cy="458744"/>
                          </a:xfrm>
                          <a:prstGeom prst="rect">
                            <a:avLst/>
                          </a:prstGeom>
                        </pic:spPr>
                      </pic:pic>
                    </a:graphicData>
                  </a:graphic>
                </wp:inline>
              </w:drawing>
            </w:r>
          </w:p>
        </w:tc>
        <w:tc>
          <w:tcPr>
            <w:tcW w:w="8209" w:type="dxa"/>
            <w:vAlign w:val="center"/>
          </w:tcPr>
          <w:p w14:paraId="07119072" w14:textId="6D389F0D" w:rsidR="00461BCB" w:rsidRDefault="00461BCB" w:rsidP="00461BCB">
            <w:pPr>
              <w:pStyle w:val="Heading3-nospace"/>
            </w:pPr>
            <w:r w:rsidRPr="0005659A">
              <w:t>Provide a central point to connect people to other services in the region</w:t>
            </w:r>
            <w:r w:rsidR="00A115AC">
              <w:t xml:space="preserve"> through service navigation and warm referral pathways</w:t>
            </w:r>
          </w:p>
        </w:tc>
      </w:tr>
    </w:tbl>
    <w:p w14:paraId="30DBE228" w14:textId="7CB4FB45" w:rsidR="000F35F1" w:rsidRPr="0005659A" w:rsidRDefault="000F35F1" w:rsidP="00461BCB">
      <w:pPr>
        <w:pStyle w:val="Heading4"/>
        <w:rPr>
          <w:rFonts w:eastAsiaTheme="majorEastAsia"/>
        </w:rPr>
      </w:pPr>
      <w:r w:rsidRPr="0005659A">
        <w:rPr>
          <w:rFonts w:eastAsiaTheme="majorEastAsia"/>
        </w:rPr>
        <w:t xml:space="preserve">What </w:t>
      </w:r>
      <w:r w:rsidRPr="00461BCB">
        <w:t>the</w:t>
      </w:r>
      <w:r w:rsidRPr="0005659A">
        <w:rPr>
          <w:rFonts w:eastAsiaTheme="majorEastAsia"/>
        </w:rPr>
        <w:t xml:space="preserve"> evaluation found</w:t>
      </w:r>
    </w:p>
    <w:p w14:paraId="7E7FEFAB" w14:textId="16310FD5" w:rsidR="000F35F1" w:rsidRPr="00313FCC" w:rsidRDefault="00A47590" w:rsidP="0005659A">
      <w:r w:rsidRPr="00313FCC">
        <w:t>The evaluation found that the multidisciplinary team model is supporting the successful delivery of a balanced mix of care. T</w:t>
      </w:r>
      <w:r w:rsidR="000F35F1" w:rsidRPr="00313FCC">
        <w:t xml:space="preserve">he most common services </w:t>
      </w:r>
      <w:r w:rsidRPr="00313FCC">
        <w:t xml:space="preserve">are </w:t>
      </w:r>
      <w:r w:rsidR="000F35F1" w:rsidRPr="00313FCC">
        <w:t xml:space="preserve">being delivered by social workers, peer support workers, general psychologists, and a range of other allied health workers. While </w:t>
      </w:r>
      <w:r w:rsidR="000F35F1" w:rsidRPr="00ED6E41">
        <w:t>psychological interventions and psychosocial support sessions made up just over half of all session types</w:t>
      </w:r>
      <w:r w:rsidR="000F35F1" w:rsidRPr="00313FCC">
        <w:t xml:space="preserve">, almost </w:t>
      </w:r>
      <w:r w:rsidR="000F35F1" w:rsidRPr="00ED6E41">
        <w:t>one third of sessions were clinical care coordination appointments</w:t>
      </w:r>
      <w:r w:rsidR="000F35F1" w:rsidRPr="00313FCC">
        <w:t xml:space="preserve">. </w:t>
      </w:r>
    </w:p>
    <w:p w14:paraId="27AE2F0A" w14:textId="76C97CD4" w:rsidR="005E6758" w:rsidRDefault="00E66F50" w:rsidP="00FE38A5">
      <w:pPr>
        <w:pBdr>
          <w:top w:val="single" w:sz="4" w:space="1" w:color="auto"/>
          <w:bottom w:val="single" w:sz="4" w:space="1" w:color="auto"/>
        </w:pBdr>
        <w:spacing w:before="240" w:after="240"/>
        <w:jc w:val="center"/>
      </w:pPr>
      <w:r>
        <w:rPr>
          <w:noProof/>
        </w:rPr>
        <w:drawing>
          <wp:inline distT="0" distB="0" distL="0" distR="0" wp14:anchorId="23B0E96F" wp14:editId="5F67CC74">
            <wp:extent cx="2514600" cy="3147060"/>
            <wp:effectExtent l="0" t="0" r="0" b="0"/>
            <wp:docPr id="608918127" name="Chart 3" descr="Most common types of services 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5E6758">
        <w:rPr>
          <w:noProof/>
        </w:rPr>
        <w:drawing>
          <wp:inline distT="0" distB="0" distL="0" distR="0" wp14:anchorId="5E6F18C1" wp14:editId="6C3775AA">
            <wp:extent cx="2362200" cy="3162300"/>
            <wp:effectExtent l="0" t="0" r="0" b="0"/>
            <wp:docPr id="1076492059" name="Chart 3" descr="MMHC staff delivering services 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B7CFAEC" w14:textId="7BB39348" w:rsidR="00B25D2A" w:rsidRPr="00D666C8" w:rsidRDefault="00222EE0" w:rsidP="00222EE0">
      <w:pPr>
        <w:tabs>
          <w:tab w:val="left" w:pos="1284"/>
        </w:tabs>
        <w:rPr>
          <w:rFonts w:ascii="Aptos" w:hAnsi="Aptos"/>
          <w:sz w:val="16"/>
          <w:szCs w:val="18"/>
        </w:rPr>
      </w:pPr>
      <w:r>
        <w:rPr>
          <w:rFonts w:ascii="Aptos" w:hAnsi="Aptos"/>
          <w:sz w:val="16"/>
          <w:szCs w:val="18"/>
        </w:rPr>
        <w:tab/>
      </w:r>
      <w:r w:rsidR="00940FBD">
        <w:rPr>
          <w:rFonts w:ascii="Aptos" w:hAnsi="Aptos"/>
          <w:sz w:val="16"/>
          <w:szCs w:val="18"/>
        </w:rPr>
        <w:t>*</w:t>
      </w:r>
      <w:r w:rsidRPr="00D666C8">
        <w:rPr>
          <w:rFonts w:ascii="Aptos" w:hAnsi="Aptos"/>
          <w:sz w:val="16"/>
          <w:szCs w:val="18"/>
        </w:rPr>
        <w:t>Other services include</w:t>
      </w:r>
      <w:r w:rsidR="00A95D58">
        <w:rPr>
          <w:rFonts w:ascii="Aptos" w:hAnsi="Aptos"/>
          <w:sz w:val="16"/>
          <w:szCs w:val="18"/>
        </w:rPr>
        <w:t>s</w:t>
      </w:r>
      <w:r>
        <w:rPr>
          <w:rFonts w:ascii="Aptos" w:hAnsi="Aptos"/>
          <w:sz w:val="16"/>
          <w:szCs w:val="18"/>
        </w:rPr>
        <w:t xml:space="preserve"> but </w:t>
      </w:r>
      <w:r w:rsidR="00A95D58">
        <w:rPr>
          <w:rFonts w:ascii="Aptos" w:hAnsi="Aptos"/>
          <w:sz w:val="16"/>
          <w:szCs w:val="18"/>
        </w:rPr>
        <w:t>is</w:t>
      </w:r>
      <w:r>
        <w:rPr>
          <w:rFonts w:ascii="Aptos" w:hAnsi="Aptos"/>
          <w:sz w:val="16"/>
          <w:szCs w:val="18"/>
        </w:rPr>
        <w:t xml:space="preserve"> not limited to</w:t>
      </w:r>
      <w:r w:rsidRPr="00D666C8">
        <w:rPr>
          <w:rFonts w:ascii="Aptos" w:hAnsi="Aptos"/>
          <w:sz w:val="16"/>
          <w:szCs w:val="18"/>
        </w:rPr>
        <w:t xml:space="preserve">: clinical nursing services, child or youth specific assistance, suicide prevention specific assistance, culturally specific assistance and </w:t>
      </w:r>
      <w:r>
        <w:rPr>
          <w:rFonts w:ascii="Aptos" w:hAnsi="Aptos"/>
          <w:sz w:val="16"/>
          <w:szCs w:val="18"/>
        </w:rPr>
        <w:t>a</w:t>
      </w:r>
      <w:r w:rsidRPr="00D666C8">
        <w:rPr>
          <w:rFonts w:ascii="Aptos" w:hAnsi="Aptos"/>
          <w:sz w:val="16"/>
          <w:szCs w:val="18"/>
        </w:rPr>
        <w:t>ccess to Allied Psychological Services.</w:t>
      </w:r>
      <w:r>
        <w:rPr>
          <w:rFonts w:ascii="Aptos" w:hAnsi="Aptos"/>
          <w:sz w:val="16"/>
          <w:szCs w:val="18"/>
        </w:rPr>
        <w:br/>
      </w:r>
      <w:r>
        <w:rPr>
          <w:rFonts w:ascii="Aptos" w:hAnsi="Aptos"/>
          <w:sz w:val="16"/>
          <w:szCs w:val="18"/>
        </w:rPr>
        <w:tab/>
      </w:r>
      <w:r w:rsidR="00A95D58">
        <w:rPr>
          <w:rFonts w:ascii="Aptos" w:hAnsi="Aptos"/>
          <w:sz w:val="16"/>
          <w:szCs w:val="18"/>
        </w:rPr>
        <w:t>**</w:t>
      </w:r>
      <w:r>
        <w:rPr>
          <w:rFonts w:ascii="Aptos" w:hAnsi="Aptos"/>
          <w:sz w:val="16"/>
          <w:szCs w:val="18"/>
        </w:rPr>
        <w:t>Other professionals include</w:t>
      </w:r>
      <w:r w:rsidR="00A95D58">
        <w:rPr>
          <w:rFonts w:ascii="Aptos" w:hAnsi="Aptos"/>
          <w:sz w:val="16"/>
          <w:szCs w:val="18"/>
        </w:rPr>
        <w:t>s</w:t>
      </w:r>
      <w:r>
        <w:rPr>
          <w:rFonts w:ascii="Aptos" w:hAnsi="Aptos"/>
          <w:sz w:val="16"/>
          <w:szCs w:val="18"/>
        </w:rPr>
        <w:t xml:space="preserve"> but </w:t>
      </w:r>
      <w:r w:rsidR="00A95D58">
        <w:rPr>
          <w:rFonts w:ascii="Aptos" w:hAnsi="Aptos"/>
          <w:sz w:val="16"/>
          <w:szCs w:val="18"/>
        </w:rPr>
        <w:t>is</w:t>
      </w:r>
      <w:r>
        <w:rPr>
          <w:rFonts w:ascii="Aptos" w:hAnsi="Aptos"/>
          <w:sz w:val="16"/>
          <w:szCs w:val="18"/>
        </w:rPr>
        <w:t xml:space="preserve"> not limited to: alcohol and other drug workers, counsellors, case workers/managers, First Nations peer workers, student placements.</w:t>
      </w:r>
      <w:r w:rsidR="00B25D2A">
        <w:rPr>
          <w:rFonts w:ascii="Aptos" w:hAnsi="Aptos"/>
          <w:sz w:val="16"/>
          <w:szCs w:val="18"/>
        </w:rPr>
        <w:br/>
      </w:r>
      <w:r w:rsidR="00B25D2A">
        <w:rPr>
          <w:rFonts w:ascii="Aptos" w:hAnsi="Aptos"/>
          <w:sz w:val="16"/>
          <w:szCs w:val="18"/>
        </w:rPr>
        <w:tab/>
      </w:r>
      <w:r w:rsidR="00A95D58">
        <w:rPr>
          <w:rFonts w:ascii="Aptos" w:hAnsi="Aptos"/>
          <w:sz w:val="16"/>
          <w:szCs w:val="18"/>
        </w:rPr>
        <w:t>***</w:t>
      </w:r>
      <w:r w:rsidR="00B25D2A">
        <w:rPr>
          <w:rFonts w:ascii="Aptos" w:hAnsi="Aptos"/>
          <w:sz w:val="16"/>
          <w:szCs w:val="18"/>
        </w:rPr>
        <w:t xml:space="preserve">Other includes but is not limited to: </w:t>
      </w:r>
      <w:r w:rsidR="00BC705E">
        <w:rPr>
          <w:rFonts w:ascii="Aptos" w:hAnsi="Aptos"/>
          <w:sz w:val="16"/>
          <w:szCs w:val="18"/>
        </w:rPr>
        <w:t>GPs, mental health nurses, psychiatrists, clinical psychologists etc.</w:t>
      </w:r>
    </w:p>
    <w:p w14:paraId="4D0AB572" w14:textId="2EF85C7C" w:rsidR="00222EE0" w:rsidRPr="00222EE0" w:rsidRDefault="00222EE0" w:rsidP="00222EE0">
      <w:pPr>
        <w:tabs>
          <w:tab w:val="left" w:pos="2856"/>
        </w:tabs>
      </w:pPr>
    </w:p>
    <w:p w14:paraId="785FB8F3" w14:textId="46D3382A" w:rsidR="00F0603D" w:rsidRPr="00A23590" w:rsidRDefault="000F35F1" w:rsidP="0005659A">
      <w:r w:rsidRPr="00A23590">
        <w:t xml:space="preserve">This indicates that </w:t>
      </w:r>
      <w:r w:rsidRPr="00ED6E41">
        <w:t>centres are delivering a relatively balanced mix of clinical care and social support</w:t>
      </w:r>
      <w:r w:rsidRPr="00A23590">
        <w:t>, aligned with th</w:t>
      </w:r>
      <w:r w:rsidR="004B6344" w:rsidRPr="00A23590">
        <w:t>eir</w:t>
      </w:r>
      <w:r w:rsidRPr="00A23590">
        <w:t xml:space="preserve"> role as holistic, community-based hubs to connect </w:t>
      </w:r>
      <w:r w:rsidR="00551143" w:rsidRPr="00A23590">
        <w:t xml:space="preserve">people with </w:t>
      </w:r>
      <w:r w:rsidRPr="00A23590">
        <w:t xml:space="preserve">a range of services. </w:t>
      </w:r>
    </w:p>
    <w:p w14:paraId="0D1A7CD8" w14:textId="20A79633" w:rsidR="000F35F1" w:rsidRPr="00A23590" w:rsidRDefault="000F35F1" w:rsidP="0005659A">
      <w:r w:rsidRPr="00A23590">
        <w:t xml:space="preserve">However, the </w:t>
      </w:r>
      <w:r w:rsidR="004B6344" w:rsidRPr="00A23590">
        <w:t>evaluation also</w:t>
      </w:r>
      <w:r w:rsidRPr="00A23590">
        <w:t xml:space="preserve"> suggested that </w:t>
      </w:r>
      <w:r w:rsidRPr="00ED6E41">
        <w:t>integration with local service</w:t>
      </w:r>
      <w:r w:rsidR="007A3BA4" w:rsidRPr="00ED6E41">
        <w:t>s</w:t>
      </w:r>
      <w:r w:rsidRPr="00ED6E41">
        <w:t xml:space="preserve"> could be improved</w:t>
      </w:r>
      <w:r w:rsidRPr="00A23590">
        <w:t xml:space="preserve">, with external services often unaware of </w:t>
      </w:r>
      <w:r w:rsidR="00C11911" w:rsidRPr="00A23590">
        <w:t xml:space="preserve">the </w:t>
      </w:r>
      <w:r w:rsidR="000350F9" w:rsidRPr="00A23590">
        <w:t>centres</w:t>
      </w:r>
      <w:r w:rsidRPr="00A23590">
        <w:t xml:space="preserve"> or unsure of their role in the sector.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
        <w:gridCol w:w="8209"/>
      </w:tblGrid>
      <w:tr w:rsidR="00461BCB" w14:paraId="7FD7845E" w14:textId="77777777">
        <w:tc>
          <w:tcPr>
            <w:tcW w:w="851" w:type="dxa"/>
            <w:vAlign w:val="center"/>
          </w:tcPr>
          <w:p w14:paraId="79047B9E" w14:textId="77777777" w:rsidR="00461BCB" w:rsidRDefault="00461BCB">
            <w:r>
              <w:rPr>
                <w:noProof/>
              </w:rPr>
              <w:drawing>
                <wp:inline distT="0" distB="0" distL="0" distR="0" wp14:anchorId="09FDF9A5" wp14:editId="36B689D8">
                  <wp:extent cx="458744" cy="458744"/>
                  <wp:effectExtent l="0" t="0" r="0" b="0"/>
                  <wp:docPr id="1926586026" name="Graphic 4" descr="Icon of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86026" name="Graphic 4" descr="Icon of checklist."/>
                          <pic:cNvPicPr/>
                        </pic:nvPicPr>
                        <pic:blipFill>
                          <a:blip r:embed="rId16">
                            <a:extLst>
                              <a:ext uri="{96DAC541-7B7A-43D3-8B79-37D633B846F1}">
                                <asvg:svgBlip xmlns:asvg="http://schemas.microsoft.com/office/drawing/2016/SVG/main" r:embed="rId17"/>
                              </a:ext>
                            </a:extLst>
                          </a:blip>
                          <a:stretch>
                            <a:fillRect/>
                          </a:stretch>
                        </pic:blipFill>
                        <pic:spPr>
                          <a:xfrm>
                            <a:off x="0" y="0"/>
                            <a:ext cx="458744" cy="458744"/>
                          </a:xfrm>
                          <a:prstGeom prst="rect">
                            <a:avLst/>
                          </a:prstGeom>
                        </pic:spPr>
                      </pic:pic>
                    </a:graphicData>
                  </a:graphic>
                </wp:inline>
              </w:drawing>
            </w:r>
          </w:p>
        </w:tc>
        <w:tc>
          <w:tcPr>
            <w:tcW w:w="8209" w:type="dxa"/>
            <w:vAlign w:val="center"/>
          </w:tcPr>
          <w:p w14:paraId="3C0751BD" w14:textId="4E3C9DDE" w:rsidR="00461BCB" w:rsidRDefault="00461BCB">
            <w:pPr>
              <w:pStyle w:val="Heading3-nospace"/>
            </w:pPr>
            <w:r w:rsidRPr="0005659A">
              <w:t>Provide in-house assessment</w:t>
            </w:r>
            <w:r w:rsidR="00A115AC">
              <w:t>, information, and support to access services</w:t>
            </w:r>
          </w:p>
        </w:tc>
      </w:tr>
    </w:tbl>
    <w:p w14:paraId="0598E829" w14:textId="516C0BD3" w:rsidR="000F35F1" w:rsidRPr="0005659A" w:rsidRDefault="000F35F1" w:rsidP="00461BCB">
      <w:pPr>
        <w:pStyle w:val="Heading4"/>
        <w:rPr>
          <w:rFonts w:eastAsiaTheme="majorEastAsia"/>
        </w:rPr>
      </w:pPr>
      <w:r w:rsidRPr="0005659A">
        <w:rPr>
          <w:rFonts w:eastAsiaTheme="majorEastAsia"/>
        </w:rPr>
        <w:t xml:space="preserve">What the </w:t>
      </w:r>
      <w:r w:rsidRPr="00461BCB">
        <w:rPr>
          <w:rFonts w:eastAsiaTheme="majorEastAsia"/>
        </w:rPr>
        <w:t>evaluation</w:t>
      </w:r>
      <w:r w:rsidRPr="0005659A">
        <w:rPr>
          <w:rFonts w:eastAsiaTheme="majorEastAsia"/>
        </w:rPr>
        <w:t xml:space="preserve"> found</w:t>
      </w:r>
    </w:p>
    <w:p w14:paraId="560F1DF9" w14:textId="0323A945" w:rsidR="000F35F1" w:rsidRDefault="000F35F1" w:rsidP="0005659A">
      <w:r>
        <w:t xml:space="preserve">Approximately </w:t>
      </w:r>
      <w:r w:rsidR="007B16FC">
        <w:t xml:space="preserve">four </w:t>
      </w:r>
      <w:r>
        <w:t xml:space="preserve">in </w:t>
      </w:r>
      <w:r w:rsidR="007B16FC">
        <w:t xml:space="preserve">five </w:t>
      </w:r>
      <w:r w:rsidR="007B68E7">
        <w:t>people</w:t>
      </w:r>
      <w:r w:rsidR="007B16FC">
        <w:t xml:space="preserve"> (80%)</w:t>
      </w:r>
      <w:r w:rsidR="007B68E7">
        <w:t xml:space="preserve"> </w:t>
      </w:r>
      <w:r>
        <w:t xml:space="preserve">were being assessed with the IAR-DST assessment tool at intake during 2024. This has reduced from </w:t>
      </w:r>
      <w:r w:rsidR="00295586">
        <w:t>approximately</w:t>
      </w:r>
      <w:r>
        <w:t xml:space="preserve"> 95% completion rate in early 2022, indicating that compliance with this core element </w:t>
      </w:r>
      <w:r w:rsidR="007B16FC">
        <w:t xml:space="preserve">of the model </w:t>
      </w:r>
      <w:r>
        <w:t xml:space="preserve">may have dropped off as </w:t>
      </w:r>
      <w:r w:rsidR="007B68E7">
        <w:t xml:space="preserve">visitor </w:t>
      </w:r>
      <w:r>
        <w:t xml:space="preserve">numbers have increased over time. </w:t>
      </w:r>
    </w:p>
    <w:p w14:paraId="1CFDB253" w14:textId="0F22794E" w:rsidR="000F35F1" w:rsidRDefault="000F35F1" w:rsidP="0005659A">
      <w:r>
        <w:t xml:space="preserve">While 80% of </w:t>
      </w:r>
      <w:r w:rsidR="007B68E7">
        <w:t xml:space="preserve">people </w:t>
      </w:r>
      <w:r>
        <w:t xml:space="preserve">receiving an IAR-DST assessment at intake is a strong majority, </w:t>
      </w:r>
      <w:r w:rsidR="0002609C">
        <w:t xml:space="preserve">some centres choose to </w:t>
      </w:r>
      <w:r w:rsidR="005E2249">
        <w:t xml:space="preserve">engage people with soft-entry peer worker sessions before </w:t>
      </w:r>
      <w:r w:rsidR="00896C29">
        <w:t>standard intake,</w:t>
      </w:r>
      <w:r w:rsidR="001B2F06">
        <w:t xml:space="preserve"> building trust where needed before </w:t>
      </w:r>
      <w:r w:rsidR="00F54A79">
        <w:t>undergoing formal assessment</w:t>
      </w:r>
      <w:r w:rsidR="000401F7">
        <w:t xml:space="preserve"> (IAR-DST)</w:t>
      </w:r>
      <w:r w:rsidR="00F54A79">
        <w:t xml:space="preserve">. </w:t>
      </w:r>
    </w:p>
    <w:p w14:paraId="564DEB5C" w14:textId="7258536F" w:rsidR="00FE38A5" w:rsidRDefault="00552556">
      <w:r>
        <w:rPr>
          <w:noProof/>
        </w:rPr>
        <w:drawing>
          <wp:inline distT="0" distB="0" distL="0" distR="0" wp14:anchorId="6B488594" wp14:editId="3C75AB37">
            <wp:extent cx="5860415" cy="637751"/>
            <wp:effectExtent l="0" t="0" r="0" b="0"/>
            <wp:docPr id="575538028" name="Graphic 3" descr="Consumers assessed using the IAR-DST at intake: Approx 8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38028" name="Graphic 3" descr="Consumers assessed using the IAR-DST at intake: Approx 80% "/>
                    <pic:cNvPicPr/>
                  </pic:nvPicPr>
                  <pic:blipFill>
                    <a:blip r:embed="rId22">
                      <a:extLst>
                        <a:ext uri="{96DAC541-7B7A-43D3-8B79-37D633B846F1}">
                          <asvg:svgBlip xmlns:asvg="http://schemas.microsoft.com/office/drawing/2016/SVG/main" r:embed="rId23"/>
                        </a:ext>
                      </a:extLst>
                    </a:blip>
                    <a:stretch>
                      <a:fillRect/>
                    </a:stretch>
                  </pic:blipFill>
                  <pic:spPr>
                    <a:xfrm>
                      <a:off x="0" y="0"/>
                      <a:ext cx="5990145" cy="651869"/>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
        <w:gridCol w:w="8209"/>
      </w:tblGrid>
      <w:tr w:rsidR="00461BCB" w14:paraId="58A15A43" w14:textId="77777777">
        <w:tc>
          <w:tcPr>
            <w:tcW w:w="851" w:type="dxa"/>
            <w:vAlign w:val="center"/>
          </w:tcPr>
          <w:p w14:paraId="127867D5" w14:textId="24E3E827" w:rsidR="00461BCB" w:rsidRDefault="00461BCB">
            <w:r>
              <w:rPr>
                <w:noProof/>
              </w:rPr>
              <w:drawing>
                <wp:inline distT="0" distB="0" distL="0" distR="0" wp14:anchorId="4110A504" wp14:editId="264C9639">
                  <wp:extent cx="458744" cy="458744"/>
                  <wp:effectExtent l="0" t="0" r="0" b="0"/>
                  <wp:docPr id="1269218439" name="Graphic 4" descr="Icon of head in profile with heart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18439" name="Graphic 4" descr="Icon of head in profile with heart inside."/>
                          <pic:cNvPicPr/>
                        </pic:nvPicPr>
                        <pic:blipFill>
                          <a:blip r:embed="rId18">
                            <a:extLst>
                              <a:ext uri="{96DAC541-7B7A-43D3-8B79-37D633B846F1}">
                                <asvg:svgBlip xmlns:asvg="http://schemas.microsoft.com/office/drawing/2016/SVG/main" r:embed="rId19"/>
                              </a:ext>
                            </a:extLst>
                          </a:blip>
                          <a:stretch>
                            <a:fillRect/>
                          </a:stretch>
                        </pic:blipFill>
                        <pic:spPr>
                          <a:xfrm>
                            <a:off x="0" y="0"/>
                            <a:ext cx="458744" cy="458744"/>
                          </a:xfrm>
                          <a:prstGeom prst="rect">
                            <a:avLst/>
                          </a:prstGeom>
                        </pic:spPr>
                      </pic:pic>
                    </a:graphicData>
                  </a:graphic>
                </wp:inline>
              </w:drawing>
            </w:r>
          </w:p>
        </w:tc>
        <w:tc>
          <w:tcPr>
            <w:tcW w:w="8209" w:type="dxa"/>
            <w:vAlign w:val="center"/>
          </w:tcPr>
          <w:p w14:paraId="303411F3" w14:textId="45361CB3" w:rsidR="00461BCB" w:rsidRDefault="00461BCB">
            <w:pPr>
              <w:pStyle w:val="Heading3-nospace"/>
            </w:pPr>
            <w:r w:rsidRPr="0005659A">
              <w:t>Provide evidence-based short-to-medium term</w:t>
            </w:r>
            <w:r w:rsidR="00A115AC">
              <w:t xml:space="preserve"> episodes of</w:t>
            </w:r>
            <w:r w:rsidRPr="0005659A">
              <w:t xml:space="preserve"> care</w:t>
            </w:r>
          </w:p>
        </w:tc>
      </w:tr>
    </w:tbl>
    <w:p w14:paraId="0E860EF8" w14:textId="53B2439F" w:rsidR="000F35F1" w:rsidRPr="00FE38A5" w:rsidRDefault="000F35F1" w:rsidP="00FE38A5">
      <w:pPr>
        <w:pStyle w:val="Heading4"/>
      </w:pPr>
      <w:r w:rsidRPr="00FE38A5">
        <w:t>What the evaluation found</w:t>
      </w:r>
    </w:p>
    <w:p w14:paraId="47F90973" w14:textId="40567272" w:rsidR="000F35F1" w:rsidRDefault="000F35F1" w:rsidP="0005659A">
      <w:r w:rsidRPr="006D12B6">
        <w:t xml:space="preserve">On </w:t>
      </w:r>
      <w:r w:rsidRPr="00A23590">
        <w:t>average</w:t>
      </w:r>
      <w:r w:rsidR="007B68E7" w:rsidRPr="00A23590">
        <w:t xml:space="preserve">, people </w:t>
      </w:r>
      <w:r w:rsidRPr="00A23590">
        <w:t>have around</w:t>
      </w:r>
      <w:r w:rsidRPr="00ED6E41">
        <w:t xml:space="preserve"> </w:t>
      </w:r>
      <w:r w:rsidR="007B16FC" w:rsidRPr="00ED6E41">
        <w:t>ten</w:t>
      </w:r>
      <w:r w:rsidRPr="00ED6E41">
        <w:t xml:space="preserve"> service contacts per episode of care</w:t>
      </w:r>
      <w:r w:rsidRPr="00A23590">
        <w:t xml:space="preserve">, and the average </w:t>
      </w:r>
      <w:r w:rsidRPr="00ED6E41">
        <w:t xml:space="preserve">episode duration is </w:t>
      </w:r>
      <w:r w:rsidR="007B16FC" w:rsidRPr="00ED6E41">
        <w:t>three to four</w:t>
      </w:r>
      <w:r w:rsidRPr="00ED6E41">
        <w:t xml:space="preserve"> months</w:t>
      </w:r>
      <w:r w:rsidRPr="00A23590">
        <w:t>.</w:t>
      </w:r>
      <w:r w:rsidRPr="006D12B6">
        <w:t xml:space="preserve"> </w:t>
      </w:r>
    </w:p>
    <w:p w14:paraId="37EC53F3" w14:textId="4F715951" w:rsidR="000F35F1" w:rsidRDefault="000F35F1" w:rsidP="0005659A">
      <w:r>
        <w:t xml:space="preserve">The consumer interviews showed that many </w:t>
      </w:r>
      <w:r w:rsidR="007B68E7">
        <w:t xml:space="preserve">people </w:t>
      </w:r>
      <w:r>
        <w:t xml:space="preserve">were referred and connected to other services following their time with the centre, </w:t>
      </w:r>
      <w:r w:rsidR="00C856C6">
        <w:t xml:space="preserve">with </w:t>
      </w:r>
      <w:r>
        <w:t xml:space="preserve">many receiving multiple referrals out to other services. Where centres are providing short-to-medium term </w:t>
      </w:r>
      <w:r w:rsidR="005E6DEF">
        <w:t>support</w:t>
      </w:r>
      <w:r>
        <w:t xml:space="preserve">, they are also connecting </w:t>
      </w:r>
      <w:r w:rsidR="007B68E7">
        <w:t xml:space="preserve">people </w:t>
      </w:r>
      <w:r>
        <w:t>to ongoing services to ensure continuity</w:t>
      </w:r>
      <w:r w:rsidR="00C856C6">
        <w:t xml:space="preserve"> of care</w:t>
      </w:r>
      <w:r>
        <w:t xml:space="preserve">. </w:t>
      </w:r>
    </w:p>
    <w:p w14:paraId="729EFCA5" w14:textId="477540F2" w:rsidR="00263860" w:rsidRDefault="00263860" w:rsidP="0005659A">
      <w:r>
        <w:rPr>
          <w:noProof/>
        </w:rPr>
        <w:drawing>
          <wp:inline distT="0" distB="0" distL="0" distR="0" wp14:anchorId="78496B03" wp14:editId="550894DB">
            <wp:extent cx="5754370" cy="626210"/>
            <wp:effectExtent l="0" t="0" r="0" b="0"/>
            <wp:docPr id="1147070272" name="Graphic 3" descr="Average consumer service contacts with a cent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70272" name="Graphic 3" descr="Average consumer service contacts with a centre: 10-11"/>
                    <pic:cNvPicPr/>
                  </pic:nvPicPr>
                  <pic:blipFill>
                    <a:blip r:embed="rId24">
                      <a:extLst>
                        <a:ext uri="{96DAC541-7B7A-43D3-8B79-37D633B846F1}">
                          <asvg:svgBlip xmlns:asvg="http://schemas.microsoft.com/office/drawing/2016/SVG/main" r:embed="rId25"/>
                        </a:ext>
                      </a:extLst>
                    </a:blip>
                    <a:stretch>
                      <a:fillRect/>
                    </a:stretch>
                  </pic:blipFill>
                  <pic:spPr>
                    <a:xfrm>
                      <a:off x="0" y="0"/>
                      <a:ext cx="5983061" cy="651097"/>
                    </a:xfrm>
                    <a:prstGeom prst="rect">
                      <a:avLst/>
                    </a:prstGeom>
                  </pic:spPr>
                </pic:pic>
              </a:graphicData>
            </a:graphic>
          </wp:inline>
        </w:drawing>
      </w:r>
    </w:p>
    <w:p w14:paraId="5DA03241" w14:textId="5EA1493C" w:rsidR="00263860" w:rsidRDefault="00263860" w:rsidP="0005659A">
      <w:r>
        <w:rPr>
          <w:noProof/>
        </w:rPr>
        <w:drawing>
          <wp:inline distT="0" distB="0" distL="0" distR="0" wp14:anchorId="6C836E8B" wp14:editId="64FA5DB9">
            <wp:extent cx="5754996" cy="626279"/>
            <wp:effectExtent l="0" t="0" r="0" b="0"/>
            <wp:docPr id="1212716661" name="Graphic 3" descr="Mean episode duration: 116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16661" name="Graphic 3" descr="Mean episode duration: 116 days"/>
                    <pic:cNvPicPr/>
                  </pic:nvPicPr>
                  <pic:blipFill>
                    <a:blip r:embed="rId26">
                      <a:extLst>
                        <a:ext uri="{96DAC541-7B7A-43D3-8B79-37D633B846F1}">
                          <asvg:svgBlip xmlns:asvg="http://schemas.microsoft.com/office/drawing/2016/SVG/main" r:embed="rId27"/>
                        </a:ext>
                      </a:extLst>
                    </a:blip>
                    <a:stretch>
                      <a:fillRect/>
                    </a:stretch>
                  </pic:blipFill>
                  <pic:spPr>
                    <a:xfrm>
                      <a:off x="0" y="0"/>
                      <a:ext cx="5754996" cy="626279"/>
                    </a:xfrm>
                    <a:prstGeom prst="rect">
                      <a:avLst/>
                    </a:prstGeom>
                  </pic:spPr>
                </pic:pic>
              </a:graphicData>
            </a:graphic>
          </wp:inline>
        </w:drawing>
      </w:r>
    </w:p>
    <w:p w14:paraId="765C0C77" w14:textId="613573E1" w:rsidR="00FE38A5" w:rsidRPr="00FE38A5" w:rsidRDefault="00FE38A5" w:rsidP="00FE38A5">
      <w:pPr>
        <w:rPr>
          <w:i/>
          <w:iCs/>
        </w:rPr>
      </w:pPr>
      <w:r w:rsidRPr="00FE38A5">
        <w:rPr>
          <w:i/>
          <w:iCs/>
          <w:lang w:val="en-GB" w:eastAsia="en-AU"/>
        </w:rPr>
        <w:t>Source: Primary Mental Health Care Minimum Data Set</w:t>
      </w:r>
    </w:p>
    <w:p w14:paraId="005D5C96" w14:textId="6F93060D" w:rsidR="000F35F1" w:rsidRPr="00AE21F8" w:rsidRDefault="000F35F1" w:rsidP="00FE38A5">
      <w:pPr>
        <w:pStyle w:val="Heading2"/>
      </w:pPr>
      <w:r w:rsidRPr="00461BCB">
        <w:lastRenderedPageBreak/>
        <w:t>Strengths</w:t>
      </w:r>
      <w:r>
        <w:t xml:space="preserve"> of the </w:t>
      </w:r>
      <w:r w:rsidR="00C856C6">
        <w:t xml:space="preserve">service </w:t>
      </w:r>
      <w:r>
        <w:t>model</w:t>
      </w:r>
    </w:p>
    <w:p w14:paraId="18B588AA" w14:textId="77777777" w:rsidR="000F35F1" w:rsidRPr="0005659A" w:rsidRDefault="000F35F1" w:rsidP="00461BCB">
      <w:pPr>
        <w:pStyle w:val="Heading3"/>
      </w:pPr>
      <w:r w:rsidRPr="0005659A">
        <w:t>Consumer experience</w:t>
      </w:r>
    </w:p>
    <w:p w14:paraId="3849D7F8" w14:textId="729F2E68" w:rsidR="00F0603D" w:rsidRDefault="00F0603D" w:rsidP="0005659A">
      <w:r>
        <w:t xml:space="preserve">Evaluation </w:t>
      </w:r>
      <w:r w:rsidRPr="00A23590">
        <w:t>findings</w:t>
      </w:r>
      <w:r w:rsidR="000F35F1" w:rsidRPr="00A23590">
        <w:t xml:space="preserve"> indicate that </w:t>
      </w:r>
      <w:r w:rsidR="00A47590" w:rsidRPr="00ED6E41">
        <w:t>centre</w:t>
      </w:r>
      <w:r w:rsidR="000F35F1" w:rsidRPr="00ED6E41">
        <w:t xml:space="preserve">s are appropriate in meeting </w:t>
      </w:r>
      <w:r w:rsidR="007B68E7" w:rsidRPr="00ED6E41">
        <w:t xml:space="preserve">peoples’ </w:t>
      </w:r>
      <w:r w:rsidR="000F35F1" w:rsidRPr="00ED6E41">
        <w:t>needs</w:t>
      </w:r>
      <w:r w:rsidR="000F35F1" w:rsidRPr="00A23590">
        <w:t>, with most agreeing that they would return to a centre for future services</w:t>
      </w:r>
      <w:r w:rsidRPr="00A23590">
        <w:t xml:space="preserve"> and </w:t>
      </w:r>
      <w:r w:rsidR="000F35F1" w:rsidRPr="00A23590">
        <w:t>overall strong mental health improvements through self-assessment.</w:t>
      </w:r>
      <w:r w:rsidR="000F35F1">
        <w:t xml:space="preserve"> </w:t>
      </w:r>
    </w:p>
    <w:p w14:paraId="05950A39" w14:textId="408B3B03" w:rsidR="000F35F1" w:rsidRDefault="000F35F1" w:rsidP="0005659A">
      <w:r w:rsidRPr="00CC7A65">
        <w:t xml:space="preserve">On a 10-point scale, </w:t>
      </w:r>
      <w:r w:rsidR="007B68E7">
        <w:t xml:space="preserve">people rated their </w:t>
      </w:r>
      <w:r w:rsidRPr="00CC7A65">
        <w:t xml:space="preserve">mental health </w:t>
      </w:r>
      <w:r w:rsidR="007B68E7">
        <w:t>an average of</w:t>
      </w:r>
      <w:r w:rsidRPr="00CC7A65">
        <w:t xml:space="preserve"> 3.5 before accessing services, and 6.9 after.</w:t>
      </w:r>
      <w:r w:rsidRPr="006B6896">
        <w:t xml:space="preserve"> </w:t>
      </w:r>
      <w:r w:rsidRPr="001054C6">
        <w:t xml:space="preserve">When compared with </w:t>
      </w:r>
      <w:r>
        <w:t>other PHN commissioned programs</w:t>
      </w:r>
      <w:r w:rsidRPr="001054C6">
        <w:t xml:space="preserve">, </w:t>
      </w:r>
      <w:r w:rsidR="007B68E7">
        <w:t>people visiting centres</w:t>
      </w:r>
      <w:r w:rsidRPr="001054C6">
        <w:t xml:space="preserve"> had greater improvements in quality of life and </w:t>
      </w:r>
      <w:r>
        <w:t>clinical</w:t>
      </w:r>
      <w:r w:rsidRPr="001054C6">
        <w:t xml:space="preserve"> outcome scores.</w:t>
      </w:r>
      <w:r w:rsidRPr="006B6896">
        <w:t xml:space="preserve"> </w:t>
      </w:r>
    </w:p>
    <w:p w14:paraId="00AE0D4E" w14:textId="30412A00" w:rsidR="00552556" w:rsidRDefault="00552556" w:rsidP="00461BCB">
      <w:pPr>
        <w:pStyle w:val="Heading3"/>
      </w:pPr>
      <w:r>
        <w:rPr>
          <w:noProof/>
        </w:rPr>
        <w:drawing>
          <wp:inline distT="0" distB="0" distL="0" distR="0" wp14:anchorId="4EF51279" wp14:editId="1D2EF5FE">
            <wp:extent cx="5754370" cy="1929406"/>
            <wp:effectExtent l="0" t="0" r="0" b="1270"/>
            <wp:docPr id="1530253179" name="Graphic 3" descr="Consumer reported overall mental health improvement after using the MMHC service&#10;10-point scale:&#10;Average consumer mental health rating before accessing services: 3.5&#10;Average consumer mental health rating after accessing servcies: 6.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53179" name="Graphic 3" descr="Consumer reported overall mental health improvement after using the MMHC service&#10;10-point scale:&#10;Average consumer mental health rating before accessing services: 3.5&#10;Average consumer mental health rating after accessing servcies: 6.9 "/>
                    <pic:cNvPicPr/>
                  </pic:nvPicPr>
                  <pic:blipFill>
                    <a:blip r:embed="rId28">
                      <a:extLst>
                        <a:ext uri="{96DAC541-7B7A-43D3-8B79-37D633B846F1}">
                          <asvg:svgBlip xmlns:asvg="http://schemas.microsoft.com/office/drawing/2016/SVG/main" r:embed="rId29"/>
                        </a:ext>
                      </a:extLst>
                    </a:blip>
                    <a:stretch>
                      <a:fillRect/>
                    </a:stretch>
                  </pic:blipFill>
                  <pic:spPr>
                    <a:xfrm>
                      <a:off x="0" y="0"/>
                      <a:ext cx="5773595" cy="1935852"/>
                    </a:xfrm>
                    <a:prstGeom prst="rect">
                      <a:avLst/>
                    </a:prstGeom>
                  </pic:spPr>
                </pic:pic>
              </a:graphicData>
            </a:graphic>
          </wp:inline>
        </w:drawing>
      </w:r>
    </w:p>
    <w:p w14:paraId="41B5CDCF" w14:textId="6BF0670B" w:rsidR="000F35F1" w:rsidRPr="002A219F" w:rsidRDefault="007B68E7" w:rsidP="00461BCB">
      <w:pPr>
        <w:pStyle w:val="Heading3"/>
      </w:pPr>
      <w:r>
        <w:t xml:space="preserve">Service </w:t>
      </w:r>
      <w:r w:rsidRPr="00461BCB">
        <w:t>p</w:t>
      </w:r>
      <w:r w:rsidR="000F35F1" w:rsidRPr="00461BCB">
        <w:t>rovider</w:t>
      </w:r>
      <w:r w:rsidR="000F35F1" w:rsidRPr="002A219F">
        <w:t xml:space="preserve"> perspectives</w:t>
      </w:r>
    </w:p>
    <w:p w14:paraId="76A54476" w14:textId="61BA5EA3" w:rsidR="000F35F1" w:rsidRPr="00E0157F" w:rsidRDefault="007B68E7" w:rsidP="0005659A">
      <w:r w:rsidRPr="00A23590">
        <w:t>Service p</w:t>
      </w:r>
      <w:r w:rsidR="000F35F1" w:rsidRPr="00A23590">
        <w:t xml:space="preserve">roviders </w:t>
      </w:r>
      <w:r w:rsidR="000F35F1" w:rsidRPr="00ED6E41">
        <w:t xml:space="preserve">agreed </w:t>
      </w:r>
      <w:r w:rsidR="00A97654" w:rsidRPr="00ED6E41">
        <w:t xml:space="preserve">that centres have a </w:t>
      </w:r>
      <w:r w:rsidR="000F35F1" w:rsidRPr="00ED6E41">
        <w:t>positive impact on consumers</w:t>
      </w:r>
      <w:r w:rsidR="000C030F" w:rsidRPr="00A23590">
        <w:t>.</w:t>
      </w:r>
      <w:r w:rsidR="000C030F">
        <w:t xml:space="preserve"> M</w:t>
      </w:r>
      <w:r w:rsidR="000F35F1" w:rsidRPr="00E0157F">
        <w:t xml:space="preserve">any clinicians </w:t>
      </w:r>
      <w:r w:rsidR="000C030F">
        <w:t>also reported a</w:t>
      </w:r>
      <w:r w:rsidR="000F35F1" w:rsidRPr="00E0157F">
        <w:t xml:space="preserve"> positive impact </w:t>
      </w:r>
      <w:r w:rsidR="000C030F">
        <w:t>on</w:t>
      </w:r>
      <w:r w:rsidR="000F35F1" w:rsidRPr="00E0157F">
        <w:t xml:space="preserve"> the family and friends of </w:t>
      </w:r>
      <w:r>
        <w:t>people using centre services,</w:t>
      </w:r>
      <w:r w:rsidR="000F35F1" w:rsidRPr="00E0157F">
        <w:t xml:space="preserve"> through access to information and advice on support, and reduced costs and wait times. </w:t>
      </w:r>
    </w:p>
    <w:p w14:paraId="3D40531C" w14:textId="1EF868F8" w:rsidR="000F35F1" w:rsidRDefault="000F35F1" w:rsidP="0005659A">
      <w:r>
        <w:t xml:space="preserve">Staff also expressed that </w:t>
      </w:r>
      <w:r w:rsidR="00A47590">
        <w:t>centre</w:t>
      </w:r>
      <w:r>
        <w:t xml:space="preserve">s are </w:t>
      </w:r>
      <w:r w:rsidR="002944A6">
        <w:t>particularly</w:t>
      </w:r>
      <w:r w:rsidR="00310AD3">
        <w:t xml:space="preserve"> </w:t>
      </w:r>
      <w:r>
        <w:t xml:space="preserve">beneficial for </w:t>
      </w:r>
      <w:r w:rsidR="000C030F">
        <w:t xml:space="preserve">people </w:t>
      </w:r>
      <w:r>
        <w:t xml:space="preserve">who face barriers </w:t>
      </w:r>
      <w:r w:rsidR="000C030F">
        <w:t xml:space="preserve">to </w:t>
      </w:r>
      <w:r>
        <w:t xml:space="preserve">accessing traditional mental health services, such as First Nations people, </w:t>
      </w:r>
      <w:r w:rsidR="007500D6">
        <w:t xml:space="preserve">people from </w:t>
      </w:r>
      <w:r>
        <w:t xml:space="preserve">culturally and linguistically diverse communities, and those in older age groups. </w:t>
      </w:r>
    </w:p>
    <w:p w14:paraId="67C136C1" w14:textId="77777777" w:rsidR="000F35F1" w:rsidRPr="0005659A" w:rsidRDefault="000F35F1" w:rsidP="00461BCB">
      <w:pPr>
        <w:pStyle w:val="Heading3"/>
      </w:pPr>
      <w:r w:rsidRPr="0005659A">
        <w:t>Impact of the program</w:t>
      </w:r>
    </w:p>
    <w:p w14:paraId="7A5E854B" w14:textId="5EB1ADB6" w:rsidR="000F35F1" w:rsidRDefault="000F35F1" w:rsidP="0005659A">
      <w:r w:rsidRPr="00E0157F">
        <w:t xml:space="preserve">National data sets showed that Australia-wide mental health ambulance attendances reduced by 3% following the introduction of the first </w:t>
      </w:r>
      <w:r w:rsidR="0010374D">
        <w:t>six</w:t>
      </w:r>
      <w:r w:rsidRPr="00E0157F">
        <w:t xml:space="preserve"> </w:t>
      </w:r>
      <w:r w:rsidR="00A47590">
        <w:t>centre</w:t>
      </w:r>
      <w:r w:rsidRPr="00E0157F">
        <w:t>s.</w:t>
      </w:r>
      <w:r>
        <w:t xml:space="preserve"> While </w:t>
      </w:r>
      <w:r w:rsidR="000C030F">
        <w:t xml:space="preserve">this data does </w:t>
      </w:r>
      <w:r>
        <w:t xml:space="preserve">not </w:t>
      </w:r>
      <w:r w:rsidR="000C030F">
        <w:t>directly</w:t>
      </w:r>
      <w:r>
        <w:t xml:space="preserve"> show cause and effect, it does suggest that </w:t>
      </w:r>
      <w:r w:rsidR="00A47590">
        <w:t>centre</w:t>
      </w:r>
      <w:r>
        <w:t xml:space="preserve">s could be </w:t>
      </w:r>
      <w:r w:rsidR="000C030F">
        <w:t xml:space="preserve">helping to </w:t>
      </w:r>
      <w:r>
        <w:t>reduc</w:t>
      </w:r>
      <w:r w:rsidR="000C030F">
        <w:t xml:space="preserve">e </w:t>
      </w:r>
      <w:r>
        <w:t>hospital burden across communities.</w:t>
      </w:r>
    </w:p>
    <w:p w14:paraId="172C7FC4" w14:textId="77777777" w:rsidR="000F35F1" w:rsidRPr="0005659A" w:rsidRDefault="000F35F1" w:rsidP="00461BCB">
      <w:pPr>
        <w:pStyle w:val="Heading2"/>
      </w:pPr>
      <w:r w:rsidRPr="00461BCB">
        <w:t>Findings</w:t>
      </w:r>
      <w:r w:rsidRPr="0005659A">
        <w:t xml:space="preserve"> for further investigation</w:t>
      </w:r>
    </w:p>
    <w:p w14:paraId="212E3CE0" w14:textId="77777777" w:rsidR="000F35F1" w:rsidRPr="0075393C" w:rsidRDefault="000F35F1" w:rsidP="00461BCB">
      <w:pPr>
        <w:pStyle w:val="Heading3"/>
      </w:pPr>
      <w:r w:rsidRPr="00461BCB">
        <w:t>Governance</w:t>
      </w:r>
      <w:r w:rsidRPr="0075393C">
        <w:t xml:space="preserve"> and oversight</w:t>
      </w:r>
    </w:p>
    <w:p w14:paraId="4DF7DDFF" w14:textId="1A3B0A6D" w:rsidR="000F35F1" w:rsidRDefault="00BF736D" w:rsidP="0005659A">
      <w:r>
        <w:t xml:space="preserve">During </w:t>
      </w:r>
      <w:r w:rsidR="000F35F1">
        <w:t>early implementation</w:t>
      </w:r>
      <w:r>
        <w:t xml:space="preserve">, centres reported challenges </w:t>
      </w:r>
      <w:r w:rsidR="00465FD2">
        <w:t>with</w:t>
      </w:r>
      <w:r>
        <w:t xml:space="preserve"> </w:t>
      </w:r>
      <w:r w:rsidR="000F35F1">
        <w:t xml:space="preserve">clinical governance and clear role definitions. </w:t>
      </w:r>
      <w:r w:rsidR="001959FA" w:rsidRPr="00A23590">
        <w:t>The lack of</w:t>
      </w:r>
      <w:r w:rsidR="000F35F1" w:rsidRPr="00A23590">
        <w:t xml:space="preserve"> a shared governance framework</w:t>
      </w:r>
      <w:r w:rsidR="001959FA" w:rsidRPr="00A23590">
        <w:t xml:space="preserve"> has</w:t>
      </w:r>
      <w:r w:rsidR="000F35F1" w:rsidRPr="00A23590">
        <w:t xml:space="preserve"> hindered shar</w:t>
      </w:r>
      <w:r w:rsidR="001959FA" w:rsidRPr="00A23590">
        <w:t>ed</w:t>
      </w:r>
      <w:r w:rsidR="000F35F1" w:rsidRPr="00A23590">
        <w:t xml:space="preserve"> learnings and innovations across </w:t>
      </w:r>
      <w:r w:rsidR="00AC44EC" w:rsidRPr="00A23590">
        <w:t xml:space="preserve">the network of </w:t>
      </w:r>
      <w:r w:rsidR="000F35F1" w:rsidRPr="00A23590">
        <w:t>centres. This</w:t>
      </w:r>
      <w:r w:rsidR="000F35F1" w:rsidRPr="00ED6E41">
        <w:t xml:space="preserve"> </w:t>
      </w:r>
      <w:r w:rsidR="00C75CE7" w:rsidRPr="00A23590">
        <w:t>has</w:t>
      </w:r>
      <w:r w:rsidR="000F35F1" w:rsidRPr="00ED6E41">
        <w:t xml:space="preserve"> limited the development of consistent quality improvement processes</w:t>
      </w:r>
      <w:r w:rsidR="000F35F1" w:rsidRPr="00A23590">
        <w:t xml:space="preserve"> and contributed to inefficiencies in service planning and delivery.</w:t>
      </w:r>
    </w:p>
    <w:p w14:paraId="390C4B77" w14:textId="28C2F474" w:rsidR="000F35F1" w:rsidRDefault="00A03297" w:rsidP="0005659A">
      <w:r>
        <w:t>T</w:t>
      </w:r>
      <w:r w:rsidR="00934B8B">
        <w:t xml:space="preserve">hese issues appear to have improved over time, </w:t>
      </w:r>
      <w:r w:rsidR="0037153C">
        <w:t xml:space="preserve">however </w:t>
      </w:r>
      <w:r w:rsidR="00934B8B">
        <w:t xml:space="preserve">there is still room for further improvement as more centres are established. </w:t>
      </w:r>
      <w:r w:rsidR="000F35F1">
        <w:t xml:space="preserve">In surveys and interviews, service providers </w:t>
      </w:r>
      <w:r w:rsidR="000F35F1" w:rsidRPr="00A23590">
        <w:lastRenderedPageBreak/>
        <w:t xml:space="preserve">and PHN staff expressed the </w:t>
      </w:r>
      <w:r w:rsidR="000F35F1" w:rsidRPr="00ED6E41">
        <w:t xml:space="preserve">need for greater </w:t>
      </w:r>
      <w:r w:rsidR="00934B8B" w:rsidRPr="00ED6E41">
        <w:t xml:space="preserve">support, </w:t>
      </w:r>
      <w:r w:rsidR="000F35F1" w:rsidRPr="00ED6E41">
        <w:t>governance and clinical oversight</w:t>
      </w:r>
      <w:r w:rsidR="000F35F1" w:rsidRPr="00A23590">
        <w:t xml:space="preserve"> of the program</w:t>
      </w:r>
      <w:r w:rsidR="00934B8B" w:rsidRPr="00A23590">
        <w:t>.</w:t>
      </w:r>
    </w:p>
    <w:p w14:paraId="27B7E72E" w14:textId="77777777" w:rsidR="000F35F1" w:rsidRPr="007935D2" w:rsidRDefault="000F35F1" w:rsidP="00461BCB">
      <w:pPr>
        <w:pStyle w:val="Heading3"/>
      </w:pPr>
      <w:r>
        <w:t>Program d</w:t>
      </w:r>
      <w:r w:rsidRPr="007935D2">
        <w:t>ata</w:t>
      </w:r>
    </w:p>
    <w:p w14:paraId="552C861C" w14:textId="5A28D351" w:rsidR="000F35F1" w:rsidRPr="00A23590" w:rsidRDefault="000F35F1" w:rsidP="0005659A">
      <w:r w:rsidRPr="00A23590">
        <w:t xml:space="preserve">The evaluation shows that </w:t>
      </w:r>
      <w:r w:rsidR="00A47590" w:rsidRPr="00ED6E41">
        <w:t>centre</w:t>
      </w:r>
      <w:r w:rsidRPr="00ED6E41">
        <w:t xml:space="preserve">s are responding well to people in significant </w:t>
      </w:r>
      <w:r w:rsidR="00A47590" w:rsidRPr="00ED6E41">
        <w:t>distress</w:t>
      </w:r>
      <w:r w:rsidR="00A47590" w:rsidRPr="00A23590">
        <w:t xml:space="preserve"> but</w:t>
      </w:r>
      <w:r w:rsidRPr="00A23590">
        <w:t xml:space="preserve"> notes that </w:t>
      </w:r>
      <w:r w:rsidRPr="00ED6E41">
        <w:t>outcome data is often missing</w:t>
      </w:r>
      <w:r w:rsidRPr="00A23590">
        <w:t xml:space="preserve">. </w:t>
      </w:r>
      <w:r w:rsidR="00046602" w:rsidRPr="00A23590">
        <w:t>M</w:t>
      </w:r>
      <w:r w:rsidRPr="00A23590">
        <w:t xml:space="preserve">issing data rates have improved over time, </w:t>
      </w:r>
      <w:r w:rsidR="000179E3" w:rsidRPr="00A23590">
        <w:t xml:space="preserve">however </w:t>
      </w:r>
      <w:r w:rsidRPr="00A23590">
        <w:t>significant limitations remain, including psychological distress scores</w:t>
      </w:r>
      <w:r w:rsidR="009C586E" w:rsidRPr="00A23590">
        <w:t xml:space="preserve">, </w:t>
      </w:r>
      <w:r w:rsidRPr="00A23590">
        <w:t xml:space="preserve">which are central to outcome assessment. </w:t>
      </w:r>
    </w:p>
    <w:p w14:paraId="2821B511" w14:textId="5282FA41" w:rsidR="000F35F1" w:rsidRPr="00A23590" w:rsidRDefault="000F35F1" w:rsidP="0005659A">
      <w:r w:rsidRPr="00A23590">
        <w:t xml:space="preserve">Of those </w:t>
      </w:r>
      <w:r w:rsidR="007B68E7" w:rsidRPr="00A23590">
        <w:t xml:space="preserve">people </w:t>
      </w:r>
      <w:r w:rsidRPr="00A23590">
        <w:t xml:space="preserve">with completed outcome assessments, approximately </w:t>
      </w:r>
      <w:r w:rsidR="00046602" w:rsidRPr="00A23590">
        <w:t>one</w:t>
      </w:r>
      <w:r w:rsidRPr="00A23590">
        <w:t xml:space="preserve"> in </w:t>
      </w:r>
      <w:r w:rsidR="00046602" w:rsidRPr="00A23590">
        <w:t>three</w:t>
      </w:r>
      <w:r w:rsidRPr="00A23590">
        <w:t xml:space="preserve"> </w:t>
      </w:r>
      <w:r w:rsidR="00046602" w:rsidRPr="00A23590">
        <w:t xml:space="preserve">(33%) </w:t>
      </w:r>
      <w:r w:rsidRPr="00A23590">
        <w:t xml:space="preserve">showed statistically significant improvement and </w:t>
      </w:r>
      <w:r w:rsidR="00046602" w:rsidRPr="00A23590">
        <w:t xml:space="preserve">one </w:t>
      </w:r>
      <w:r w:rsidRPr="00A23590">
        <w:t xml:space="preserve">in </w:t>
      </w:r>
      <w:r w:rsidR="00046602" w:rsidRPr="00A23590">
        <w:t xml:space="preserve">four (25%) </w:t>
      </w:r>
      <w:r w:rsidRPr="00A23590">
        <w:t xml:space="preserve">achieved clinically significant recovery. However, only approximately one third of </w:t>
      </w:r>
      <w:r w:rsidR="007B68E7" w:rsidRPr="00A23590">
        <w:t>people</w:t>
      </w:r>
      <w:r w:rsidR="00207969" w:rsidRPr="00A23590">
        <w:t xml:space="preserve"> (33%)</w:t>
      </w:r>
      <w:r w:rsidR="007B68E7" w:rsidRPr="00A23590">
        <w:t xml:space="preserve"> </w:t>
      </w:r>
      <w:r w:rsidRPr="00A23590">
        <w:t>had completed outcome assessments at the beginning and end of their treatment episode.</w:t>
      </w:r>
      <w:r w:rsidR="00380BD3" w:rsidRPr="00A23590">
        <w:t xml:space="preserve"> </w:t>
      </w:r>
      <w:r w:rsidRPr="00ED6E41">
        <w:t>Greater outcome assessment data is needed to fully understand the effectiveness</w:t>
      </w:r>
      <w:r w:rsidRPr="00A23590">
        <w:t xml:space="preserve"> of </w:t>
      </w:r>
      <w:r w:rsidR="00A47590" w:rsidRPr="00A23590">
        <w:t>centre</w:t>
      </w:r>
      <w:r w:rsidRPr="00A23590">
        <w:t>s.</w:t>
      </w:r>
    </w:p>
    <w:p w14:paraId="302C1F4C" w14:textId="77777777" w:rsidR="000F35F1" w:rsidRPr="00A23590" w:rsidRDefault="000F35F1" w:rsidP="0005659A">
      <w:r w:rsidRPr="00A23590">
        <w:t xml:space="preserve">Operational challenges for staff members also </w:t>
      </w:r>
      <w:r w:rsidRPr="00ED6E41">
        <w:t>included limitations in data capture</w:t>
      </w:r>
      <w:r w:rsidRPr="00A23590">
        <w:t xml:space="preserve">, with existing software failing to record work conducted outside formal episodes of care. </w:t>
      </w:r>
    </w:p>
    <w:p w14:paraId="4E0E2835" w14:textId="10294F5A" w:rsidR="00552556" w:rsidRDefault="00552556" w:rsidP="00B824F4">
      <w:pPr>
        <w:rPr>
          <w:rFonts w:asciiTheme="minorHAnsi" w:hAnsiTheme="minorHAnsi" w:cstheme="minorHAnsi"/>
          <w:b/>
          <w:bCs/>
          <w:color w:val="000000"/>
          <w:sz w:val="52"/>
          <w:szCs w:val="52"/>
          <w:lang w:val="en-GB" w:eastAsia="en-AU"/>
        </w:rPr>
      </w:pPr>
      <w:r>
        <w:rPr>
          <w:noProof/>
        </w:rPr>
        <w:drawing>
          <wp:inline distT="0" distB="0" distL="0" distR="0" wp14:anchorId="1BD5D7DC" wp14:editId="4070CA8A">
            <wp:extent cx="5776561" cy="1936847"/>
            <wp:effectExtent l="0" t="0" r="2540" b="0"/>
            <wp:docPr id="1334834216" name="Graphic 3" descr="MMHC consumer improvements (with completed K10 assessments)&#10;Statistically significant improvement: approximately 1 in 3 MMHC consumers &#10;Clinically significant recovery (distress moved from clinical to non-clinical range): 1 i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34216" name="Graphic 3" descr="MMHC consumer improvements (with completed K10 assessments)&#10;Statistically significant improvement: approximately 1 in 3 MMHC consumers &#10;Clinically significant recovery (distress moved from clinical to non-clinical range): 1 in 4"/>
                    <pic:cNvPicPr/>
                  </pic:nvPicPr>
                  <pic:blipFill>
                    <a:blip r:embed="rId30">
                      <a:extLst>
                        <a:ext uri="{96DAC541-7B7A-43D3-8B79-37D633B846F1}">
                          <asvg:svgBlip xmlns:asvg="http://schemas.microsoft.com/office/drawing/2016/SVG/main" r:embed="rId31"/>
                        </a:ext>
                      </a:extLst>
                    </a:blip>
                    <a:stretch>
                      <a:fillRect/>
                    </a:stretch>
                  </pic:blipFill>
                  <pic:spPr>
                    <a:xfrm>
                      <a:off x="0" y="0"/>
                      <a:ext cx="5776561" cy="1936847"/>
                    </a:xfrm>
                    <a:prstGeom prst="rect">
                      <a:avLst/>
                    </a:prstGeom>
                  </pic:spPr>
                </pic:pic>
              </a:graphicData>
            </a:graphic>
          </wp:inline>
        </w:drawing>
      </w:r>
    </w:p>
    <w:p w14:paraId="27B98373" w14:textId="5FB5D7D0" w:rsidR="000F35F1" w:rsidRPr="001C7F41" w:rsidRDefault="000F35F1" w:rsidP="00461BCB">
      <w:pPr>
        <w:pStyle w:val="Heading3"/>
      </w:pPr>
      <w:r w:rsidRPr="00461BCB">
        <w:t>Workforce</w:t>
      </w:r>
    </w:p>
    <w:p w14:paraId="12F48847" w14:textId="1FDAADA1" w:rsidR="000F35F1" w:rsidRDefault="000F35F1" w:rsidP="0005659A">
      <w:r w:rsidRPr="00A23590">
        <w:t xml:space="preserve">The </w:t>
      </w:r>
      <w:r w:rsidRPr="00ED6E41">
        <w:t>multidisciplinary team model of the program is key to its success</w:t>
      </w:r>
      <w:r w:rsidR="00A47590" w:rsidRPr="00A23590">
        <w:t>. However</w:t>
      </w:r>
      <w:r w:rsidR="00A47590" w:rsidRPr="001C7F41">
        <w:t>,</w:t>
      </w:r>
      <w:r w:rsidRPr="001C7F41">
        <w:t xml:space="preserve"> there are challenges </w:t>
      </w:r>
      <w:r w:rsidR="00260976">
        <w:t xml:space="preserve">to achieving the right </w:t>
      </w:r>
      <w:r w:rsidR="00234ED6">
        <w:t>balance</w:t>
      </w:r>
      <w:r w:rsidR="0015069C">
        <w:t xml:space="preserve">. </w:t>
      </w:r>
      <w:r w:rsidR="00764A07">
        <w:t>Centre</w:t>
      </w:r>
      <w:r w:rsidR="00512BD4">
        <w:t>s report unclear</w:t>
      </w:r>
      <w:r w:rsidRPr="001C7F41">
        <w:t xml:space="preserve"> definitions of staff roles</w:t>
      </w:r>
      <w:r w:rsidR="000B1EF1">
        <w:t xml:space="preserve">, </w:t>
      </w:r>
      <w:r w:rsidR="008602BA">
        <w:t xml:space="preserve">particularly relating to </w:t>
      </w:r>
      <w:r w:rsidR="000B1EF1">
        <w:t>the responsibilities for peer workers</w:t>
      </w:r>
      <w:r w:rsidR="00FF75A1">
        <w:t xml:space="preserve"> </w:t>
      </w:r>
      <w:r w:rsidR="00DB6BCD">
        <w:t xml:space="preserve">who were </w:t>
      </w:r>
      <w:r w:rsidR="00FF75A1">
        <w:t xml:space="preserve">often expected to take on more administrative work. Due to workforce shortages across the sector and limited funding, there are also reported difficulties </w:t>
      </w:r>
      <w:r w:rsidRPr="001C7F41">
        <w:t>achieving the right mix of skills</w:t>
      </w:r>
      <w:r w:rsidR="005521C3">
        <w:t>, hiring the desired roles</w:t>
      </w:r>
      <w:r w:rsidRPr="001C7F41">
        <w:t>, and offering competitive salaries.</w:t>
      </w:r>
    </w:p>
    <w:p w14:paraId="4A1CD9CB" w14:textId="4CAAB572" w:rsidR="000F35F1" w:rsidRDefault="00380BD3" w:rsidP="0005659A">
      <w:r>
        <w:t>C</w:t>
      </w:r>
      <w:r w:rsidR="00A47590">
        <w:t>entre</w:t>
      </w:r>
      <w:r w:rsidR="000F35F1">
        <w:t>s work best with short wait times and out-of-hours access, so challenges with workforce availability and stability can impact the quality of service provi</w:t>
      </w:r>
      <w:r w:rsidR="007B68E7">
        <w:t>sion</w:t>
      </w:r>
      <w:r w:rsidR="000F35F1">
        <w:t>.</w:t>
      </w:r>
    </w:p>
    <w:p w14:paraId="4FDC1DF5" w14:textId="77777777" w:rsidR="000F35F1" w:rsidRPr="0005659A" w:rsidRDefault="000F35F1" w:rsidP="00461BCB">
      <w:pPr>
        <w:pStyle w:val="Heading3"/>
      </w:pPr>
      <w:r w:rsidRPr="0005659A">
        <w:t xml:space="preserve">Service </w:t>
      </w:r>
      <w:r w:rsidRPr="00461BCB">
        <w:t>integration</w:t>
      </w:r>
      <w:r w:rsidRPr="0005659A">
        <w:t xml:space="preserve"> and public awareness</w:t>
      </w:r>
    </w:p>
    <w:p w14:paraId="4A761858" w14:textId="0075DE11" w:rsidR="000F35F1" w:rsidRDefault="000F35F1" w:rsidP="0005659A">
      <w:r>
        <w:t xml:space="preserve">Providers and PHN staff </w:t>
      </w:r>
      <w:r w:rsidRPr="00A23590">
        <w:t xml:space="preserve">emphasised the need for </w:t>
      </w:r>
      <w:r w:rsidRPr="00ED6E41">
        <w:t>increased communication activities and public awareness campaigns</w:t>
      </w:r>
      <w:r w:rsidRPr="00A23590">
        <w:t xml:space="preserve"> for the program</w:t>
      </w:r>
      <w:r w:rsidR="00DE415E">
        <w:t xml:space="preserve"> to build</w:t>
      </w:r>
      <w:r w:rsidR="009C586E">
        <w:t xml:space="preserve"> </w:t>
      </w:r>
      <w:r>
        <w:t>awareness</w:t>
      </w:r>
      <w:r w:rsidR="00DE415E">
        <w:t xml:space="preserve"> and </w:t>
      </w:r>
      <w:r w:rsidR="00073C1D">
        <w:t>explain</w:t>
      </w:r>
      <w:r w:rsidR="00DE415E">
        <w:t xml:space="preserve"> the model</w:t>
      </w:r>
      <w:r w:rsidR="00804275">
        <w:t xml:space="preserve"> of care</w:t>
      </w:r>
      <w:r w:rsidR="00DE415E">
        <w:t>.</w:t>
      </w:r>
      <w:r w:rsidR="009C586E">
        <w:t xml:space="preserve"> </w:t>
      </w:r>
    </w:p>
    <w:p w14:paraId="2F90C7BA" w14:textId="6B272317" w:rsidR="000F35F1" w:rsidRPr="00D017D9" w:rsidRDefault="000F35F1" w:rsidP="0005659A">
      <w:r>
        <w:t>Greater awareness is also needed among other health and mental health care providers</w:t>
      </w:r>
      <w:r w:rsidR="0040084E">
        <w:t xml:space="preserve"> to improve integration</w:t>
      </w:r>
      <w:r w:rsidR="00DB0579">
        <w:t xml:space="preserve"> </w:t>
      </w:r>
      <w:r w:rsidR="00722013">
        <w:t xml:space="preserve">between services. </w:t>
      </w:r>
    </w:p>
    <w:p w14:paraId="604B09A7" w14:textId="77777777" w:rsidR="000F35F1" w:rsidRPr="0005659A" w:rsidRDefault="000F35F1" w:rsidP="00461BCB">
      <w:pPr>
        <w:pStyle w:val="Heading2"/>
      </w:pPr>
      <w:r w:rsidRPr="0005659A">
        <w:lastRenderedPageBreak/>
        <w:t xml:space="preserve">Future </w:t>
      </w:r>
      <w:r w:rsidRPr="00461BCB">
        <w:t>directions</w:t>
      </w:r>
      <w:r w:rsidRPr="0005659A">
        <w:t xml:space="preserve"> </w:t>
      </w:r>
    </w:p>
    <w:p w14:paraId="39BE38C4" w14:textId="577A1819" w:rsidR="000F35F1" w:rsidRDefault="000F35F1" w:rsidP="0005659A">
      <w:r w:rsidRPr="00C54D2D">
        <w:t xml:space="preserve">Long-term success for </w:t>
      </w:r>
      <w:r w:rsidR="00A47590">
        <w:t>centre</w:t>
      </w:r>
      <w:r w:rsidRPr="00C54D2D">
        <w:t xml:space="preserve">s </w:t>
      </w:r>
      <w:r w:rsidR="009C586E">
        <w:t>requires</w:t>
      </w:r>
      <w:r w:rsidRPr="00C54D2D">
        <w:t xml:space="preserve"> deliver</w:t>
      </w:r>
      <w:r w:rsidR="009C586E">
        <w:t>y of</w:t>
      </w:r>
      <w:r w:rsidRPr="00C54D2D">
        <w:t xml:space="preserve"> integrated care through a stable, multidisciplinary workforce supported by strong governance and clear role definitions.</w:t>
      </w:r>
    </w:p>
    <w:p w14:paraId="51947CA9" w14:textId="7569A9AD" w:rsidR="000F35F1" w:rsidRDefault="001F5765" w:rsidP="0005659A">
      <w:r>
        <w:t xml:space="preserve">When assessing the overall strength of the program, the evaluation concluded that Medicare Mental Health Centres </w:t>
      </w:r>
      <w:r w:rsidR="00E67675">
        <w:t xml:space="preserve">is a successful program that should continue without large redesign or overhaul needed. Instead, the evaluation offers some </w:t>
      </w:r>
      <w:r w:rsidR="00142AD0">
        <w:t xml:space="preserve">suggested improvements to target the areas of the program that </w:t>
      </w:r>
      <w:r w:rsidR="00AC159F">
        <w:t xml:space="preserve">require additional support. </w:t>
      </w:r>
    </w:p>
    <w:p w14:paraId="1AC0BF21" w14:textId="2CA3576B" w:rsidR="00695FBC" w:rsidRPr="00695FBC" w:rsidRDefault="00695FBC" w:rsidP="00F4714A">
      <w:pPr>
        <w:pStyle w:val="Heading3"/>
        <w:rPr>
          <w:sz w:val="2"/>
          <w:szCs w:val="2"/>
        </w:rPr>
      </w:pPr>
    </w:p>
    <w:p w14:paraId="4148B308" w14:textId="67C4C04D" w:rsidR="007172F8" w:rsidRPr="00165AE9" w:rsidRDefault="00165AE9" w:rsidP="00695FBC">
      <w:pPr>
        <w:pStyle w:val="Heading3"/>
      </w:pPr>
      <w:r w:rsidRPr="00695FBC">
        <w:t>Program</w:t>
      </w:r>
      <w:r w:rsidRPr="00165AE9">
        <w:t xml:space="preserve"> </w:t>
      </w:r>
      <w:r w:rsidRPr="00695FBC">
        <w:t>governance</w:t>
      </w:r>
    </w:p>
    <w:p w14:paraId="3B10B34E" w14:textId="6CE08671" w:rsidR="00536822" w:rsidRDefault="000F35F1" w:rsidP="0005659A">
      <w:r>
        <w:t xml:space="preserve">The </w:t>
      </w:r>
      <w:r w:rsidR="002522AA">
        <w:t>Commonwealth</w:t>
      </w:r>
      <w:r>
        <w:t xml:space="preserve"> should </w:t>
      </w:r>
      <w:r w:rsidR="00AC159F" w:rsidRPr="00ED6E41">
        <w:t xml:space="preserve">enhance </w:t>
      </w:r>
      <w:r w:rsidRPr="00ED6E41">
        <w:t>program governance</w:t>
      </w:r>
      <w:r>
        <w:t xml:space="preserve">, especially </w:t>
      </w:r>
      <w:r w:rsidR="009C586E">
        <w:t xml:space="preserve">as </w:t>
      </w:r>
      <w:r>
        <w:t xml:space="preserve">the network of centres continues to expand, and investigate what level of national clinical governance would be appropriate to better support </w:t>
      </w:r>
      <w:r w:rsidR="00A47590">
        <w:t>centre</w:t>
      </w:r>
      <w:r>
        <w:t xml:space="preserve"> staff and outcomes</w:t>
      </w:r>
      <w:r w:rsidR="008B26D3">
        <w:t xml:space="preserve"> for people visiting the centres</w:t>
      </w:r>
      <w:r>
        <w:t xml:space="preserve">. </w:t>
      </w:r>
      <w:r w:rsidR="00036A50">
        <w:t xml:space="preserve">The program could provide a framework for implementation, outlining </w:t>
      </w:r>
      <w:r w:rsidR="005F31F2">
        <w:t xml:space="preserve">expectations of staffing, service integration, and governance. </w:t>
      </w:r>
    </w:p>
    <w:p w14:paraId="46EA3FF2" w14:textId="04AE4563" w:rsidR="00165AE9" w:rsidRPr="00165AE9" w:rsidRDefault="00165AE9" w:rsidP="00695FBC">
      <w:pPr>
        <w:pStyle w:val="Heading3"/>
      </w:pPr>
      <w:r w:rsidRPr="00461BCB">
        <w:t>Program</w:t>
      </w:r>
      <w:r>
        <w:t xml:space="preserve"> d</w:t>
      </w:r>
      <w:r w:rsidRPr="00165AE9">
        <w:t>ata</w:t>
      </w:r>
    </w:p>
    <w:p w14:paraId="0E6071AA" w14:textId="69F11EEA" w:rsidR="000F35F1" w:rsidRDefault="000F35F1" w:rsidP="0005659A">
      <w:r>
        <w:t xml:space="preserve">Future evaluation and </w:t>
      </w:r>
      <w:r w:rsidRPr="00ED6E41">
        <w:t>continuous improvement</w:t>
      </w:r>
      <w:r w:rsidR="00A47590" w:rsidRPr="00ED6E41">
        <w:t xml:space="preserve"> require</w:t>
      </w:r>
      <w:r w:rsidRPr="00ED6E41">
        <w:t xml:space="preserve"> </w:t>
      </w:r>
      <w:r w:rsidR="00A47590" w:rsidRPr="00ED6E41">
        <w:t>more and better</w:t>
      </w:r>
      <w:r w:rsidRPr="00ED6E41">
        <w:t xml:space="preserve"> data</w:t>
      </w:r>
      <w:r w:rsidRPr="00C373BD">
        <w:t xml:space="preserve">. </w:t>
      </w:r>
      <w:r>
        <w:t xml:space="preserve">The current dataset </w:t>
      </w:r>
      <w:r w:rsidRPr="007B5590">
        <w:t xml:space="preserve">alone cannot be easily used to inform future placement of services. Planning would be significantly enhanced with better linkage of </w:t>
      </w:r>
      <w:r w:rsidR="00A47590">
        <w:t xml:space="preserve">relevant </w:t>
      </w:r>
      <w:r w:rsidRPr="007B5590">
        <w:t>national datasets, ideally in conjunction with local workforce and service provision modelling tools.</w:t>
      </w:r>
      <w:r w:rsidR="00A47590" w:rsidRPr="00A47590">
        <w:t xml:space="preserve"> </w:t>
      </w:r>
      <w:r w:rsidR="00A47590">
        <w:t xml:space="preserve">This would help </w:t>
      </w:r>
      <w:r w:rsidR="00A47590" w:rsidRPr="007B5590">
        <w:t xml:space="preserve">to inform </w:t>
      </w:r>
      <w:r w:rsidR="00A47590">
        <w:t xml:space="preserve">and support important decisions, such as </w:t>
      </w:r>
      <w:r w:rsidR="00A47590" w:rsidRPr="007B5590">
        <w:t>where new services should be established.</w:t>
      </w:r>
    </w:p>
    <w:p w14:paraId="36523AAB" w14:textId="404742BE" w:rsidR="00165AE9" w:rsidRPr="00165AE9" w:rsidRDefault="00165AE9" w:rsidP="00461BCB">
      <w:pPr>
        <w:pStyle w:val="Heading3"/>
      </w:pPr>
      <w:r w:rsidRPr="00461BCB">
        <w:t>Workforce</w:t>
      </w:r>
    </w:p>
    <w:p w14:paraId="24F55150" w14:textId="63B2AFB2" w:rsidR="000F35F1" w:rsidRDefault="000F35F1" w:rsidP="0005659A">
      <w:r>
        <w:t xml:space="preserve">Workforce challenges persist across the entire health and mental health system in Australia, not just in the </w:t>
      </w:r>
      <w:r w:rsidR="00A47590">
        <w:t>centre</w:t>
      </w:r>
      <w:r>
        <w:t xml:space="preserve"> program. The department should investigate further what can be done within the current workforce environment to support centres</w:t>
      </w:r>
      <w:r w:rsidR="00C87416">
        <w:t xml:space="preserve">, such as encouraging </w:t>
      </w:r>
      <w:r w:rsidR="00556439">
        <w:t xml:space="preserve">centres to partner with universities </w:t>
      </w:r>
      <w:r w:rsidR="0081494D">
        <w:t xml:space="preserve">to provide </w:t>
      </w:r>
      <w:r w:rsidR="00053C26">
        <w:t xml:space="preserve">student </w:t>
      </w:r>
      <w:r w:rsidR="0081494D">
        <w:t xml:space="preserve">placement opportunities </w:t>
      </w:r>
      <w:r w:rsidR="007A525F">
        <w:t xml:space="preserve">or promoting the inclusive </w:t>
      </w:r>
      <w:r w:rsidR="00BB7CD3">
        <w:t xml:space="preserve">culture </w:t>
      </w:r>
      <w:r w:rsidR="007A525F">
        <w:t xml:space="preserve">and rewarding </w:t>
      </w:r>
      <w:r w:rsidR="00BB7CD3">
        <w:t>work of the program</w:t>
      </w:r>
      <w:r>
        <w:t xml:space="preserve">. </w:t>
      </w:r>
    </w:p>
    <w:p w14:paraId="014AE2C8" w14:textId="20134C2F" w:rsidR="00165AE9" w:rsidRPr="00165AE9" w:rsidRDefault="00165AE9" w:rsidP="00461BCB">
      <w:pPr>
        <w:pStyle w:val="Heading3"/>
      </w:pPr>
      <w:r w:rsidRPr="00461BCB">
        <w:t>Promotion</w:t>
      </w:r>
      <w:r w:rsidRPr="00165AE9">
        <w:t xml:space="preserve"> and service integration</w:t>
      </w:r>
    </w:p>
    <w:p w14:paraId="45EF3DA6" w14:textId="6D1F2696" w:rsidR="00380BD3" w:rsidRDefault="000F35F1" w:rsidP="0005659A">
      <w:r w:rsidRPr="00ED6E41">
        <w:t xml:space="preserve">Service integration is another challenge that is not unique to </w:t>
      </w:r>
      <w:r w:rsidR="00A47590" w:rsidRPr="00ED6E41">
        <w:t>centre</w:t>
      </w:r>
      <w:r w:rsidRPr="00ED6E41">
        <w:t>s</w:t>
      </w:r>
      <w:r>
        <w:t xml:space="preserve"> in the context of the Australian mental health sector, although </w:t>
      </w:r>
      <w:r w:rsidR="00A47590">
        <w:t>centre</w:t>
      </w:r>
      <w:r>
        <w:t xml:space="preserve">s face this challenge alongside a lack of broad community and provider awareness of the program. </w:t>
      </w:r>
      <w:r w:rsidR="00844497">
        <w:t xml:space="preserve">More promotion and communication would help ensure the right people are accessing centres and that they are </w:t>
      </w:r>
      <w:r w:rsidR="002C7752">
        <w:t>better</w:t>
      </w:r>
      <w:r w:rsidR="005A6C36">
        <w:t xml:space="preserve"> </w:t>
      </w:r>
      <w:r w:rsidR="00844497">
        <w:t xml:space="preserve">understood by the rest of the sector. </w:t>
      </w:r>
    </w:p>
    <w:p w14:paraId="053DD7A1" w14:textId="48141826" w:rsidR="000F35F1" w:rsidRDefault="00844497" w:rsidP="0005659A">
      <w:r>
        <w:t xml:space="preserve">This will also contribute </w:t>
      </w:r>
      <w:r w:rsidR="000F35F1">
        <w:t>to</w:t>
      </w:r>
      <w:r w:rsidRPr="00844497">
        <w:t xml:space="preserve"> </w:t>
      </w:r>
      <w:r>
        <w:t>more effective</w:t>
      </w:r>
      <w:r w:rsidR="000F35F1">
        <w:t xml:space="preserve"> integrat</w:t>
      </w:r>
      <w:r>
        <w:t>ion of centres</w:t>
      </w:r>
      <w:r w:rsidR="000F35F1">
        <w:t xml:space="preserve"> into the mental health system as a program providing not only psychological care, but holistic coordination support</w:t>
      </w:r>
      <w:r>
        <w:t xml:space="preserve">. </w:t>
      </w:r>
      <w:r w:rsidR="000F35F1">
        <w:t xml:space="preserve"> </w:t>
      </w:r>
    </w:p>
    <w:p w14:paraId="4AC09FE2" w14:textId="77777777" w:rsidR="00F4714A" w:rsidRDefault="00F4714A">
      <w:pPr>
        <w:spacing w:before="0" w:after="0" w:line="240" w:lineRule="auto"/>
        <w:rPr>
          <w:rFonts w:cs="Arial"/>
          <w:b/>
          <w:bCs/>
          <w:iCs/>
          <w:color w:val="245457" w:themeColor="accent2"/>
          <w:sz w:val="36"/>
          <w:szCs w:val="28"/>
        </w:rPr>
      </w:pPr>
      <w:r>
        <w:br w:type="page"/>
      </w:r>
    </w:p>
    <w:p w14:paraId="1B77C2AC" w14:textId="3215AF33" w:rsidR="00C87FAF" w:rsidRDefault="00E10F26" w:rsidP="00C87FAF">
      <w:pPr>
        <w:pStyle w:val="Heading2"/>
      </w:pPr>
      <w:r>
        <w:lastRenderedPageBreak/>
        <w:t>E</w:t>
      </w:r>
      <w:r w:rsidR="00C87FAF">
        <w:t>valuation – Medicare Mental Health Phone Service</w:t>
      </w:r>
    </w:p>
    <w:p w14:paraId="5C740797" w14:textId="77777777" w:rsidR="00C87FAF" w:rsidRDefault="00C87FAF" w:rsidP="00C87FAF">
      <w:pPr>
        <w:pStyle w:val="Heading3"/>
      </w:pPr>
      <w:r>
        <w:t>Overview of findings</w:t>
      </w:r>
    </w:p>
    <w:p w14:paraId="6A541427" w14:textId="22A02BB2" w:rsidR="00C87FAF" w:rsidRDefault="00C87FAF" w:rsidP="00C87FAF">
      <w:r w:rsidRPr="00031F41">
        <w:t xml:space="preserve">The Medicare Mental Health phone service is designed to </w:t>
      </w:r>
      <w:r>
        <w:t xml:space="preserve">provide </w:t>
      </w:r>
      <w:r w:rsidR="00663132">
        <w:t xml:space="preserve">people </w:t>
      </w:r>
      <w:r>
        <w:t xml:space="preserve">with accessible mental health support – including information, advice, assessment, and referral to local services. </w:t>
      </w:r>
    </w:p>
    <w:p w14:paraId="36961660" w14:textId="5A67DCF7" w:rsidR="00C87FAF" w:rsidRDefault="00927B03" w:rsidP="00C87FAF">
      <w:r>
        <w:t xml:space="preserve">The Commonwealth funds PHNs to </w:t>
      </w:r>
      <w:r w:rsidR="00074406">
        <w:t xml:space="preserve">implement </w:t>
      </w:r>
      <w:r w:rsidR="00A76599">
        <w:t>their own local phone service</w:t>
      </w:r>
      <w:r w:rsidR="00C87FAF">
        <w:t>, adapting the program to meet the unique needs of their location.</w:t>
      </w:r>
    </w:p>
    <w:p w14:paraId="36E54488" w14:textId="77777777" w:rsidR="00C87FAF" w:rsidRDefault="00C87FAF" w:rsidP="00C87FAF">
      <w:pPr>
        <w:rPr>
          <w:szCs w:val="22"/>
        </w:rPr>
      </w:pPr>
      <w:r>
        <w:rPr>
          <w:szCs w:val="22"/>
        </w:rPr>
        <w:t xml:space="preserve">The phone service is a crucial resource for people who might otherwise struggle to access mental health services as there are no eligibility requirements. The evaluation found that community awareness of the service is low and that many potential consumers might not know it exists. </w:t>
      </w:r>
    </w:p>
    <w:p w14:paraId="09256DBB" w14:textId="1496E647" w:rsidR="00C87FAF" w:rsidRPr="00F4714A" w:rsidRDefault="00C87FAF" w:rsidP="00F4714A">
      <w:pPr>
        <w:rPr>
          <w:szCs w:val="22"/>
        </w:rPr>
      </w:pPr>
      <w:r w:rsidRPr="008C544D">
        <w:rPr>
          <w:szCs w:val="22"/>
        </w:rPr>
        <w:t xml:space="preserve">The </w:t>
      </w:r>
      <w:r w:rsidRPr="00ED6E41">
        <w:rPr>
          <w:szCs w:val="22"/>
        </w:rPr>
        <w:t>growth in the reach of the phone service has been significant</w:t>
      </w:r>
      <w:r w:rsidRPr="001430F1">
        <w:rPr>
          <w:szCs w:val="22"/>
        </w:rPr>
        <w:t>, with</w:t>
      </w:r>
      <w:r w:rsidRPr="008C544D">
        <w:rPr>
          <w:szCs w:val="22"/>
        </w:rPr>
        <w:t xml:space="preserve"> the number of calls more than doubling from approx</w:t>
      </w:r>
      <w:r>
        <w:rPr>
          <w:szCs w:val="22"/>
        </w:rPr>
        <w:t>imately</w:t>
      </w:r>
      <w:r w:rsidRPr="008C544D">
        <w:rPr>
          <w:szCs w:val="22"/>
        </w:rPr>
        <w:t xml:space="preserve"> 50,000 in 2022-2023 to over 120,000 in</w:t>
      </w:r>
      <w:r w:rsidR="00F4714A">
        <w:rPr>
          <w:szCs w:val="22"/>
        </w:rPr>
        <w:br/>
      </w:r>
      <w:r w:rsidRPr="008C544D">
        <w:rPr>
          <w:szCs w:val="22"/>
        </w:rPr>
        <w:t>2023-2024.</w:t>
      </w:r>
      <w:r>
        <w:rPr>
          <w:szCs w:val="22"/>
        </w:rPr>
        <w:t xml:space="preserve"> This increase in demand is a good sign for the program, but more needs to be done to spread awareness to the general population. </w:t>
      </w:r>
    </w:p>
    <w:p w14:paraId="7BB9F13B" w14:textId="555A6D71" w:rsidR="00C87FAF" w:rsidRDefault="00C87FAF" w:rsidP="00C87FAF">
      <w:pPr>
        <w:pStyle w:val="Heading3"/>
      </w:pPr>
      <w:r>
        <w:t>Strengths of the model</w:t>
      </w:r>
    </w:p>
    <w:p w14:paraId="276863BD" w14:textId="2F356F5C" w:rsidR="00C87FAF" w:rsidRDefault="00C87FAF" w:rsidP="00C87FAF">
      <w:r w:rsidRPr="007B537C">
        <w:t xml:space="preserve">A key </w:t>
      </w:r>
      <w:r>
        <w:t>aim</w:t>
      </w:r>
      <w:r w:rsidRPr="007B537C">
        <w:t xml:space="preserve"> of </w:t>
      </w:r>
      <w:r>
        <w:t>the phone service</w:t>
      </w:r>
      <w:r w:rsidRPr="007B537C">
        <w:t xml:space="preserve"> is </w:t>
      </w:r>
      <w:r>
        <w:t xml:space="preserve">to </w:t>
      </w:r>
      <w:r w:rsidRPr="007B537C">
        <w:t xml:space="preserve">offer a seamless care pathway for consumers to receive the right level of care at the right time to meet their mental health needs. </w:t>
      </w:r>
    </w:p>
    <w:p w14:paraId="6AC71483" w14:textId="77777777" w:rsidR="00C87FAF" w:rsidRDefault="00C87FAF" w:rsidP="00C87FAF">
      <w:pPr>
        <w:rPr>
          <w:rFonts w:asciiTheme="minorHAnsi" w:hAnsiTheme="minorHAnsi"/>
          <w:szCs w:val="28"/>
        </w:rPr>
      </w:pPr>
      <w:r>
        <w:rPr>
          <w:rFonts w:asciiTheme="minorHAnsi" w:hAnsiTheme="minorHAnsi"/>
          <w:szCs w:val="28"/>
        </w:rPr>
        <w:t>This requires the phone service staff in each area to have strong relationships with local services and keep updated waitlist information to direct users to the most appropriate support.</w:t>
      </w:r>
    </w:p>
    <w:p w14:paraId="726AD109" w14:textId="2FFDFB5B" w:rsidR="00C87FAF" w:rsidRDefault="00C87FAF" w:rsidP="00C87FAF">
      <w:pPr>
        <w:rPr>
          <w:rFonts w:asciiTheme="minorHAnsi" w:hAnsiTheme="minorHAnsi"/>
          <w:szCs w:val="28"/>
        </w:rPr>
      </w:pPr>
      <w:r>
        <w:rPr>
          <w:rFonts w:asciiTheme="minorHAnsi" w:hAnsiTheme="minorHAnsi"/>
          <w:szCs w:val="28"/>
        </w:rPr>
        <w:t xml:space="preserve">The evaluation refers to this information as a local service directory – and findings show that </w:t>
      </w:r>
      <w:r w:rsidRPr="00ED6E41">
        <w:rPr>
          <w:rFonts w:asciiTheme="minorHAnsi" w:hAnsiTheme="minorHAnsi"/>
          <w:szCs w:val="28"/>
        </w:rPr>
        <w:t>the success of the phone service is largely dependent on the quality and timely updates of each PHN’s local service director</w:t>
      </w:r>
      <w:r w:rsidR="005B5839" w:rsidRPr="00ED6E41">
        <w:rPr>
          <w:rFonts w:asciiTheme="minorHAnsi" w:hAnsiTheme="minorHAnsi"/>
          <w:szCs w:val="28"/>
        </w:rPr>
        <w:t>y</w:t>
      </w:r>
      <w:r w:rsidRPr="001430F1">
        <w:rPr>
          <w:rFonts w:asciiTheme="minorHAnsi" w:hAnsiTheme="minorHAnsi"/>
          <w:szCs w:val="28"/>
        </w:rPr>
        <w:t>.</w:t>
      </w:r>
      <w:r>
        <w:rPr>
          <w:rFonts w:asciiTheme="minorHAnsi" w:hAnsiTheme="minorHAnsi"/>
          <w:szCs w:val="28"/>
        </w:rPr>
        <w:t xml:space="preserve"> </w:t>
      </w:r>
    </w:p>
    <w:p w14:paraId="06E2323F" w14:textId="3DA0B138" w:rsidR="00C87FAF" w:rsidRDefault="00C87FAF" w:rsidP="00C87FAF">
      <w:pPr>
        <w:rPr>
          <w:rFonts w:asciiTheme="minorHAnsi" w:hAnsiTheme="minorHAnsi"/>
          <w:szCs w:val="28"/>
        </w:rPr>
      </w:pPr>
      <w:r>
        <w:rPr>
          <w:rFonts w:asciiTheme="minorHAnsi" w:hAnsiTheme="minorHAnsi"/>
          <w:szCs w:val="28"/>
        </w:rPr>
        <w:t xml:space="preserve">Overall, the feedback from those who had used the phone service, phone service staff, and PHN staff was that the phone service is a simple access point for mental health support. </w:t>
      </w:r>
    </w:p>
    <w:p w14:paraId="2EAE44A0" w14:textId="77777777" w:rsidR="00C87FAF" w:rsidRPr="00D0554F" w:rsidRDefault="00C87FAF" w:rsidP="00C87FAF">
      <w:pPr>
        <w:pStyle w:val="Heading4"/>
      </w:pPr>
      <w:r w:rsidRPr="00D0554F">
        <w:t>Feedback</w:t>
      </w:r>
    </w:p>
    <w:tbl>
      <w:tblPr>
        <w:tblStyle w:val="TableGrid"/>
        <w:tblW w:w="0" w:type="auto"/>
        <w:tblLook w:val="04A0" w:firstRow="1" w:lastRow="0" w:firstColumn="1" w:lastColumn="0" w:noHBand="0" w:noVBand="1"/>
      </w:tblPr>
      <w:tblGrid>
        <w:gridCol w:w="1701"/>
        <w:gridCol w:w="2552"/>
        <w:gridCol w:w="2509"/>
        <w:gridCol w:w="2254"/>
      </w:tblGrid>
      <w:tr w:rsidR="00C87FAF" w14:paraId="20D81D07" w14:textId="77777777" w:rsidTr="00C87FAF">
        <w:tc>
          <w:tcPr>
            <w:tcW w:w="1701" w:type="dxa"/>
            <w:tcBorders>
              <w:top w:val="nil"/>
              <w:left w:val="nil"/>
              <w:right w:val="nil"/>
            </w:tcBorders>
          </w:tcPr>
          <w:p w14:paraId="6E8B6844" w14:textId="77777777" w:rsidR="00C87FAF" w:rsidRDefault="00C87FAF" w:rsidP="00C87FAF"/>
        </w:tc>
        <w:tc>
          <w:tcPr>
            <w:tcW w:w="2552" w:type="dxa"/>
            <w:tcBorders>
              <w:top w:val="nil"/>
              <w:left w:val="nil"/>
              <w:right w:val="nil"/>
            </w:tcBorders>
            <w:shd w:val="clear" w:color="auto" w:fill="245457" w:themeFill="accent2"/>
          </w:tcPr>
          <w:p w14:paraId="752BF71B" w14:textId="77777777" w:rsidR="00C87FAF" w:rsidRPr="00C87FAF" w:rsidRDefault="00C87FAF" w:rsidP="00C87FAF">
            <w:pPr>
              <w:rPr>
                <w:b/>
                <w:bCs/>
                <w:color w:val="FFFFFF" w:themeColor="background1"/>
              </w:rPr>
            </w:pPr>
            <w:r w:rsidRPr="00C87FAF">
              <w:rPr>
                <w:b/>
                <w:bCs/>
                <w:color w:val="FFFFFF" w:themeColor="background1"/>
              </w:rPr>
              <w:t>Positive Experience</w:t>
            </w:r>
          </w:p>
        </w:tc>
        <w:tc>
          <w:tcPr>
            <w:tcW w:w="2509" w:type="dxa"/>
            <w:tcBorders>
              <w:top w:val="nil"/>
              <w:left w:val="nil"/>
              <w:right w:val="nil"/>
            </w:tcBorders>
            <w:shd w:val="clear" w:color="auto" w:fill="245457" w:themeFill="accent2"/>
          </w:tcPr>
          <w:p w14:paraId="32B3B122" w14:textId="77777777" w:rsidR="00C87FAF" w:rsidRPr="00C87FAF" w:rsidRDefault="00C87FAF" w:rsidP="00C87FAF">
            <w:pPr>
              <w:rPr>
                <w:b/>
                <w:bCs/>
                <w:color w:val="FFFFFF" w:themeColor="background1"/>
              </w:rPr>
            </w:pPr>
            <w:r w:rsidRPr="00C87FAF">
              <w:rPr>
                <w:b/>
                <w:bCs/>
                <w:color w:val="FFFFFF" w:themeColor="background1"/>
              </w:rPr>
              <w:t>Negative Experience</w:t>
            </w:r>
          </w:p>
        </w:tc>
        <w:tc>
          <w:tcPr>
            <w:tcW w:w="2254" w:type="dxa"/>
            <w:tcBorders>
              <w:top w:val="nil"/>
              <w:left w:val="nil"/>
              <w:right w:val="nil"/>
            </w:tcBorders>
            <w:shd w:val="clear" w:color="auto" w:fill="245457" w:themeFill="accent2"/>
          </w:tcPr>
          <w:p w14:paraId="329F359A" w14:textId="77777777" w:rsidR="00C87FAF" w:rsidRPr="00C87FAF" w:rsidRDefault="00C87FAF" w:rsidP="00C87FAF">
            <w:pPr>
              <w:rPr>
                <w:b/>
                <w:bCs/>
                <w:color w:val="FFFFFF" w:themeColor="background1"/>
              </w:rPr>
            </w:pPr>
            <w:r w:rsidRPr="00C87FAF">
              <w:rPr>
                <w:b/>
                <w:bCs/>
                <w:color w:val="FFFFFF" w:themeColor="background1"/>
              </w:rPr>
              <w:t>Key Factor</w:t>
            </w:r>
          </w:p>
        </w:tc>
      </w:tr>
      <w:tr w:rsidR="00C87FAF" w14:paraId="56CFD021" w14:textId="77777777" w:rsidTr="00C87FAF">
        <w:tc>
          <w:tcPr>
            <w:tcW w:w="1701" w:type="dxa"/>
            <w:tcBorders>
              <w:left w:val="nil"/>
              <w:right w:val="nil"/>
            </w:tcBorders>
            <w:shd w:val="clear" w:color="auto" w:fill="EDF7F7"/>
          </w:tcPr>
          <w:p w14:paraId="1DDE6558" w14:textId="77777777" w:rsidR="00C87FAF" w:rsidRPr="00C87FAF" w:rsidRDefault="00C87FAF" w:rsidP="00C87FAF">
            <w:pPr>
              <w:rPr>
                <w:b/>
                <w:bCs/>
              </w:rPr>
            </w:pPr>
            <w:r w:rsidRPr="00C87FAF">
              <w:rPr>
                <w:b/>
                <w:bCs/>
              </w:rPr>
              <w:t>Consumers</w:t>
            </w:r>
          </w:p>
        </w:tc>
        <w:tc>
          <w:tcPr>
            <w:tcW w:w="2552" w:type="dxa"/>
            <w:tcBorders>
              <w:left w:val="nil"/>
              <w:right w:val="nil"/>
            </w:tcBorders>
          </w:tcPr>
          <w:p w14:paraId="77E2A59A" w14:textId="77777777" w:rsidR="00C87FAF" w:rsidRDefault="00C87FAF" w:rsidP="00C87FAF">
            <w:r>
              <w:t>Where the phone service contacted external services on their behalf, ensuring referrals connect and following up</w:t>
            </w:r>
          </w:p>
        </w:tc>
        <w:tc>
          <w:tcPr>
            <w:tcW w:w="2509" w:type="dxa"/>
            <w:tcBorders>
              <w:left w:val="nil"/>
              <w:right w:val="nil"/>
            </w:tcBorders>
          </w:tcPr>
          <w:p w14:paraId="4CF7ED78" w14:textId="77777777" w:rsidR="00C87FAF" w:rsidRDefault="00C87FAF" w:rsidP="00C87FAF">
            <w:r>
              <w:t>Disorganisation from the service, communication gaps and lack of follow-up, having to retell their stories</w:t>
            </w:r>
          </w:p>
        </w:tc>
        <w:tc>
          <w:tcPr>
            <w:tcW w:w="2254" w:type="dxa"/>
            <w:tcBorders>
              <w:left w:val="nil"/>
              <w:right w:val="nil"/>
            </w:tcBorders>
          </w:tcPr>
          <w:p w14:paraId="5E5DFD6B" w14:textId="77777777" w:rsidR="00C87FAF" w:rsidRDefault="00C87FAF" w:rsidP="00C87FAF">
            <w:r>
              <w:t>Organised and proactive service delivery</w:t>
            </w:r>
          </w:p>
        </w:tc>
      </w:tr>
      <w:tr w:rsidR="00C87FAF" w14:paraId="309A9FFA" w14:textId="77777777" w:rsidTr="00C87FAF">
        <w:tc>
          <w:tcPr>
            <w:tcW w:w="1701" w:type="dxa"/>
            <w:tcBorders>
              <w:left w:val="nil"/>
              <w:right w:val="nil"/>
            </w:tcBorders>
            <w:shd w:val="clear" w:color="auto" w:fill="EDF7F7"/>
          </w:tcPr>
          <w:p w14:paraId="7D706F28" w14:textId="77777777" w:rsidR="00C87FAF" w:rsidRPr="00C87FAF" w:rsidRDefault="00C87FAF" w:rsidP="00C87FAF">
            <w:pPr>
              <w:rPr>
                <w:b/>
                <w:bCs/>
              </w:rPr>
            </w:pPr>
            <w:r w:rsidRPr="00C87FAF">
              <w:rPr>
                <w:b/>
                <w:bCs/>
              </w:rPr>
              <w:t>Providers</w:t>
            </w:r>
          </w:p>
        </w:tc>
        <w:tc>
          <w:tcPr>
            <w:tcW w:w="2552" w:type="dxa"/>
            <w:tcBorders>
              <w:left w:val="nil"/>
              <w:right w:val="nil"/>
            </w:tcBorders>
          </w:tcPr>
          <w:p w14:paraId="5D654452" w14:textId="77777777" w:rsidR="00C87FAF" w:rsidRDefault="00C87FAF" w:rsidP="00C87FAF">
            <w:r>
              <w:t>Having a strong relationship network with local services, regularly updated directories</w:t>
            </w:r>
          </w:p>
        </w:tc>
        <w:tc>
          <w:tcPr>
            <w:tcW w:w="2509" w:type="dxa"/>
            <w:tcBorders>
              <w:left w:val="nil"/>
              <w:right w:val="nil"/>
            </w:tcBorders>
          </w:tcPr>
          <w:p w14:paraId="10FAE21F" w14:textId="77777777" w:rsidR="00C87FAF" w:rsidRDefault="00C87FAF" w:rsidP="00C87FAF">
            <w:r>
              <w:t xml:space="preserve">Poor local networks especially in rural and remote areas </w:t>
            </w:r>
          </w:p>
        </w:tc>
        <w:tc>
          <w:tcPr>
            <w:tcW w:w="2254" w:type="dxa"/>
            <w:tcBorders>
              <w:left w:val="nil"/>
              <w:right w:val="nil"/>
            </w:tcBorders>
          </w:tcPr>
          <w:p w14:paraId="03C17B0F" w14:textId="77777777" w:rsidR="00C87FAF" w:rsidRDefault="00C87FAF" w:rsidP="00C87FAF">
            <w:r>
              <w:t>Strong network of relationships and updated directories</w:t>
            </w:r>
          </w:p>
        </w:tc>
      </w:tr>
      <w:tr w:rsidR="00C87FAF" w14:paraId="4D211DD9" w14:textId="77777777" w:rsidTr="00C87FAF">
        <w:tc>
          <w:tcPr>
            <w:tcW w:w="1701" w:type="dxa"/>
            <w:tcBorders>
              <w:left w:val="nil"/>
              <w:right w:val="nil"/>
            </w:tcBorders>
            <w:shd w:val="clear" w:color="auto" w:fill="EDF7F7"/>
          </w:tcPr>
          <w:p w14:paraId="36F81622" w14:textId="77777777" w:rsidR="00C87FAF" w:rsidRPr="00C87FAF" w:rsidRDefault="00C87FAF" w:rsidP="00C87FAF">
            <w:pPr>
              <w:rPr>
                <w:b/>
                <w:bCs/>
              </w:rPr>
            </w:pPr>
            <w:r w:rsidRPr="00C87FAF">
              <w:rPr>
                <w:b/>
                <w:bCs/>
              </w:rPr>
              <w:lastRenderedPageBreak/>
              <w:t>PHNs</w:t>
            </w:r>
          </w:p>
        </w:tc>
        <w:tc>
          <w:tcPr>
            <w:tcW w:w="2552" w:type="dxa"/>
            <w:tcBorders>
              <w:left w:val="nil"/>
              <w:right w:val="nil"/>
            </w:tcBorders>
          </w:tcPr>
          <w:p w14:paraId="6675E7CC" w14:textId="77777777" w:rsidR="00C87FAF" w:rsidRDefault="00C87FAF" w:rsidP="00C87FAF">
            <w:r>
              <w:t xml:space="preserve">Having clinical staff to handle calls, having high-quality training available </w:t>
            </w:r>
          </w:p>
        </w:tc>
        <w:tc>
          <w:tcPr>
            <w:tcW w:w="2509" w:type="dxa"/>
            <w:tcBorders>
              <w:left w:val="nil"/>
              <w:right w:val="nil"/>
            </w:tcBorders>
          </w:tcPr>
          <w:p w14:paraId="544A67F5" w14:textId="77777777" w:rsidR="00C87FAF" w:rsidRDefault="00C87FAF" w:rsidP="00C87FAF">
            <w:r>
              <w:t>Limited capacity and knowledge to establish service directories where they don’t already exist, unable to meet demand due to workforce challenges</w:t>
            </w:r>
          </w:p>
        </w:tc>
        <w:tc>
          <w:tcPr>
            <w:tcW w:w="2254" w:type="dxa"/>
            <w:tcBorders>
              <w:left w:val="nil"/>
              <w:right w:val="nil"/>
            </w:tcBorders>
          </w:tcPr>
          <w:p w14:paraId="4582FC98" w14:textId="77777777" w:rsidR="00C87FAF" w:rsidRDefault="00C87FAF" w:rsidP="00C87FAF">
            <w:r>
              <w:t>Strong workforce able to deliver the service and establish relationships</w:t>
            </w:r>
          </w:p>
        </w:tc>
      </w:tr>
    </w:tbl>
    <w:p w14:paraId="0A82E461" w14:textId="77777777" w:rsidR="00C87FAF" w:rsidRDefault="00C87FAF" w:rsidP="00C87FAF">
      <w:pPr>
        <w:rPr>
          <w:rFonts w:asciiTheme="minorHAnsi" w:hAnsiTheme="minorHAnsi"/>
          <w:szCs w:val="22"/>
        </w:rPr>
      </w:pPr>
    </w:p>
    <w:p w14:paraId="5A8008D8" w14:textId="77777777" w:rsidR="00C87FAF" w:rsidRPr="00B52C4F" w:rsidRDefault="00C87FAF" w:rsidP="00C87FAF">
      <w:r w:rsidRPr="00B52C4F">
        <w:t xml:space="preserve">Approximately half of the consumer cohort surveyed attributed the </w:t>
      </w:r>
      <w:r>
        <w:t>phone service</w:t>
      </w:r>
      <w:r w:rsidRPr="00B52C4F">
        <w:t xml:space="preserve"> to improvements in their mental health and wellbeing. </w:t>
      </w:r>
    </w:p>
    <w:p w14:paraId="4160590A" w14:textId="5A61B84A" w:rsidR="00C87FAF" w:rsidRPr="00D0554F" w:rsidRDefault="00C87FAF" w:rsidP="006019E0">
      <w:pPr>
        <w:pStyle w:val="ListBullet"/>
      </w:pPr>
      <w:r w:rsidRPr="00B52C4F">
        <w:t xml:space="preserve">More than half of respondents reported than the </w:t>
      </w:r>
      <w:r>
        <w:t>phone service</w:t>
      </w:r>
      <w:r w:rsidRPr="00B52C4F">
        <w:t xml:space="preserve"> improved their knowledge of available mental health services and strategies. </w:t>
      </w:r>
      <w:r>
        <w:t xml:space="preserve">They </w:t>
      </w:r>
      <w:r w:rsidRPr="00B52C4F">
        <w:t xml:space="preserve">also felt that the removal of barriers to care was a contributing factor to their improved mental health. </w:t>
      </w:r>
    </w:p>
    <w:p w14:paraId="2844A1E3" w14:textId="77777777" w:rsidR="00C87FAF" w:rsidRPr="009222B8" w:rsidRDefault="00C87FAF" w:rsidP="00C87FAF">
      <w:pPr>
        <w:pStyle w:val="Heading3"/>
      </w:pPr>
      <w:r>
        <w:t>Findings</w:t>
      </w:r>
      <w:r w:rsidRPr="009222B8">
        <w:t xml:space="preserve"> for further investigation</w:t>
      </w:r>
    </w:p>
    <w:p w14:paraId="6C033F5A" w14:textId="77777777" w:rsidR="00C87FAF" w:rsidRDefault="00C87FAF" w:rsidP="00C87FAF">
      <w:r>
        <w:t xml:space="preserve">Feedback is mixed across consumer, provider, and external stakeholder groups – indicating that the program is delivered somewhat inconsistently across different regions and PHNs. </w:t>
      </w:r>
    </w:p>
    <w:p w14:paraId="53A2613F" w14:textId="77777777" w:rsidR="00C87FAF" w:rsidRDefault="00C87FAF" w:rsidP="00C87FAF">
      <w:r>
        <w:t xml:space="preserve">Where the phone service was working well, staff and stakeholders reported the following factors that helped enable their </w:t>
      </w:r>
      <w:r w:rsidRPr="00ED6E41">
        <w:t>success</w:t>
      </w:r>
      <w:r w:rsidRPr="001430F1">
        <w:t>:</w:t>
      </w:r>
    </w:p>
    <w:p w14:paraId="177989FA" w14:textId="77777777" w:rsidR="00C87FAF" w:rsidRPr="00C87FAF" w:rsidRDefault="00C87FAF" w:rsidP="00C87FAF">
      <w:pPr>
        <w:pStyle w:val="ListBullet"/>
      </w:pPr>
      <w:r>
        <w:t xml:space="preserve">Integrating </w:t>
      </w:r>
      <w:r w:rsidRPr="00C87FAF">
        <w:t>with MMHCs or other PHN services to share resources and maximise efficiency</w:t>
      </w:r>
    </w:p>
    <w:p w14:paraId="2CAEF85D" w14:textId="77777777" w:rsidR="00C87FAF" w:rsidRPr="00C87FAF" w:rsidRDefault="00C87FAF" w:rsidP="00C87FAF">
      <w:pPr>
        <w:pStyle w:val="ListBullet"/>
      </w:pPr>
      <w:r w:rsidRPr="00C87FAF">
        <w:t>System capability to access and transfer patient assessment/referral information between the phone service and MMHCs</w:t>
      </w:r>
    </w:p>
    <w:p w14:paraId="4F7AD8A2" w14:textId="77777777" w:rsidR="00C87FAF" w:rsidRDefault="00C87FAF" w:rsidP="00C87FAF">
      <w:pPr>
        <w:pStyle w:val="ListBullet"/>
      </w:pPr>
      <w:r w:rsidRPr="00C87FAF">
        <w:t>Prioritising resourcing</w:t>
      </w:r>
      <w:r>
        <w:t xml:space="preserve"> to develop service directories where they need to be established and to maintain ongoing updates</w:t>
      </w:r>
    </w:p>
    <w:p w14:paraId="36D59851" w14:textId="77777777" w:rsidR="00C87FAF" w:rsidRDefault="00C87FAF" w:rsidP="00C87FAF">
      <w:r>
        <w:t>Where there were more</w:t>
      </w:r>
      <w:r w:rsidRPr="001430F1">
        <w:t xml:space="preserve"> </w:t>
      </w:r>
      <w:r w:rsidRPr="00ED6E41">
        <w:t>challenges</w:t>
      </w:r>
      <w:r>
        <w:t xml:space="preserve"> implementing the model, feedback included the following barriers:</w:t>
      </w:r>
    </w:p>
    <w:p w14:paraId="3B41309F" w14:textId="77777777" w:rsidR="00C87FAF" w:rsidRPr="00C87FAF" w:rsidRDefault="00C87FAF" w:rsidP="00C87FAF">
      <w:pPr>
        <w:pStyle w:val="ListBullet"/>
      </w:pPr>
      <w:r>
        <w:t xml:space="preserve">Workforce shortages and difficulty finding and training staff with the needed abilities and </w:t>
      </w:r>
      <w:r w:rsidRPr="00C87FAF">
        <w:t>knowledge to provide the service</w:t>
      </w:r>
    </w:p>
    <w:p w14:paraId="4EF30B65" w14:textId="77777777" w:rsidR="00C87FAF" w:rsidRPr="00C87FAF" w:rsidRDefault="00C87FAF" w:rsidP="00C87FAF">
      <w:pPr>
        <w:pStyle w:val="ListBullet"/>
      </w:pPr>
      <w:r w:rsidRPr="00C87FAF">
        <w:t>Lack of free or low-cost services to refer people to, difficulty collaborating with services, and high demand across the mental health sector</w:t>
      </w:r>
    </w:p>
    <w:p w14:paraId="5D08EE0B" w14:textId="47F3E4BC" w:rsidR="00C87FAF" w:rsidRPr="00FB5590" w:rsidRDefault="00C87FAF" w:rsidP="00C87FAF">
      <w:pPr>
        <w:pStyle w:val="ListBullet"/>
      </w:pPr>
      <w:r w:rsidRPr="00C87FAF">
        <w:t>Commu</w:t>
      </w:r>
      <w:r>
        <w:t xml:space="preserve">nication challenges, whether through the inability of systems to share consumer information or through the service failing to adequately follow up or reach out where needed. </w:t>
      </w:r>
    </w:p>
    <w:p w14:paraId="40F50088" w14:textId="77777777" w:rsidR="00BD2B29" w:rsidRDefault="00BD2B29">
      <w:pPr>
        <w:spacing w:before="0" w:after="0" w:line="240" w:lineRule="auto"/>
        <w:rPr>
          <w:rFonts w:cs="Arial"/>
          <w:b/>
          <w:bCs/>
          <w:color w:val="245457" w:themeColor="accent2"/>
          <w:sz w:val="28"/>
          <w:szCs w:val="28"/>
        </w:rPr>
      </w:pPr>
      <w:r>
        <w:br w:type="page"/>
      </w:r>
    </w:p>
    <w:p w14:paraId="4C8AFE56" w14:textId="1A90D2D5" w:rsidR="00C87FAF" w:rsidRPr="001E0806" w:rsidRDefault="00C87FAF" w:rsidP="00C87FAF">
      <w:pPr>
        <w:pStyle w:val="Heading3"/>
      </w:pPr>
      <w:r w:rsidRPr="001E0806">
        <w:lastRenderedPageBreak/>
        <w:t xml:space="preserve">Future directions </w:t>
      </w:r>
    </w:p>
    <w:p w14:paraId="0B4C00C3" w14:textId="77777777" w:rsidR="00C87FAF" w:rsidRPr="00583545" w:rsidRDefault="00C87FAF" w:rsidP="00C87FAF">
      <w:pPr>
        <w:pStyle w:val="Heading4"/>
      </w:pPr>
      <w:r w:rsidRPr="00583545">
        <w:t xml:space="preserve">Governance </w:t>
      </w:r>
      <w:r w:rsidRPr="00C87FAF">
        <w:t>and</w:t>
      </w:r>
      <w:r w:rsidRPr="00583545">
        <w:t xml:space="preserve"> oversight </w:t>
      </w:r>
    </w:p>
    <w:p w14:paraId="7DC5F24E" w14:textId="77777777" w:rsidR="00C87FAF" w:rsidRDefault="00C87FAF" w:rsidP="00C87FAF">
      <w:r>
        <w:t xml:space="preserve">The current </w:t>
      </w:r>
      <w:r w:rsidRPr="00ED6E41">
        <w:t>governance arrangements should be reviewed</w:t>
      </w:r>
      <w:r>
        <w:t xml:space="preserve"> to identify where centralised supports can be strengthened to achieve greater national consistency for the phone service. Preserving the ability for PHNs to adapt the phone service to their local needs is important, but the inconsistency within the program needs to be addressed through stronger national oversight and support for the program.</w:t>
      </w:r>
    </w:p>
    <w:p w14:paraId="2DEDA6C1" w14:textId="77777777" w:rsidR="00C87FAF" w:rsidRPr="00233F85" w:rsidRDefault="00C87FAF" w:rsidP="00C87FAF">
      <w:pPr>
        <w:pStyle w:val="Heading4"/>
      </w:pPr>
      <w:r w:rsidRPr="00C87FAF">
        <w:t>Program</w:t>
      </w:r>
      <w:r w:rsidRPr="00233F85">
        <w:t xml:space="preserve"> data</w:t>
      </w:r>
    </w:p>
    <w:p w14:paraId="1122FCBA" w14:textId="77777777" w:rsidR="00C87FAF" w:rsidRDefault="00C87FAF" w:rsidP="00C87FAF">
      <w:r>
        <w:t xml:space="preserve">The </w:t>
      </w:r>
      <w:r w:rsidRPr="00ED6E41">
        <w:t>data for evaluation and analysis of the program could be improved</w:t>
      </w:r>
      <w:r w:rsidRPr="001430F1">
        <w:t xml:space="preserve"> with</w:t>
      </w:r>
      <w:r>
        <w:t xml:space="preserve"> standard financial and workforce reporting. This would create a greater body of information to evaluate in the future, along with a stronger understanding of the resource allocation and effectiveness of services across different PHNs.</w:t>
      </w:r>
    </w:p>
    <w:p w14:paraId="428ABEE6" w14:textId="353DAFDF" w:rsidR="00C87FAF" w:rsidRPr="00BD2B29" w:rsidRDefault="00C87FAF" w:rsidP="00BD2B29">
      <w:r>
        <w:t>The program would also benefit from responsive forecasting to appropriately allocate resources across services when most needed. This would also support greater national consistency, allowing the department and PHNs to work together to manage increased demand without compromising service quality.</w:t>
      </w:r>
    </w:p>
    <w:p w14:paraId="4DE22159" w14:textId="7ADB1A3E" w:rsidR="00C87FAF" w:rsidRPr="00233F85" w:rsidRDefault="00C87FAF" w:rsidP="00C87FAF">
      <w:pPr>
        <w:pStyle w:val="Heading4"/>
      </w:pPr>
      <w:r w:rsidRPr="00C87FAF">
        <w:t>Workforce</w:t>
      </w:r>
    </w:p>
    <w:p w14:paraId="77262081" w14:textId="77777777" w:rsidR="00C87FAF" w:rsidRDefault="00C87FAF" w:rsidP="00C87FAF">
      <w:r>
        <w:t xml:space="preserve">The department should consider </w:t>
      </w:r>
      <w:r w:rsidRPr="00ED6E41">
        <w:t>developing national guidance on role definitions</w:t>
      </w:r>
      <w:r>
        <w:t xml:space="preserve"> for phone service staff, outlining consistent expectations for the program across all PHNs. Alongside guidance, training should be provided or made available to all staff on topics including mental health assessment, crisis intervention, and cultural competency.</w:t>
      </w:r>
    </w:p>
    <w:p w14:paraId="0CB9F884" w14:textId="77777777" w:rsidR="00C87FAF" w:rsidRDefault="00C87FAF" w:rsidP="00C87FAF">
      <w:r>
        <w:t xml:space="preserve">More support is needed to improve job stability and staff retention, such as longer employment contracts and greater flexible working arrangements. </w:t>
      </w:r>
    </w:p>
    <w:p w14:paraId="557F98F9" w14:textId="77777777" w:rsidR="00C87FAF" w:rsidRPr="00202E2C" w:rsidRDefault="00C87FAF" w:rsidP="00C87FAF">
      <w:pPr>
        <w:pStyle w:val="Heading4"/>
      </w:pPr>
      <w:r w:rsidRPr="00202E2C">
        <w:t xml:space="preserve">Service integration </w:t>
      </w:r>
      <w:r w:rsidRPr="00C87FAF">
        <w:t>and</w:t>
      </w:r>
      <w:r w:rsidRPr="00202E2C">
        <w:t xml:space="preserve"> public awareness</w:t>
      </w:r>
    </w:p>
    <w:p w14:paraId="1B1C6B11" w14:textId="77777777" w:rsidR="00C87FAF" w:rsidRDefault="00C87FAF" w:rsidP="00C87FAF">
      <w:r>
        <w:t>The department should identify strategies to</w:t>
      </w:r>
      <w:r w:rsidRPr="001430F1">
        <w:t xml:space="preserve"> </w:t>
      </w:r>
      <w:r w:rsidRPr="00ED6E41">
        <w:t>support and enhance collaboration between services</w:t>
      </w:r>
      <w:r>
        <w:t xml:space="preserve">. Relationships need to be built and strengthened across the mental health sector, and the Commonwealth can play a key role in leading by example and making connections with non-government organisations or state and territory services. </w:t>
      </w:r>
    </w:p>
    <w:p w14:paraId="65344DFA" w14:textId="1A9960E9" w:rsidR="00444AF5" w:rsidRDefault="00BC60CD" w:rsidP="00444AF5">
      <w:r>
        <w:t>The department should also c</w:t>
      </w:r>
      <w:r w:rsidR="00C87FAF">
        <w:t>ontinue to support the MMH Phone Service Community of Practice as an important pillar for the shared learning and collaboration across the network of service providers and PHNs.</w:t>
      </w:r>
    </w:p>
    <w:p w14:paraId="5318263A" w14:textId="77777777" w:rsidR="00941DE6" w:rsidRDefault="00941DE6" w:rsidP="00444AF5"/>
    <w:p w14:paraId="774D7811" w14:textId="77777777" w:rsidR="00941DE6" w:rsidRDefault="00941DE6" w:rsidP="00941DE6">
      <w:pPr>
        <w:rPr>
          <w:lang w:eastAsia="en-AU"/>
        </w:rPr>
      </w:pPr>
      <w:r>
        <w:rPr>
          <w:lang w:eastAsia="en-AU"/>
        </w:rPr>
        <w:t>For more information about Medicare Mental Health Centres, visit:</w:t>
      </w:r>
    </w:p>
    <w:p w14:paraId="7204105F" w14:textId="77777777" w:rsidR="00941DE6" w:rsidRPr="00A20BF9" w:rsidRDefault="00941DE6" w:rsidP="00941DE6">
      <w:pPr>
        <w:rPr>
          <w:b/>
          <w:bCs/>
          <w:color w:val="auto"/>
          <w:lang w:eastAsia="en-AU"/>
        </w:rPr>
      </w:pPr>
      <w:hyperlink r:id="rId32" w:history="1">
        <w:r w:rsidRPr="00A20BF9">
          <w:rPr>
            <w:rStyle w:val="Hyperlink"/>
            <w:b/>
            <w:bCs/>
            <w:color w:val="auto"/>
            <w:lang w:eastAsia="en-AU"/>
          </w:rPr>
          <w:t>medicarementalhealth.gov.au</w:t>
        </w:r>
      </w:hyperlink>
    </w:p>
    <w:p w14:paraId="1168A9F9" w14:textId="77777777" w:rsidR="00941DE6" w:rsidRPr="00444AF5" w:rsidRDefault="00941DE6" w:rsidP="00444AF5"/>
    <w:sectPr w:rsidR="00941DE6" w:rsidRPr="00444AF5" w:rsidSect="00444A86">
      <w:headerReference w:type="even" r:id="rId33"/>
      <w:headerReference w:type="default" r:id="rId34"/>
      <w:footerReference w:type="even" r:id="rId35"/>
      <w:footerReference w:type="default" r:id="rId36"/>
      <w:headerReference w:type="first" r:id="rId37"/>
      <w:footerReference w:type="first" r:id="rId38"/>
      <w:type w:val="continuous"/>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75329" w14:textId="77777777" w:rsidR="00727F8D" w:rsidRDefault="00727F8D" w:rsidP="006B56BB">
      <w:r>
        <w:separator/>
      </w:r>
    </w:p>
    <w:p w14:paraId="2E9E05E4" w14:textId="77777777" w:rsidR="00727F8D" w:rsidRDefault="00727F8D"/>
  </w:endnote>
  <w:endnote w:type="continuationSeparator" w:id="0">
    <w:p w14:paraId="723A2DF3" w14:textId="77777777" w:rsidR="00727F8D" w:rsidRDefault="00727F8D" w:rsidP="006B56BB">
      <w:r>
        <w:continuationSeparator/>
      </w:r>
    </w:p>
    <w:p w14:paraId="3D01B219" w14:textId="77777777" w:rsidR="00727F8D" w:rsidRDefault="00727F8D"/>
  </w:endnote>
  <w:endnote w:type="continuationNotice" w:id="1">
    <w:p w14:paraId="5980C0AF" w14:textId="77777777" w:rsidR="00727F8D" w:rsidRDefault="00727F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9E2A" w14:textId="095CAEB6" w:rsidR="00B10BE0" w:rsidRDefault="00B10BE0">
    <w:pPr>
      <w:pStyle w:val="Footer"/>
    </w:pPr>
    <w:r>
      <w:rPr>
        <w:noProof/>
      </w:rPr>
      <mc:AlternateContent>
        <mc:Choice Requires="wps">
          <w:drawing>
            <wp:anchor distT="0" distB="0" distL="0" distR="0" simplePos="0" relativeHeight="251658241" behindDoc="0" locked="0" layoutInCell="1" allowOverlap="1" wp14:anchorId="43A74147" wp14:editId="02800D60">
              <wp:simplePos x="635" y="635"/>
              <wp:positionH relativeFrom="page">
                <wp:align>center</wp:align>
              </wp:positionH>
              <wp:positionV relativeFrom="page">
                <wp:align>bottom</wp:align>
              </wp:positionV>
              <wp:extent cx="609600" cy="485775"/>
              <wp:effectExtent l="0" t="0" r="0" b="0"/>
              <wp:wrapNone/>
              <wp:docPr id="15759366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A41D96D" w14:textId="3B3EF3DE"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A74147" id="_x0000_t202" coordsize="21600,21600" o:spt="202" path="m,l,21600r21600,l21600,xe">
              <v:stroke joinstyle="miter"/>
              <v:path gradientshapeok="t" o:connecttype="rect"/>
            </v:shapetype>
            <v:shape id="Text Box 5" o:spid="_x0000_s1027" type="#_x0000_t202" alt="OFFICIAL" style="position:absolute;left:0;text-align:left;margin-left:0;margin-top:0;width:48pt;height:38.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filled="f" stroked="f">
              <v:textbox style="mso-fit-shape-to-text:t" inset="0,0,0,15pt">
                <w:txbxContent>
                  <w:p w14:paraId="2A41D96D" w14:textId="3B3EF3DE"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7ABF" w14:textId="23977CAA" w:rsidR="00B53987" w:rsidRPr="00E0254E" w:rsidRDefault="00E0254E" w:rsidP="00444A86">
    <w:pPr>
      <w:pStyle w:val="Footer"/>
      <w:pBdr>
        <w:top w:val="single" w:sz="4" w:space="6" w:color="auto"/>
      </w:pBdr>
      <w:jc w:val="left"/>
    </w:pPr>
    <w:r w:rsidRPr="00363EAF">
      <w:t xml:space="preserve">Evaluation of Medicare Mental Health Centres </w:t>
    </w:r>
    <w:r>
      <w:br/>
    </w:r>
    <w:r w:rsidRPr="00363EAF">
      <w:t>and the Medicare Mental Health Phone Service</w:t>
    </w:r>
    <w:sdt>
      <w:sdtPr>
        <w:id w:val="2064747762"/>
        <w:docPartObj>
          <w:docPartGallery w:val="Page Numbers (Bottom of Page)"/>
          <w:docPartUnique/>
        </w:docPartObj>
      </w:sdtPr>
      <w:sdtEndPr/>
      <w:sdtContent>
        <w:r>
          <w:tab/>
        </w:r>
        <w:r w:rsidRPr="00E0254E">
          <w:rPr>
            <w:b/>
            <w:bCs/>
          </w:rPr>
          <w:fldChar w:fldCharType="begin"/>
        </w:r>
        <w:r w:rsidRPr="00E0254E">
          <w:rPr>
            <w:b/>
            <w:bCs/>
          </w:rPr>
          <w:instrText xml:space="preserve"> PAGE   \* MERGEFORMAT </w:instrText>
        </w:r>
        <w:r w:rsidRPr="00E0254E">
          <w:rPr>
            <w:b/>
            <w:bCs/>
          </w:rPr>
          <w:fldChar w:fldCharType="separate"/>
        </w:r>
        <w:r>
          <w:rPr>
            <w:b/>
            <w:bCs/>
          </w:rPr>
          <w:t>1</w:t>
        </w:r>
        <w:r w:rsidRPr="00E0254E">
          <w:rPr>
            <w:b/>
            <w:bCs/>
          </w:rPr>
          <w:fldChar w:fldCharType="end"/>
        </w:r>
        <w:r>
          <w:t>/</w:t>
        </w:r>
      </w:sdtContent>
    </w:sdt>
    <w:r w:rsidR="00444A86">
      <w:fldChar w:fldCharType="begin"/>
    </w:r>
    <w:r w:rsidR="00444A86">
      <w:instrText xml:space="preserve"> NUMPAGES  \* MERGEFORMAT </w:instrText>
    </w:r>
    <w:r w:rsidR="00444A86">
      <w:fldChar w:fldCharType="separate"/>
    </w:r>
    <w:r w:rsidR="00444A86">
      <w:rPr>
        <w:noProof/>
      </w:rPr>
      <w:t>6</w:t>
    </w:r>
    <w:r w:rsidR="00444A8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8B0E" w14:textId="719F4B4E" w:rsidR="00B53987" w:rsidRPr="00444A86" w:rsidRDefault="00444A86" w:rsidP="00444A86">
    <w:pPr>
      <w:pStyle w:val="Footer"/>
      <w:pBdr>
        <w:top w:val="single" w:sz="4" w:space="6" w:color="auto"/>
      </w:pBdr>
      <w:jc w:val="left"/>
    </w:pPr>
    <w:r w:rsidRPr="00363EAF">
      <w:t xml:space="preserve">Evaluation of Medicare Mental Health Centres </w:t>
    </w:r>
    <w:r>
      <w:br/>
    </w:r>
    <w:r w:rsidRPr="00363EAF">
      <w:t>and the Medicare Mental Health Phone Service</w:t>
    </w:r>
    <w:sdt>
      <w:sdtPr>
        <w:id w:val="-359207175"/>
        <w:docPartObj>
          <w:docPartGallery w:val="Page Numbers (Bottom of Page)"/>
          <w:docPartUnique/>
        </w:docPartObj>
      </w:sdtPr>
      <w:sdtEndPr/>
      <w:sdtContent>
        <w:r>
          <w:tab/>
        </w:r>
        <w:r w:rsidRPr="00E0254E">
          <w:rPr>
            <w:b/>
            <w:bCs/>
          </w:rPr>
          <w:fldChar w:fldCharType="begin"/>
        </w:r>
        <w:r w:rsidRPr="00E0254E">
          <w:rPr>
            <w:b/>
            <w:bCs/>
          </w:rPr>
          <w:instrText xml:space="preserve"> PAGE   \* MERGEFORMAT </w:instrText>
        </w:r>
        <w:r w:rsidRPr="00E0254E">
          <w:rPr>
            <w:b/>
            <w:bCs/>
          </w:rPr>
          <w:fldChar w:fldCharType="separate"/>
        </w:r>
        <w:r>
          <w:rPr>
            <w:b/>
            <w:bCs/>
          </w:rPr>
          <w:t>4</w:t>
        </w:r>
        <w:r w:rsidRPr="00E0254E">
          <w:rPr>
            <w:b/>
            <w:bCs/>
          </w:rPr>
          <w:fldChar w:fldCharType="end"/>
        </w:r>
        <w:r>
          <w:t>/</w:t>
        </w:r>
      </w:sdtContent>
    </w:sdt>
    <w:r>
      <w:fldChar w:fldCharType="begin"/>
    </w:r>
    <w:r>
      <w:instrText xml:space="preserve"> NUMPAGES  \* MERGEFORMAT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39749" w14:textId="77777777" w:rsidR="00727F8D" w:rsidRDefault="00727F8D" w:rsidP="006B56BB">
      <w:r>
        <w:separator/>
      </w:r>
    </w:p>
    <w:p w14:paraId="361F8657" w14:textId="77777777" w:rsidR="00727F8D" w:rsidRDefault="00727F8D"/>
  </w:footnote>
  <w:footnote w:type="continuationSeparator" w:id="0">
    <w:p w14:paraId="07870F61" w14:textId="77777777" w:rsidR="00727F8D" w:rsidRDefault="00727F8D" w:rsidP="006B56BB">
      <w:r>
        <w:continuationSeparator/>
      </w:r>
    </w:p>
    <w:p w14:paraId="6365A286" w14:textId="77777777" w:rsidR="00727F8D" w:rsidRDefault="00727F8D"/>
  </w:footnote>
  <w:footnote w:type="continuationNotice" w:id="1">
    <w:p w14:paraId="4F85D1CD" w14:textId="77777777" w:rsidR="00727F8D" w:rsidRDefault="00727F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4683" w14:textId="4929C2A9" w:rsidR="00B10BE0" w:rsidRDefault="00B10BE0">
    <w:pPr>
      <w:pStyle w:val="Header"/>
    </w:pPr>
    <w:r>
      <w:rPr>
        <w:noProof/>
      </w:rPr>
      <mc:AlternateContent>
        <mc:Choice Requires="wps">
          <w:drawing>
            <wp:anchor distT="0" distB="0" distL="0" distR="0" simplePos="0" relativeHeight="251658240" behindDoc="0" locked="0" layoutInCell="1" allowOverlap="1" wp14:anchorId="621DB205" wp14:editId="19ED7A28">
              <wp:simplePos x="635" y="635"/>
              <wp:positionH relativeFrom="page">
                <wp:align>center</wp:align>
              </wp:positionH>
              <wp:positionV relativeFrom="page">
                <wp:align>top</wp:align>
              </wp:positionV>
              <wp:extent cx="609600" cy="485775"/>
              <wp:effectExtent l="0" t="0" r="0" b="9525"/>
              <wp:wrapNone/>
              <wp:docPr id="7722224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CC97CF8" w14:textId="08CC1FD2"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1DB205"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6CC97CF8" w14:textId="08CC1FD2"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442B" w14:textId="42CFE441" w:rsidR="008E0C77" w:rsidRDefault="00C5715B" w:rsidP="008E0C77">
    <w:pPr>
      <w:pStyle w:val="Headertext"/>
      <w:spacing w:after="180"/>
      <w:jc w:val="left"/>
    </w:pPr>
    <w:r>
      <w:rPr>
        <w:noProof/>
      </w:rPr>
      <w:drawing>
        <wp:anchor distT="0" distB="0" distL="114300" distR="114300" simplePos="0" relativeHeight="251658243" behindDoc="1" locked="0" layoutInCell="1" allowOverlap="1" wp14:anchorId="3C7460D0" wp14:editId="6AEC9101">
          <wp:simplePos x="0" y="0"/>
          <wp:positionH relativeFrom="page">
            <wp:align>left</wp:align>
          </wp:positionH>
          <wp:positionV relativeFrom="page">
            <wp:align>top</wp:align>
          </wp:positionV>
          <wp:extent cx="7578000" cy="115200"/>
          <wp:effectExtent l="0" t="0" r="0" b="0"/>
          <wp:wrapNone/>
          <wp:docPr id="110329338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293385"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04" b="95602"/>
                  <a:stretch>
                    <a:fillRect/>
                  </a:stretch>
                </pic:blipFill>
                <pic:spPr bwMode="auto">
                  <a:xfrm>
                    <a:off x="0" y="0"/>
                    <a:ext cx="7578000" cy="11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5D2DF" w14:textId="49EA780D" w:rsidR="00B53987" w:rsidRDefault="009C3138">
    <w:pPr>
      <w:pStyle w:val="Header"/>
    </w:pPr>
    <w:r>
      <w:rPr>
        <w:noProof/>
      </w:rPr>
      <w:drawing>
        <wp:anchor distT="0" distB="0" distL="114300" distR="114300" simplePos="0" relativeHeight="251658242" behindDoc="1" locked="0" layoutInCell="1" allowOverlap="1" wp14:anchorId="430C5534" wp14:editId="042A2682">
          <wp:simplePos x="0" y="0"/>
          <wp:positionH relativeFrom="page">
            <wp:align>left</wp:align>
          </wp:positionH>
          <wp:positionV relativeFrom="page">
            <wp:align>top</wp:align>
          </wp:positionV>
          <wp:extent cx="7578000" cy="2484000"/>
          <wp:effectExtent l="0" t="0" r="4445" b="5715"/>
          <wp:wrapNone/>
          <wp:docPr id="1326814468" name="Picture 3" descr="Australian Government Department of Health, Disability and Aging logo within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14468" name="Picture 3" descr="Australian Government Department of Health, Disability and Aging logo within masthead."/>
                  <pic:cNvPicPr/>
                </pic:nvPicPr>
                <pic:blipFill>
                  <a:blip r:embed="rId1">
                    <a:extLst>
                      <a:ext uri="{28A0092B-C50C-407E-A947-70E740481C1C}">
                        <a14:useLocalDpi xmlns:a14="http://schemas.microsoft.com/office/drawing/2010/main" val="0"/>
                      </a:ext>
                    </a:extLst>
                  </a:blip>
                  <a:stretch>
                    <a:fillRect/>
                  </a:stretch>
                </pic:blipFill>
                <pic:spPr>
                  <a:xfrm>
                    <a:off x="0" y="0"/>
                    <a:ext cx="7578000" cy="248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B9A0CBAA"/>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12025D4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7B247E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017652"/>
    <w:multiLevelType w:val="hybridMultilevel"/>
    <w:tmpl w:val="CD164538"/>
    <w:lvl w:ilvl="0" w:tplc="0809000F">
      <w:start w:val="1"/>
      <w:numFmt w:val="decimal"/>
      <w:lvlText w:val="%1."/>
      <w:lvlJc w:val="left"/>
      <w:pPr>
        <w:ind w:left="644" w:hanging="360"/>
      </w:pPr>
      <w:rPr>
        <w:rFonts w:hint="default"/>
        <w:color w:val="auto"/>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815B3B"/>
    <w:multiLevelType w:val="hybridMultilevel"/>
    <w:tmpl w:val="AD029CA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5F02A9"/>
    <w:multiLevelType w:val="hybridMultilevel"/>
    <w:tmpl w:val="616E3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7F2DF0"/>
    <w:multiLevelType w:val="hybridMultilevel"/>
    <w:tmpl w:val="38E635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86E32C3"/>
    <w:multiLevelType w:val="hybridMultilevel"/>
    <w:tmpl w:val="39E69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CF8287E"/>
    <w:multiLevelType w:val="hybridMultilevel"/>
    <w:tmpl w:val="A44C6632"/>
    <w:lvl w:ilvl="0" w:tplc="B6B6120E">
      <w:start w:val="1"/>
      <w:numFmt w:val="bullet"/>
      <w:pStyle w:val="Table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5550011"/>
    <w:multiLevelType w:val="hybridMultilevel"/>
    <w:tmpl w:val="0812F72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7670C38"/>
    <w:multiLevelType w:val="hybridMultilevel"/>
    <w:tmpl w:val="D3367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428187210">
    <w:abstractNumId w:val="8"/>
  </w:num>
  <w:num w:numId="2" w16cid:durableId="2105878216">
    <w:abstractNumId w:val="20"/>
  </w:num>
  <w:num w:numId="3" w16cid:durableId="671226532">
    <w:abstractNumId w:val="23"/>
  </w:num>
  <w:num w:numId="4" w16cid:durableId="1506937884">
    <w:abstractNumId w:val="9"/>
  </w:num>
  <w:num w:numId="5" w16cid:durableId="1265769880">
    <w:abstractNumId w:val="9"/>
    <w:lvlOverride w:ilvl="0">
      <w:startOverride w:val="1"/>
    </w:lvlOverride>
  </w:num>
  <w:num w:numId="6" w16cid:durableId="1288003406">
    <w:abstractNumId w:val="11"/>
  </w:num>
  <w:num w:numId="7" w16cid:durableId="1551646069">
    <w:abstractNumId w:val="18"/>
  </w:num>
  <w:num w:numId="8" w16cid:durableId="407311294">
    <w:abstractNumId w:val="22"/>
  </w:num>
  <w:num w:numId="9" w16cid:durableId="1855923538">
    <w:abstractNumId w:val="6"/>
  </w:num>
  <w:num w:numId="10" w16cid:durableId="788933602">
    <w:abstractNumId w:val="5"/>
  </w:num>
  <w:num w:numId="11" w16cid:durableId="5327513">
    <w:abstractNumId w:val="4"/>
  </w:num>
  <w:num w:numId="12" w16cid:durableId="344138758">
    <w:abstractNumId w:val="3"/>
  </w:num>
  <w:num w:numId="13" w16cid:durableId="1879080393">
    <w:abstractNumId w:val="7"/>
  </w:num>
  <w:num w:numId="14" w16cid:durableId="1399593633">
    <w:abstractNumId w:val="1"/>
  </w:num>
  <w:num w:numId="15" w16cid:durableId="1336497471">
    <w:abstractNumId w:val="0"/>
  </w:num>
  <w:num w:numId="16" w16cid:durableId="1887570050">
    <w:abstractNumId w:val="26"/>
  </w:num>
  <w:num w:numId="17" w16cid:durableId="803278780">
    <w:abstractNumId w:val="13"/>
  </w:num>
  <w:num w:numId="18" w16cid:durableId="364212072">
    <w:abstractNumId w:val="14"/>
  </w:num>
  <w:num w:numId="19" w16cid:durableId="808983311">
    <w:abstractNumId w:val="17"/>
  </w:num>
  <w:num w:numId="20" w16cid:durableId="1108499705">
    <w:abstractNumId w:val="13"/>
  </w:num>
  <w:num w:numId="21" w16cid:durableId="2135168833">
    <w:abstractNumId w:val="17"/>
  </w:num>
  <w:num w:numId="22" w16cid:durableId="1331519124">
    <w:abstractNumId w:val="26"/>
  </w:num>
  <w:num w:numId="23" w16cid:durableId="768160667">
    <w:abstractNumId w:val="20"/>
  </w:num>
  <w:num w:numId="24" w16cid:durableId="501624301">
    <w:abstractNumId w:val="23"/>
  </w:num>
  <w:num w:numId="25" w16cid:durableId="1331903733">
    <w:abstractNumId w:val="9"/>
  </w:num>
  <w:num w:numId="26" w16cid:durableId="350230098">
    <w:abstractNumId w:val="19"/>
  </w:num>
  <w:num w:numId="27" w16cid:durableId="577640241">
    <w:abstractNumId w:val="12"/>
  </w:num>
  <w:num w:numId="28" w16cid:durableId="971638399">
    <w:abstractNumId w:val="23"/>
  </w:num>
  <w:num w:numId="29" w16cid:durableId="1130126358">
    <w:abstractNumId w:val="24"/>
  </w:num>
  <w:num w:numId="30" w16cid:durableId="1037507565">
    <w:abstractNumId w:val="23"/>
  </w:num>
  <w:num w:numId="31" w16cid:durableId="476071920">
    <w:abstractNumId w:val="23"/>
  </w:num>
  <w:num w:numId="32" w16cid:durableId="1270549869">
    <w:abstractNumId w:val="23"/>
  </w:num>
  <w:num w:numId="33" w16cid:durableId="435713206">
    <w:abstractNumId w:val="16"/>
  </w:num>
  <w:num w:numId="34" w16cid:durableId="2001808308">
    <w:abstractNumId w:val="10"/>
  </w:num>
  <w:num w:numId="35" w16cid:durableId="1635136550">
    <w:abstractNumId w:val="2"/>
  </w:num>
  <w:num w:numId="36" w16cid:durableId="1238129023">
    <w:abstractNumId w:val="15"/>
  </w:num>
  <w:num w:numId="37" w16cid:durableId="1756977817">
    <w:abstractNumId w:val="25"/>
  </w:num>
  <w:num w:numId="38" w16cid:durableId="17629496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8E"/>
    <w:rsid w:val="00003743"/>
    <w:rsid w:val="00003916"/>
    <w:rsid w:val="000047B4"/>
    <w:rsid w:val="00004AA5"/>
    <w:rsid w:val="00005712"/>
    <w:rsid w:val="00007FD8"/>
    <w:rsid w:val="000117F8"/>
    <w:rsid w:val="00012877"/>
    <w:rsid w:val="0001460F"/>
    <w:rsid w:val="000158F2"/>
    <w:rsid w:val="000179E3"/>
    <w:rsid w:val="00021160"/>
    <w:rsid w:val="0002178C"/>
    <w:rsid w:val="00022629"/>
    <w:rsid w:val="00023357"/>
    <w:rsid w:val="0002609C"/>
    <w:rsid w:val="00026139"/>
    <w:rsid w:val="00026DA5"/>
    <w:rsid w:val="00027601"/>
    <w:rsid w:val="00030394"/>
    <w:rsid w:val="00033321"/>
    <w:rsid w:val="000338E5"/>
    <w:rsid w:val="00033ECC"/>
    <w:rsid w:val="0003422F"/>
    <w:rsid w:val="00034A70"/>
    <w:rsid w:val="00034F79"/>
    <w:rsid w:val="000350F9"/>
    <w:rsid w:val="0003673E"/>
    <w:rsid w:val="00036A50"/>
    <w:rsid w:val="000401F7"/>
    <w:rsid w:val="00041E34"/>
    <w:rsid w:val="00042E39"/>
    <w:rsid w:val="00046602"/>
    <w:rsid w:val="00046FF0"/>
    <w:rsid w:val="00047FD4"/>
    <w:rsid w:val="00050176"/>
    <w:rsid w:val="00050342"/>
    <w:rsid w:val="00053C26"/>
    <w:rsid w:val="00054106"/>
    <w:rsid w:val="0005659A"/>
    <w:rsid w:val="00056C93"/>
    <w:rsid w:val="000635CE"/>
    <w:rsid w:val="00067456"/>
    <w:rsid w:val="00071506"/>
    <w:rsid w:val="0007154F"/>
    <w:rsid w:val="00073C1D"/>
    <w:rsid w:val="000740B1"/>
    <w:rsid w:val="00074406"/>
    <w:rsid w:val="00081AB1"/>
    <w:rsid w:val="00085E3D"/>
    <w:rsid w:val="00090316"/>
    <w:rsid w:val="0009270D"/>
    <w:rsid w:val="00093981"/>
    <w:rsid w:val="00096075"/>
    <w:rsid w:val="000968B1"/>
    <w:rsid w:val="000A3039"/>
    <w:rsid w:val="000A5B03"/>
    <w:rsid w:val="000A60EB"/>
    <w:rsid w:val="000B067A"/>
    <w:rsid w:val="000B091F"/>
    <w:rsid w:val="000B1540"/>
    <w:rsid w:val="000B1E53"/>
    <w:rsid w:val="000B1EF1"/>
    <w:rsid w:val="000B23D8"/>
    <w:rsid w:val="000B2B17"/>
    <w:rsid w:val="000B33FD"/>
    <w:rsid w:val="000B4ABA"/>
    <w:rsid w:val="000C030F"/>
    <w:rsid w:val="000C4148"/>
    <w:rsid w:val="000C4B16"/>
    <w:rsid w:val="000C50C3"/>
    <w:rsid w:val="000C5E14"/>
    <w:rsid w:val="000D0D4F"/>
    <w:rsid w:val="000D21F6"/>
    <w:rsid w:val="000D22CF"/>
    <w:rsid w:val="000D368B"/>
    <w:rsid w:val="000D4500"/>
    <w:rsid w:val="000D7AEA"/>
    <w:rsid w:val="000E2C66"/>
    <w:rsid w:val="000E3209"/>
    <w:rsid w:val="000E3DEA"/>
    <w:rsid w:val="000F123C"/>
    <w:rsid w:val="000F1B5D"/>
    <w:rsid w:val="000F2FED"/>
    <w:rsid w:val="000F3138"/>
    <w:rsid w:val="000F35F1"/>
    <w:rsid w:val="000F5031"/>
    <w:rsid w:val="0010374D"/>
    <w:rsid w:val="0010616D"/>
    <w:rsid w:val="00106FD2"/>
    <w:rsid w:val="0010753E"/>
    <w:rsid w:val="00110478"/>
    <w:rsid w:val="00114FC9"/>
    <w:rsid w:val="0011711B"/>
    <w:rsid w:val="00117F8A"/>
    <w:rsid w:val="0012047A"/>
    <w:rsid w:val="00121B9B"/>
    <w:rsid w:val="00122ADC"/>
    <w:rsid w:val="00123BEC"/>
    <w:rsid w:val="001251F1"/>
    <w:rsid w:val="00125860"/>
    <w:rsid w:val="00130F59"/>
    <w:rsid w:val="00133841"/>
    <w:rsid w:val="00133EC0"/>
    <w:rsid w:val="00134B04"/>
    <w:rsid w:val="001353C1"/>
    <w:rsid w:val="00136B2C"/>
    <w:rsid w:val="00137FD4"/>
    <w:rsid w:val="00141CE5"/>
    <w:rsid w:val="00142965"/>
    <w:rsid w:val="00142AD0"/>
    <w:rsid w:val="001430F1"/>
    <w:rsid w:val="00144155"/>
    <w:rsid w:val="00144908"/>
    <w:rsid w:val="0015069C"/>
    <w:rsid w:val="00156D96"/>
    <w:rsid w:val="001571C7"/>
    <w:rsid w:val="00161094"/>
    <w:rsid w:val="00162B86"/>
    <w:rsid w:val="00165AE9"/>
    <w:rsid w:val="00165F33"/>
    <w:rsid w:val="001705E9"/>
    <w:rsid w:val="0017247E"/>
    <w:rsid w:val="00173780"/>
    <w:rsid w:val="0017665C"/>
    <w:rsid w:val="00177319"/>
    <w:rsid w:val="00177AD2"/>
    <w:rsid w:val="001803A6"/>
    <w:rsid w:val="001815A8"/>
    <w:rsid w:val="001840FA"/>
    <w:rsid w:val="0018639E"/>
    <w:rsid w:val="00190079"/>
    <w:rsid w:val="0019099C"/>
    <w:rsid w:val="00192C5F"/>
    <w:rsid w:val="001959FA"/>
    <w:rsid w:val="0019622E"/>
    <w:rsid w:val="001966A7"/>
    <w:rsid w:val="001A073F"/>
    <w:rsid w:val="001A1E73"/>
    <w:rsid w:val="001A2BFD"/>
    <w:rsid w:val="001A3910"/>
    <w:rsid w:val="001A4627"/>
    <w:rsid w:val="001A4979"/>
    <w:rsid w:val="001A5E0A"/>
    <w:rsid w:val="001A7001"/>
    <w:rsid w:val="001A7632"/>
    <w:rsid w:val="001B15D3"/>
    <w:rsid w:val="001B2F06"/>
    <w:rsid w:val="001B3443"/>
    <w:rsid w:val="001B454A"/>
    <w:rsid w:val="001B5E47"/>
    <w:rsid w:val="001B6E9C"/>
    <w:rsid w:val="001B760D"/>
    <w:rsid w:val="001C0326"/>
    <w:rsid w:val="001C192F"/>
    <w:rsid w:val="001C3C42"/>
    <w:rsid w:val="001C6063"/>
    <w:rsid w:val="001D7869"/>
    <w:rsid w:val="001E2A1B"/>
    <w:rsid w:val="001E3D55"/>
    <w:rsid w:val="001E5EBE"/>
    <w:rsid w:val="001F4A3B"/>
    <w:rsid w:val="001F5765"/>
    <w:rsid w:val="001F7592"/>
    <w:rsid w:val="002026CD"/>
    <w:rsid w:val="002033FC"/>
    <w:rsid w:val="002037F8"/>
    <w:rsid w:val="002044BB"/>
    <w:rsid w:val="00204EC2"/>
    <w:rsid w:val="00205C60"/>
    <w:rsid w:val="002066C6"/>
    <w:rsid w:val="00207969"/>
    <w:rsid w:val="00207D69"/>
    <w:rsid w:val="00210B09"/>
    <w:rsid w:val="00210C9E"/>
    <w:rsid w:val="00211840"/>
    <w:rsid w:val="0021374A"/>
    <w:rsid w:val="00215CE2"/>
    <w:rsid w:val="0021662C"/>
    <w:rsid w:val="00220E5F"/>
    <w:rsid w:val="002212B5"/>
    <w:rsid w:val="00222666"/>
    <w:rsid w:val="00222EE0"/>
    <w:rsid w:val="00226668"/>
    <w:rsid w:val="002269EA"/>
    <w:rsid w:val="00233809"/>
    <w:rsid w:val="0023405B"/>
    <w:rsid w:val="00234ED6"/>
    <w:rsid w:val="00235612"/>
    <w:rsid w:val="00240046"/>
    <w:rsid w:val="00242A4C"/>
    <w:rsid w:val="0024797F"/>
    <w:rsid w:val="0025119E"/>
    <w:rsid w:val="00251269"/>
    <w:rsid w:val="0025184B"/>
    <w:rsid w:val="002522AA"/>
    <w:rsid w:val="002535C0"/>
    <w:rsid w:val="00254DD0"/>
    <w:rsid w:val="00256D12"/>
    <w:rsid w:val="002579FE"/>
    <w:rsid w:val="00260552"/>
    <w:rsid w:val="00260976"/>
    <w:rsid w:val="0026311C"/>
    <w:rsid w:val="00263860"/>
    <w:rsid w:val="0026668C"/>
    <w:rsid w:val="00266AC1"/>
    <w:rsid w:val="00266F68"/>
    <w:rsid w:val="0027178C"/>
    <w:rsid w:val="002719FA"/>
    <w:rsid w:val="002724A5"/>
    <w:rsid w:val="00272668"/>
    <w:rsid w:val="0027330B"/>
    <w:rsid w:val="00274C20"/>
    <w:rsid w:val="00280023"/>
    <w:rsid w:val="002803AD"/>
    <w:rsid w:val="002818C9"/>
    <w:rsid w:val="00282052"/>
    <w:rsid w:val="002825C3"/>
    <w:rsid w:val="002831A3"/>
    <w:rsid w:val="00284E26"/>
    <w:rsid w:val="0028519E"/>
    <w:rsid w:val="002856A5"/>
    <w:rsid w:val="002872ED"/>
    <w:rsid w:val="002905C2"/>
    <w:rsid w:val="00291C23"/>
    <w:rsid w:val="00293BA0"/>
    <w:rsid w:val="002944A6"/>
    <w:rsid w:val="00295586"/>
    <w:rsid w:val="00295804"/>
    <w:rsid w:val="00295AF2"/>
    <w:rsid w:val="00295C91"/>
    <w:rsid w:val="00296C97"/>
    <w:rsid w:val="00297151"/>
    <w:rsid w:val="002A1944"/>
    <w:rsid w:val="002A2923"/>
    <w:rsid w:val="002A49F4"/>
    <w:rsid w:val="002A72FE"/>
    <w:rsid w:val="002A75F9"/>
    <w:rsid w:val="002A7BC0"/>
    <w:rsid w:val="002B168B"/>
    <w:rsid w:val="002B20E6"/>
    <w:rsid w:val="002B2E41"/>
    <w:rsid w:val="002B42A3"/>
    <w:rsid w:val="002C0CDD"/>
    <w:rsid w:val="002C12E9"/>
    <w:rsid w:val="002C2ECE"/>
    <w:rsid w:val="002C38C4"/>
    <w:rsid w:val="002C7752"/>
    <w:rsid w:val="002D2A61"/>
    <w:rsid w:val="002D5091"/>
    <w:rsid w:val="002D57AC"/>
    <w:rsid w:val="002E1A1D"/>
    <w:rsid w:val="002E23E9"/>
    <w:rsid w:val="002E4081"/>
    <w:rsid w:val="002E5B78"/>
    <w:rsid w:val="002E67C3"/>
    <w:rsid w:val="002F045F"/>
    <w:rsid w:val="002F137C"/>
    <w:rsid w:val="002F3AE3"/>
    <w:rsid w:val="002F426D"/>
    <w:rsid w:val="002F7941"/>
    <w:rsid w:val="002F7E5D"/>
    <w:rsid w:val="0030464B"/>
    <w:rsid w:val="0030786C"/>
    <w:rsid w:val="00310AD3"/>
    <w:rsid w:val="003124F1"/>
    <w:rsid w:val="00313FCC"/>
    <w:rsid w:val="00320F51"/>
    <w:rsid w:val="003233DE"/>
    <w:rsid w:val="0032466B"/>
    <w:rsid w:val="00324810"/>
    <w:rsid w:val="0032725C"/>
    <w:rsid w:val="003302F3"/>
    <w:rsid w:val="00330D48"/>
    <w:rsid w:val="003330EB"/>
    <w:rsid w:val="00341387"/>
    <w:rsid w:val="003415FD"/>
    <w:rsid w:val="003429F0"/>
    <w:rsid w:val="003437FC"/>
    <w:rsid w:val="0034435A"/>
    <w:rsid w:val="00345A82"/>
    <w:rsid w:val="003461DE"/>
    <w:rsid w:val="0034673E"/>
    <w:rsid w:val="0035097A"/>
    <w:rsid w:val="003540A4"/>
    <w:rsid w:val="00354BCE"/>
    <w:rsid w:val="003556F3"/>
    <w:rsid w:val="003560BB"/>
    <w:rsid w:val="00356322"/>
    <w:rsid w:val="00357783"/>
    <w:rsid w:val="00357BCC"/>
    <w:rsid w:val="00360E4E"/>
    <w:rsid w:val="0036218D"/>
    <w:rsid w:val="00363EAF"/>
    <w:rsid w:val="00364B0B"/>
    <w:rsid w:val="00365134"/>
    <w:rsid w:val="00370AAA"/>
    <w:rsid w:val="003712FF"/>
    <w:rsid w:val="0037153C"/>
    <w:rsid w:val="0037294D"/>
    <w:rsid w:val="00372B3E"/>
    <w:rsid w:val="00375F77"/>
    <w:rsid w:val="00380BD3"/>
    <w:rsid w:val="00381BBE"/>
    <w:rsid w:val="00382903"/>
    <w:rsid w:val="003846BB"/>
    <w:rsid w:val="003846FF"/>
    <w:rsid w:val="003857D4"/>
    <w:rsid w:val="00385928"/>
    <w:rsid w:val="00385AD4"/>
    <w:rsid w:val="00387924"/>
    <w:rsid w:val="003919F2"/>
    <w:rsid w:val="003923E3"/>
    <w:rsid w:val="0039384D"/>
    <w:rsid w:val="00395C23"/>
    <w:rsid w:val="0039633E"/>
    <w:rsid w:val="003A2E4F"/>
    <w:rsid w:val="003A4438"/>
    <w:rsid w:val="003A5013"/>
    <w:rsid w:val="003A5078"/>
    <w:rsid w:val="003A5B70"/>
    <w:rsid w:val="003A62DD"/>
    <w:rsid w:val="003A6E55"/>
    <w:rsid w:val="003A775A"/>
    <w:rsid w:val="003B213A"/>
    <w:rsid w:val="003B43AD"/>
    <w:rsid w:val="003C0FEC"/>
    <w:rsid w:val="003C13ED"/>
    <w:rsid w:val="003C2AC8"/>
    <w:rsid w:val="003C4A48"/>
    <w:rsid w:val="003C5801"/>
    <w:rsid w:val="003C7D50"/>
    <w:rsid w:val="003D033A"/>
    <w:rsid w:val="003D17F9"/>
    <w:rsid w:val="003D2D88"/>
    <w:rsid w:val="003D41EA"/>
    <w:rsid w:val="003D4850"/>
    <w:rsid w:val="003D535A"/>
    <w:rsid w:val="003D53FD"/>
    <w:rsid w:val="003D599B"/>
    <w:rsid w:val="003D698F"/>
    <w:rsid w:val="003E39D6"/>
    <w:rsid w:val="003E442C"/>
    <w:rsid w:val="003E5265"/>
    <w:rsid w:val="003E5F21"/>
    <w:rsid w:val="003F0955"/>
    <w:rsid w:val="003F26B7"/>
    <w:rsid w:val="003F280C"/>
    <w:rsid w:val="003F5F4D"/>
    <w:rsid w:val="003F646F"/>
    <w:rsid w:val="003F70FE"/>
    <w:rsid w:val="003F7B5E"/>
    <w:rsid w:val="004002D5"/>
    <w:rsid w:val="0040084E"/>
    <w:rsid w:val="00400F00"/>
    <w:rsid w:val="0040117B"/>
    <w:rsid w:val="004015FF"/>
    <w:rsid w:val="00402F2C"/>
    <w:rsid w:val="00404F8B"/>
    <w:rsid w:val="00405256"/>
    <w:rsid w:val="00410031"/>
    <w:rsid w:val="00415C81"/>
    <w:rsid w:val="004264DD"/>
    <w:rsid w:val="00430520"/>
    <w:rsid w:val="00430642"/>
    <w:rsid w:val="00432378"/>
    <w:rsid w:val="00434BE8"/>
    <w:rsid w:val="00440D65"/>
    <w:rsid w:val="004435E6"/>
    <w:rsid w:val="00444A86"/>
    <w:rsid w:val="00444AF5"/>
    <w:rsid w:val="00444CF0"/>
    <w:rsid w:val="00447E31"/>
    <w:rsid w:val="00452E21"/>
    <w:rsid w:val="00453923"/>
    <w:rsid w:val="00454B9B"/>
    <w:rsid w:val="00456409"/>
    <w:rsid w:val="00457858"/>
    <w:rsid w:val="00460B0B"/>
    <w:rsid w:val="00461023"/>
    <w:rsid w:val="00461BCB"/>
    <w:rsid w:val="00462FAC"/>
    <w:rsid w:val="00464631"/>
    <w:rsid w:val="00464B79"/>
    <w:rsid w:val="0046505F"/>
    <w:rsid w:val="00465FD2"/>
    <w:rsid w:val="00467BBF"/>
    <w:rsid w:val="0047208C"/>
    <w:rsid w:val="00481E88"/>
    <w:rsid w:val="00483108"/>
    <w:rsid w:val="00483CB1"/>
    <w:rsid w:val="0048593C"/>
    <w:rsid w:val="004867E2"/>
    <w:rsid w:val="00486FA1"/>
    <w:rsid w:val="00490F0A"/>
    <w:rsid w:val="004929A9"/>
    <w:rsid w:val="004A318D"/>
    <w:rsid w:val="004A4A96"/>
    <w:rsid w:val="004A58E8"/>
    <w:rsid w:val="004A78D9"/>
    <w:rsid w:val="004B1D64"/>
    <w:rsid w:val="004B6344"/>
    <w:rsid w:val="004C1BCD"/>
    <w:rsid w:val="004C4181"/>
    <w:rsid w:val="004C6BCF"/>
    <w:rsid w:val="004C6E22"/>
    <w:rsid w:val="004D58BF"/>
    <w:rsid w:val="004D6645"/>
    <w:rsid w:val="004D7C52"/>
    <w:rsid w:val="004E4335"/>
    <w:rsid w:val="004E5AF3"/>
    <w:rsid w:val="004E6090"/>
    <w:rsid w:val="004F13EE"/>
    <w:rsid w:val="004F14C1"/>
    <w:rsid w:val="004F2022"/>
    <w:rsid w:val="004F22B4"/>
    <w:rsid w:val="004F64A4"/>
    <w:rsid w:val="004F7C05"/>
    <w:rsid w:val="00501C94"/>
    <w:rsid w:val="005022AA"/>
    <w:rsid w:val="0050491A"/>
    <w:rsid w:val="00506432"/>
    <w:rsid w:val="00506E82"/>
    <w:rsid w:val="005104DA"/>
    <w:rsid w:val="00511A41"/>
    <w:rsid w:val="00512BD4"/>
    <w:rsid w:val="00513BDD"/>
    <w:rsid w:val="00514CA8"/>
    <w:rsid w:val="00515057"/>
    <w:rsid w:val="0052051D"/>
    <w:rsid w:val="0053270E"/>
    <w:rsid w:val="00533309"/>
    <w:rsid w:val="00533CEC"/>
    <w:rsid w:val="00533D12"/>
    <w:rsid w:val="00536822"/>
    <w:rsid w:val="0054074E"/>
    <w:rsid w:val="0054372C"/>
    <w:rsid w:val="00545EE6"/>
    <w:rsid w:val="00550581"/>
    <w:rsid w:val="00551143"/>
    <w:rsid w:val="005514A4"/>
    <w:rsid w:val="005521C3"/>
    <w:rsid w:val="00552556"/>
    <w:rsid w:val="005533F3"/>
    <w:rsid w:val="0055397F"/>
    <w:rsid w:val="00554A22"/>
    <w:rsid w:val="005550E7"/>
    <w:rsid w:val="00556439"/>
    <w:rsid w:val="005564FB"/>
    <w:rsid w:val="005568CC"/>
    <w:rsid w:val="005572C7"/>
    <w:rsid w:val="00560DEC"/>
    <w:rsid w:val="00564A19"/>
    <w:rsid w:val="005650ED"/>
    <w:rsid w:val="00565192"/>
    <w:rsid w:val="005652BC"/>
    <w:rsid w:val="00565E9E"/>
    <w:rsid w:val="00567B1A"/>
    <w:rsid w:val="005703AD"/>
    <w:rsid w:val="00571BD9"/>
    <w:rsid w:val="00573681"/>
    <w:rsid w:val="00575754"/>
    <w:rsid w:val="00575A60"/>
    <w:rsid w:val="0057723C"/>
    <w:rsid w:val="00581FBA"/>
    <w:rsid w:val="005836AA"/>
    <w:rsid w:val="00591E20"/>
    <w:rsid w:val="005921AE"/>
    <w:rsid w:val="00593518"/>
    <w:rsid w:val="005939C5"/>
    <w:rsid w:val="00595408"/>
    <w:rsid w:val="00595E84"/>
    <w:rsid w:val="005A0C36"/>
    <w:rsid w:val="005A0C59"/>
    <w:rsid w:val="005A48EB"/>
    <w:rsid w:val="005A6C36"/>
    <w:rsid w:val="005A6CFB"/>
    <w:rsid w:val="005B35FF"/>
    <w:rsid w:val="005B3AEE"/>
    <w:rsid w:val="005B4C2E"/>
    <w:rsid w:val="005B5839"/>
    <w:rsid w:val="005C18A7"/>
    <w:rsid w:val="005C45CF"/>
    <w:rsid w:val="005C5AEB"/>
    <w:rsid w:val="005C6DCE"/>
    <w:rsid w:val="005C7607"/>
    <w:rsid w:val="005C76EE"/>
    <w:rsid w:val="005D151A"/>
    <w:rsid w:val="005D7DCA"/>
    <w:rsid w:val="005E0A3F"/>
    <w:rsid w:val="005E2249"/>
    <w:rsid w:val="005E2B35"/>
    <w:rsid w:val="005E6758"/>
    <w:rsid w:val="005E6883"/>
    <w:rsid w:val="005E6DEF"/>
    <w:rsid w:val="005E772F"/>
    <w:rsid w:val="005F20EC"/>
    <w:rsid w:val="005F31F2"/>
    <w:rsid w:val="005F3D19"/>
    <w:rsid w:val="005F4ECA"/>
    <w:rsid w:val="005F7A98"/>
    <w:rsid w:val="00600515"/>
    <w:rsid w:val="006019E0"/>
    <w:rsid w:val="006041BE"/>
    <w:rsid w:val="006043C7"/>
    <w:rsid w:val="00605D44"/>
    <w:rsid w:val="00607294"/>
    <w:rsid w:val="0060764A"/>
    <w:rsid w:val="0061010A"/>
    <w:rsid w:val="00613BF8"/>
    <w:rsid w:val="0061480B"/>
    <w:rsid w:val="00616076"/>
    <w:rsid w:val="006171F4"/>
    <w:rsid w:val="00621471"/>
    <w:rsid w:val="006231B8"/>
    <w:rsid w:val="006241D8"/>
    <w:rsid w:val="00624B52"/>
    <w:rsid w:val="00625D89"/>
    <w:rsid w:val="00626CCF"/>
    <w:rsid w:val="006275D5"/>
    <w:rsid w:val="00627692"/>
    <w:rsid w:val="00630794"/>
    <w:rsid w:val="00630AE8"/>
    <w:rsid w:val="00631DF4"/>
    <w:rsid w:val="00632538"/>
    <w:rsid w:val="00634175"/>
    <w:rsid w:val="006408AC"/>
    <w:rsid w:val="00642BD6"/>
    <w:rsid w:val="006511B6"/>
    <w:rsid w:val="006548ED"/>
    <w:rsid w:val="00657FF8"/>
    <w:rsid w:val="00660782"/>
    <w:rsid w:val="00663132"/>
    <w:rsid w:val="006665F9"/>
    <w:rsid w:val="00667F4A"/>
    <w:rsid w:val="00670D99"/>
    <w:rsid w:val="00670E2B"/>
    <w:rsid w:val="006734BB"/>
    <w:rsid w:val="0067444D"/>
    <w:rsid w:val="00675C27"/>
    <w:rsid w:val="00675C8E"/>
    <w:rsid w:val="0067697A"/>
    <w:rsid w:val="006810B4"/>
    <w:rsid w:val="006814E5"/>
    <w:rsid w:val="006821EB"/>
    <w:rsid w:val="00683F78"/>
    <w:rsid w:val="00684193"/>
    <w:rsid w:val="006842BF"/>
    <w:rsid w:val="006856B9"/>
    <w:rsid w:val="006950ED"/>
    <w:rsid w:val="00695FBC"/>
    <w:rsid w:val="006A1F82"/>
    <w:rsid w:val="006A4B3A"/>
    <w:rsid w:val="006B2286"/>
    <w:rsid w:val="006B2D3C"/>
    <w:rsid w:val="006B4B53"/>
    <w:rsid w:val="006B56BB"/>
    <w:rsid w:val="006B79FA"/>
    <w:rsid w:val="006C0021"/>
    <w:rsid w:val="006C0271"/>
    <w:rsid w:val="006C2603"/>
    <w:rsid w:val="006C593C"/>
    <w:rsid w:val="006C77A8"/>
    <w:rsid w:val="006D4098"/>
    <w:rsid w:val="006D4CE9"/>
    <w:rsid w:val="006D7681"/>
    <w:rsid w:val="006D7B2E"/>
    <w:rsid w:val="006E02EA"/>
    <w:rsid w:val="006E0968"/>
    <w:rsid w:val="006E182C"/>
    <w:rsid w:val="006E2AF6"/>
    <w:rsid w:val="006E3ABA"/>
    <w:rsid w:val="006E56E4"/>
    <w:rsid w:val="006E615B"/>
    <w:rsid w:val="006E762F"/>
    <w:rsid w:val="006E7947"/>
    <w:rsid w:val="006E7BD0"/>
    <w:rsid w:val="006F0629"/>
    <w:rsid w:val="006F0E1C"/>
    <w:rsid w:val="006F2477"/>
    <w:rsid w:val="006F2FD3"/>
    <w:rsid w:val="006F3BAB"/>
    <w:rsid w:val="006F4BD5"/>
    <w:rsid w:val="00701275"/>
    <w:rsid w:val="007017F4"/>
    <w:rsid w:val="00702020"/>
    <w:rsid w:val="0070270A"/>
    <w:rsid w:val="00707F56"/>
    <w:rsid w:val="00713558"/>
    <w:rsid w:val="007172F8"/>
    <w:rsid w:val="00720982"/>
    <w:rsid w:val="00720D08"/>
    <w:rsid w:val="00722013"/>
    <w:rsid w:val="00723B89"/>
    <w:rsid w:val="0072488C"/>
    <w:rsid w:val="007263B9"/>
    <w:rsid w:val="00727F8D"/>
    <w:rsid w:val="007333B4"/>
    <w:rsid w:val="007334F8"/>
    <w:rsid w:val="007339CD"/>
    <w:rsid w:val="00735962"/>
    <w:rsid w:val="007359D8"/>
    <w:rsid w:val="007362D4"/>
    <w:rsid w:val="007402B8"/>
    <w:rsid w:val="00740DC9"/>
    <w:rsid w:val="0075005D"/>
    <w:rsid w:val="007500D6"/>
    <w:rsid w:val="007536D5"/>
    <w:rsid w:val="00753918"/>
    <w:rsid w:val="00753956"/>
    <w:rsid w:val="00757962"/>
    <w:rsid w:val="00762EBF"/>
    <w:rsid w:val="00764A07"/>
    <w:rsid w:val="00765279"/>
    <w:rsid w:val="0076672A"/>
    <w:rsid w:val="00770B7C"/>
    <w:rsid w:val="00774D9B"/>
    <w:rsid w:val="00775E45"/>
    <w:rsid w:val="00776E74"/>
    <w:rsid w:val="00782960"/>
    <w:rsid w:val="00785169"/>
    <w:rsid w:val="0079112A"/>
    <w:rsid w:val="007924D7"/>
    <w:rsid w:val="00792B1F"/>
    <w:rsid w:val="007954AB"/>
    <w:rsid w:val="00796B16"/>
    <w:rsid w:val="007978FC"/>
    <w:rsid w:val="007A14C5"/>
    <w:rsid w:val="007A3BA4"/>
    <w:rsid w:val="007A4A10"/>
    <w:rsid w:val="007A525F"/>
    <w:rsid w:val="007A6E40"/>
    <w:rsid w:val="007B0517"/>
    <w:rsid w:val="007B16FC"/>
    <w:rsid w:val="007B1760"/>
    <w:rsid w:val="007B61A5"/>
    <w:rsid w:val="007B68E7"/>
    <w:rsid w:val="007B7276"/>
    <w:rsid w:val="007C1FDC"/>
    <w:rsid w:val="007C2412"/>
    <w:rsid w:val="007C276A"/>
    <w:rsid w:val="007C4D46"/>
    <w:rsid w:val="007C6D9C"/>
    <w:rsid w:val="007C7DDB"/>
    <w:rsid w:val="007D132F"/>
    <w:rsid w:val="007D2CC7"/>
    <w:rsid w:val="007D673D"/>
    <w:rsid w:val="007E0FB8"/>
    <w:rsid w:val="007E416F"/>
    <w:rsid w:val="007E4D09"/>
    <w:rsid w:val="007E55AB"/>
    <w:rsid w:val="007E7272"/>
    <w:rsid w:val="007F135C"/>
    <w:rsid w:val="007F2220"/>
    <w:rsid w:val="007F4B3E"/>
    <w:rsid w:val="00800C79"/>
    <w:rsid w:val="00804275"/>
    <w:rsid w:val="008072FB"/>
    <w:rsid w:val="00812278"/>
    <w:rsid w:val="008127AF"/>
    <w:rsid w:val="00812B46"/>
    <w:rsid w:val="008145B1"/>
    <w:rsid w:val="0081494D"/>
    <w:rsid w:val="00815700"/>
    <w:rsid w:val="0082246B"/>
    <w:rsid w:val="00822E8F"/>
    <w:rsid w:val="008264EB"/>
    <w:rsid w:val="00826B8F"/>
    <w:rsid w:val="00826F29"/>
    <w:rsid w:val="00827298"/>
    <w:rsid w:val="00831527"/>
    <w:rsid w:val="00831E8A"/>
    <w:rsid w:val="00835C76"/>
    <w:rsid w:val="00836B80"/>
    <w:rsid w:val="008376E2"/>
    <w:rsid w:val="00840389"/>
    <w:rsid w:val="00840DB2"/>
    <w:rsid w:val="0084285B"/>
    <w:rsid w:val="00843049"/>
    <w:rsid w:val="00844497"/>
    <w:rsid w:val="008455A6"/>
    <w:rsid w:val="00847AB4"/>
    <w:rsid w:val="00847E35"/>
    <w:rsid w:val="008507F8"/>
    <w:rsid w:val="0085209B"/>
    <w:rsid w:val="008561D7"/>
    <w:rsid w:val="00856B66"/>
    <w:rsid w:val="0085735D"/>
    <w:rsid w:val="0085738E"/>
    <w:rsid w:val="008601AC"/>
    <w:rsid w:val="008602BA"/>
    <w:rsid w:val="00860400"/>
    <w:rsid w:val="00861A5F"/>
    <w:rsid w:val="00861E02"/>
    <w:rsid w:val="00862B8D"/>
    <w:rsid w:val="00863689"/>
    <w:rsid w:val="00863E33"/>
    <w:rsid w:val="008644AD"/>
    <w:rsid w:val="00865735"/>
    <w:rsid w:val="00865DDB"/>
    <w:rsid w:val="00867538"/>
    <w:rsid w:val="00870051"/>
    <w:rsid w:val="00873D90"/>
    <w:rsid w:val="00873FC8"/>
    <w:rsid w:val="0087455B"/>
    <w:rsid w:val="00876475"/>
    <w:rsid w:val="008769D3"/>
    <w:rsid w:val="00880952"/>
    <w:rsid w:val="00884C63"/>
    <w:rsid w:val="00885908"/>
    <w:rsid w:val="008864B7"/>
    <w:rsid w:val="0089089A"/>
    <w:rsid w:val="00893255"/>
    <w:rsid w:val="00894FB6"/>
    <w:rsid w:val="0089677E"/>
    <w:rsid w:val="00896C29"/>
    <w:rsid w:val="00896D80"/>
    <w:rsid w:val="00897ED4"/>
    <w:rsid w:val="008A26A8"/>
    <w:rsid w:val="008A29BB"/>
    <w:rsid w:val="008A7438"/>
    <w:rsid w:val="008A7C31"/>
    <w:rsid w:val="008B1334"/>
    <w:rsid w:val="008B25C7"/>
    <w:rsid w:val="008B26D3"/>
    <w:rsid w:val="008B2FA0"/>
    <w:rsid w:val="008B7F64"/>
    <w:rsid w:val="008C0278"/>
    <w:rsid w:val="008C24E9"/>
    <w:rsid w:val="008C543A"/>
    <w:rsid w:val="008D04F1"/>
    <w:rsid w:val="008D0533"/>
    <w:rsid w:val="008D24CE"/>
    <w:rsid w:val="008D33EF"/>
    <w:rsid w:val="008D37C4"/>
    <w:rsid w:val="008D3DBA"/>
    <w:rsid w:val="008D42CB"/>
    <w:rsid w:val="008D48C9"/>
    <w:rsid w:val="008D6381"/>
    <w:rsid w:val="008D68BE"/>
    <w:rsid w:val="008D6B55"/>
    <w:rsid w:val="008E0C77"/>
    <w:rsid w:val="008E625F"/>
    <w:rsid w:val="008F0BE6"/>
    <w:rsid w:val="008F1EAB"/>
    <w:rsid w:val="008F264D"/>
    <w:rsid w:val="008F280A"/>
    <w:rsid w:val="008F56E4"/>
    <w:rsid w:val="00903667"/>
    <w:rsid w:val="009040E9"/>
    <w:rsid w:val="009074E1"/>
    <w:rsid w:val="009112F7"/>
    <w:rsid w:val="009122AF"/>
    <w:rsid w:val="00912BE5"/>
    <w:rsid w:val="00912D54"/>
    <w:rsid w:val="0091389F"/>
    <w:rsid w:val="00913EE2"/>
    <w:rsid w:val="00915A9A"/>
    <w:rsid w:val="009208F7"/>
    <w:rsid w:val="00921649"/>
    <w:rsid w:val="00922517"/>
    <w:rsid w:val="00922722"/>
    <w:rsid w:val="00925BA2"/>
    <w:rsid w:val="009261E6"/>
    <w:rsid w:val="009268E1"/>
    <w:rsid w:val="009271EE"/>
    <w:rsid w:val="00927B03"/>
    <w:rsid w:val="00932F90"/>
    <w:rsid w:val="00933B5F"/>
    <w:rsid w:val="00933D82"/>
    <w:rsid w:val="0093448C"/>
    <w:rsid w:val="009344AE"/>
    <w:rsid w:val="009344DE"/>
    <w:rsid w:val="00934B8B"/>
    <w:rsid w:val="00940FBD"/>
    <w:rsid w:val="00941DE6"/>
    <w:rsid w:val="009444E0"/>
    <w:rsid w:val="00945E7F"/>
    <w:rsid w:val="0094623C"/>
    <w:rsid w:val="009500DF"/>
    <w:rsid w:val="00953FE6"/>
    <w:rsid w:val="00954DF5"/>
    <w:rsid w:val="009557C1"/>
    <w:rsid w:val="009575DC"/>
    <w:rsid w:val="009602E1"/>
    <w:rsid w:val="009605F8"/>
    <w:rsid w:val="00960D6E"/>
    <w:rsid w:val="00961190"/>
    <w:rsid w:val="00961CC9"/>
    <w:rsid w:val="00963F82"/>
    <w:rsid w:val="00970D83"/>
    <w:rsid w:val="00974B59"/>
    <w:rsid w:val="0098284D"/>
    <w:rsid w:val="00982853"/>
    <w:rsid w:val="0098290D"/>
    <w:rsid w:val="00982F34"/>
    <w:rsid w:val="0098340B"/>
    <w:rsid w:val="00983F54"/>
    <w:rsid w:val="00986830"/>
    <w:rsid w:val="00986A64"/>
    <w:rsid w:val="0098741D"/>
    <w:rsid w:val="009924C3"/>
    <w:rsid w:val="0099261C"/>
    <w:rsid w:val="00993102"/>
    <w:rsid w:val="009B1570"/>
    <w:rsid w:val="009C0C54"/>
    <w:rsid w:val="009C3138"/>
    <w:rsid w:val="009C586E"/>
    <w:rsid w:val="009C6F10"/>
    <w:rsid w:val="009C74EA"/>
    <w:rsid w:val="009D148F"/>
    <w:rsid w:val="009D3CD1"/>
    <w:rsid w:val="009D3D70"/>
    <w:rsid w:val="009D48CB"/>
    <w:rsid w:val="009E0075"/>
    <w:rsid w:val="009E10D6"/>
    <w:rsid w:val="009E3822"/>
    <w:rsid w:val="009E4870"/>
    <w:rsid w:val="009E6916"/>
    <w:rsid w:val="009E6F7E"/>
    <w:rsid w:val="009E7A57"/>
    <w:rsid w:val="009F4579"/>
    <w:rsid w:val="009F4803"/>
    <w:rsid w:val="009F49FE"/>
    <w:rsid w:val="009F4F6A"/>
    <w:rsid w:val="009F68D9"/>
    <w:rsid w:val="00A02E2F"/>
    <w:rsid w:val="00A03297"/>
    <w:rsid w:val="00A04C7A"/>
    <w:rsid w:val="00A07B43"/>
    <w:rsid w:val="00A1138E"/>
    <w:rsid w:val="00A115AC"/>
    <w:rsid w:val="00A1227E"/>
    <w:rsid w:val="00A13EB5"/>
    <w:rsid w:val="00A14A88"/>
    <w:rsid w:val="00A14E23"/>
    <w:rsid w:val="00A16E36"/>
    <w:rsid w:val="00A17AB7"/>
    <w:rsid w:val="00A20BF9"/>
    <w:rsid w:val="00A23590"/>
    <w:rsid w:val="00A23A96"/>
    <w:rsid w:val="00A24961"/>
    <w:rsid w:val="00A24B10"/>
    <w:rsid w:val="00A24DFD"/>
    <w:rsid w:val="00A26603"/>
    <w:rsid w:val="00A277EF"/>
    <w:rsid w:val="00A30E9B"/>
    <w:rsid w:val="00A36E68"/>
    <w:rsid w:val="00A42225"/>
    <w:rsid w:val="00A4512D"/>
    <w:rsid w:val="00A462A7"/>
    <w:rsid w:val="00A47590"/>
    <w:rsid w:val="00A50244"/>
    <w:rsid w:val="00A5074A"/>
    <w:rsid w:val="00A54026"/>
    <w:rsid w:val="00A560EB"/>
    <w:rsid w:val="00A56635"/>
    <w:rsid w:val="00A60B76"/>
    <w:rsid w:val="00A61419"/>
    <w:rsid w:val="00A627D7"/>
    <w:rsid w:val="00A656C7"/>
    <w:rsid w:val="00A705AF"/>
    <w:rsid w:val="00A719F6"/>
    <w:rsid w:val="00A72454"/>
    <w:rsid w:val="00A76599"/>
    <w:rsid w:val="00A77696"/>
    <w:rsid w:val="00A80557"/>
    <w:rsid w:val="00A81D33"/>
    <w:rsid w:val="00A8341C"/>
    <w:rsid w:val="00A84C51"/>
    <w:rsid w:val="00A930AE"/>
    <w:rsid w:val="00A94932"/>
    <w:rsid w:val="00A95D58"/>
    <w:rsid w:val="00A97654"/>
    <w:rsid w:val="00AA096A"/>
    <w:rsid w:val="00AA1A95"/>
    <w:rsid w:val="00AA1BC5"/>
    <w:rsid w:val="00AA260F"/>
    <w:rsid w:val="00AA571D"/>
    <w:rsid w:val="00AA59FB"/>
    <w:rsid w:val="00AA613F"/>
    <w:rsid w:val="00AA673E"/>
    <w:rsid w:val="00AA7955"/>
    <w:rsid w:val="00AB1EE7"/>
    <w:rsid w:val="00AB4B37"/>
    <w:rsid w:val="00AB5762"/>
    <w:rsid w:val="00AC159F"/>
    <w:rsid w:val="00AC1B65"/>
    <w:rsid w:val="00AC2679"/>
    <w:rsid w:val="00AC44EC"/>
    <w:rsid w:val="00AC4BE4"/>
    <w:rsid w:val="00AC542F"/>
    <w:rsid w:val="00AC7318"/>
    <w:rsid w:val="00AC7E4A"/>
    <w:rsid w:val="00AD05C4"/>
    <w:rsid w:val="00AD05E6"/>
    <w:rsid w:val="00AD0D3F"/>
    <w:rsid w:val="00AD5EC4"/>
    <w:rsid w:val="00AD68F5"/>
    <w:rsid w:val="00AE1D7D"/>
    <w:rsid w:val="00AE2A8B"/>
    <w:rsid w:val="00AE3F64"/>
    <w:rsid w:val="00AE5285"/>
    <w:rsid w:val="00AE5F68"/>
    <w:rsid w:val="00AF0164"/>
    <w:rsid w:val="00AF1170"/>
    <w:rsid w:val="00AF2C37"/>
    <w:rsid w:val="00AF4874"/>
    <w:rsid w:val="00AF48B0"/>
    <w:rsid w:val="00AF7386"/>
    <w:rsid w:val="00AF7934"/>
    <w:rsid w:val="00B00B81"/>
    <w:rsid w:val="00B01E0B"/>
    <w:rsid w:val="00B02A7A"/>
    <w:rsid w:val="00B03A6D"/>
    <w:rsid w:val="00B04580"/>
    <w:rsid w:val="00B04B09"/>
    <w:rsid w:val="00B054C3"/>
    <w:rsid w:val="00B057A6"/>
    <w:rsid w:val="00B06313"/>
    <w:rsid w:val="00B10BE0"/>
    <w:rsid w:val="00B16A51"/>
    <w:rsid w:val="00B16F4D"/>
    <w:rsid w:val="00B17999"/>
    <w:rsid w:val="00B20A49"/>
    <w:rsid w:val="00B22214"/>
    <w:rsid w:val="00B23E15"/>
    <w:rsid w:val="00B24008"/>
    <w:rsid w:val="00B25D2A"/>
    <w:rsid w:val="00B260D0"/>
    <w:rsid w:val="00B27A24"/>
    <w:rsid w:val="00B32222"/>
    <w:rsid w:val="00B324B4"/>
    <w:rsid w:val="00B33EF6"/>
    <w:rsid w:val="00B34614"/>
    <w:rsid w:val="00B3618D"/>
    <w:rsid w:val="00B36233"/>
    <w:rsid w:val="00B42851"/>
    <w:rsid w:val="00B43210"/>
    <w:rsid w:val="00B45AC7"/>
    <w:rsid w:val="00B50BE3"/>
    <w:rsid w:val="00B5372F"/>
    <w:rsid w:val="00B53987"/>
    <w:rsid w:val="00B61129"/>
    <w:rsid w:val="00B62F90"/>
    <w:rsid w:val="00B67B77"/>
    <w:rsid w:val="00B67E7F"/>
    <w:rsid w:val="00B7083C"/>
    <w:rsid w:val="00B724F6"/>
    <w:rsid w:val="00B824F4"/>
    <w:rsid w:val="00B839B2"/>
    <w:rsid w:val="00B8593B"/>
    <w:rsid w:val="00B9279E"/>
    <w:rsid w:val="00B92FF2"/>
    <w:rsid w:val="00B94252"/>
    <w:rsid w:val="00B96FA8"/>
    <w:rsid w:val="00B9715A"/>
    <w:rsid w:val="00BA14BE"/>
    <w:rsid w:val="00BA183A"/>
    <w:rsid w:val="00BA2732"/>
    <w:rsid w:val="00BA293D"/>
    <w:rsid w:val="00BA2E7D"/>
    <w:rsid w:val="00BA439B"/>
    <w:rsid w:val="00BA49BC"/>
    <w:rsid w:val="00BA4F83"/>
    <w:rsid w:val="00BA56B7"/>
    <w:rsid w:val="00BA7A1E"/>
    <w:rsid w:val="00BB0CCD"/>
    <w:rsid w:val="00BB29B0"/>
    <w:rsid w:val="00BB2F6C"/>
    <w:rsid w:val="00BB3875"/>
    <w:rsid w:val="00BB3FE9"/>
    <w:rsid w:val="00BB5860"/>
    <w:rsid w:val="00BB6AAD"/>
    <w:rsid w:val="00BB7CD3"/>
    <w:rsid w:val="00BC16D2"/>
    <w:rsid w:val="00BC4A19"/>
    <w:rsid w:val="00BC4E6D"/>
    <w:rsid w:val="00BC60CD"/>
    <w:rsid w:val="00BC705E"/>
    <w:rsid w:val="00BD0617"/>
    <w:rsid w:val="00BD1CE6"/>
    <w:rsid w:val="00BD2B29"/>
    <w:rsid w:val="00BD2BA4"/>
    <w:rsid w:val="00BD2E9B"/>
    <w:rsid w:val="00BD6179"/>
    <w:rsid w:val="00BD72DE"/>
    <w:rsid w:val="00BD7FB2"/>
    <w:rsid w:val="00BE0865"/>
    <w:rsid w:val="00BE684B"/>
    <w:rsid w:val="00BF084A"/>
    <w:rsid w:val="00BF6277"/>
    <w:rsid w:val="00BF628A"/>
    <w:rsid w:val="00BF736D"/>
    <w:rsid w:val="00BF7C8F"/>
    <w:rsid w:val="00C00930"/>
    <w:rsid w:val="00C01704"/>
    <w:rsid w:val="00C060AD"/>
    <w:rsid w:val="00C113BF"/>
    <w:rsid w:val="00C11911"/>
    <w:rsid w:val="00C13630"/>
    <w:rsid w:val="00C15D38"/>
    <w:rsid w:val="00C175E6"/>
    <w:rsid w:val="00C20F93"/>
    <w:rsid w:val="00C2176E"/>
    <w:rsid w:val="00C23430"/>
    <w:rsid w:val="00C2480E"/>
    <w:rsid w:val="00C27D67"/>
    <w:rsid w:val="00C311D9"/>
    <w:rsid w:val="00C33A67"/>
    <w:rsid w:val="00C33C58"/>
    <w:rsid w:val="00C35569"/>
    <w:rsid w:val="00C373BD"/>
    <w:rsid w:val="00C40B34"/>
    <w:rsid w:val="00C410D3"/>
    <w:rsid w:val="00C43768"/>
    <w:rsid w:val="00C4631F"/>
    <w:rsid w:val="00C47CDE"/>
    <w:rsid w:val="00C50E16"/>
    <w:rsid w:val="00C51D1D"/>
    <w:rsid w:val="00C55258"/>
    <w:rsid w:val="00C5715B"/>
    <w:rsid w:val="00C57CDE"/>
    <w:rsid w:val="00C653A0"/>
    <w:rsid w:val="00C65F18"/>
    <w:rsid w:val="00C67200"/>
    <w:rsid w:val="00C75CE7"/>
    <w:rsid w:val="00C75DE8"/>
    <w:rsid w:val="00C777FD"/>
    <w:rsid w:val="00C82D49"/>
    <w:rsid w:val="00C82EEB"/>
    <w:rsid w:val="00C856C6"/>
    <w:rsid w:val="00C86FF0"/>
    <w:rsid w:val="00C87416"/>
    <w:rsid w:val="00C87FAF"/>
    <w:rsid w:val="00C91869"/>
    <w:rsid w:val="00C93A56"/>
    <w:rsid w:val="00C94876"/>
    <w:rsid w:val="00C971DC"/>
    <w:rsid w:val="00CA16B7"/>
    <w:rsid w:val="00CA47CB"/>
    <w:rsid w:val="00CA62AE"/>
    <w:rsid w:val="00CA7892"/>
    <w:rsid w:val="00CB18FA"/>
    <w:rsid w:val="00CB460B"/>
    <w:rsid w:val="00CB5B1A"/>
    <w:rsid w:val="00CB72E1"/>
    <w:rsid w:val="00CC220B"/>
    <w:rsid w:val="00CC4447"/>
    <w:rsid w:val="00CC5C43"/>
    <w:rsid w:val="00CC6948"/>
    <w:rsid w:val="00CD02AE"/>
    <w:rsid w:val="00CD02C5"/>
    <w:rsid w:val="00CD29DF"/>
    <w:rsid w:val="00CD2A4F"/>
    <w:rsid w:val="00CE03CA"/>
    <w:rsid w:val="00CE22F1"/>
    <w:rsid w:val="00CE50F2"/>
    <w:rsid w:val="00CE5444"/>
    <w:rsid w:val="00CE6502"/>
    <w:rsid w:val="00CE7D58"/>
    <w:rsid w:val="00CF034D"/>
    <w:rsid w:val="00CF15F3"/>
    <w:rsid w:val="00CF48BA"/>
    <w:rsid w:val="00CF7D3C"/>
    <w:rsid w:val="00CF7D46"/>
    <w:rsid w:val="00D01F09"/>
    <w:rsid w:val="00D02ADD"/>
    <w:rsid w:val="00D03270"/>
    <w:rsid w:val="00D07D0F"/>
    <w:rsid w:val="00D147EB"/>
    <w:rsid w:val="00D14911"/>
    <w:rsid w:val="00D24A28"/>
    <w:rsid w:val="00D34667"/>
    <w:rsid w:val="00D35B96"/>
    <w:rsid w:val="00D401E1"/>
    <w:rsid w:val="00D408B4"/>
    <w:rsid w:val="00D44330"/>
    <w:rsid w:val="00D46254"/>
    <w:rsid w:val="00D5016C"/>
    <w:rsid w:val="00D524C8"/>
    <w:rsid w:val="00D57644"/>
    <w:rsid w:val="00D6276D"/>
    <w:rsid w:val="00D64D36"/>
    <w:rsid w:val="00D6633A"/>
    <w:rsid w:val="00D70E24"/>
    <w:rsid w:val="00D72B61"/>
    <w:rsid w:val="00D75A6F"/>
    <w:rsid w:val="00D75D08"/>
    <w:rsid w:val="00D80CCB"/>
    <w:rsid w:val="00D81D8F"/>
    <w:rsid w:val="00D82C27"/>
    <w:rsid w:val="00D854A3"/>
    <w:rsid w:val="00D861AA"/>
    <w:rsid w:val="00D8691A"/>
    <w:rsid w:val="00D92AE1"/>
    <w:rsid w:val="00D93787"/>
    <w:rsid w:val="00D961ED"/>
    <w:rsid w:val="00D97ABE"/>
    <w:rsid w:val="00DA1063"/>
    <w:rsid w:val="00DA13FB"/>
    <w:rsid w:val="00DA1696"/>
    <w:rsid w:val="00DA3ACF"/>
    <w:rsid w:val="00DA3C0D"/>
    <w:rsid w:val="00DA3D1D"/>
    <w:rsid w:val="00DA4F48"/>
    <w:rsid w:val="00DB0579"/>
    <w:rsid w:val="00DB0FD3"/>
    <w:rsid w:val="00DB6286"/>
    <w:rsid w:val="00DB645F"/>
    <w:rsid w:val="00DB6BCD"/>
    <w:rsid w:val="00DB76E9"/>
    <w:rsid w:val="00DC0A67"/>
    <w:rsid w:val="00DC1D5E"/>
    <w:rsid w:val="00DC2AFC"/>
    <w:rsid w:val="00DC33CC"/>
    <w:rsid w:val="00DC370A"/>
    <w:rsid w:val="00DC3F7A"/>
    <w:rsid w:val="00DC5220"/>
    <w:rsid w:val="00DD12A0"/>
    <w:rsid w:val="00DD17B2"/>
    <w:rsid w:val="00DD2061"/>
    <w:rsid w:val="00DD4198"/>
    <w:rsid w:val="00DD7DAB"/>
    <w:rsid w:val="00DE0900"/>
    <w:rsid w:val="00DE22F2"/>
    <w:rsid w:val="00DE3355"/>
    <w:rsid w:val="00DE415E"/>
    <w:rsid w:val="00DE4728"/>
    <w:rsid w:val="00DE5FF2"/>
    <w:rsid w:val="00DE6F36"/>
    <w:rsid w:val="00DE744E"/>
    <w:rsid w:val="00DF0C60"/>
    <w:rsid w:val="00DF486F"/>
    <w:rsid w:val="00DF4E24"/>
    <w:rsid w:val="00DF5B5B"/>
    <w:rsid w:val="00DF6C66"/>
    <w:rsid w:val="00DF7619"/>
    <w:rsid w:val="00DF7B51"/>
    <w:rsid w:val="00E00DCF"/>
    <w:rsid w:val="00E0254E"/>
    <w:rsid w:val="00E02881"/>
    <w:rsid w:val="00E042D8"/>
    <w:rsid w:val="00E04643"/>
    <w:rsid w:val="00E0732A"/>
    <w:rsid w:val="00E07AC8"/>
    <w:rsid w:val="00E07EE7"/>
    <w:rsid w:val="00E10F26"/>
    <w:rsid w:val="00E1103B"/>
    <w:rsid w:val="00E118CF"/>
    <w:rsid w:val="00E12FA5"/>
    <w:rsid w:val="00E13DC8"/>
    <w:rsid w:val="00E17B44"/>
    <w:rsid w:val="00E20F27"/>
    <w:rsid w:val="00E21668"/>
    <w:rsid w:val="00E22443"/>
    <w:rsid w:val="00E239AA"/>
    <w:rsid w:val="00E2533D"/>
    <w:rsid w:val="00E257A1"/>
    <w:rsid w:val="00E25B1F"/>
    <w:rsid w:val="00E25DF5"/>
    <w:rsid w:val="00E27FEA"/>
    <w:rsid w:val="00E31897"/>
    <w:rsid w:val="00E32DB9"/>
    <w:rsid w:val="00E4086F"/>
    <w:rsid w:val="00E42A77"/>
    <w:rsid w:val="00E42F28"/>
    <w:rsid w:val="00E43B3C"/>
    <w:rsid w:val="00E50188"/>
    <w:rsid w:val="00E50BB3"/>
    <w:rsid w:val="00E50F3C"/>
    <w:rsid w:val="00E515CB"/>
    <w:rsid w:val="00E52260"/>
    <w:rsid w:val="00E55AE0"/>
    <w:rsid w:val="00E626E6"/>
    <w:rsid w:val="00E639B6"/>
    <w:rsid w:val="00E6425D"/>
    <w:rsid w:val="00E6434B"/>
    <w:rsid w:val="00E6463D"/>
    <w:rsid w:val="00E64A2E"/>
    <w:rsid w:val="00E66F50"/>
    <w:rsid w:val="00E67513"/>
    <w:rsid w:val="00E67675"/>
    <w:rsid w:val="00E67917"/>
    <w:rsid w:val="00E7058A"/>
    <w:rsid w:val="00E7243B"/>
    <w:rsid w:val="00E72755"/>
    <w:rsid w:val="00E72E9B"/>
    <w:rsid w:val="00E8420E"/>
    <w:rsid w:val="00E850C3"/>
    <w:rsid w:val="00E87DF2"/>
    <w:rsid w:val="00E92F2E"/>
    <w:rsid w:val="00E9462E"/>
    <w:rsid w:val="00E95F05"/>
    <w:rsid w:val="00EA1A16"/>
    <w:rsid w:val="00EA34DF"/>
    <w:rsid w:val="00EA470E"/>
    <w:rsid w:val="00EA47A7"/>
    <w:rsid w:val="00EA57EB"/>
    <w:rsid w:val="00EA6305"/>
    <w:rsid w:val="00EB27D0"/>
    <w:rsid w:val="00EB3226"/>
    <w:rsid w:val="00EB3487"/>
    <w:rsid w:val="00EB3E59"/>
    <w:rsid w:val="00EB4FE7"/>
    <w:rsid w:val="00EB51EB"/>
    <w:rsid w:val="00EC16AB"/>
    <w:rsid w:val="00EC213A"/>
    <w:rsid w:val="00EC4502"/>
    <w:rsid w:val="00EC4A7B"/>
    <w:rsid w:val="00EC7744"/>
    <w:rsid w:val="00EC7917"/>
    <w:rsid w:val="00ED0D49"/>
    <w:rsid w:val="00ED0DAD"/>
    <w:rsid w:val="00ED0F46"/>
    <w:rsid w:val="00ED2373"/>
    <w:rsid w:val="00ED47C0"/>
    <w:rsid w:val="00ED4DE8"/>
    <w:rsid w:val="00ED6E41"/>
    <w:rsid w:val="00ED732F"/>
    <w:rsid w:val="00EE21CD"/>
    <w:rsid w:val="00EE3E8A"/>
    <w:rsid w:val="00EE4A03"/>
    <w:rsid w:val="00EE4A93"/>
    <w:rsid w:val="00EE78EA"/>
    <w:rsid w:val="00EF58B8"/>
    <w:rsid w:val="00EF6ECA"/>
    <w:rsid w:val="00F019F3"/>
    <w:rsid w:val="00F024E1"/>
    <w:rsid w:val="00F0603D"/>
    <w:rsid w:val="00F06C10"/>
    <w:rsid w:val="00F1096F"/>
    <w:rsid w:val="00F111FF"/>
    <w:rsid w:val="00F116B5"/>
    <w:rsid w:val="00F12589"/>
    <w:rsid w:val="00F12595"/>
    <w:rsid w:val="00F134D9"/>
    <w:rsid w:val="00F1403D"/>
    <w:rsid w:val="00F1463F"/>
    <w:rsid w:val="00F17150"/>
    <w:rsid w:val="00F177C2"/>
    <w:rsid w:val="00F21302"/>
    <w:rsid w:val="00F21A7F"/>
    <w:rsid w:val="00F2300B"/>
    <w:rsid w:val="00F2430D"/>
    <w:rsid w:val="00F244EC"/>
    <w:rsid w:val="00F26F09"/>
    <w:rsid w:val="00F321DE"/>
    <w:rsid w:val="00F33777"/>
    <w:rsid w:val="00F37CE7"/>
    <w:rsid w:val="00F40648"/>
    <w:rsid w:val="00F43C27"/>
    <w:rsid w:val="00F4652F"/>
    <w:rsid w:val="00F46FE5"/>
    <w:rsid w:val="00F4714A"/>
    <w:rsid w:val="00F47DA2"/>
    <w:rsid w:val="00F50759"/>
    <w:rsid w:val="00F519FC"/>
    <w:rsid w:val="00F51BE4"/>
    <w:rsid w:val="00F54A79"/>
    <w:rsid w:val="00F56B9F"/>
    <w:rsid w:val="00F6239D"/>
    <w:rsid w:val="00F651C1"/>
    <w:rsid w:val="00F66BC0"/>
    <w:rsid w:val="00F66C1D"/>
    <w:rsid w:val="00F715D2"/>
    <w:rsid w:val="00F72574"/>
    <w:rsid w:val="00F7274F"/>
    <w:rsid w:val="00F74E84"/>
    <w:rsid w:val="00F76FA8"/>
    <w:rsid w:val="00F80E9F"/>
    <w:rsid w:val="00F81C00"/>
    <w:rsid w:val="00F828BE"/>
    <w:rsid w:val="00F8306D"/>
    <w:rsid w:val="00F85D19"/>
    <w:rsid w:val="00F8636E"/>
    <w:rsid w:val="00F93F08"/>
    <w:rsid w:val="00F94CED"/>
    <w:rsid w:val="00F959B8"/>
    <w:rsid w:val="00F95B8D"/>
    <w:rsid w:val="00F96DCD"/>
    <w:rsid w:val="00FA02BB"/>
    <w:rsid w:val="00FA2CEE"/>
    <w:rsid w:val="00FA318C"/>
    <w:rsid w:val="00FA3954"/>
    <w:rsid w:val="00FA5796"/>
    <w:rsid w:val="00FA5CFD"/>
    <w:rsid w:val="00FB387B"/>
    <w:rsid w:val="00FB6F92"/>
    <w:rsid w:val="00FC026E"/>
    <w:rsid w:val="00FC1223"/>
    <w:rsid w:val="00FC20F8"/>
    <w:rsid w:val="00FC23F3"/>
    <w:rsid w:val="00FC3B24"/>
    <w:rsid w:val="00FC5124"/>
    <w:rsid w:val="00FD1950"/>
    <w:rsid w:val="00FD423E"/>
    <w:rsid w:val="00FD4731"/>
    <w:rsid w:val="00FD6768"/>
    <w:rsid w:val="00FE38A5"/>
    <w:rsid w:val="00FF0AB0"/>
    <w:rsid w:val="00FF28AC"/>
    <w:rsid w:val="00FF31C6"/>
    <w:rsid w:val="00FF75A1"/>
    <w:rsid w:val="00FF777D"/>
    <w:rsid w:val="00FF7871"/>
    <w:rsid w:val="00FF7ED7"/>
    <w:rsid w:val="00FF7F62"/>
    <w:rsid w:val="0330B6C4"/>
    <w:rsid w:val="0AC83DE9"/>
    <w:rsid w:val="0BE00CFA"/>
    <w:rsid w:val="1DB09747"/>
    <w:rsid w:val="58B0C5FF"/>
    <w:rsid w:val="5EB0AD30"/>
    <w:rsid w:val="5F600006"/>
    <w:rsid w:val="7926FBC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0DAAB"/>
  <w15:docId w15:val="{4B6E61AF-D628-40D5-A33E-F5205C70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qFormat/>
    <w:rsid w:val="0009270D"/>
    <w:pPr>
      <w:keepNext/>
      <w:spacing w:before="240" w:after="60"/>
      <w:outlineLvl w:val="1"/>
    </w:pPr>
    <w:rPr>
      <w:rFonts w:ascii="Arial" w:hAnsi="Arial" w:cs="Arial"/>
      <w:b/>
      <w:bCs/>
      <w:iCs/>
      <w:color w:val="245457" w:themeColor="accent2"/>
      <w:sz w:val="36"/>
      <w:szCs w:val="28"/>
      <w:lang w:eastAsia="en-US"/>
    </w:rPr>
  </w:style>
  <w:style w:type="paragraph" w:styleId="Heading3">
    <w:name w:val="heading 3"/>
    <w:next w:val="Normal"/>
    <w:link w:val="Heading3Char"/>
    <w:qFormat/>
    <w:rsid w:val="0009270D"/>
    <w:pPr>
      <w:keepNext/>
      <w:spacing w:before="180" w:after="60"/>
      <w:outlineLvl w:val="2"/>
    </w:pPr>
    <w:rPr>
      <w:rFonts w:ascii="Arial" w:hAnsi="Arial" w:cs="Arial"/>
      <w:b/>
      <w:bCs/>
      <w:color w:val="245457" w:themeColor="accent2"/>
      <w:sz w:val="28"/>
      <w:szCs w:val="28"/>
      <w:lang w:eastAsia="en-US"/>
    </w:rPr>
  </w:style>
  <w:style w:type="paragraph" w:styleId="Heading4">
    <w:name w:val="heading 4"/>
    <w:next w:val="Normal"/>
    <w:qFormat/>
    <w:rsid w:val="00ED732F"/>
    <w:pPr>
      <w:keepNext/>
      <w:spacing w:before="240" w:after="60"/>
      <w:outlineLvl w:val="3"/>
    </w:pPr>
    <w:rPr>
      <w:rFonts w:ascii="Arial" w:hAnsi="Arial"/>
      <w:b/>
      <w:bCs/>
      <w:i/>
      <w:color w:val="245457" w:themeColor="accent2"/>
      <w:sz w:val="24"/>
      <w:szCs w:val="24"/>
      <w:lang w:eastAsia="en-US"/>
    </w:rPr>
  </w:style>
  <w:style w:type="paragraph" w:styleId="Heading5">
    <w:name w:val="heading 5"/>
    <w:next w:val="Normal"/>
    <w:rsid w:val="00695FBC"/>
    <w:pPr>
      <w:keepNext/>
      <w:spacing w:after="240"/>
      <w:outlineLvl w:val="4"/>
    </w:pPr>
    <w:rPr>
      <w:rFonts w:ascii="Arial" w:hAnsi="Arial"/>
      <w:b/>
      <w:bCs/>
      <w:iCs/>
      <w:color w:val="245457"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09270D"/>
    <w:pPr>
      <w:spacing w:before="240"/>
    </w:pPr>
    <w:rPr>
      <w:rFonts w:cs="Times New Roman"/>
      <w:b/>
      <w:bCs/>
      <w:caps/>
      <w:color w:val="245457" w:themeColor="accent2"/>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245457" w:themeColor="accent2"/>
      <w:u w:val="single"/>
    </w:rPr>
  </w:style>
  <w:style w:type="character" w:styleId="IntenseReference">
    <w:name w:val="Intense Reference"/>
    <w:basedOn w:val="DefaultParagraphFont"/>
    <w:uiPriority w:val="32"/>
    <w:rsid w:val="00A719F6"/>
    <w:rPr>
      <w:b/>
      <w:bCs/>
      <w:i/>
      <w:smallCaps/>
      <w:color w:val="245457"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A719F6"/>
    <w:pPr>
      <w:numPr>
        <w:numId w:val="20"/>
      </w:numPr>
      <w:tabs>
        <w:tab w:val="left" w:pos="340"/>
        <w:tab w:val="left" w:pos="680"/>
      </w:tabs>
      <w:spacing w:before="60" w:after="60"/>
    </w:pPr>
  </w:style>
  <w:style w:type="paragraph" w:styleId="ListParagraph">
    <w:name w:val="List Paragraph"/>
    <w:aliases w:val="List Paragraph1,List Paragraph11,Recommendation,First level bullet point,Bullet point,Bullets,CV text,Dot pt,F5 List Paragraph,FooterText,L,List Paragraph111,List Paragraph2,Medium Grid 1 - Accent 21,NAST Quote,NFP GP Bulleted List,列,Ha"/>
    <w:basedOn w:val="Normal"/>
    <w:link w:val="ListParagraphChar"/>
    <w:uiPriority w:val="34"/>
    <w:qFormat/>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uiPriority w:val="39"/>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3F4A75"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09270D"/>
    <w:pPr>
      <w:pBdr>
        <w:top w:val="single" w:sz="4" w:space="15" w:color="358189"/>
        <w:bottom w:val="single" w:sz="4" w:space="10" w:color="358189"/>
      </w:pBdr>
      <w:spacing w:before="240" w:after="240" w:line="340" w:lineRule="exact"/>
    </w:pPr>
    <w:rPr>
      <w:rFonts w:eastAsiaTheme="minorHAnsi"/>
      <w:color w:val="245457" w:themeColor="accent2"/>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09270D"/>
    <w:rPr>
      <w:b/>
      <w:caps/>
      <w:smallCaps w:val="0"/>
      <w:color w:val="245457" w:themeColor="accent2"/>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09270D"/>
    <w:pPr>
      <w:spacing w:before="480" w:line="400" w:lineRule="exact"/>
    </w:pPr>
    <w:rPr>
      <w:color w:val="245457" w:themeColor="accent2"/>
      <w:sz w:val="28"/>
    </w:rPr>
  </w:style>
  <w:style w:type="paragraph" w:customStyle="1" w:styleId="Intropara0">
    <w:name w:val="Intro para"/>
    <w:basedOn w:val="VisionBox"/>
    <w:rsid w:val="0009270D"/>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A719F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rsid w:val="0009270D"/>
    <w:rPr>
      <w:rFonts w:ascii="Arial" w:hAnsi="Arial" w:cs="Arial"/>
      <w:b/>
      <w:bCs/>
      <w:iCs/>
      <w:color w:val="245457" w:themeColor="accent2"/>
      <w:sz w:val="36"/>
      <w:szCs w:val="28"/>
      <w:lang w:eastAsia="en-US"/>
    </w:rPr>
  </w:style>
  <w:style w:type="character" w:customStyle="1" w:styleId="Heading3Char">
    <w:name w:val="Heading 3 Char"/>
    <w:basedOn w:val="DefaultParagraphFont"/>
    <w:link w:val="Heading3"/>
    <w:rsid w:val="0009270D"/>
    <w:rPr>
      <w:rFonts w:ascii="Arial" w:hAnsi="Arial" w:cs="Arial"/>
      <w:b/>
      <w:bCs/>
      <w:color w:val="245457" w:themeColor="accent2"/>
      <w:sz w:val="28"/>
      <w:szCs w:val="28"/>
      <w:lang w:eastAsia="en-US"/>
    </w:rPr>
  </w:style>
  <w:style w:type="character" w:customStyle="1" w:styleId="ListParagraphChar">
    <w:name w:val="List Paragraph Char"/>
    <w:aliases w:val="List Paragraph1 Char,List Paragraph11 Char,Recommendation Char,First level bullet point Char,Bullet point Char,Bullets Char,CV text Char,Dot pt Char,F5 List Paragraph Char,FooterText Char,L Char,List Paragraph111 Char,NAST Quote Char"/>
    <w:link w:val="ListParagraph"/>
    <w:uiPriority w:val="34"/>
    <w:qFormat/>
    <w:locked/>
    <w:rsid w:val="000F35F1"/>
    <w:rPr>
      <w:rFonts w:ascii="Arial" w:hAnsi="Arial"/>
      <w:color w:val="000000" w:themeColor="text1"/>
      <w:sz w:val="22"/>
      <w:szCs w:val="24"/>
      <w:lang w:eastAsia="en-US"/>
    </w:rPr>
  </w:style>
  <w:style w:type="paragraph" w:styleId="Revision">
    <w:name w:val="Revision"/>
    <w:hidden/>
    <w:uiPriority w:val="99"/>
    <w:semiHidden/>
    <w:rsid w:val="00D92AE1"/>
    <w:rPr>
      <w:rFonts w:ascii="Arial" w:hAnsi="Arial"/>
      <w:color w:val="000000" w:themeColor="text1"/>
      <w:sz w:val="22"/>
      <w:szCs w:val="24"/>
      <w:lang w:eastAsia="en-US"/>
    </w:rPr>
  </w:style>
  <w:style w:type="character" w:styleId="CommentReference">
    <w:name w:val="annotation reference"/>
    <w:basedOn w:val="DefaultParagraphFont"/>
    <w:semiHidden/>
    <w:unhideWhenUsed/>
    <w:rsid w:val="007C4D46"/>
    <w:rPr>
      <w:sz w:val="16"/>
      <w:szCs w:val="16"/>
    </w:rPr>
  </w:style>
  <w:style w:type="paragraph" w:styleId="CommentText">
    <w:name w:val="annotation text"/>
    <w:basedOn w:val="Normal"/>
    <w:link w:val="CommentTextChar"/>
    <w:unhideWhenUsed/>
    <w:rsid w:val="007C4D46"/>
    <w:pPr>
      <w:spacing w:line="240" w:lineRule="auto"/>
    </w:pPr>
    <w:rPr>
      <w:sz w:val="20"/>
      <w:szCs w:val="20"/>
    </w:rPr>
  </w:style>
  <w:style w:type="character" w:customStyle="1" w:styleId="CommentTextChar">
    <w:name w:val="Comment Text Char"/>
    <w:basedOn w:val="DefaultParagraphFont"/>
    <w:link w:val="CommentText"/>
    <w:rsid w:val="007C4D46"/>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7C4D46"/>
    <w:rPr>
      <w:b/>
      <w:bCs/>
    </w:rPr>
  </w:style>
  <w:style w:type="character" w:customStyle="1" w:styleId="CommentSubjectChar">
    <w:name w:val="Comment Subject Char"/>
    <w:basedOn w:val="CommentTextChar"/>
    <w:link w:val="CommentSubject"/>
    <w:semiHidden/>
    <w:rsid w:val="007C4D46"/>
    <w:rPr>
      <w:rFonts w:ascii="Arial" w:hAnsi="Arial"/>
      <w:b/>
      <w:bCs/>
      <w:color w:val="000000" w:themeColor="text1"/>
      <w:lang w:eastAsia="en-US"/>
    </w:rPr>
  </w:style>
  <w:style w:type="table" w:styleId="GridTable1Light">
    <w:name w:val="Grid Table 1 Light"/>
    <w:basedOn w:val="TableNormal"/>
    <w:uiPriority w:val="46"/>
    <w:rsid w:val="00444A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1E88"/>
    <w:tblPr>
      <w:tblStyleRowBandSize w:val="1"/>
      <w:tblStyleColBandSize w:val="1"/>
      <w:tblBorders>
        <w:top w:val="single" w:sz="4" w:space="0" w:color="A9B1D0" w:themeColor="accent1" w:themeTint="66"/>
        <w:left w:val="single" w:sz="4" w:space="0" w:color="A9B1D0" w:themeColor="accent1" w:themeTint="66"/>
        <w:bottom w:val="single" w:sz="4" w:space="0" w:color="A9B1D0" w:themeColor="accent1" w:themeTint="66"/>
        <w:right w:val="single" w:sz="4" w:space="0" w:color="A9B1D0" w:themeColor="accent1" w:themeTint="66"/>
        <w:insideH w:val="single" w:sz="4" w:space="0" w:color="A9B1D0" w:themeColor="accent1" w:themeTint="66"/>
        <w:insideV w:val="single" w:sz="4" w:space="0" w:color="A9B1D0" w:themeColor="accent1" w:themeTint="66"/>
      </w:tblBorders>
    </w:tblPr>
    <w:tblStylePr w:type="firstRow">
      <w:rPr>
        <w:b/>
        <w:bCs/>
      </w:rPr>
      <w:tblPr/>
      <w:tcPr>
        <w:tcBorders>
          <w:bottom w:val="single" w:sz="12" w:space="0" w:color="7E8AB9" w:themeColor="accent1" w:themeTint="99"/>
        </w:tcBorders>
      </w:tcPr>
    </w:tblStylePr>
    <w:tblStylePr w:type="lastRow">
      <w:rPr>
        <w:b/>
        <w:bCs/>
      </w:rPr>
      <w:tblPr/>
      <w:tcPr>
        <w:tcBorders>
          <w:top w:val="double" w:sz="2" w:space="0" w:color="7E8AB9"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99261C"/>
    <w:rPr>
      <w:color w:val="605E5C"/>
      <w:shd w:val="clear" w:color="auto" w:fill="E1DFDD"/>
    </w:rPr>
  </w:style>
  <w:style w:type="paragraph" w:customStyle="1" w:styleId="Heading3-nospace">
    <w:name w:val="Heading 3 - no space"/>
    <w:basedOn w:val="Heading3"/>
    <w:rsid w:val="00461BCB"/>
    <w:pPr>
      <w:spacing w:before="0" w:after="0"/>
    </w:pPr>
  </w:style>
  <w:style w:type="character" w:styleId="SmartLink">
    <w:name w:val="Smart Link"/>
    <w:basedOn w:val="DefaultParagraphFont"/>
    <w:uiPriority w:val="99"/>
    <w:semiHidden/>
    <w:unhideWhenUsed/>
    <w:rsid w:val="0009270D"/>
    <w:rPr>
      <w:color w:val="3F4A75" w:themeColor="text2"/>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chart" Target="charts/chart2.xm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3.sv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chart" Target="charts/chart1.xml"/><Relationship Id="rId29" Type="http://schemas.openxmlformats.org/officeDocument/2006/relationships/image" Target="media/image17.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2.png"/><Relationship Id="rId32" Type="http://schemas.openxmlformats.org/officeDocument/2006/relationships/hyperlink" Target="http://medicarementalhealth.gov.a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image" Target="media/image19.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svg"/><Relationship Id="rId30" Type="http://schemas.openxmlformats.org/officeDocument/2006/relationships/image" Target="media/image18.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0.jpg"/></Relationships>
</file>

<file path=word/_rels/header3.xml.rels><?xml version="1.0" encoding="UTF-8" standalone="yes"?>
<Relationships xmlns="http://schemas.openxmlformats.org/package/2006/relationships"><Relationship Id="rId1" Type="http://schemas.openxmlformats.org/officeDocument/2006/relationships/image" Target="media/image2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fact%20sheet%20template%20teal.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ln>
                  <a:noFill/>
                </a:ln>
                <a:solidFill>
                  <a:schemeClr val="tx1">
                    <a:lumMod val="65000"/>
                    <a:lumOff val="35000"/>
                  </a:schemeClr>
                </a:solidFill>
                <a:latin typeface="+mn-lt"/>
                <a:ea typeface="+mn-ea"/>
                <a:cs typeface="+mn-cs"/>
              </a:defRPr>
            </a:pPr>
            <a:r>
              <a:rPr lang="en-US" sz="1200" b="1">
                <a:solidFill>
                  <a:schemeClr val="tx1"/>
                </a:solidFill>
              </a:rPr>
              <a:t>Most common types of services</a:t>
            </a:r>
          </a:p>
        </c:rich>
      </c:tx>
      <c:overlay val="0"/>
      <c:spPr>
        <a:noFill/>
        <a:ln>
          <a:noFill/>
        </a:ln>
        <a:effectLst/>
      </c:spPr>
      <c:txPr>
        <a:bodyPr rot="0" spcFirstLastPara="1" vertOverflow="ellipsis" vert="horz" wrap="square" anchor="ctr" anchorCtr="1"/>
        <a:lstStyle/>
        <a:p>
          <a:pPr>
            <a:defRPr sz="1200" b="1" i="0" u="none" strike="noStrike" kern="1200" spc="0" baseline="0">
              <a:ln>
                <a:noFill/>
              </a:ln>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7260679298764053"/>
          <c:y val="0.10263928180639545"/>
          <c:w val="0.67393433168867301"/>
          <c:h val="0.66486366890089155"/>
        </c:manualLayout>
      </c:layout>
      <c:doughnutChart>
        <c:varyColors val="1"/>
        <c:ser>
          <c:idx val="0"/>
          <c:order val="0"/>
          <c:tx>
            <c:strRef>
              <c:f>Sheet1!$B$1</c:f>
              <c:strCache>
                <c:ptCount val="1"/>
                <c:pt idx="0">
                  <c:v>Most common types of services</c:v>
                </c:pt>
              </c:strCache>
            </c:strRef>
          </c:tx>
          <c:dPt>
            <c:idx val="0"/>
            <c:bubble3D val="0"/>
            <c:spPr>
              <a:solidFill>
                <a:srgbClr val="0072B2"/>
              </a:solidFill>
              <a:ln w="19050">
                <a:solidFill>
                  <a:schemeClr val="lt1"/>
                </a:solidFill>
              </a:ln>
              <a:effectLst/>
            </c:spPr>
            <c:extLst>
              <c:ext xmlns:c16="http://schemas.microsoft.com/office/drawing/2014/chart" uri="{C3380CC4-5D6E-409C-BE32-E72D297353CC}">
                <c16:uniqueId val="{00000001-D561-4DBF-A8D3-B610E9AF7349}"/>
              </c:ext>
            </c:extLst>
          </c:dPt>
          <c:dPt>
            <c:idx val="1"/>
            <c:bubble3D val="0"/>
            <c:spPr>
              <a:solidFill>
                <a:srgbClr val="009E73"/>
              </a:solidFill>
              <a:ln w="19050">
                <a:solidFill>
                  <a:schemeClr val="lt1"/>
                </a:solidFill>
              </a:ln>
              <a:effectLst/>
            </c:spPr>
            <c:extLst>
              <c:ext xmlns:c16="http://schemas.microsoft.com/office/drawing/2014/chart" uri="{C3380CC4-5D6E-409C-BE32-E72D297353CC}">
                <c16:uniqueId val="{00000003-D561-4DBF-A8D3-B610E9AF7349}"/>
              </c:ext>
            </c:extLst>
          </c:dPt>
          <c:dPt>
            <c:idx val="2"/>
            <c:bubble3D val="0"/>
            <c:spPr>
              <a:solidFill>
                <a:srgbClr val="CC79A7"/>
              </a:solidFill>
              <a:ln w="19050">
                <a:solidFill>
                  <a:schemeClr val="lt1"/>
                </a:solidFill>
              </a:ln>
              <a:effectLst/>
            </c:spPr>
            <c:extLst>
              <c:ext xmlns:c16="http://schemas.microsoft.com/office/drawing/2014/chart" uri="{C3380CC4-5D6E-409C-BE32-E72D297353CC}">
                <c16:uniqueId val="{00000005-D561-4DBF-A8D3-B610E9AF734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561-4DBF-A8D3-B610E9AF734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561-4DBF-A8D3-B610E9AF7349}"/>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Clinical care coordination</c:v>
                </c:pt>
                <c:pt idx="1">
                  <c:v>Psychological interventions</c:v>
                </c:pt>
                <c:pt idx="2">
                  <c:v>Psychosocial support</c:v>
                </c:pt>
                <c:pt idx="3">
                  <c:v>Assessment</c:v>
                </c:pt>
                <c:pt idx="4">
                  <c:v>Other*</c:v>
                </c:pt>
              </c:strCache>
            </c:strRef>
          </c:cat>
          <c:val>
            <c:numRef>
              <c:f>Sheet1!$B$2:$B$6</c:f>
              <c:numCache>
                <c:formatCode>0%</c:formatCode>
                <c:ptCount val="5"/>
                <c:pt idx="0">
                  <c:v>0.28999999999999998</c:v>
                </c:pt>
                <c:pt idx="1">
                  <c:v>0.27</c:v>
                </c:pt>
                <c:pt idx="2">
                  <c:v>0.25</c:v>
                </c:pt>
                <c:pt idx="3">
                  <c:v>0.11</c:v>
                </c:pt>
                <c:pt idx="4">
                  <c:v>0.08</c:v>
                </c:pt>
              </c:numCache>
            </c:numRef>
          </c:val>
          <c:extLst>
            <c:ext xmlns:c16="http://schemas.microsoft.com/office/drawing/2014/chart" uri="{C3380CC4-5D6E-409C-BE32-E72D297353CC}">
              <c16:uniqueId val="{0000000A-D561-4DBF-A8D3-B610E9AF7349}"/>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ln>
                  <a:noFill/>
                </a:ln>
                <a:solidFill>
                  <a:schemeClr val="tx1"/>
                </a:solidFill>
                <a:latin typeface="+mn-lt"/>
                <a:ea typeface="+mn-ea"/>
                <a:cs typeface="+mn-cs"/>
              </a:defRPr>
            </a:pPr>
            <a:endParaRPr lang="en-US"/>
          </a:p>
        </c:txPr>
      </c:legendEntry>
      <c:layout>
        <c:manualLayout>
          <c:xMode val="edge"/>
          <c:yMode val="edge"/>
          <c:x val="0.2030287123200509"/>
          <c:y val="0.71247926636289105"/>
          <c:w val="0.59394217768233515"/>
          <c:h val="0.28348522112702018"/>
        </c:manualLayout>
      </c:layout>
      <c:overlay val="0"/>
      <c:spPr>
        <a:noFill/>
        <a:ln>
          <a:noFill/>
        </a:ln>
        <a:effectLst/>
      </c:spPr>
      <c:txPr>
        <a:bodyPr rot="0" spcFirstLastPara="1" vertOverflow="ellipsis" vert="horz" wrap="square" anchor="ctr" anchorCtr="1"/>
        <a:lstStyle/>
        <a:p>
          <a:pPr>
            <a:defRPr sz="800" b="0" i="0" u="none" strike="noStrike" kern="1200" baseline="0">
              <a:ln>
                <a:noFill/>
              </a:ln>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ln>
                  <a:noFill/>
                </a:ln>
                <a:solidFill>
                  <a:schemeClr val="tx1">
                    <a:lumMod val="65000"/>
                    <a:lumOff val="35000"/>
                  </a:schemeClr>
                </a:solidFill>
                <a:latin typeface="+mn-lt"/>
                <a:ea typeface="+mn-ea"/>
                <a:cs typeface="+mn-cs"/>
              </a:defRPr>
            </a:pPr>
            <a:r>
              <a:rPr lang="en-AU" sz="1200" b="1" i="0" u="none" strike="noStrike">
                <a:solidFill>
                  <a:schemeClr val="tx1"/>
                </a:solidFill>
                <a:effectLst/>
              </a:rPr>
              <a:t>MMHC staff delivering services </a:t>
            </a:r>
            <a:r>
              <a:rPr lang="en-AU" sz="1200" b="1">
                <a:solidFill>
                  <a:schemeClr val="tx1"/>
                </a:solidFill>
                <a:effectLst/>
              </a:rPr>
              <a:t> </a:t>
            </a:r>
          </a:p>
        </c:rich>
      </c:tx>
      <c:overlay val="0"/>
      <c:spPr>
        <a:noFill/>
        <a:ln>
          <a:noFill/>
        </a:ln>
        <a:effectLst/>
      </c:spPr>
      <c:txPr>
        <a:bodyPr rot="0" spcFirstLastPara="1" vertOverflow="ellipsis" vert="horz" wrap="square" anchor="ctr" anchorCtr="1"/>
        <a:lstStyle/>
        <a:p>
          <a:pPr>
            <a:defRPr sz="1200" b="1" i="0" u="none" strike="noStrike" kern="1200" spc="0" baseline="0">
              <a:ln>
                <a:noFill/>
              </a:ln>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7260679298764053"/>
          <c:y val="0.10263928180639545"/>
          <c:w val="0.67393433168867301"/>
          <c:h val="0.66486366890089155"/>
        </c:manualLayout>
      </c:layout>
      <c:doughnutChart>
        <c:varyColors val="1"/>
        <c:ser>
          <c:idx val="0"/>
          <c:order val="0"/>
          <c:tx>
            <c:strRef>
              <c:f>Sheet1!$B$1</c:f>
              <c:strCache>
                <c:ptCount val="1"/>
                <c:pt idx="0">
                  <c:v>MMHC staff delivering services </c:v>
                </c:pt>
              </c:strCache>
            </c:strRef>
          </c:tx>
          <c:dPt>
            <c:idx val="0"/>
            <c:bubble3D val="0"/>
            <c:spPr>
              <a:solidFill>
                <a:srgbClr val="0072B2"/>
              </a:solidFill>
              <a:ln w="19050">
                <a:solidFill>
                  <a:schemeClr val="lt1"/>
                </a:solidFill>
              </a:ln>
              <a:effectLst/>
            </c:spPr>
            <c:extLst>
              <c:ext xmlns:c16="http://schemas.microsoft.com/office/drawing/2014/chart" uri="{C3380CC4-5D6E-409C-BE32-E72D297353CC}">
                <c16:uniqueId val="{00000001-361A-5540-85D7-1AE7950F7856}"/>
              </c:ext>
            </c:extLst>
          </c:dPt>
          <c:dPt>
            <c:idx val="1"/>
            <c:bubble3D val="0"/>
            <c:spPr>
              <a:solidFill>
                <a:srgbClr val="009E73"/>
              </a:solidFill>
              <a:ln w="19050">
                <a:solidFill>
                  <a:schemeClr val="lt1"/>
                </a:solidFill>
              </a:ln>
              <a:effectLst/>
            </c:spPr>
            <c:extLst>
              <c:ext xmlns:c16="http://schemas.microsoft.com/office/drawing/2014/chart" uri="{C3380CC4-5D6E-409C-BE32-E72D297353CC}">
                <c16:uniqueId val="{00000003-361A-5540-85D7-1AE7950F7856}"/>
              </c:ext>
            </c:extLst>
          </c:dPt>
          <c:dPt>
            <c:idx val="2"/>
            <c:bubble3D val="0"/>
            <c:spPr>
              <a:solidFill>
                <a:srgbClr val="CC79A7"/>
              </a:solidFill>
              <a:ln w="19050">
                <a:solidFill>
                  <a:schemeClr val="lt1"/>
                </a:solidFill>
              </a:ln>
              <a:effectLst/>
            </c:spPr>
            <c:extLst>
              <c:ext xmlns:c16="http://schemas.microsoft.com/office/drawing/2014/chart" uri="{C3380CC4-5D6E-409C-BE32-E72D297353CC}">
                <c16:uniqueId val="{00000005-361A-5540-85D7-1AE7950F7856}"/>
              </c:ext>
            </c:extLst>
          </c:dPt>
          <c:dPt>
            <c:idx val="3"/>
            <c:bubble3D val="0"/>
            <c:spPr>
              <a:solidFill>
                <a:srgbClr val="E69F00"/>
              </a:solidFill>
              <a:ln w="19050">
                <a:solidFill>
                  <a:schemeClr val="lt1"/>
                </a:solidFill>
              </a:ln>
              <a:effectLst/>
            </c:spPr>
            <c:extLst>
              <c:ext xmlns:c16="http://schemas.microsoft.com/office/drawing/2014/chart" uri="{C3380CC4-5D6E-409C-BE32-E72D297353CC}">
                <c16:uniqueId val="{00000007-CE6F-A94A-842D-AC05332DD63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8BF-45AC-8188-79D03A7922FA}"/>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Social workers</c:v>
                </c:pt>
                <c:pt idx="1">
                  <c:v>Other professionals**</c:v>
                </c:pt>
                <c:pt idx="2">
                  <c:v>Peer support workers</c:v>
                </c:pt>
                <c:pt idx="3">
                  <c:v>General psychologists</c:v>
                </c:pt>
                <c:pt idx="4">
                  <c:v>Other***  </c:v>
                </c:pt>
              </c:strCache>
            </c:strRef>
          </c:cat>
          <c:val>
            <c:numRef>
              <c:f>Sheet1!$B$2:$B$6</c:f>
              <c:numCache>
                <c:formatCode>0%</c:formatCode>
                <c:ptCount val="5"/>
                <c:pt idx="0">
                  <c:v>0.22</c:v>
                </c:pt>
                <c:pt idx="1">
                  <c:v>0.22</c:v>
                </c:pt>
                <c:pt idx="2">
                  <c:v>0.16</c:v>
                </c:pt>
                <c:pt idx="3">
                  <c:v>0.16</c:v>
                </c:pt>
                <c:pt idx="4">
                  <c:v>0.24</c:v>
                </c:pt>
              </c:numCache>
            </c:numRef>
          </c:val>
          <c:extLst>
            <c:ext xmlns:c16="http://schemas.microsoft.com/office/drawing/2014/chart" uri="{C3380CC4-5D6E-409C-BE32-E72D297353CC}">
              <c16:uniqueId val="{00000006-361A-5540-85D7-1AE7950F7856}"/>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layout>
        <c:manualLayout>
          <c:xMode val="edge"/>
          <c:yMode val="edge"/>
          <c:x val="0.26994877656421978"/>
          <c:y val="0.71149954147297856"/>
          <c:w val="0.46010202353738039"/>
          <c:h val="0.2885004585270215"/>
        </c:manualLayout>
      </c:layout>
      <c:overlay val="0"/>
      <c:spPr>
        <a:noFill/>
        <a:ln>
          <a:noFill/>
        </a:ln>
        <a:effectLst/>
      </c:spPr>
      <c:txPr>
        <a:bodyPr rot="0" spcFirstLastPara="1" vertOverflow="ellipsis" vert="horz" wrap="square" anchor="ctr" anchorCtr="1"/>
        <a:lstStyle/>
        <a:p>
          <a:pPr>
            <a:defRPr sz="700" b="0" i="0" u="none" strike="noStrike" kern="1200" baseline="0">
              <a:ln>
                <a:noFill/>
              </a:ln>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MHC review">
  <a:themeElements>
    <a:clrScheme name="MMHC review">
      <a:dk1>
        <a:srgbClr val="000000"/>
      </a:dk1>
      <a:lt1>
        <a:srgbClr val="FFFFFF"/>
      </a:lt1>
      <a:dk2>
        <a:srgbClr val="3F4A75"/>
      </a:dk2>
      <a:lt2>
        <a:srgbClr val="E8E8E8"/>
      </a:lt2>
      <a:accent1>
        <a:srgbClr val="3F4A75"/>
      </a:accent1>
      <a:accent2>
        <a:srgbClr val="245457"/>
      </a:accent2>
      <a:accent3>
        <a:srgbClr val="0077BF"/>
      </a:accent3>
      <a:accent4>
        <a:srgbClr val="9E4B6E"/>
      </a:accent4>
      <a:accent5>
        <a:srgbClr val="3997B5"/>
      </a:accent5>
      <a:accent6>
        <a:srgbClr val="97A825"/>
      </a:accent6>
      <a:hlink>
        <a:srgbClr val="3F4A75"/>
      </a:hlink>
      <a:folHlink>
        <a:srgbClr val="3F4A7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MMHC review" id="{CB1C809D-11FF-364D-BC53-113EC939E44B}" vid="{13609D3A-B4E1-FD4F-90DF-D5A36FFD122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6F3BE30D-9178-40D6-87EC-232D9E02F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fact sheet template teal.dotx</Template>
  <TotalTime>6</TotalTime>
  <Pages>10</Pages>
  <Words>3103</Words>
  <Characters>17689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Evaluation of Medicare Mental Health Centres and the Medicare Mental Health Phone Service</vt:lpstr>
    </vt:vector>
  </TitlesOfParts>
  <Company/>
  <LinksUpToDate>false</LinksUpToDate>
  <CharactersWithSpaces>20751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Medicare Mental Health Centres and the Medicare Mental Health Phone Service</dc:title>
  <dc:subject>Medicare Mental Health</dc:subject>
  <dc:creator>Department of Health Disability and Ageing</dc:creator>
  <cp:keywords>Medicare Mental Health Centres; Medicare Mental Health</cp:keywords>
  <dc:description/>
  <cp:revision>8</cp:revision>
  <dcterms:created xsi:type="dcterms:W3CDTF">2026-10-20T23:21:00Z</dcterms:created>
  <dcterms:modified xsi:type="dcterms:W3CDTF">2026-10-22T05:48:00Z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33366af3-1a16-4eef-937d-3293887031f4</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Int_x002d_Contact">
    <vt:lpwstr/>
  </property>
  <property fmtid="{D5CDD505-2E9C-101B-9397-08002B2CF9AE}" pid="20" name="Int-Contact">
    <vt:lpwstr>89;#|08e901f7-7c65-407e-b680-5c7872e4b1fa</vt:lpwstr>
  </property>
  <property fmtid="{D5CDD505-2E9C-101B-9397-08002B2CF9AE}" pid="21" name="Int-InformationType">
    <vt:lpwstr>42;#|0635ea83-9a41-497c-9b11-d9d7178dcab7</vt:lpwstr>
  </property>
  <property fmtid="{D5CDD505-2E9C-101B-9397-08002B2CF9AE}" pid="22" name="Int-Topics">
    <vt:lpwstr>45;#Factsheet|e6399178-8246-423e-9818-2fbb787c959a;#4;#visual identity|a54ebda2-a0fd-45ec-8fc0-1cf31001b526</vt:lpwstr>
  </property>
  <property fmtid="{D5CDD505-2E9C-101B-9397-08002B2CF9AE}" pid="23" name="lcf76f155ced4ddcb4097134ff3c332f">
    <vt:lpwstr/>
  </property>
  <property fmtid="{D5CDD505-2E9C-101B-9397-08002B2CF9AE}" pid="24" name="ClassificationContentMarkingHeaderShapeIds">
    <vt:lpwstr>72470d99,2e072e14,3c5665bd</vt:lpwstr>
  </property>
  <property fmtid="{D5CDD505-2E9C-101B-9397-08002B2CF9AE}" pid="25" name="ClassificationContentMarkingHeaderFontProps">
    <vt:lpwstr>#ff0000,12,Aptos</vt:lpwstr>
  </property>
  <property fmtid="{D5CDD505-2E9C-101B-9397-08002B2CF9AE}" pid="26" name="ClassificationContentMarkingHeaderText">
    <vt:lpwstr>OFFICIAL</vt:lpwstr>
  </property>
  <property fmtid="{D5CDD505-2E9C-101B-9397-08002B2CF9AE}" pid="27" name="ClassificationContentMarkingFooterShapeIds">
    <vt:lpwstr>9cd6429,5deee2b6,1f9619aa</vt:lpwstr>
  </property>
  <property fmtid="{D5CDD505-2E9C-101B-9397-08002B2CF9AE}" pid="28" name="ClassificationContentMarkingFooterFontProps">
    <vt:lpwstr>#ff0000,12,Aptos</vt:lpwstr>
  </property>
  <property fmtid="{D5CDD505-2E9C-101B-9397-08002B2CF9AE}" pid="29" name="ClassificationContentMarkingFooterText">
    <vt:lpwstr>OFFICIAL</vt:lpwstr>
  </property>
  <property fmtid="{D5CDD505-2E9C-101B-9397-08002B2CF9AE}" pid="30" name="MSIP_Label_7cd3e8b9-ffed-43a8-b7f4-cc2fa0382d36_Enabled">
    <vt:lpwstr>true</vt:lpwstr>
  </property>
  <property fmtid="{D5CDD505-2E9C-101B-9397-08002B2CF9AE}" pid="31" name="MSIP_Label_7cd3e8b9-ffed-43a8-b7f4-cc2fa0382d36_SetDate">
    <vt:lpwstr>2025-09-03T02:17:04Z</vt:lpwstr>
  </property>
  <property fmtid="{D5CDD505-2E9C-101B-9397-08002B2CF9AE}" pid="32" name="MSIP_Label_7cd3e8b9-ffed-43a8-b7f4-cc2fa0382d36_Method">
    <vt:lpwstr>Privileged</vt:lpwstr>
  </property>
  <property fmtid="{D5CDD505-2E9C-101B-9397-08002B2CF9AE}" pid="33" name="MSIP_Label_7cd3e8b9-ffed-43a8-b7f4-cc2fa0382d36_Name">
    <vt:lpwstr>O</vt:lpwstr>
  </property>
  <property fmtid="{D5CDD505-2E9C-101B-9397-08002B2CF9AE}" pid="34" name="MSIP_Label_7cd3e8b9-ffed-43a8-b7f4-cc2fa0382d36_SiteId">
    <vt:lpwstr>34a3929c-73cf-4954-abfe-147dc3517892</vt:lpwstr>
  </property>
  <property fmtid="{D5CDD505-2E9C-101B-9397-08002B2CF9AE}" pid="35" name="MSIP_Label_7cd3e8b9-ffed-43a8-b7f4-cc2fa0382d36_ActionId">
    <vt:lpwstr>e4c4a8a2-4173-4122-84b4-746d8d7108c6</vt:lpwstr>
  </property>
  <property fmtid="{D5CDD505-2E9C-101B-9397-08002B2CF9AE}" pid="36" name="MSIP_Label_7cd3e8b9-ffed-43a8-b7f4-cc2fa0382d36_ContentBits">
    <vt:lpwstr>3</vt:lpwstr>
  </property>
  <property fmtid="{D5CDD505-2E9C-101B-9397-08002B2CF9AE}" pid="37" name="MSIP_Label_7cd3e8b9-ffed-43a8-b7f4-cc2fa0382d36_Tag">
    <vt:lpwstr>10, 0, 1, 2</vt:lpwstr>
  </property>
  <property fmtid="{D5CDD505-2E9C-101B-9397-08002B2CF9AE}" pid="38" name="docLang">
    <vt:lpwstr>en</vt:lpwstr>
  </property>
</Properties>
</file>