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0184C1" w14:textId="7752971F" w:rsidR="00751A23" w:rsidRDefault="00F86C27" w:rsidP="00751A23">
      <w:pPr>
        <w:pStyle w:val="Title"/>
      </w:pPr>
      <w:r>
        <w:t>Support at H</w:t>
      </w:r>
      <w:r w:rsidR="00175034">
        <w:t>o</w:t>
      </w:r>
      <w:r>
        <w:t xml:space="preserve">me assurance </w:t>
      </w:r>
    </w:p>
    <w:p w14:paraId="364ECD6F" w14:textId="12FA81B7" w:rsidR="00751A23" w:rsidRDefault="00175034" w:rsidP="00751A23">
      <w:pPr>
        <w:pStyle w:val="Subtitle"/>
        <w:sectPr w:rsidR="00751A23" w:rsidSect="00D45D94">
          <w:headerReference w:type="even" r:id="rId11"/>
          <w:headerReference w:type="default" r:id="rId12"/>
          <w:footerReference w:type="even" r:id="rId13"/>
          <w:footerReference w:type="default" r:id="rId14"/>
          <w:headerReference w:type="first" r:id="rId15"/>
          <w:type w:val="continuous"/>
          <w:pgSz w:w="11906" w:h="16838"/>
          <w:pgMar w:top="1701" w:right="1418" w:bottom="1418" w:left="1418" w:header="850" w:footer="709" w:gutter="0"/>
          <w:cols w:space="708"/>
          <w:titlePg/>
          <w:docGrid w:linePitch="360"/>
        </w:sectPr>
      </w:pPr>
      <w:r>
        <w:t xml:space="preserve">Pricing review </w:t>
      </w:r>
      <w:r w:rsidR="00F86C27">
        <w:t>summary report</w:t>
      </w:r>
    </w:p>
    <w:bookmarkStart w:id="0" w:name="_Toc237515841" w:displacedByCustomXml="next"/>
    <w:sdt>
      <w:sdtPr>
        <w:rPr>
          <w:rFonts w:ascii="Arial" w:eastAsia="Times New Roman" w:hAnsi="Arial" w:cs="Times New Roman"/>
          <w:color w:val="000000" w:themeColor="text1"/>
          <w:sz w:val="22"/>
          <w:szCs w:val="24"/>
          <w:lang w:val="en-GB" w:eastAsia="en-US"/>
        </w:rPr>
        <w:id w:val="-2091464242"/>
        <w:docPartObj>
          <w:docPartGallery w:val="Table of Contents"/>
          <w:docPartUnique/>
        </w:docPartObj>
      </w:sdtPr>
      <w:sdtEndPr>
        <w:rPr>
          <w:b/>
          <w:bCs/>
          <w:szCs w:val="22"/>
        </w:rPr>
      </w:sdtEndPr>
      <w:sdtContent>
        <w:p w14:paraId="38B19D66" w14:textId="3F4ABC62" w:rsidR="00245314" w:rsidRPr="00245314" w:rsidRDefault="00245314">
          <w:pPr>
            <w:pStyle w:val="TOCHeading"/>
            <w:rPr>
              <w:rFonts w:ascii="Arial" w:eastAsia="Times New Roman" w:hAnsi="Arial" w:cs="Arial"/>
              <w:b/>
              <w:bCs/>
              <w:color w:val="3F4A75"/>
              <w:kern w:val="28"/>
              <w:sz w:val="44"/>
              <w:szCs w:val="36"/>
              <w:lang w:eastAsia="en-US"/>
            </w:rPr>
          </w:pPr>
          <w:r w:rsidRPr="00245314">
            <w:rPr>
              <w:rFonts w:ascii="Arial" w:eastAsia="Times New Roman" w:hAnsi="Arial" w:cs="Arial"/>
              <w:b/>
              <w:bCs/>
              <w:color w:val="3F4A75"/>
              <w:kern w:val="28"/>
              <w:sz w:val="44"/>
              <w:szCs w:val="36"/>
              <w:lang w:eastAsia="en-US"/>
            </w:rPr>
            <w:t xml:space="preserve">Table of </w:t>
          </w:r>
          <w:r>
            <w:rPr>
              <w:rFonts w:ascii="Arial" w:eastAsia="Times New Roman" w:hAnsi="Arial" w:cs="Arial"/>
              <w:b/>
              <w:bCs/>
              <w:color w:val="3F4A75"/>
              <w:kern w:val="28"/>
              <w:sz w:val="44"/>
              <w:szCs w:val="36"/>
              <w:lang w:eastAsia="en-US"/>
            </w:rPr>
            <w:t>c</w:t>
          </w:r>
          <w:r w:rsidRPr="00245314">
            <w:rPr>
              <w:rFonts w:ascii="Arial" w:eastAsia="Times New Roman" w:hAnsi="Arial" w:cs="Arial"/>
              <w:b/>
              <w:bCs/>
              <w:color w:val="3F4A75"/>
              <w:kern w:val="28"/>
              <w:sz w:val="44"/>
              <w:szCs w:val="36"/>
              <w:lang w:eastAsia="en-US"/>
            </w:rPr>
            <w:t>ontents</w:t>
          </w:r>
        </w:p>
        <w:p w14:paraId="2577746D" w14:textId="0EAF04BE" w:rsidR="0027378D" w:rsidRDefault="00245314">
          <w:pPr>
            <w:pStyle w:val="TOC1"/>
            <w:tabs>
              <w:tab w:val="right" w:leader="dot" w:pos="9060"/>
            </w:tabs>
            <w:rPr>
              <w:rFonts w:asciiTheme="minorHAnsi" w:eastAsiaTheme="minorEastAsia" w:hAnsiTheme="minorHAnsi" w:cstheme="minorBidi"/>
              <w:noProof/>
              <w:color w:val="auto"/>
              <w:kern w:val="2"/>
              <w:sz w:val="24"/>
              <w:lang w:eastAsia="en-AU"/>
              <w14:ligatures w14:val="standardContextual"/>
            </w:rPr>
          </w:pPr>
          <w:r>
            <w:fldChar w:fldCharType="begin"/>
          </w:r>
          <w:r>
            <w:instrText xml:space="preserve"> TOC \o "1-3" \h \z \u </w:instrText>
          </w:r>
          <w:r>
            <w:fldChar w:fldCharType="separate"/>
          </w:r>
          <w:hyperlink w:anchor="_Toc237538703" w:history="1">
            <w:r w:rsidR="0027378D" w:rsidRPr="00AE2FF9">
              <w:rPr>
                <w:rStyle w:val="Hyperlink"/>
                <w:noProof/>
              </w:rPr>
              <w:t>Key Points</w:t>
            </w:r>
            <w:r w:rsidR="0027378D">
              <w:rPr>
                <w:noProof/>
                <w:webHidden/>
              </w:rPr>
              <w:tab/>
            </w:r>
            <w:r w:rsidR="0027378D">
              <w:rPr>
                <w:noProof/>
                <w:webHidden/>
              </w:rPr>
              <w:fldChar w:fldCharType="begin"/>
            </w:r>
            <w:r w:rsidR="0027378D">
              <w:rPr>
                <w:noProof/>
                <w:webHidden/>
              </w:rPr>
              <w:instrText xml:space="preserve"> PAGEREF _Toc237538703 \h </w:instrText>
            </w:r>
            <w:r w:rsidR="0027378D">
              <w:rPr>
                <w:noProof/>
                <w:webHidden/>
              </w:rPr>
            </w:r>
            <w:r w:rsidR="0027378D">
              <w:rPr>
                <w:noProof/>
                <w:webHidden/>
              </w:rPr>
              <w:fldChar w:fldCharType="separate"/>
            </w:r>
            <w:r w:rsidR="0027378D">
              <w:rPr>
                <w:noProof/>
                <w:webHidden/>
              </w:rPr>
              <w:t>2</w:t>
            </w:r>
            <w:r w:rsidR="0027378D">
              <w:rPr>
                <w:noProof/>
                <w:webHidden/>
              </w:rPr>
              <w:fldChar w:fldCharType="end"/>
            </w:r>
          </w:hyperlink>
        </w:p>
        <w:p w14:paraId="72BA5190" w14:textId="4D68B247" w:rsidR="0027378D" w:rsidRDefault="0027378D">
          <w:pPr>
            <w:pStyle w:val="TOC1"/>
            <w:tabs>
              <w:tab w:val="right" w:leader="dot" w:pos="9060"/>
            </w:tabs>
            <w:rPr>
              <w:rFonts w:asciiTheme="minorHAnsi" w:eastAsiaTheme="minorEastAsia" w:hAnsiTheme="minorHAnsi" w:cstheme="minorBidi"/>
              <w:noProof/>
              <w:color w:val="auto"/>
              <w:kern w:val="2"/>
              <w:sz w:val="24"/>
              <w:lang w:eastAsia="en-AU"/>
              <w14:ligatures w14:val="standardContextual"/>
            </w:rPr>
          </w:pPr>
          <w:hyperlink w:anchor="_Toc237538704" w:history="1">
            <w:r w:rsidRPr="00AE2FF9">
              <w:rPr>
                <w:rStyle w:val="Hyperlink"/>
                <w:noProof/>
              </w:rPr>
              <w:t>Review context</w:t>
            </w:r>
            <w:r>
              <w:rPr>
                <w:noProof/>
                <w:webHidden/>
              </w:rPr>
              <w:tab/>
            </w:r>
            <w:r>
              <w:rPr>
                <w:noProof/>
                <w:webHidden/>
              </w:rPr>
              <w:fldChar w:fldCharType="begin"/>
            </w:r>
            <w:r>
              <w:rPr>
                <w:noProof/>
                <w:webHidden/>
              </w:rPr>
              <w:instrText xml:space="preserve"> PAGEREF _Toc237538704 \h </w:instrText>
            </w:r>
            <w:r>
              <w:rPr>
                <w:noProof/>
                <w:webHidden/>
              </w:rPr>
            </w:r>
            <w:r>
              <w:rPr>
                <w:noProof/>
                <w:webHidden/>
              </w:rPr>
              <w:fldChar w:fldCharType="separate"/>
            </w:r>
            <w:r>
              <w:rPr>
                <w:noProof/>
                <w:webHidden/>
              </w:rPr>
              <w:t>3</w:t>
            </w:r>
            <w:r>
              <w:rPr>
                <w:noProof/>
                <w:webHidden/>
              </w:rPr>
              <w:fldChar w:fldCharType="end"/>
            </w:r>
          </w:hyperlink>
        </w:p>
        <w:p w14:paraId="70D7E497" w14:textId="50074174" w:rsidR="0027378D" w:rsidRDefault="0027378D">
          <w:pPr>
            <w:pStyle w:val="TOC1"/>
            <w:tabs>
              <w:tab w:val="right" w:leader="dot" w:pos="9060"/>
            </w:tabs>
            <w:rPr>
              <w:rFonts w:asciiTheme="minorHAnsi" w:eastAsiaTheme="minorEastAsia" w:hAnsiTheme="minorHAnsi" w:cstheme="minorBidi"/>
              <w:noProof/>
              <w:color w:val="auto"/>
              <w:kern w:val="2"/>
              <w:sz w:val="24"/>
              <w:lang w:eastAsia="en-AU"/>
              <w14:ligatures w14:val="standardContextual"/>
            </w:rPr>
          </w:pPr>
          <w:hyperlink w:anchor="_Toc237538705" w:history="1">
            <w:r w:rsidRPr="00AE2FF9">
              <w:rPr>
                <w:rStyle w:val="Hyperlink"/>
                <w:noProof/>
              </w:rPr>
              <w:t>Review scope and approach</w:t>
            </w:r>
            <w:r>
              <w:rPr>
                <w:noProof/>
                <w:webHidden/>
              </w:rPr>
              <w:tab/>
            </w:r>
            <w:r>
              <w:rPr>
                <w:noProof/>
                <w:webHidden/>
              </w:rPr>
              <w:fldChar w:fldCharType="begin"/>
            </w:r>
            <w:r>
              <w:rPr>
                <w:noProof/>
                <w:webHidden/>
              </w:rPr>
              <w:instrText xml:space="preserve"> PAGEREF _Toc237538705 \h </w:instrText>
            </w:r>
            <w:r>
              <w:rPr>
                <w:noProof/>
                <w:webHidden/>
              </w:rPr>
            </w:r>
            <w:r>
              <w:rPr>
                <w:noProof/>
                <w:webHidden/>
              </w:rPr>
              <w:fldChar w:fldCharType="separate"/>
            </w:r>
            <w:r>
              <w:rPr>
                <w:noProof/>
                <w:webHidden/>
              </w:rPr>
              <w:t>3</w:t>
            </w:r>
            <w:r>
              <w:rPr>
                <w:noProof/>
                <w:webHidden/>
              </w:rPr>
              <w:fldChar w:fldCharType="end"/>
            </w:r>
          </w:hyperlink>
        </w:p>
        <w:p w14:paraId="2569689F" w14:textId="232B9503" w:rsidR="0027378D" w:rsidRDefault="0027378D">
          <w:pPr>
            <w:pStyle w:val="TOC1"/>
            <w:tabs>
              <w:tab w:val="right" w:leader="dot" w:pos="9060"/>
            </w:tabs>
            <w:rPr>
              <w:rFonts w:asciiTheme="minorHAnsi" w:eastAsiaTheme="minorEastAsia" w:hAnsiTheme="minorHAnsi" w:cstheme="minorBidi"/>
              <w:noProof/>
              <w:color w:val="auto"/>
              <w:kern w:val="2"/>
              <w:sz w:val="24"/>
              <w:lang w:eastAsia="en-AU"/>
              <w14:ligatures w14:val="standardContextual"/>
            </w:rPr>
          </w:pPr>
          <w:hyperlink w:anchor="_Toc237538706" w:history="1">
            <w:r w:rsidRPr="00AE2FF9">
              <w:rPr>
                <w:rStyle w:val="Hyperlink"/>
                <w:noProof/>
              </w:rPr>
              <w:t>What did the review find?</w:t>
            </w:r>
            <w:r>
              <w:rPr>
                <w:noProof/>
                <w:webHidden/>
              </w:rPr>
              <w:tab/>
            </w:r>
            <w:r>
              <w:rPr>
                <w:noProof/>
                <w:webHidden/>
              </w:rPr>
              <w:fldChar w:fldCharType="begin"/>
            </w:r>
            <w:r>
              <w:rPr>
                <w:noProof/>
                <w:webHidden/>
              </w:rPr>
              <w:instrText xml:space="preserve"> PAGEREF _Toc237538706 \h </w:instrText>
            </w:r>
            <w:r>
              <w:rPr>
                <w:noProof/>
                <w:webHidden/>
              </w:rPr>
            </w:r>
            <w:r>
              <w:rPr>
                <w:noProof/>
                <w:webHidden/>
              </w:rPr>
              <w:fldChar w:fldCharType="separate"/>
            </w:r>
            <w:r>
              <w:rPr>
                <w:noProof/>
                <w:webHidden/>
              </w:rPr>
              <w:t>4</w:t>
            </w:r>
            <w:r>
              <w:rPr>
                <w:noProof/>
                <w:webHidden/>
              </w:rPr>
              <w:fldChar w:fldCharType="end"/>
            </w:r>
          </w:hyperlink>
        </w:p>
        <w:p w14:paraId="57DF67AA" w14:textId="58B7CC7C" w:rsidR="0027378D" w:rsidRDefault="0027378D">
          <w:pPr>
            <w:pStyle w:val="TOC2"/>
            <w:tabs>
              <w:tab w:val="right" w:leader="dot" w:pos="9060"/>
            </w:tabs>
            <w:rPr>
              <w:rFonts w:asciiTheme="minorHAnsi" w:eastAsiaTheme="minorEastAsia" w:hAnsiTheme="minorHAnsi" w:cstheme="minorBidi"/>
              <w:noProof/>
              <w:color w:val="auto"/>
              <w:kern w:val="2"/>
              <w:sz w:val="24"/>
              <w:lang w:eastAsia="en-AU"/>
              <w14:ligatures w14:val="standardContextual"/>
            </w:rPr>
          </w:pPr>
          <w:hyperlink w:anchor="_Toc237538707" w:history="1">
            <w:r w:rsidRPr="00AE2FF9">
              <w:rPr>
                <w:rStyle w:val="Hyperlink"/>
                <w:noProof/>
              </w:rPr>
              <w:t>Claiming issues made prices appear higher</w:t>
            </w:r>
            <w:r>
              <w:rPr>
                <w:noProof/>
                <w:webHidden/>
              </w:rPr>
              <w:tab/>
            </w:r>
            <w:r>
              <w:rPr>
                <w:noProof/>
                <w:webHidden/>
              </w:rPr>
              <w:fldChar w:fldCharType="begin"/>
            </w:r>
            <w:r>
              <w:rPr>
                <w:noProof/>
                <w:webHidden/>
              </w:rPr>
              <w:instrText xml:space="preserve"> PAGEREF _Toc237538707 \h </w:instrText>
            </w:r>
            <w:r>
              <w:rPr>
                <w:noProof/>
                <w:webHidden/>
              </w:rPr>
            </w:r>
            <w:r>
              <w:rPr>
                <w:noProof/>
                <w:webHidden/>
              </w:rPr>
              <w:fldChar w:fldCharType="separate"/>
            </w:r>
            <w:r>
              <w:rPr>
                <w:noProof/>
                <w:webHidden/>
              </w:rPr>
              <w:t>4</w:t>
            </w:r>
            <w:r>
              <w:rPr>
                <w:noProof/>
                <w:webHidden/>
              </w:rPr>
              <w:fldChar w:fldCharType="end"/>
            </w:r>
          </w:hyperlink>
        </w:p>
        <w:p w14:paraId="3098BEAC" w14:textId="2DA53A77" w:rsidR="0027378D" w:rsidRDefault="0027378D">
          <w:pPr>
            <w:pStyle w:val="TOC2"/>
            <w:tabs>
              <w:tab w:val="right" w:leader="dot" w:pos="9060"/>
            </w:tabs>
            <w:rPr>
              <w:rFonts w:asciiTheme="minorHAnsi" w:eastAsiaTheme="minorEastAsia" w:hAnsiTheme="minorHAnsi" w:cstheme="minorBidi"/>
              <w:noProof/>
              <w:color w:val="auto"/>
              <w:kern w:val="2"/>
              <w:sz w:val="24"/>
              <w:lang w:eastAsia="en-AU"/>
              <w14:ligatures w14:val="standardContextual"/>
            </w:rPr>
          </w:pPr>
          <w:hyperlink w:anchor="_Toc237538708" w:history="1">
            <w:r w:rsidRPr="00AE2FF9">
              <w:rPr>
                <w:rStyle w:val="Hyperlink"/>
                <w:noProof/>
              </w:rPr>
              <w:t>Providers can strengthen how they justify pricing decisions</w:t>
            </w:r>
            <w:r>
              <w:rPr>
                <w:noProof/>
                <w:webHidden/>
              </w:rPr>
              <w:tab/>
            </w:r>
            <w:r>
              <w:rPr>
                <w:noProof/>
                <w:webHidden/>
              </w:rPr>
              <w:fldChar w:fldCharType="begin"/>
            </w:r>
            <w:r>
              <w:rPr>
                <w:noProof/>
                <w:webHidden/>
              </w:rPr>
              <w:instrText xml:space="preserve"> PAGEREF _Toc237538708 \h </w:instrText>
            </w:r>
            <w:r>
              <w:rPr>
                <w:noProof/>
                <w:webHidden/>
              </w:rPr>
            </w:r>
            <w:r>
              <w:rPr>
                <w:noProof/>
                <w:webHidden/>
              </w:rPr>
              <w:fldChar w:fldCharType="separate"/>
            </w:r>
            <w:r>
              <w:rPr>
                <w:noProof/>
                <w:webHidden/>
              </w:rPr>
              <w:t>5</w:t>
            </w:r>
            <w:r>
              <w:rPr>
                <w:noProof/>
                <w:webHidden/>
              </w:rPr>
              <w:fldChar w:fldCharType="end"/>
            </w:r>
          </w:hyperlink>
        </w:p>
        <w:p w14:paraId="6ED7A51F" w14:textId="1B48A663" w:rsidR="0027378D" w:rsidRDefault="0027378D">
          <w:pPr>
            <w:pStyle w:val="TOC1"/>
            <w:tabs>
              <w:tab w:val="right" w:leader="dot" w:pos="9060"/>
            </w:tabs>
            <w:rPr>
              <w:rFonts w:asciiTheme="minorHAnsi" w:eastAsiaTheme="minorEastAsia" w:hAnsiTheme="minorHAnsi" w:cstheme="minorBidi"/>
              <w:noProof/>
              <w:color w:val="auto"/>
              <w:kern w:val="2"/>
              <w:sz w:val="24"/>
              <w:lang w:eastAsia="en-AU"/>
              <w14:ligatures w14:val="standardContextual"/>
            </w:rPr>
          </w:pPr>
          <w:hyperlink w:anchor="_Toc237538709" w:history="1">
            <w:r w:rsidRPr="00AE2FF9">
              <w:rPr>
                <w:rStyle w:val="Hyperlink"/>
                <w:noProof/>
              </w:rPr>
              <w:t>Review outcomes and next steps</w:t>
            </w:r>
            <w:r>
              <w:rPr>
                <w:noProof/>
                <w:webHidden/>
              </w:rPr>
              <w:tab/>
            </w:r>
            <w:r>
              <w:rPr>
                <w:noProof/>
                <w:webHidden/>
              </w:rPr>
              <w:fldChar w:fldCharType="begin"/>
            </w:r>
            <w:r>
              <w:rPr>
                <w:noProof/>
                <w:webHidden/>
              </w:rPr>
              <w:instrText xml:space="preserve"> PAGEREF _Toc237538709 \h </w:instrText>
            </w:r>
            <w:r>
              <w:rPr>
                <w:noProof/>
                <w:webHidden/>
              </w:rPr>
            </w:r>
            <w:r>
              <w:rPr>
                <w:noProof/>
                <w:webHidden/>
              </w:rPr>
              <w:fldChar w:fldCharType="separate"/>
            </w:r>
            <w:r>
              <w:rPr>
                <w:noProof/>
                <w:webHidden/>
              </w:rPr>
              <w:t>7</w:t>
            </w:r>
            <w:r>
              <w:rPr>
                <w:noProof/>
                <w:webHidden/>
              </w:rPr>
              <w:fldChar w:fldCharType="end"/>
            </w:r>
          </w:hyperlink>
        </w:p>
        <w:p w14:paraId="61E691E4" w14:textId="74B088D7" w:rsidR="0027378D" w:rsidRDefault="0027378D">
          <w:pPr>
            <w:pStyle w:val="TOC2"/>
            <w:tabs>
              <w:tab w:val="right" w:leader="dot" w:pos="9060"/>
            </w:tabs>
            <w:rPr>
              <w:rFonts w:asciiTheme="minorHAnsi" w:eastAsiaTheme="minorEastAsia" w:hAnsiTheme="minorHAnsi" w:cstheme="minorBidi"/>
              <w:noProof/>
              <w:color w:val="auto"/>
              <w:kern w:val="2"/>
              <w:sz w:val="24"/>
              <w:lang w:eastAsia="en-AU"/>
              <w14:ligatures w14:val="standardContextual"/>
            </w:rPr>
          </w:pPr>
          <w:hyperlink w:anchor="_Toc237538710" w:history="1">
            <w:r w:rsidRPr="00AE2FF9">
              <w:rPr>
                <w:rStyle w:val="Hyperlink"/>
                <w:noProof/>
              </w:rPr>
              <w:t>Impact of the review on provider practices</w:t>
            </w:r>
            <w:r>
              <w:rPr>
                <w:noProof/>
                <w:webHidden/>
              </w:rPr>
              <w:tab/>
            </w:r>
            <w:r>
              <w:rPr>
                <w:noProof/>
                <w:webHidden/>
              </w:rPr>
              <w:fldChar w:fldCharType="begin"/>
            </w:r>
            <w:r>
              <w:rPr>
                <w:noProof/>
                <w:webHidden/>
              </w:rPr>
              <w:instrText xml:space="preserve"> PAGEREF _Toc237538710 \h </w:instrText>
            </w:r>
            <w:r>
              <w:rPr>
                <w:noProof/>
                <w:webHidden/>
              </w:rPr>
            </w:r>
            <w:r>
              <w:rPr>
                <w:noProof/>
                <w:webHidden/>
              </w:rPr>
              <w:fldChar w:fldCharType="separate"/>
            </w:r>
            <w:r>
              <w:rPr>
                <w:noProof/>
                <w:webHidden/>
              </w:rPr>
              <w:t>7</w:t>
            </w:r>
            <w:r>
              <w:rPr>
                <w:noProof/>
                <w:webHidden/>
              </w:rPr>
              <w:fldChar w:fldCharType="end"/>
            </w:r>
          </w:hyperlink>
        </w:p>
        <w:p w14:paraId="6577CCF0" w14:textId="17D9767D" w:rsidR="0027378D" w:rsidRDefault="0027378D">
          <w:pPr>
            <w:pStyle w:val="TOC2"/>
            <w:tabs>
              <w:tab w:val="right" w:leader="dot" w:pos="9060"/>
            </w:tabs>
            <w:rPr>
              <w:rFonts w:asciiTheme="minorHAnsi" w:eastAsiaTheme="minorEastAsia" w:hAnsiTheme="minorHAnsi" w:cstheme="minorBidi"/>
              <w:noProof/>
              <w:color w:val="auto"/>
              <w:kern w:val="2"/>
              <w:sz w:val="24"/>
              <w:lang w:eastAsia="en-AU"/>
              <w14:ligatures w14:val="standardContextual"/>
            </w:rPr>
          </w:pPr>
          <w:hyperlink w:anchor="_Toc237538711" w:history="1">
            <w:r w:rsidRPr="00AE2FF9">
              <w:rPr>
                <w:rStyle w:val="Hyperlink"/>
                <w:noProof/>
              </w:rPr>
              <w:t>Ongoing monitoring of prices</w:t>
            </w:r>
            <w:r>
              <w:rPr>
                <w:noProof/>
                <w:webHidden/>
              </w:rPr>
              <w:tab/>
            </w:r>
            <w:r>
              <w:rPr>
                <w:noProof/>
                <w:webHidden/>
              </w:rPr>
              <w:fldChar w:fldCharType="begin"/>
            </w:r>
            <w:r>
              <w:rPr>
                <w:noProof/>
                <w:webHidden/>
              </w:rPr>
              <w:instrText xml:space="preserve"> PAGEREF _Toc237538711 \h </w:instrText>
            </w:r>
            <w:r>
              <w:rPr>
                <w:noProof/>
                <w:webHidden/>
              </w:rPr>
            </w:r>
            <w:r>
              <w:rPr>
                <w:noProof/>
                <w:webHidden/>
              </w:rPr>
              <w:fldChar w:fldCharType="separate"/>
            </w:r>
            <w:r>
              <w:rPr>
                <w:noProof/>
                <w:webHidden/>
              </w:rPr>
              <w:t>7</w:t>
            </w:r>
            <w:r>
              <w:rPr>
                <w:noProof/>
                <w:webHidden/>
              </w:rPr>
              <w:fldChar w:fldCharType="end"/>
            </w:r>
          </w:hyperlink>
        </w:p>
        <w:p w14:paraId="10F01F75" w14:textId="3B300A9D" w:rsidR="00245314" w:rsidRDefault="00245314">
          <w:r>
            <w:rPr>
              <w:b/>
              <w:bCs/>
              <w:lang w:val="en-GB"/>
            </w:rPr>
            <w:fldChar w:fldCharType="end"/>
          </w:r>
        </w:p>
      </w:sdtContent>
    </w:sdt>
    <w:p w14:paraId="0B9C801D" w14:textId="77777777" w:rsidR="00D322F6" w:rsidRDefault="00D322F6" w:rsidP="00245314"/>
    <w:p w14:paraId="5A250AA5" w14:textId="77777777" w:rsidR="00D322F6" w:rsidRDefault="00D322F6" w:rsidP="00245314"/>
    <w:p w14:paraId="2DB66E7B" w14:textId="77777777" w:rsidR="00D322F6" w:rsidRDefault="00D322F6" w:rsidP="00245314"/>
    <w:p w14:paraId="3B3537AB" w14:textId="77777777" w:rsidR="00D322F6" w:rsidRDefault="00D322F6" w:rsidP="00245314"/>
    <w:p w14:paraId="4EA654D9" w14:textId="77777777" w:rsidR="00D322F6" w:rsidRDefault="00D322F6" w:rsidP="00245314"/>
    <w:p w14:paraId="77DB50D8" w14:textId="77777777" w:rsidR="00D322F6" w:rsidRDefault="00D322F6" w:rsidP="00245314"/>
    <w:p w14:paraId="6622D5FF" w14:textId="77777777" w:rsidR="00D322F6" w:rsidRDefault="00D322F6" w:rsidP="00245314"/>
    <w:p w14:paraId="2FC7E3CE" w14:textId="77777777" w:rsidR="00D322F6" w:rsidRDefault="00D322F6" w:rsidP="00245314"/>
    <w:p w14:paraId="27DB80E2" w14:textId="77777777" w:rsidR="00D322F6" w:rsidRDefault="00D322F6" w:rsidP="00245314"/>
    <w:p w14:paraId="7FE184F8" w14:textId="77777777" w:rsidR="00D322F6" w:rsidRDefault="00D322F6" w:rsidP="00245314"/>
    <w:p w14:paraId="2BF1CEBE" w14:textId="77777777" w:rsidR="00D322F6" w:rsidRDefault="00D322F6" w:rsidP="00245314"/>
    <w:p w14:paraId="33035F00" w14:textId="77777777" w:rsidR="00D322F6" w:rsidRDefault="00D322F6" w:rsidP="00245314"/>
    <w:p w14:paraId="36D05787" w14:textId="77777777" w:rsidR="00D322F6" w:rsidRDefault="00D322F6" w:rsidP="00245314"/>
    <w:p w14:paraId="3BA8D020" w14:textId="77777777" w:rsidR="00D322F6" w:rsidRDefault="00D322F6" w:rsidP="00245314"/>
    <w:p w14:paraId="7A68140D" w14:textId="77777777" w:rsidR="00D322F6" w:rsidRDefault="00D322F6" w:rsidP="00245314"/>
    <w:p w14:paraId="4A902E98" w14:textId="77777777" w:rsidR="00D322F6" w:rsidRDefault="00D322F6" w:rsidP="00245314"/>
    <w:p w14:paraId="1B8A782B" w14:textId="77777777" w:rsidR="00D322F6" w:rsidRDefault="00D322F6" w:rsidP="00245314"/>
    <w:p w14:paraId="3ADA2E0B" w14:textId="77777777" w:rsidR="00D322F6" w:rsidRDefault="00D322F6" w:rsidP="00245314"/>
    <w:p w14:paraId="0CE1AD07" w14:textId="77777777" w:rsidR="00245314" w:rsidRPr="00245314" w:rsidRDefault="00245314" w:rsidP="00245314"/>
    <w:p w14:paraId="2E5A8FE1" w14:textId="77777777" w:rsidR="00D322F6" w:rsidRPr="00D322F6" w:rsidRDefault="00D322F6" w:rsidP="00245314"/>
    <w:p w14:paraId="4F95DAEE" w14:textId="1F47311C" w:rsidR="004375A3" w:rsidRPr="0085613C" w:rsidRDefault="0070500F" w:rsidP="004375A3">
      <w:pPr>
        <w:pStyle w:val="Heading1"/>
        <w:rPr>
          <w:kern w:val="36"/>
          <w:szCs w:val="44"/>
          <w14:ligatures w14:val="standardContextual"/>
        </w:rPr>
      </w:pPr>
      <w:bookmarkStart w:id="1" w:name="_Toc237538703"/>
      <w:bookmarkStart w:id="2" w:name="_Toc236397533"/>
      <w:bookmarkEnd w:id="0"/>
      <w:r>
        <w:lastRenderedPageBreak/>
        <w:t>Key Points</w:t>
      </w:r>
      <w:bookmarkEnd w:id="1"/>
      <w:r>
        <w:t xml:space="preserve"> </w:t>
      </w:r>
    </w:p>
    <w:p w14:paraId="15CC2E2F" w14:textId="5780E84F" w:rsidR="00B74250" w:rsidRDefault="00B74250">
      <w:pPr>
        <w:rPr>
          <w:kern w:val="2"/>
          <w:szCs w:val="22"/>
          <w14:ligatures w14:val="standardContextual"/>
        </w:rPr>
      </w:pPr>
      <w:r>
        <w:t xml:space="preserve">The Department of Health, Disability and Ageing </w:t>
      </w:r>
      <w:r w:rsidR="00B2475A">
        <w:t xml:space="preserve">(the department) </w:t>
      </w:r>
      <w:r>
        <w:t xml:space="preserve">conducted the Support at Home </w:t>
      </w:r>
      <w:r w:rsidR="009C452C">
        <w:t>pricing a</w:t>
      </w:r>
      <w:r>
        <w:t xml:space="preserve">ssurance </w:t>
      </w:r>
      <w:r w:rsidR="009C452C">
        <w:t>r</w:t>
      </w:r>
      <w:r>
        <w:t xml:space="preserve">eview </w:t>
      </w:r>
      <w:r w:rsidR="00F41842">
        <w:t xml:space="preserve">(the review) </w:t>
      </w:r>
      <w:r>
        <w:t xml:space="preserve">between March and July 2026. </w:t>
      </w:r>
    </w:p>
    <w:p w14:paraId="60E4B307" w14:textId="77777777" w:rsidR="00B74250" w:rsidRDefault="00B74250">
      <w:pPr>
        <w:rPr>
          <w:kern w:val="2"/>
          <w:szCs w:val="22"/>
          <w14:ligatures w14:val="standardContextual"/>
        </w:rPr>
      </w:pPr>
      <w:r>
        <w:t>This report helps Support at Home providers understand the review findings and assess whether they need to improve their pricing or claiming practices.</w:t>
      </w:r>
    </w:p>
    <w:p w14:paraId="4D294601" w14:textId="2A41DE68" w:rsidR="001F1581" w:rsidRDefault="00190B27" w:rsidP="004375A3">
      <w:pPr>
        <w:rPr>
          <w:rFonts w:cs="Arial"/>
          <w:szCs w:val="22"/>
        </w:rPr>
      </w:pPr>
      <w:r>
        <w:t>The department contacted 46 providers with prices for key service types that were very high compared with similar providers and asked them to justify those prices.</w:t>
      </w:r>
      <w:r w:rsidR="002168A2">
        <w:t xml:space="preserve"> </w:t>
      </w:r>
      <w:r w:rsidR="00B83E39" w:rsidRPr="00211EF9">
        <w:t>The review found that most of the apparent very high prices identified in the selected sample of claims were due to claiming issues. Incorrect quantities or unit types often made the recorded price per unit appear higher than the actual price charged for the service delivered</w:t>
      </w:r>
      <w:r w:rsidR="007D17F5">
        <w:rPr>
          <w:rFonts w:cs="Arial"/>
          <w:szCs w:val="22"/>
        </w:rPr>
        <w:t xml:space="preserve">. </w:t>
      </w:r>
    </w:p>
    <w:p w14:paraId="21467AB9" w14:textId="53F3E716" w:rsidR="00B405AA" w:rsidRPr="00B405AA" w:rsidRDefault="00B405AA" w:rsidP="00B405AA">
      <w:r w:rsidRPr="00B405AA">
        <w:t>The review identified opportunities for providers to strengthen pricing and claiming practices, including by improving their ability to justify and evidence pricing decisions, make accurate claims and maintain effective oversight of associated provider arrangements.</w:t>
      </w:r>
    </w:p>
    <w:p w14:paraId="2845D60E" w14:textId="28DE9C2C" w:rsidR="004375A3" w:rsidRDefault="004375A3" w:rsidP="004375A3">
      <w:pPr>
        <w:rPr>
          <w:kern w:val="2"/>
          <w:szCs w:val="22"/>
          <w14:ligatures w14:val="standardContextual"/>
        </w:rPr>
      </w:pPr>
      <w:r>
        <w:t xml:space="preserve">Providers engaged constructively with the review and most took corrective action in response to the findings. </w:t>
      </w:r>
      <w:r w:rsidR="004F0E3B">
        <w:t>P</w:t>
      </w:r>
      <w:r>
        <w:t xml:space="preserve">roviders </w:t>
      </w:r>
      <w:r w:rsidR="00144939">
        <w:t xml:space="preserve">noted </w:t>
      </w:r>
      <w:r w:rsidR="00947C9B">
        <w:t>that the</w:t>
      </w:r>
      <w:r>
        <w:t xml:space="preserve"> </w:t>
      </w:r>
      <w:r w:rsidR="00924C38">
        <w:t xml:space="preserve">review’s </w:t>
      </w:r>
      <w:r>
        <w:t>educative approach helped clarify program requirements and strengthen internal practices.</w:t>
      </w:r>
    </w:p>
    <w:p w14:paraId="53029EBD" w14:textId="26D70FA3" w:rsidR="00B74250" w:rsidRPr="00EE0E19" w:rsidRDefault="00B74250">
      <w:r>
        <w:t xml:space="preserve">Three providers </w:t>
      </w:r>
      <w:r w:rsidR="003B0253">
        <w:t xml:space="preserve">could not sufficiently justify their high prices and </w:t>
      </w:r>
      <w:r>
        <w:t>were referred to the Aged Care Quality and Safety Commission (the Commission) for further regulatory assessment</w:t>
      </w:r>
      <w:r w:rsidR="00FF4ED1">
        <w:t>.</w:t>
      </w:r>
      <w:r w:rsidR="005814A1">
        <w:t xml:space="preserve"> </w:t>
      </w:r>
      <w:r w:rsidR="007972A0" w:rsidRPr="007972A0">
        <w:t>Across these matters, regulatory action has resulted in refunds, improved pricing practices or further investigation.</w:t>
      </w:r>
      <w:r w:rsidR="007972A0">
        <w:t xml:space="preserve"> </w:t>
      </w:r>
      <w:r>
        <w:t xml:space="preserve">A further six providers were referred to the Commission through established intelligence-sharing arrangements due to issues identified with their </w:t>
      </w:r>
      <w:r w:rsidR="00625CF7">
        <w:t xml:space="preserve">pricing </w:t>
      </w:r>
      <w:r>
        <w:t>practices.</w:t>
      </w:r>
      <w:r w:rsidR="00941454">
        <w:t xml:space="preserve"> The Commission will consider this information and determine an appropriate regulatory response.</w:t>
      </w:r>
    </w:p>
    <w:p w14:paraId="109A1701" w14:textId="77777777" w:rsidR="00B74250" w:rsidRDefault="00B74250">
      <w:pPr>
        <w:rPr>
          <w:kern w:val="2"/>
          <w:szCs w:val="22"/>
          <w14:ligatures w14:val="standardContextual"/>
        </w:rPr>
      </w:pPr>
      <w:r>
        <w:t>The review findings have informed updates to program guidance and will continue to support the department’s monitoring of Support at Home pricing and claiming practices.</w:t>
      </w:r>
    </w:p>
    <w:tbl>
      <w:tblPr>
        <w:tblpPr w:leftFromText="180" w:rightFromText="180" w:vertAnchor="text" w:horzAnchor="margin" w:tblpY="76"/>
        <w:tblW w:w="5000" w:type="pct"/>
        <w:shd w:val="clear" w:color="auto" w:fill="EAF6F7"/>
        <w:tblCellMar>
          <w:left w:w="0" w:type="dxa"/>
          <w:right w:w="0" w:type="dxa"/>
        </w:tblCellMar>
        <w:tblLook w:val="04A0" w:firstRow="1" w:lastRow="0" w:firstColumn="1" w:lastColumn="0" w:noHBand="0" w:noVBand="1"/>
      </w:tblPr>
      <w:tblGrid>
        <w:gridCol w:w="9040"/>
      </w:tblGrid>
      <w:tr w:rsidR="00001E4A" w14:paraId="3F75BDC2" w14:textId="77777777" w:rsidTr="00001E4A">
        <w:tc>
          <w:tcPr>
            <w:tcW w:w="0" w:type="auto"/>
            <w:tcBorders>
              <w:top w:val="single" w:sz="12" w:space="0" w:color="358189"/>
              <w:left w:val="single" w:sz="12" w:space="0" w:color="358189"/>
              <w:bottom w:val="single" w:sz="12" w:space="0" w:color="358189"/>
              <w:right w:val="single" w:sz="12" w:space="0" w:color="358189"/>
            </w:tcBorders>
            <w:shd w:val="clear" w:color="auto" w:fill="EAF6F7"/>
            <w:tcMar>
              <w:top w:w="160" w:type="dxa"/>
              <w:left w:w="200" w:type="dxa"/>
              <w:bottom w:w="160" w:type="dxa"/>
              <w:right w:w="200" w:type="dxa"/>
            </w:tcMar>
            <w:vAlign w:val="center"/>
            <w:hideMark/>
          </w:tcPr>
          <w:p w14:paraId="6A0BB32F" w14:textId="5FEC03BE" w:rsidR="00904BBD" w:rsidRPr="00ED2B24" w:rsidRDefault="00904BBD" w:rsidP="00001E4A">
            <w:pPr>
              <w:shd w:val="clear" w:color="auto" w:fill="EAF6F7"/>
              <w:spacing w:before="0" w:after="0"/>
              <w:rPr>
                <w:b/>
                <w:bCs/>
              </w:rPr>
            </w:pPr>
            <w:r w:rsidRPr="00ED2B24">
              <w:rPr>
                <w:b/>
                <w:bCs/>
              </w:rPr>
              <w:t>Key messages:</w:t>
            </w:r>
          </w:p>
          <w:p w14:paraId="292C95E1" w14:textId="6400C290" w:rsidR="00FC6161" w:rsidRPr="00FC6161" w:rsidRDefault="00FC6161" w:rsidP="00760336">
            <w:pPr>
              <w:pStyle w:val="ListParagraph"/>
              <w:numPr>
                <w:ilvl w:val="0"/>
                <w:numId w:val="20"/>
              </w:numPr>
              <w:shd w:val="clear" w:color="auto" w:fill="EAF6F7"/>
              <w:spacing w:before="0"/>
            </w:pPr>
            <w:r w:rsidRPr="00FC6161">
              <w:t>Most apparent high prices were caused by incorrect claiming</w:t>
            </w:r>
            <w:r w:rsidR="00B57949">
              <w:t>, which made the recorded price per unit of service appear higher than the</w:t>
            </w:r>
            <w:r w:rsidRPr="00FC6161">
              <w:t xml:space="preserve"> actual price charged.</w:t>
            </w:r>
          </w:p>
          <w:p w14:paraId="04869D11" w14:textId="77777777" w:rsidR="00FC6161" w:rsidRPr="00FC6161" w:rsidRDefault="00FC6161" w:rsidP="00760336">
            <w:pPr>
              <w:pStyle w:val="ListParagraph"/>
              <w:numPr>
                <w:ilvl w:val="0"/>
                <w:numId w:val="20"/>
              </w:numPr>
              <w:shd w:val="clear" w:color="auto" w:fill="EAF6F7"/>
              <w:spacing w:before="0"/>
            </w:pPr>
            <w:r w:rsidRPr="00FC6161">
              <w:t>Providers should maintain evidence showing how prices were determined and ensure claims are accurate.</w:t>
            </w:r>
          </w:p>
          <w:p w14:paraId="3A7BEE67" w14:textId="3A7477BB" w:rsidR="00904BBD" w:rsidRDefault="00FC6161" w:rsidP="00760336">
            <w:pPr>
              <w:pStyle w:val="ListParagraph"/>
              <w:numPr>
                <w:ilvl w:val="0"/>
                <w:numId w:val="20"/>
              </w:numPr>
              <w:shd w:val="clear" w:color="auto" w:fill="EAF6F7"/>
              <w:spacing w:before="0"/>
            </w:pPr>
            <w:r w:rsidRPr="00FC6161">
              <w:t>The Department and Commission will continue monitoring pricing and provider compliance.</w:t>
            </w:r>
          </w:p>
        </w:tc>
      </w:tr>
    </w:tbl>
    <w:p w14:paraId="51DDD089" w14:textId="77777777" w:rsidR="004375A3" w:rsidRPr="0034089B" w:rsidRDefault="004375A3" w:rsidP="004375A3">
      <w:pPr>
        <w:pStyle w:val="Heading1"/>
      </w:pPr>
      <w:bookmarkStart w:id="3" w:name="_Toc237515842"/>
      <w:bookmarkStart w:id="4" w:name="_Toc237538704"/>
      <w:r>
        <w:t>Review context</w:t>
      </w:r>
      <w:bookmarkEnd w:id="2"/>
      <w:bookmarkEnd w:id="3"/>
      <w:bookmarkEnd w:id="4"/>
    </w:p>
    <w:p w14:paraId="4583BCC7" w14:textId="77777777" w:rsidR="00E538EB" w:rsidRDefault="009219AC" w:rsidP="004375A3">
      <w:bookmarkStart w:id="5" w:name="_Toc236397534"/>
      <w:r>
        <w:t xml:space="preserve">Support at Home is in its first </w:t>
      </w:r>
      <w:r w:rsidR="001806B5">
        <w:t xml:space="preserve">year of implementation. This has been a significant reform for the sector and </w:t>
      </w:r>
      <w:r w:rsidR="005F4B31">
        <w:t xml:space="preserve">providers are still </w:t>
      </w:r>
      <w:r w:rsidR="0072118D">
        <w:t xml:space="preserve">building and refining their knowledge and </w:t>
      </w:r>
      <w:proofErr w:type="gramStart"/>
      <w:r w:rsidR="0072118D">
        <w:t>making adjustments to</w:t>
      </w:r>
      <w:proofErr w:type="gramEnd"/>
      <w:r w:rsidR="0072118D">
        <w:t xml:space="preserve"> their</w:t>
      </w:r>
      <w:r w:rsidR="00F43BEB">
        <w:t xml:space="preserve"> </w:t>
      </w:r>
      <w:r w:rsidR="00F117D6">
        <w:t>appr</w:t>
      </w:r>
      <w:r w:rsidR="004F0C18">
        <w:t>oach to delivery</w:t>
      </w:r>
      <w:r w:rsidR="00F43BEB">
        <w:t xml:space="preserve">. </w:t>
      </w:r>
    </w:p>
    <w:p w14:paraId="0BD5B99B" w14:textId="23E06F14" w:rsidR="0080040F" w:rsidRPr="0080040F" w:rsidRDefault="00CE7189" w:rsidP="0080040F">
      <w:r w:rsidRPr="00CE7189">
        <w:t xml:space="preserve">Providers continue to set their own prices under Support at Home. </w:t>
      </w:r>
      <w:r w:rsidR="004E6FF8">
        <w:t xml:space="preserve">Government has deferred the implementation of formal price caps until there is greater confidence in the stability of the </w:t>
      </w:r>
      <w:r w:rsidR="004E6FF8">
        <w:lastRenderedPageBreak/>
        <w:t xml:space="preserve">market. </w:t>
      </w:r>
      <w:r w:rsidRPr="00CE7189">
        <w:t>Support at Home has also changed how providers structure their prices</w:t>
      </w:r>
      <w:r w:rsidR="00420D1F">
        <w:t xml:space="preserve"> compared to the Home Care Packages </w:t>
      </w:r>
      <w:r w:rsidR="0077301C">
        <w:t>program,</w:t>
      </w:r>
      <w:r w:rsidRPr="00CE7189">
        <w:t xml:space="preserve"> with service prices now required to include all fees and charges.</w:t>
      </w:r>
      <w:r>
        <w:t xml:space="preserve"> </w:t>
      </w:r>
      <w:r w:rsidR="00E57443">
        <w:t>This</w:t>
      </w:r>
      <w:r w:rsidR="004375A3" w:rsidRPr="000409D0">
        <w:t xml:space="preserve"> means providers </w:t>
      </w:r>
      <w:r w:rsidR="000558BD">
        <w:t>can no longer charge separately for administrat</w:t>
      </w:r>
      <w:r w:rsidR="00E57443">
        <w:t>ion</w:t>
      </w:r>
      <w:r w:rsidR="000558BD">
        <w:t xml:space="preserve">, overheads </w:t>
      </w:r>
      <w:r w:rsidR="00E57443">
        <w:t>or</w:t>
      </w:r>
      <w:r w:rsidR="000558BD">
        <w:t xml:space="preserve"> travel</w:t>
      </w:r>
      <w:r w:rsidR="006E180E">
        <w:t>.</w:t>
      </w:r>
      <w:r w:rsidR="002A0E64">
        <w:t xml:space="preserve"> </w:t>
      </w:r>
      <w:r w:rsidR="002A0E64" w:rsidRPr="002A0E64">
        <w:t>Care management funding also changed, with the maximum amount of a participant's budget available for care management reducing from up to 20 per cent to 10 per cent and care management funded through a separate flexible pooled funding arrangement.</w:t>
      </w:r>
      <w:r w:rsidR="002A0E64">
        <w:t xml:space="preserve"> </w:t>
      </w:r>
      <w:r w:rsidR="004375A3" w:rsidRPr="000409D0">
        <w:t>As a result</w:t>
      </w:r>
      <w:r w:rsidR="00FC272F">
        <w:t xml:space="preserve"> of th</w:t>
      </w:r>
      <w:r w:rsidR="009F5EF5">
        <w:t>ese</w:t>
      </w:r>
      <w:r w:rsidR="00FC272F">
        <w:t xml:space="preserve"> change</w:t>
      </w:r>
      <w:r w:rsidR="009F5EF5">
        <w:t>s</w:t>
      </w:r>
      <w:r w:rsidR="004375A3" w:rsidRPr="000409D0">
        <w:t xml:space="preserve">, </w:t>
      </w:r>
      <w:r w:rsidR="00292A30">
        <w:t xml:space="preserve">some </w:t>
      </w:r>
      <w:r w:rsidR="004375A3" w:rsidRPr="000409D0">
        <w:t xml:space="preserve">price increases were expected. </w:t>
      </w:r>
      <w:r w:rsidR="004375A3" w:rsidRPr="00A96FDF">
        <w:t xml:space="preserve">However, prices </w:t>
      </w:r>
      <w:r w:rsidR="00441F96">
        <w:t>must</w:t>
      </w:r>
      <w:r w:rsidR="004375A3" w:rsidRPr="00A96FDF">
        <w:t xml:space="preserve"> be reasonable</w:t>
      </w:r>
      <w:r w:rsidR="004375A3">
        <w:t xml:space="preserve"> </w:t>
      </w:r>
      <w:r w:rsidR="004375A3" w:rsidRPr="00A96FDF">
        <w:t>(</w:t>
      </w:r>
      <w:hyperlink r:id="rId16" w:history="1">
        <w:r w:rsidR="004375A3" w:rsidRPr="00121D93">
          <w:rPr>
            <w:rStyle w:val="Hyperlink"/>
          </w:rPr>
          <w:t>section 273-15</w:t>
        </w:r>
      </w:hyperlink>
      <w:r w:rsidR="004375A3" w:rsidRPr="00A96FDF">
        <w:t xml:space="preserve"> of the </w:t>
      </w:r>
      <w:r w:rsidR="00121D93" w:rsidRPr="00121D93">
        <w:rPr>
          <w:i/>
          <w:iCs/>
        </w:rPr>
        <w:t>Aged Care Rules 2025</w:t>
      </w:r>
      <w:r w:rsidR="004375A3" w:rsidRPr="00A96FDF">
        <w:t>)</w:t>
      </w:r>
      <w:r w:rsidR="003A4190">
        <w:t xml:space="preserve"> and </w:t>
      </w:r>
      <w:r w:rsidR="000B02E4">
        <w:t xml:space="preserve">should </w:t>
      </w:r>
      <w:r w:rsidR="00115379" w:rsidRPr="00115379">
        <w:t>reflect the cost of delivering the service</w:t>
      </w:r>
      <w:r w:rsidR="00FE1304">
        <w:t>.</w:t>
      </w:r>
      <w:r w:rsidR="0080040F" w:rsidRPr="0080040F">
        <w:rPr>
          <w:rFonts w:ascii="Times New Roman" w:hAnsi="Times New Roman"/>
          <w:color w:val="auto"/>
          <w:sz w:val="24"/>
          <w:lang w:eastAsia="en-AU"/>
        </w:rPr>
        <w:t xml:space="preserve"> </w:t>
      </w:r>
      <w:r w:rsidR="0080040F" w:rsidRPr="0080040F">
        <w:t>These costs can include</w:t>
      </w:r>
      <w:r w:rsidR="00DA7576">
        <w:t>:</w:t>
      </w:r>
    </w:p>
    <w:p w14:paraId="213E343F" w14:textId="77777777" w:rsidR="0080040F" w:rsidRPr="0080040F" w:rsidRDefault="0080040F" w:rsidP="00760336">
      <w:pPr>
        <w:pStyle w:val="ListParagraph"/>
        <w:numPr>
          <w:ilvl w:val="0"/>
          <w:numId w:val="7"/>
        </w:numPr>
      </w:pPr>
      <w:r w:rsidRPr="0080040F">
        <w:t>labour</w:t>
      </w:r>
    </w:p>
    <w:p w14:paraId="6A670C8E" w14:textId="77777777" w:rsidR="0080040F" w:rsidRPr="0080040F" w:rsidRDefault="0080040F" w:rsidP="00760336">
      <w:pPr>
        <w:pStyle w:val="ListParagraph"/>
        <w:numPr>
          <w:ilvl w:val="0"/>
          <w:numId w:val="7"/>
        </w:numPr>
      </w:pPr>
      <w:r w:rsidRPr="0080040F">
        <w:t>package management</w:t>
      </w:r>
    </w:p>
    <w:p w14:paraId="0E59A238" w14:textId="77777777" w:rsidR="0080040F" w:rsidRPr="0080040F" w:rsidRDefault="0080040F" w:rsidP="00760336">
      <w:pPr>
        <w:pStyle w:val="ListParagraph"/>
        <w:numPr>
          <w:ilvl w:val="0"/>
          <w:numId w:val="7"/>
        </w:numPr>
      </w:pPr>
      <w:r w:rsidRPr="0080040F">
        <w:t>administration (e.g. human resources)</w:t>
      </w:r>
    </w:p>
    <w:p w14:paraId="1FB0F0C6" w14:textId="77777777" w:rsidR="0080040F" w:rsidRPr="0080040F" w:rsidRDefault="0080040F" w:rsidP="00760336">
      <w:pPr>
        <w:pStyle w:val="ListParagraph"/>
        <w:numPr>
          <w:ilvl w:val="0"/>
          <w:numId w:val="7"/>
        </w:numPr>
      </w:pPr>
      <w:r w:rsidRPr="0080040F">
        <w:t>travel</w:t>
      </w:r>
    </w:p>
    <w:p w14:paraId="621198C5" w14:textId="77777777" w:rsidR="0080040F" w:rsidRPr="0080040F" w:rsidRDefault="0080040F" w:rsidP="00760336">
      <w:pPr>
        <w:pStyle w:val="ListParagraph"/>
        <w:numPr>
          <w:ilvl w:val="0"/>
          <w:numId w:val="7"/>
        </w:numPr>
      </w:pPr>
      <w:r w:rsidRPr="0080040F">
        <w:t>sub-contracting, if applicable</w:t>
      </w:r>
    </w:p>
    <w:p w14:paraId="581EAA49" w14:textId="77777777" w:rsidR="0080040F" w:rsidRPr="0080040F" w:rsidRDefault="0080040F" w:rsidP="00357703">
      <w:pPr>
        <w:pStyle w:val="ListParagraph"/>
        <w:numPr>
          <w:ilvl w:val="0"/>
          <w:numId w:val="7"/>
        </w:numPr>
      </w:pPr>
      <w:r w:rsidRPr="0080040F">
        <w:t>a margin to cover the cost of capital used in delivering the service.</w:t>
      </w:r>
    </w:p>
    <w:p w14:paraId="751E3AEC" w14:textId="0DDBE023" w:rsidR="00001E4A" w:rsidRDefault="005842DD" w:rsidP="004375A3">
      <w:r w:rsidRPr="005842DD">
        <w:t>The department u</w:t>
      </w:r>
      <w:r w:rsidR="00DC02C3">
        <w:t xml:space="preserve">ndertakes </w:t>
      </w:r>
      <w:r w:rsidRPr="005842DD">
        <w:t xml:space="preserve">risk-based assurance </w:t>
      </w:r>
      <w:r w:rsidR="008604DF">
        <w:t>reviews</w:t>
      </w:r>
      <w:r w:rsidRPr="005842DD">
        <w:t xml:space="preserve"> to </w:t>
      </w:r>
      <w:r w:rsidR="008604DF">
        <w:t>assess</w:t>
      </w:r>
      <w:r w:rsidRPr="005842DD">
        <w:t xml:space="preserve"> whether Support at Home funds </w:t>
      </w:r>
      <w:proofErr w:type="gramStart"/>
      <w:r w:rsidRPr="005842DD">
        <w:t>are</w:t>
      </w:r>
      <w:proofErr w:type="gramEnd"/>
      <w:r w:rsidRPr="005842DD">
        <w:t xml:space="preserve"> being used efficiently, effectively and for approved purposes.</w:t>
      </w:r>
      <w:r>
        <w:t xml:space="preserve"> </w:t>
      </w:r>
      <w:r w:rsidR="003872C7">
        <w:t>This</w:t>
      </w:r>
      <w:r>
        <w:t xml:space="preserve"> </w:t>
      </w:r>
      <w:r w:rsidR="004375A3">
        <w:t xml:space="preserve">review focused on whether </w:t>
      </w:r>
      <w:r w:rsidR="005A7849">
        <w:t xml:space="preserve">providers could justify </w:t>
      </w:r>
      <w:r w:rsidR="005F3288">
        <w:t xml:space="preserve">some of the very high prices being claimed </w:t>
      </w:r>
      <w:r w:rsidR="004306E1">
        <w:t>through</w:t>
      </w:r>
      <w:r w:rsidR="004375A3">
        <w:t xml:space="preserve"> </w:t>
      </w:r>
      <w:r w:rsidR="00704911">
        <w:t>Support at Home</w:t>
      </w:r>
      <w:r w:rsidR="004F3245">
        <w:t>.</w:t>
      </w:r>
      <w:r w:rsidR="004375A3">
        <w:t xml:space="preserve"> </w:t>
      </w:r>
      <w:r w:rsidR="004F3245">
        <w:t>It</w:t>
      </w:r>
      <w:r w:rsidR="004375A3">
        <w:t xml:space="preserve"> complement</w:t>
      </w:r>
      <w:r w:rsidR="004F3245">
        <w:t>s</w:t>
      </w:r>
      <w:r w:rsidR="004375A3">
        <w:t xml:space="preserve"> broader work underway to understand pricing trends across the sector, monitor provider pricing practices and consider where additional consumer protections may be needed.</w:t>
      </w:r>
    </w:p>
    <w:p w14:paraId="283541CE" w14:textId="77777777" w:rsidR="004375A3" w:rsidRPr="0034089B" w:rsidRDefault="004375A3" w:rsidP="004375A3">
      <w:pPr>
        <w:pStyle w:val="Heading1"/>
      </w:pPr>
      <w:bookmarkStart w:id="6" w:name="_Toc237515843"/>
      <w:bookmarkStart w:id="7" w:name="_Toc237538705"/>
      <w:r>
        <w:t>Review scope and approach</w:t>
      </w:r>
      <w:bookmarkEnd w:id="5"/>
      <w:bookmarkEnd w:id="6"/>
      <w:bookmarkEnd w:id="7"/>
    </w:p>
    <w:p w14:paraId="1E2A4A97" w14:textId="77777777" w:rsidR="004375A3" w:rsidRDefault="004375A3" w:rsidP="004375A3">
      <w:pPr>
        <w:pStyle w:val="paragraph"/>
        <w:textAlignment w:val="baseline"/>
        <w:rPr>
          <w:kern w:val="2"/>
          <w14:ligatures w14:val="standardContextual"/>
        </w:rPr>
      </w:pPr>
      <w:r>
        <w:rPr>
          <w:rFonts w:ascii="Arial" w:hAnsi="Arial" w:cs="Arial"/>
          <w:b/>
          <w:bCs/>
          <w:color w:val="000000"/>
          <w:sz w:val="22"/>
          <w:szCs w:val="22"/>
        </w:rPr>
        <w:t>How providers were selected</w:t>
      </w:r>
    </w:p>
    <w:p w14:paraId="41FCBC01" w14:textId="05FF91F8" w:rsidR="00F72723" w:rsidRDefault="00F72723" w:rsidP="00F72723">
      <w:r w:rsidRPr="00F72723">
        <w:t xml:space="preserve">Providers were identified using a risk-based analysis of claims data. </w:t>
      </w:r>
      <w:r w:rsidR="00146B57">
        <w:t>The department analysed the hourly rates of key services f</w:t>
      </w:r>
      <w:r w:rsidR="00D56706">
        <w:t>or p</w:t>
      </w:r>
      <w:r w:rsidR="00A33BFB">
        <w:t>roviders</w:t>
      </w:r>
      <w:r w:rsidR="009D41E3">
        <w:t xml:space="preserve"> operating</w:t>
      </w:r>
      <w:r w:rsidR="00A33BFB">
        <w:t xml:space="preserve"> </w:t>
      </w:r>
      <w:r w:rsidR="009D41E3" w:rsidRPr="00F72723">
        <w:t>in comparable geographic areas</w:t>
      </w:r>
      <w:r w:rsidR="00D56706">
        <w:t xml:space="preserve">. </w:t>
      </w:r>
      <w:r w:rsidR="009623B4">
        <w:t>A</w:t>
      </w:r>
      <w:r w:rsidR="00D060A2">
        <w:t xml:space="preserve"> sample</w:t>
      </w:r>
      <w:r w:rsidR="009623B4">
        <w:t xml:space="preserve"> of </w:t>
      </w:r>
      <w:r w:rsidR="009062A2">
        <w:t>46</w:t>
      </w:r>
      <w:r w:rsidR="009623B4">
        <w:t xml:space="preserve"> providers</w:t>
      </w:r>
      <w:r w:rsidR="004D324D">
        <w:t>, representing around 5 per cent of Support at Home providers</w:t>
      </w:r>
      <w:r w:rsidR="00DB117C">
        <w:t>,</w:t>
      </w:r>
      <w:r w:rsidR="009623B4">
        <w:t xml:space="preserve"> was selected based on those who had claimed </w:t>
      </w:r>
      <w:r w:rsidR="00F71414">
        <w:t xml:space="preserve">the highest </w:t>
      </w:r>
      <w:r w:rsidR="00B61379">
        <w:t>hourly rate</w:t>
      </w:r>
      <w:r w:rsidR="002A0242">
        <w:t>s</w:t>
      </w:r>
      <w:r w:rsidR="00C4080A">
        <w:t xml:space="preserve"> </w:t>
      </w:r>
      <w:r w:rsidR="009623B4">
        <w:t xml:space="preserve">for </w:t>
      </w:r>
      <w:r w:rsidR="00AE77A1">
        <w:t xml:space="preserve">multiple clients for </w:t>
      </w:r>
      <w:r w:rsidR="009623B4">
        <w:t>identified services</w:t>
      </w:r>
      <w:r w:rsidR="005F6107">
        <w:t>. P</w:t>
      </w:r>
      <w:r w:rsidR="00D060A2">
        <w:t xml:space="preserve">roviders with very high prices across multiple services </w:t>
      </w:r>
      <w:r w:rsidR="005F6107">
        <w:t xml:space="preserve">were </w:t>
      </w:r>
      <w:r w:rsidR="00D060A2">
        <w:t>more</w:t>
      </w:r>
      <w:r w:rsidR="00324985">
        <w:t xml:space="preserve"> </w:t>
      </w:r>
      <w:r w:rsidR="00D060A2">
        <w:t>likely to be selected</w:t>
      </w:r>
      <w:r w:rsidR="009623B4">
        <w:t xml:space="preserve">. </w:t>
      </w:r>
    </w:p>
    <w:tbl>
      <w:tblPr>
        <w:tblStyle w:val="TableGrid8"/>
        <w:tblW w:w="0" w:type="auto"/>
        <w:tblLook w:val="04A0" w:firstRow="1" w:lastRow="0" w:firstColumn="1" w:lastColumn="0" w:noHBand="0" w:noVBand="1"/>
      </w:tblPr>
      <w:tblGrid>
        <w:gridCol w:w="3253"/>
        <w:gridCol w:w="2551"/>
      </w:tblGrid>
      <w:tr w:rsidR="00423862" w:rsidRPr="00423862" w14:paraId="7FCCA54E" w14:textId="77777777" w:rsidTr="00324985">
        <w:trPr>
          <w:cnfStyle w:val="100000000000" w:firstRow="1" w:lastRow="0" w:firstColumn="0" w:lastColumn="0" w:oddVBand="0" w:evenVBand="0" w:oddHBand="0" w:evenHBand="0" w:firstRowFirstColumn="0" w:firstRowLastColumn="0" w:lastRowFirstColumn="0" w:lastRowLastColumn="0"/>
        </w:trPr>
        <w:tc>
          <w:tcPr>
            <w:tcW w:w="5804" w:type="dxa"/>
            <w:gridSpan w:val="2"/>
            <w:tcBorders>
              <w:bottom w:val="single" w:sz="6" w:space="0" w:color="000080"/>
            </w:tcBorders>
            <w:shd w:val="solid" w:color="3F4A75" w:themeColor="text2" w:fill="FFFFFF"/>
          </w:tcPr>
          <w:p w14:paraId="00E8D8AA" w14:textId="15F2CBDD" w:rsidR="00423862" w:rsidRPr="00423862" w:rsidRDefault="00423862" w:rsidP="008E1DF2">
            <w:pPr>
              <w:spacing w:before="0" w:after="0"/>
              <w:jc w:val="center"/>
              <w:rPr>
                <w:b w:val="0"/>
                <w:color w:val="FFFFFF"/>
                <w:kern w:val="2"/>
                <w:sz w:val="20"/>
                <w:szCs w:val="20"/>
                <w14:ligatures w14:val="standardContextual"/>
              </w:rPr>
            </w:pPr>
            <w:r>
              <w:rPr>
                <w:b w:val="0"/>
                <w:color w:val="FFFFFF"/>
                <w:kern w:val="2"/>
                <w:sz w:val="20"/>
                <w:szCs w:val="20"/>
                <w14:ligatures w14:val="standardContextual"/>
              </w:rPr>
              <w:t>Provider Sample (n=46)</w:t>
            </w:r>
          </w:p>
        </w:tc>
      </w:tr>
      <w:tr w:rsidR="00423862" w:rsidRPr="00525DAF" w14:paraId="1BFC9D79" w14:textId="77777777" w:rsidTr="00357703">
        <w:tc>
          <w:tcPr>
            <w:tcW w:w="3253" w:type="dxa"/>
            <w:shd w:val="pct10" w:color="auto" w:fill="auto"/>
            <w:hideMark/>
          </w:tcPr>
          <w:p w14:paraId="7DF38CA0" w14:textId="6BA42645" w:rsidR="00423862" w:rsidRPr="00324985" w:rsidRDefault="00423862" w:rsidP="00324985">
            <w:pPr>
              <w:spacing w:before="0" w:after="0"/>
              <w:jc w:val="center"/>
              <w:rPr>
                <w:b/>
                <w:color w:val="auto"/>
                <w:kern w:val="2"/>
                <w:sz w:val="20"/>
                <w:szCs w:val="20"/>
                <w14:ligatures w14:val="standardContextual"/>
              </w:rPr>
            </w:pPr>
            <w:r w:rsidRPr="00324985">
              <w:rPr>
                <w:b/>
                <w:color w:val="auto"/>
                <w:kern w:val="2"/>
                <w:sz w:val="20"/>
                <w:szCs w:val="20"/>
                <w14:ligatures w14:val="standardContextual"/>
              </w:rPr>
              <w:t>Location</w:t>
            </w:r>
          </w:p>
        </w:tc>
        <w:tc>
          <w:tcPr>
            <w:tcW w:w="2551" w:type="dxa"/>
            <w:shd w:val="pct10" w:color="auto" w:fill="auto"/>
            <w:hideMark/>
          </w:tcPr>
          <w:p w14:paraId="0366DB6D" w14:textId="03E072A5" w:rsidR="00423862" w:rsidRPr="00324985" w:rsidRDefault="00423862" w:rsidP="00324985">
            <w:pPr>
              <w:spacing w:before="0" w:after="0"/>
              <w:jc w:val="center"/>
              <w:rPr>
                <w:b/>
                <w:color w:val="auto"/>
                <w:kern w:val="2"/>
                <w:sz w:val="20"/>
                <w:szCs w:val="20"/>
                <w14:ligatures w14:val="standardContextual"/>
              </w:rPr>
            </w:pPr>
            <w:r w:rsidRPr="00324985">
              <w:rPr>
                <w:b/>
                <w:color w:val="auto"/>
                <w:kern w:val="2"/>
                <w:sz w:val="20"/>
                <w:szCs w:val="20"/>
                <w14:ligatures w14:val="standardContextual"/>
              </w:rPr>
              <w:t>Size</w:t>
            </w:r>
          </w:p>
        </w:tc>
      </w:tr>
      <w:tr w:rsidR="00423862" w:rsidRPr="00423862" w14:paraId="4BD8ADC7" w14:textId="77777777" w:rsidTr="00357703">
        <w:tc>
          <w:tcPr>
            <w:tcW w:w="3253" w:type="dxa"/>
            <w:hideMark/>
          </w:tcPr>
          <w:p w14:paraId="2468C2EC" w14:textId="0A882A4F" w:rsidR="00423862" w:rsidRPr="00324985" w:rsidRDefault="00423862" w:rsidP="00324985">
            <w:pPr>
              <w:spacing w:before="0" w:after="0"/>
              <w:rPr>
                <w:bCs/>
                <w:kern w:val="2"/>
                <w:sz w:val="20"/>
                <w:szCs w:val="20"/>
                <w14:ligatures w14:val="standardContextual"/>
              </w:rPr>
            </w:pPr>
            <w:r w:rsidRPr="00324985">
              <w:rPr>
                <w:bCs/>
                <w:kern w:val="2"/>
                <w:sz w:val="20"/>
                <w:szCs w:val="20"/>
                <w14:ligatures w14:val="standardContextual"/>
              </w:rPr>
              <w:t>Metro</w:t>
            </w:r>
            <w:r w:rsidR="006E7CA7">
              <w:rPr>
                <w:bCs/>
                <w:kern w:val="2"/>
                <w:sz w:val="20"/>
                <w:szCs w:val="20"/>
                <w14:ligatures w14:val="standardContextual"/>
              </w:rPr>
              <w:t>politan</w:t>
            </w:r>
            <w:r w:rsidRPr="00324985">
              <w:rPr>
                <w:bCs/>
                <w:kern w:val="2"/>
                <w:sz w:val="20"/>
                <w:szCs w:val="20"/>
                <w14:ligatures w14:val="standardContextual"/>
              </w:rPr>
              <w:t>:</w:t>
            </w:r>
            <w:r w:rsidR="00663C01">
              <w:rPr>
                <w:bCs/>
                <w:kern w:val="2"/>
                <w:sz w:val="20"/>
                <w:szCs w:val="20"/>
                <w14:ligatures w14:val="standardContextual"/>
              </w:rPr>
              <w:tab/>
            </w:r>
            <w:r w:rsidR="00887483">
              <w:rPr>
                <w:bCs/>
                <w:kern w:val="2"/>
                <w:sz w:val="20"/>
                <w:szCs w:val="20"/>
                <w14:ligatures w14:val="standardContextual"/>
              </w:rPr>
              <w:tab/>
            </w:r>
            <w:r w:rsidRPr="00324985">
              <w:rPr>
                <w:bCs/>
                <w:kern w:val="2"/>
                <w:sz w:val="20"/>
                <w:szCs w:val="20"/>
                <w14:ligatures w14:val="standardContextual"/>
              </w:rPr>
              <w:t>35 (76%)</w:t>
            </w:r>
          </w:p>
        </w:tc>
        <w:tc>
          <w:tcPr>
            <w:tcW w:w="2551" w:type="dxa"/>
            <w:hideMark/>
          </w:tcPr>
          <w:p w14:paraId="620A9A92" w14:textId="49E1F067" w:rsidR="00423862" w:rsidRPr="00324985" w:rsidRDefault="00423862" w:rsidP="00324985">
            <w:pPr>
              <w:spacing w:before="0" w:after="0"/>
              <w:rPr>
                <w:bCs/>
                <w:kern w:val="2"/>
                <w:sz w:val="20"/>
                <w:szCs w:val="20"/>
                <w14:ligatures w14:val="standardContextual"/>
              </w:rPr>
            </w:pPr>
            <w:r w:rsidRPr="00324985">
              <w:rPr>
                <w:bCs/>
                <w:kern w:val="2"/>
                <w:sz w:val="20"/>
                <w:szCs w:val="20"/>
                <w14:ligatures w14:val="standardContextual"/>
              </w:rPr>
              <w:t>Small:</w:t>
            </w:r>
            <w:r w:rsidR="003938EF">
              <w:rPr>
                <w:bCs/>
                <w:kern w:val="2"/>
                <w:sz w:val="20"/>
                <w:szCs w:val="20"/>
                <w14:ligatures w14:val="standardContextual"/>
              </w:rPr>
              <w:tab/>
            </w:r>
            <w:r w:rsidR="003938EF">
              <w:rPr>
                <w:bCs/>
                <w:kern w:val="2"/>
                <w:sz w:val="20"/>
                <w:szCs w:val="20"/>
                <w14:ligatures w14:val="standardContextual"/>
              </w:rPr>
              <w:tab/>
            </w:r>
            <w:r w:rsidR="00242EAA">
              <w:rPr>
                <w:bCs/>
                <w:kern w:val="2"/>
                <w:sz w:val="20"/>
                <w:szCs w:val="20"/>
                <w14:ligatures w14:val="standardContextual"/>
              </w:rPr>
              <w:t xml:space="preserve"> </w:t>
            </w:r>
            <w:r w:rsidR="00663C01">
              <w:rPr>
                <w:bCs/>
                <w:kern w:val="2"/>
                <w:sz w:val="20"/>
                <w:szCs w:val="20"/>
                <w14:ligatures w14:val="standardContextual"/>
              </w:rPr>
              <w:t xml:space="preserve"> </w:t>
            </w:r>
            <w:r w:rsidRPr="00324985">
              <w:rPr>
                <w:bCs/>
                <w:kern w:val="2"/>
                <w:sz w:val="20"/>
                <w:szCs w:val="20"/>
                <w14:ligatures w14:val="standardContextual"/>
              </w:rPr>
              <w:t>7 (15%)</w:t>
            </w:r>
          </w:p>
        </w:tc>
      </w:tr>
      <w:tr w:rsidR="00423862" w:rsidRPr="00423862" w14:paraId="2DF211D2" w14:textId="77777777" w:rsidTr="00357703">
        <w:tc>
          <w:tcPr>
            <w:tcW w:w="3253" w:type="dxa"/>
            <w:hideMark/>
          </w:tcPr>
          <w:p w14:paraId="66C25D38" w14:textId="3CA8D034" w:rsidR="00423862" w:rsidRPr="004321B1" w:rsidRDefault="00423862" w:rsidP="004321B1">
            <w:pPr>
              <w:spacing w:before="0" w:after="0"/>
              <w:rPr>
                <w:bCs/>
                <w:kern w:val="2"/>
                <w:sz w:val="20"/>
                <w:szCs w:val="20"/>
                <w14:ligatures w14:val="standardContextual"/>
              </w:rPr>
            </w:pPr>
            <w:r w:rsidRPr="004321B1">
              <w:rPr>
                <w:bCs/>
                <w:kern w:val="2"/>
                <w:sz w:val="20"/>
                <w:szCs w:val="20"/>
                <w14:ligatures w14:val="standardContextual"/>
              </w:rPr>
              <w:t>Regional:</w:t>
            </w:r>
            <w:r w:rsidR="00663C01">
              <w:rPr>
                <w:bCs/>
                <w:kern w:val="2"/>
                <w:sz w:val="20"/>
                <w:szCs w:val="20"/>
                <w14:ligatures w14:val="standardContextual"/>
              </w:rPr>
              <w:tab/>
            </w:r>
            <w:r w:rsidR="00887483">
              <w:rPr>
                <w:bCs/>
                <w:kern w:val="2"/>
                <w:sz w:val="20"/>
                <w:szCs w:val="20"/>
                <w14:ligatures w14:val="standardContextual"/>
              </w:rPr>
              <w:tab/>
            </w:r>
            <w:r w:rsidRPr="004321B1">
              <w:rPr>
                <w:bCs/>
                <w:kern w:val="2"/>
                <w:sz w:val="20"/>
                <w:szCs w:val="20"/>
                <w14:ligatures w14:val="standardContextual"/>
              </w:rPr>
              <w:t>11 (24%)</w:t>
            </w:r>
          </w:p>
        </w:tc>
        <w:tc>
          <w:tcPr>
            <w:tcW w:w="2551" w:type="dxa"/>
            <w:hideMark/>
          </w:tcPr>
          <w:p w14:paraId="497F266D" w14:textId="572D9CBC" w:rsidR="00423862" w:rsidRPr="004321B1" w:rsidRDefault="00423862" w:rsidP="004321B1">
            <w:pPr>
              <w:spacing w:before="0" w:after="0"/>
              <w:rPr>
                <w:bCs/>
                <w:kern w:val="2"/>
                <w:sz w:val="20"/>
                <w:szCs w:val="20"/>
                <w14:ligatures w14:val="standardContextual"/>
              </w:rPr>
            </w:pPr>
            <w:r w:rsidRPr="004321B1">
              <w:rPr>
                <w:bCs/>
                <w:kern w:val="2"/>
                <w:sz w:val="20"/>
                <w:szCs w:val="20"/>
                <w14:ligatures w14:val="standardContextual"/>
              </w:rPr>
              <w:t>Medium:</w:t>
            </w:r>
            <w:r w:rsidR="003938EF">
              <w:rPr>
                <w:bCs/>
                <w:kern w:val="2"/>
                <w:sz w:val="20"/>
                <w:szCs w:val="20"/>
                <w14:ligatures w14:val="standardContextual"/>
              </w:rPr>
              <w:tab/>
            </w:r>
            <w:r w:rsidRPr="004321B1">
              <w:rPr>
                <w:bCs/>
                <w:kern w:val="2"/>
                <w:sz w:val="20"/>
                <w:szCs w:val="20"/>
                <w14:ligatures w14:val="standardContextual"/>
              </w:rPr>
              <w:t>33 (72%)</w:t>
            </w:r>
          </w:p>
        </w:tc>
      </w:tr>
      <w:tr w:rsidR="00423862" w:rsidRPr="00423862" w14:paraId="70C11B80" w14:textId="77777777" w:rsidTr="00357703">
        <w:tc>
          <w:tcPr>
            <w:tcW w:w="3253" w:type="dxa"/>
            <w:hideMark/>
          </w:tcPr>
          <w:p w14:paraId="0250BC13" w14:textId="77777777" w:rsidR="00423862" w:rsidRPr="004321B1" w:rsidRDefault="00423862" w:rsidP="004321B1">
            <w:pPr>
              <w:spacing w:before="0" w:after="0"/>
              <w:rPr>
                <w:bCs/>
                <w:kern w:val="2"/>
                <w:sz w:val="20"/>
                <w:szCs w:val="20"/>
                <w14:ligatures w14:val="standardContextual"/>
              </w:rPr>
            </w:pPr>
          </w:p>
        </w:tc>
        <w:tc>
          <w:tcPr>
            <w:tcW w:w="2551" w:type="dxa"/>
            <w:hideMark/>
          </w:tcPr>
          <w:p w14:paraId="6E4BE5F0" w14:textId="76F80EF7" w:rsidR="00423862" w:rsidRPr="004321B1" w:rsidRDefault="00423862" w:rsidP="004321B1">
            <w:pPr>
              <w:spacing w:before="0" w:after="0"/>
              <w:rPr>
                <w:bCs/>
                <w:kern w:val="2"/>
                <w:sz w:val="20"/>
                <w:szCs w:val="20"/>
                <w14:ligatures w14:val="standardContextual"/>
              </w:rPr>
            </w:pPr>
            <w:r w:rsidRPr="004321B1">
              <w:rPr>
                <w:bCs/>
                <w:kern w:val="2"/>
                <w:sz w:val="20"/>
                <w:szCs w:val="20"/>
                <w14:ligatures w14:val="standardContextual"/>
              </w:rPr>
              <w:t>Large:</w:t>
            </w:r>
            <w:r w:rsidR="003938EF">
              <w:rPr>
                <w:bCs/>
                <w:kern w:val="2"/>
                <w:sz w:val="20"/>
                <w:szCs w:val="20"/>
                <w14:ligatures w14:val="standardContextual"/>
              </w:rPr>
              <w:tab/>
            </w:r>
            <w:r w:rsidR="003938EF">
              <w:rPr>
                <w:bCs/>
                <w:kern w:val="2"/>
                <w:sz w:val="20"/>
                <w:szCs w:val="20"/>
                <w14:ligatures w14:val="standardContextual"/>
              </w:rPr>
              <w:tab/>
            </w:r>
            <w:r w:rsidR="00663C01">
              <w:rPr>
                <w:bCs/>
                <w:kern w:val="2"/>
                <w:sz w:val="20"/>
                <w:szCs w:val="20"/>
                <w14:ligatures w14:val="standardContextual"/>
              </w:rPr>
              <w:t xml:space="preserve"> </w:t>
            </w:r>
            <w:r w:rsidR="00242EAA">
              <w:rPr>
                <w:bCs/>
                <w:kern w:val="2"/>
                <w:sz w:val="20"/>
                <w:szCs w:val="20"/>
                <w14:ligatures w14:val="standardContextual"/>
              </w:rPr>
              <w:t xml:space="preserve"> </w:t>
            </w:r>
            <w:r w:rsidRPr="004321B1">
              <w:rPr>
                <w:bCs/>
                <w:kern w:val="2"/>
                <w:sz w:val="20"/>
                <w:szCs w:val="20"/>
                <w14:ligatures w14:val="standardContextual"/>
              </w:rPr>
              <w:t>6 (13%)</w:t>
            </w:r>
          </w:p>
        </w:tc>
      </w:tr>
    </w:tbl>
    <w:p w14:paraId="5C75F56A" w14:textId="0D82A29C" w:rsidR="00ED4DF3" w:rsidRPr="00F72723" w:rsidRDefault="005F7060" w:rsidP="00F72723">
      <w:r>
        <w:t>As th</w:t>
      </w:r>
      <w:r w:rsidR="00AA602A">
        <w:t>e</w:t>
      </w:r>
      <w:r w:rsidR="00ED4DF3">
        <w:t xml:space="preserve"> </w:t>
      </w:r>
      <w:r w:rsidR="00BD09EF">
        <w:t xml:space="preserve">highly </w:t>
      </w:r>
      <w:r w:rsidR="00ED4DF3">
        <w:t>targe</w:t>
      </w:r>
      <w:r w:rsidR="00434EC6">
        <w:t>te</w:t>
      </w:r>
      <w:r w:rsidR="00ED4DF3">
        <w:t>d sample of 46 providers</w:t>
      </w:r>
      <w:r w:rsidR="00434EC6">
        <w:t xml:space="preserve"> </w:t>
      </w:r>
      <w:r w:rsidR="008F0EA3">
        <w:t>i</w:t>
      </w:r>
      <w:r w:rsidR="00880A18">
        <w:t>s</w:t>
      </w:r>
      <w:r w:rsidR="00AA602A">
        <w:t xml:space="preserve"> not</w:t>
      </w:r>
      <w:r w:rsidR="00434EC6">
        <w:t xml:space="preserve"> representative of all Support at Home providers</w:t>
      </w:r>
      <w:r w:rsidR="00AA602A">
        <w:t xml:space="preserve"> </w:t>
      </w:r>
      <w:r w:rsidR="001E12DF">
        <w:t xml:space="preserve">it is not possible to determine </w:t>
      </w:r>
      <w:r w:rsidR="00F51C35">
        <w:t xml:space="preserve">the prevalence of </w:t>
      </w:r>
      <w:r w:rsidR="001145C5">
        <w:t>issues raised a</w:t>
      </w:r>
      <w:r w:rsidR="00E1360C">
        <w:t xml:space="preserve">cross the </w:t>
      </w:r>
      <w:r w:rsidR="00D83A25">
        <w:t>provider population</w:t>
      </w:r>
      <w:r w:rsidR="00434EC6">
        <w:t>.</w:t>
      </w:r>
    </w:p>
    <w:p w14:paraId="4D08E500" w14:textId="3FC5CB8B" w:rsidR="004375A3" w:rsidRPr="005C5BF8" w:rsidRDefault="004375A3" w:rsidP="00D02AF2">
      <w:pPr>
        <w:pStyle w:val="paragraph"/>
        <w:textAlignment w:val="baseline"/>
        <w:rPr>
          <w:rFonts w:ascii="Arial" w:hAnsi="Arial" w:cs="Arial"/>
          <w:b/>
          <w:bCs/>
          <w:color w:val="000000"/>
          <w:sz w:val="22"/>
          <w:szCs w:val="22"/>
        </w:rPr>
      </w:pPr>
      <w:r w:rsidRPr="005C5BF8">
        <w:rPr>
          <w:rFonts w:ascii="Arial" w:hAnsi="Arial" w:cs="Arial"/>
          <w:b/>
          <w:bCs/>
          <w:color w:val="000000"/>
          <w:sz w:val="22"/>
          <w:szCs w:val="22"/>
        </w:rPr>
        <w:t>Services in scope</w:t>
      </w:r>
    </w:p>
    <w:p w14:paraId="6945FEB3" w14:textId="77777777" w:rsidR="004375A3" w:rsidRPr="002225D5" w:rsidRDefault="004375A3" w:rsidP="004375A3">
      <w:r w:rsidRPr="002225D5">
        <w:t>The review focused on eight services from the Support at Home service list</w:t>
      </w:r>
      <w:r>
        <w:t>:</w:t>
      </w:r>
    </w:p>
    <w:p w14:paraId="3D4900BB" w14:textId="77777777" w:rsidR="004375A3" w:rsidRDefault="004375A3" w:rsidP="00BE4DA7">
      <w:pPr>
        <w:pStyle w:val="ListParagraph"/>
        <w:numPr>
          <w:ilvl w:val="0"/>
          <w:numId w:val="7"/>
        </w:numPr>
        <w:rPr>
          <w:kern w:val="2"/>
          <w:szCs w:val="22"/>
          <w14:ligatures w14:val="standardContextual"/>
        </w:rPr>
      </w:pPr>
      <w:r>
        <w:t>care management</w:t>
      </w:r>
    </w:p>
    <w:p w14:paraId="34ADC865" w14:textId="77777777" w:rsidR="004375A3" w:rsidRDefault="004375A3" w:rsidP="00BE4DA7">
      <w:pPr>
        <w:pStyle w:val="ListParagraph"/>
        <w:numPr>
          <w:ilvl w:val="0"/>
          <w:numId w:val="7"/>
        </w:numPr>
      </w:pPr>
      <w:r>
        <w:lastRenderedPageBreak/>
        <w:t>personal care: assistance with self-care and activities of daily living</w:t>
      </w:r>
    </w:p>
    <w:p w14:paraId="301F31E5" w14:textId="77777777" w:rsidR="00656A8F" w:rsidRDefault="00656A8F" w:rsidP="00656A8F">
      <w:pPr>
        <w:pStyle w:val="ListParagraph"/>
        <w:numPr>
          <w:ilvl w:val="0"/>
          <w:numId w:val="7"/>
        </w:numPr>
      </w:pPr>
      <w:r>
        <w:t>personal care: assistance with self-administration of medication</w:t>
      </w:r>
    </w:p>
    <w:p w14:paraId="09EDA8F4" w14:textId="77777777" w:rsidR="004375A3" w:rsidRDefault="004375A3" w:rsidP="00BE4DA7">
      <w:pPr>
        <w:pStyle w:val="ListParagraph"/>
        <w:numPr>
          <w:ilvl w:val="0"/>
          <w:numId w:val="7"/>
        </w:numPr>
      </w:pPr>
      <w:r>
        <w:t>domestic assistance: general house cleaning</w:t>
      </w:r>
    </w:p>
    <w:p w14:paraId="7D775F72" w14:textId="77777777" w:rsidR="004375A3" w:rsidRDefault="004375A3" w:rsidP="00BE4DA7">
      <w:pPr>
        <w:pStyle w:val="ListParagraph"/>
        <w:numPr>
          <w:ilvl w:val="0"/>
          <w:numId w:val="7"/>
        </w:numPr>
      </w:pPr>
      <w:r>
        <w:t>home maintenance and repairs: gardening</w:t>
      </w:r>
    </w:p>
    <w:p w14:paraId="67958B34" w14:textId="77777777" w:rsidR="004375A3" w:rsidRDefault="004375A3" w:rsidP="00BE4DA7">
      <w:pPr>
        <w:pStyle w:val="ListParagraph"/>
        <w:numPr>
          <w:ilvl w:val="0"/>
          <w:numId w:val="7"/>
        </w:numPr>
      </w:pPr>
      <w:r>
        <w:t>nursing care: registered nurse clinical care</w:t>
      </w:r>
    </w:p>
    <w:p w14:paraId="749BFC7F" w14:textId="77777777" w:rsidR="004375A3" w:rsidRDefault="004375A3" w:rsidP="00BE4DA7">
      <w:pPr>
        <w:pStyle w:val="ListParagraph"/>
        <w:numPr>
          <w:ilvl w:val="0"/>
          <w:numId w:val="7"/>
        </w:numPr>
      </w:pPr>
      <w:r>
        <w:t>social support and community engagement: group social support</w:t>
      </w:r>
    </w:p>
    <w:p w14:paraId="1F32928B" w14:textId="276C7AF7" w:rsidR="004375A3" w:rsidRDefault="004375A3" w:rsidP="00BE4DA7">
      <w:pPr>
        <w:pStyle w:val="ListParagraph"/>
        <w:numPr>
          <w:ilvl w:val="0"/>
          <w:numId w:val="7"/>
        </w:numPr>
      </w:pPr>
      <w:r>
        <w:t>allied health and other therapeutic services: physiotherapy</w:t>
      </w:r>
      <w:r w:rsidR="00855BB0">
        <w:t>.</w:t>
      </w:r>
    </w:p>
    <w:p w14:paraId="722CA274" w14:textId="77777777" w:rsidR="004375A3" w:rsidRDefault="004375A3" w:rsidP="004375A3">
      <w:pPr>
        <w:pStyle w:val="paragraph"/>
        <w:textAlignment w:val="baseline"/>
        <w:rPr>
          <w:kern w:val="2"/>
          <w14:ligatures w14:val="standardContextual"/>
        </w:rPr>
      </w:pPr>
      <w:r>
        <w:rPr>
          <w:rFonts w:ascii="Arial" w:hAnsi="Arial" w:cs="Arial"/>
          <w:b/>
          <w:bCs/>
          <w:color w:val="000000"/>
          <w:sz w:val="22"/>
          <w:szCs w:val="22"/>
        </w:rPr>
        <w:t>What providers were asked to do</w:t>
      </w:r>
    </w:p>
    <w:p w14:paraId="758CDD11" w14:textId="734E4AC6" w:rsidR="001A6FCE" w:rsidRPr="001A6FCE" w:rsidRDefault="001A6FCE" w:rsidP="001A6FCE">
      <w:bookmarkStart w:id="8" w:name="_Toc236397536"/>
      <w:r w:rsidRPr="001A6FCE">
        <w:t xml:space="preserve">Providers were asked to explain how they set their prices and provide evidence to support the prices charged. </w:t>
      </w:r>
    </w:p>
    <w:p w14:paraId="6CE1FE79" w14:textId="7EC12124" w:rsidR="004375A3" w:rsidRPr="00E0709F" w:rsidRDefault="004375A3" w:rsidP="004375A3">
      <w:r w:rsidRPr="00E0709F">
        <w:t xml:space="preserve">Where the department considered a provider had not sufficiently justified their prices, the </w:t>
      </w:r>
      <w:r>
        <w:t>provider</w:t>
      </w:r>
      <w:r w:rsidRPr="00E0709F">
        <w:t xml:space="preserve"> was referred to the Commission for further assessment and consideration of a regulatory response.</w:t>
      </w:r>
    </w:p>
    <w:p w14:paraId="34EC49D0" w14:textId="77777777" w:rsidR="004375A3" w:rsidRDefault="004375A3" w:rsidP="004375A3">
      <w:r w:rsidRPr="00F60F8D">
        <w:t>Providers were offered entry and exit meetings and received individual reports outlining the findings relevant to their organisation.</w:t>
      </w:r>
    </w:p>
    <w:p w14:paraId="67D89317" w14:textId="747169A6" w:rsidR="004375A3" w:rsidRDefault="004375A3" w:rsidP="004375A3">
      <w:pPr>
        <w:pStyle w:val="Heading1"/>
        <w:rPr>
          <w:kern w:val="36"/>
          <w:szCs w:val="44"/>
          <w14:ligatures w14:val="standardContextual"/>
        </w:rPr>
      </w:pPr>
      <w:bookmarkStart w:id="9" w:name="_Toc237515844"/>
      <w:bookmarkStart w:id="10" w:name="_Toc237538706"/>
      <w:r>
        <w:t xml:space="preserve">What </w:t>
      </w:r>
      <w:r w:rsidR="00A1066A">
        <w:t>did the review find?</w:t>
      </w:r>
      <w:bookmarkEnd w:id="9"/>
      <w:bookmarkEnd w:id="10"/>
    </w:p>
    <w:p w14:paraId="6CA773F0" w14:textId="75B7C6E9" w:rsidR="00C47154" w:rsidRDefault="00C47154" w:rsidP="00C47154">
      <w:pPr>
        <w:pStyle w:val="Heading2"/>
      </w:pPr>
      <w:bookmarkStart w:id="11" w:name="_Toc237515845"/>
      <w:bookmarkStart w:id="12" w:name="_Toc237538707"/>
      <w:bookmarkEnd w:id="8"/>
      <w:r>
        <w:t xml:space="preserve">Claiming </w:t>
      </w:r>
      <w:r w:rsidR="00F4648E">
        <w:t>issues</w:t>
      </w:r>
      <w:r w:rsidR="00DE7464">
        <w:t xml:space="preserve"> made prices appear higher</w:t>
      </w:r>
      <w:bookmarkEnd w:id="11"/>
      <w:bookmarkEnd w:id="12"/>
    </w:p>
    <w:p w14:paraId="1A12A5E8" w14:textId="3268B37B" w:rsidR="00B73D03" w:rsidRPr="0027378D" w:rsidRDefault="007F229A" w:rsidP="00C47154">
      <w:r>
        <w:t xml:space="preserve">Accurate claims are important because claims data is used to monitor pricing trends, support program integrity and improve transparency for participants. </w:t>
      </w:r>
      <w:r w:rsidR="00C47154">
        <w:t>In 43 cases, or 93.5% of providers reviewed, the apparent high prices identified in claims data were caused by claiming issues. This meant the prices recorded in claims data did not accurately reflect the prices charged for the services delivered.</w:t>
      </w:r>
      <w:r w:rsidR="00297573">
        <w:t xml:space="preserve"> </w:t>
      </w:r>
    </w:p>
    <w:tbl>
      <w:tblPr>
        <w:tblStyle w:val="PlainTable4"/>
        <w:tblW w:w="5000" w:type="pct"/>
        <w:tblInd w:w="0" w:type="dxa"/>
        <w:tblBorders>
          <w:insideH w:val="single" w:sz="4" w:space="0" w:color="auto"/>
          <w:insideV w:val="single" w:sz="4" w:space="0" w:color="auto"/>
        </w:tblBorders>
        <w:tblLook w:val="04A0" w:firstRow="1" w:lastRow="0" w:firstColumn="1" w:lastColumn="0" w:noHBand="0" w:noVBand="1"/>
      </w:tblPr>
      <w:tblGrid>
        <w:gridCol w:w="4535"/>
        <w:gridCol w:w="4535"/>
      </w:tblGrid>
      <w:tr w:rsidR="00C47154" w:rsidRPr="009A53D5" w14:paraId="21E4E04C" w14:textId="77777777" w:rsidTr="00E9354C">
        <w:tc>
          <w:tcPr>
            <w:tcW w:w="0" w:type="auto"/>
            <w:gridSpan w:val="2"/>
            <w:shd w:val="clear" w:color="auto" w:fill="3F4A75"/>
            <w:tcMar>
              <w:top w:w="100" w:type="dxa"/>
              <w:left w:w="120" w:type="dxa"/>
              <w:bottom w:w="100" w:type="dxa"/>
              <w:right w:w="120" w:type="dxa"/>
            </w:tcMar>
            <w:hideMark/>
          </w:tcPr>
          <w:p w14:paraId="7A942F3B" w14:textId="2F502570" w:rsidR="00C47154" w:rsidRPr="009A53D5" w:rsidRDefault="00C47154">
            <w:pPr>
              <w:spacing w:before="0" w:after="0"/>
              <w:jc w:val="center"/>
              <w:rPr>
                <w:sz w:val="20"/>
                <w:szCs w:val="20"/>
              </w:rPr>
            </w:pPr>
            <w:r w:rsidRPr="009A53D5">
              <w:rPr>
                <w:b/>
                <w:color w:val="FFFFFF"/>
                <w:sz w:val="20"/>
                <w:szCs w:val="20"/>
              </w:rPr>
              <w:t xml:space="preserve">Common claiming </w:t>
            </w:r>
            <w:r w:rsidR="00F4648E" w:rsidRPr="009A53D5">
              <w:rPr>
                <w:b/>
                <w:color w:val="FFFFFF"/>
                <w:sz w:val="20"/>
                <w:szCs w:val="20"/>
              </w:rPr>
              <w:t>issues</w:t>
            </w:r>
            <w:r w:rsidRPr="009A53D5">
              <w:rPr>
                <w:b/>
                <w:color w:val="FFFFFF"/>
                <w:sz w:val="20"/>
                <w:szCs w:val="20"/>
              </w:rPr>
              <w:t xml:space="preserve"> identified in the review</w:t>
            </w:r>
          </w:p>
        </w:tc>
      </w:tr>
      <w:tr w:rsidR="00C47154" w:rsidRPr="009A53D5" w14:paraId="33B80FC2" w14:textId="77777777" w:rsidTr="00E9354C">
        <w:tc>
          <w:tcPr>
            <w:tcW w:w="2500" w:type="pct"/>
            <w:shd w:val="clear" w:color="auto" w:fill="F2F2F2"/>
            <w:tcMar>
              <w:top w:w="120" w:type="dxa"/>
              <w:left w:w="120" w:type="dxa"/>
              <w:bottom w:w="120" w:type="dxa"/>
              <w:right w:w="120" w:type="dxa"/>
            </w:tcMar>
            <w:hideMark/>
          </w:tcPr>
          <w:p w14:paraId="647D92CF" w14:textId="77777777" w:rsidR="00C47154" w:rsidRPr="009A53D5" w:rsidRDefault="00C47154">
            <w:pPr>
              <w:spacing w:before="0" w:after="0"/>
              <w:rPr>
                <w:sz w:val="20"/>
                <w:szCs w:val="20"/>
              </w:rPr>
            </w:pPr>
            <w:r w:rsidRPr="009A53D5">
              <w:rPr>
                <w:b/>
                <w:sz w:val="20"/>
                <w:szCs w:val="20"/>
              </w:rPr>
              <w:t>Quantity of service units incorrect</w:t>
            </w:r>
          </w:p>
          <w:p w14:paraId="4075E8D0" w14:textId="259A7EE6" w:rsidR="00C47154" w:rsidRPr="009A53D5" w:rsidRDefault="00C47154">
            <w:pPr>
              <w:spacing w:before="0" w:after="0"/>
              <w:rPr>
                <w:sz w:val="20"/>
                <w:szCs w:val="20"/>
              </w:rPr>
            </w:pPr>
            <w:r w:rsidRPr="009A53D5">
              <w:rPr>
                <w:sz w:val="20"/>
                <w:szCs w:val="20"/>
              </w:rPr>
              <w:t>For example, a 3-hour group social support activity costing $150 was claimed as 1 unit</w:t>
            </w:r>
            <w:r w:rsidR="00274083" w:rsidRPr="009A53D5">
              <w:rPr>
                <w:sz w:val="20"/>
                <w:szCs w:val="20"/>
              </w:rPr>
              <w:t>/hour</w:t>
            </w:r>
            <w:r w:rsidRPr="009A53D5">
              <w:rPr>
                <w:sz w:val="20"/>
                <w:szCs w:val="20"/>
              </w:rPr>
              <w:t xml:space="preserve"> at $150 per unit</w:t>
            </w:r>
            <w:r w:rsidR="00274083" w:rsidRPr="009A53D5">
              <w:rPr>
                <w:sz w:val="20"/>
                <w:szCs w:val="20"/>
              </w:rPr>
              <w:t>/hour</w:t>
            </w:r>
            <w:r w:rsidRPr="009A53D5">
              <w:rPr>
                <w:sz w:val="20"/>
                <w:szCs w:val="20"/>
              </w:rPr>
              <w:t>, rather than 3 units at $50 per unit</w:t>
            </w:r>
            <w:r w:rsidR="00D50C3B" w:rsidRPr="009A53D5">
              <w:rPr>
                <w:sz w:val="20"/>
                <w:szCs w:val="20"/>
              </w:rPr>
              <w:t>/hour</w:t>
            </w:r>
            <w:r w:rsidRPr="009A53D5">
              <w:rPr>
                <w:sz w:val="20"/>
                <w:szCs w:val="20"/>
              </w:rPr>
              <w:t>.</w:t>
            </w:r>
          </w:p>
          <w:p w14:paraId="067156B2" w14:textId="77777777" w:rsidR="00C47154" w:rsidRPr="009A53D5" w:rsidRDefault="00C47154">
            <w:pPr>
              <w:spacing w:before="0" w:after="0"/>
              <w:rPr>
                <w:sz w:val="20"/>
                <w:szCs w:val="20"/>
              </w:rPr>
            </w:pPr>
          </w:p>
        </w:tc>
        <w:tc>
          <w:tcPr>
            <w:tcW w:w="2500" w:type="pct"/>
            <w:shd w:val="clear" w:color="auto" w:fill="F2F2F2"/>
            <w:tcMar>
              <w:top w:w="120" w:type="dxa"/>
              <w:left w:w="120" w:type="dxa"/>
              <w:bottom w:w="120" w:type="dxa"/>
              <w:right w:w="120" w:type="dxa"/>
            </w:tcMar>
            <w:hideMark/>
          </w:tcPr>
          <w:p w14:paraId="4517AA0E" w14:textId="77777777" w:rsidR="00C47154" w:rsidRPr="009A53D5" w:rsidRDefault="00C47154">
            <w:pPr>
              <w:spacing w:before="0" w:after="0"/>
              <w:rPr>
                <w:sz w:val="20"/>
                <w:szCs w:val="20"/>
              </w:rPr>
            </w:pPr>
            <w:r w:rsidRPr="009A53D5">
              <w:rPr>
                <w:b/>
                <w:sz w:val="20"/>
                <w:szCs w:val="20"/>
              </w:rPr>
              <w:t>Multiple service episodes combined</w:t>
            </w:r>
          </w:p>
          <w:p w14:paraId="37E3A830" w14:textId="480B606B" w:rsidR="00C47154" w:rsidRPr="009A53D5" w:rsidRDefault="00C47154">
            <w:pPr>
              <w:spacing w:before="0" w:after="0"/>
              <w:rPr>
                <w:sz w:val="20"/>
                <w:szCs w:val="20"/>
              </w:rPr>
            </w:pPr>
            <w:r w:rsidRPr="009A53D5">
              <w:rPr>
                <w:sz w:val="20"/>
                <w:szCs w:val="20"/>
              </w:rPr>
              <w:t>For example, domestic assistance delivered across several dates was combined into one claim, rather than entered as separate claims for each delivery date with the relevant quantity and price per unit</w:t>
            </w:r>
            <w:r w:rsidR="005A257D" w:rsidRPr="009A53D5">
              <w:rPr>
                <w:sz w:val="20"/>
                <w:szCs w:val="20"/>
              </w:rPr>
              <w:t>/hour</w:t>
            </w:r>
            <w:r w:rsidRPr="009A53D5">
              <w:rPr>
                <w:sz w:val="20"/>
                <w:szCs w:val="20"/>
              </w:rPr>
              <w:t>.</w:t>
            </w:r>
          </w:p>
        </w:tc>
      </w:tr>
      <w:tr w:rsidR="00C47154" w:rsidRPr="009A53D5" w14:paraId="4369A922" w14:textId="77777777" w:rsidTr="00E9354C">
        <w:tc>
          <w:tcPr>
            <w:tcW w:w="2500" w:type="pct"/>
            <w:shd w:val="clear" w:color="auto" w:fill="F2F2F2"/>
            <w:tcMar>
              <w:top w:w="120" w:type="dxa"/>
              <w:left w:w="120" w:type="dxa"/>
              <w:bottom w:w="120" w:type="dxa"/>
              <w:right w:w="120" w:type="dxa"/>
            </w:tcMar>
            <w:hideMark/>
          </w:tcPr>
          <w:p w14:paraId="3741428B" w14:textId="77777777" w:rsidR="00C47154" w:rsidRPr="009A53D5" w:rsidRDefault="00C47154">
            <w:pPr>
              <w:spacing w:before="0" w:after="0"/>
              <w:rPr>
                <w:sz w:val="20"/>
                <w:szCs w:val="20"/>
              </w:rPr>
            </w:pPr>
            <w:r w:rsidRPr="009A53D5">
              <w:rPr>
                <w:b/>
                <w:sz w:val="20"/>
                <w:szCs w:val="20"/>
              </w:rPr>
              <w:t>Incorrect unit type</w:t>
            </w:r>
          </w:p>
          <w:p w14:paraId="5DA2A9C2" w14:textId="7C7BF6A2" w:rsidR="00C47154" w:rsidRPr="009A53D5" w:rsidRDefault="00C47154">
            <w:pPr>
              <w:spacing w:before="0" w:after="0"/>
              <w:rPr>
                <w:sz w:val="20"/>
                <w:szCs w:val="20"/>
              </w:rPr>
            </w:pPr>
            <w:r w:rsidRPr="009A53D5">
              <w:rPr>
                <w:sz w:val="20"/>
                <w:szCs w:val="20"/>
              </w:rPr>
              <w:t xml:space="preserve">For example, a return transport service was entered as a quantity of 1 trip, even though the unit type for transport is </w:t>
            </w:r>
            <w:r w:rsidR="00A24585" w:rsidRPr="009A53D5">
              <w:rPr>
                <w:sz w:val="20"/>
                <w:szCs w:val="20"/>
              </w:rPr>
              <w:t xml:space="preserve">a </w:t>
            </w:r>
            <w:r w:rsidRPr="009A53D5">
              <w:rPr>
                <w:sz w:val="20"/>
                <w:szCs w:val="20"/>
              </w:rPr>
              <w:t>one-way trip.</w:t>
            </w:r>
          </w:p>
        </w:tc>
        <w:tc>
          <w:tcPr>
            <w:tcW w:w="2500" w:type="pct"/>
            <w:shd w:val="clear" w:color="auto" w:fill="F2F2F2"/>
            <w:tcMar>
              <w:top w:w="120" w:type="dxa"/>
              <w:left w:w="120" w:type="dxa"/>
              <w:bottom w:w="120" w:type="dxa"/>
              <w:right w:w="120" w:type="dxa"/>
            </w:tcMar>
            <w:hideMark/>
          </w:tcPr>
          <w:p w14:paraId="44575A75" w14:textId="77777777" w:rsidR="00C47154" w:rsidRPr="009A53D5" w:rsidRDefault="00C47154">
            <w:pPr>
              <w:spacing w:before="0" w:after="0"/>
              <w:rPr>
                <w:sz w:val="20"/>
                <w:szCs w:val="20"/>
              </w:rPr>
            </w:pPr>
            <w:r w:rsidRPr="009A53D5">
              <w:rPr>
                <w:b/>
                <w:sz w:val="20"/>
                <w:szCs w:val="20"/>
              </w:rPr>
              <w:t>Incorrect service identifier</w:t>
            </w:r>
          </w:p>
          <w:p w14:paraId="66361251" w14:textId="77777777" w:rsidR="00C47154" w:rsidRPr="009A53D5" w:rsidRDefault="00C47154">
            <w:pPr>
              <w:spacing w:before="0" w:after="0"/>
              <w:rPr>
                <w:sz w:val="20"/>
                <w:szCs w:val="20"/>
              </w:rPr>
            </w:pPr>
            <w:r w:rsidRPr="009A53D5">
              <w:rPr>
                <w:sz w:val="20"/>
                <w:szCs w:val="20"/>
              </w:rPr>
              <w:t>For example, a home maintenance and repairs service to fix a broken door was entered under gardening, resulting in the service being recorded against the wrong service identifier.</w:t>
            </w:r>
          </w:p>
        </w:tc>
      </w:tr>
    </w:tbl>
    <w:p w14:paraId="478A52EB" w14:textId="2C815AB7" w:rsidR="00C47154" w:rsidRPr="009A5DBC" w:rsidRDefault="00C47154" w:rsidP="00C47154">
      <w:r w:rsidRPr="009A5DBC">
        <w:t xml:space="preserve">The review found that claiming </w:t>
      </w:r>
      <w:r w:rsidR="00F4648E">
        <w:t>issues</w:t>
      </w:r>
      <w:r w:rsidRPr="009A5DBC">
        <w:t xml:space="preserve"> were often </w:t>
      </w:r>
      <w:r w:rsidR="00934CA3">
        <w:t>caused by</w:t>
      </w:r>
      <w:r w:rsidRPr="009A5DBC">
        <w:t xml:space="preserve"> providers not fully understanding their claiming obligations under Support at Home.</w:t>
      </w:r>
    </w:p>
    <w:p w14:paraId="209BEBD9" w14:textId="057AECAD" w:rsidR="00C47154" w:rsidRPr="009A5DBC" w:rsidRDefault="00C47154" w:rsidP="00C47154">
      <w:r>
        <w:t xml:space="preserve">A common </w:t>
      </w:r>
      <w:r w:rsidR="008661BC">
        <w:t>contributing factor</w:t>
      </w:r>
      <w:r>
        <w:t xml:space="preserve"> </w:t>
      </w:r>
      <w:r w:rsidR="008661BC">
        <w:t>to</w:t>
      </w:r>
      <w:r w:rsidR="00F4648E">
        <w:t xml:space="preserve"> </w:t>
      </w:r>
      <w:r>
        <w:t xml:space="preserve">claiming </w:t>
      </w:r>
      <w:r w:rsidR="008661BC">
        <w:t xml:space="preserve">issues </w:t>
      </w:r>
      <w:r>
        <w:t>w</w:t>
      </w:r>
      <w:r w:rsidR="009A03B3">
        <w:t>as that</w:t>
      </w:r>
      <w:r>
        <w:t xml:space="preserve"> associated provider invoices lacked sufficient detail to support </w:t>
      </w:r>
      <w:r w:rsidR="008661BC">
        <w:t xml:space="preserve">the registered provider submitting an </w:t>
      </w:r>
      <w:r>
        <w:t xml:space="preserve">accurate claim. </w:t>
      </w:r>
      <w:r w:rsidRPr="00F56286">
        <w:t xml:space="preserve">For example, </w:t>
      </w:r>
      <w:r w:rsidRPr="00F56286">
        <w:lastRenderedPageBreak/>
        <w:t xml:space="preserve">invoices did not always clearly separate service dates, service types and </w:t>
      </w:r>
      <w:r w:rsidR="007F3069">
        <w:t>how many units of a service were delivered</w:t>
      </w:r>
      <w:r w:rsidRPr="00F37968">
        <w:t>.</w:t>
      </w:r>
      <w:r w:rsidR="004A1B7B">
        <w:t xml:space="preserve"> </w:t>
      </w:r>
      <w:r w:rsidR="004A1B7B" w:rsidRPr="004A1B7B">
        <w:t>Registered providers should ensure they have enough information from associated providers to support accurate claiming and issue accurate, sufficiently detailed monthly statements to participants.</w:t>
      </w:r>
    </w:p>
    <w:p w14:paraId="18B39B95" w14:textId="77D6D919" w:rsidR="00C47154" w:rsidRDefault="00C47154" w:rsidP="00C47154">
      <w:r w:rsidRPr="00E30EE4">
        <w:t xml:space="preserve">Software issues also contributed to claiming </w:t>
      </w:r>
      <w:r w:rsidR="00EE2647">
        <w:t>issues</w:t>
      </w:r>
      <w:r w:rsidRPr="00E30EE4">
        <w:t xml:space="preserve">. Some providers updated their software as part of the transition to Support at Home and </w:t>
      </w:r>
      <w:r>
        <w:t xml:space="preserve">have </w:t>
      </w:r>
      <w:r w:rsidRPr="00E30EE4">
        <w:t xml:space="preserve">experienced issues with how service quantities and unit types </w:t>
      </w:r>
      <w:r>
        <w:t>are</w:t>
      </w:r>
      <w:r w:rsidRPr="00E30EE4">
        <w:t xml:space="preserve"> recorded</w:t>
      </w:r>
      <w:r>
        <w:t xml:space="preserve"> or transmitted in their systems when making a claim</w:t>
      </w:r>
      <w:r w:rsidRPr="00E30EE4">
        <w:t xml:space="preserve">. </w:t>
      </w:r>
    </w:p>
    <w:p w14:paraId="3D645C00" w14:textId="77777777" w:rsidR="00C47154" w:rsidRPr="004524D2" w:rsidRDefault="00C47154" w:rsidP="00C47154">
      <w:r w:rsidRPr="004524D2">
        <w:t>Inaccurate claims often flowed through to monthly statements given to participants, with services not always described, dated or itemised correctly.</w:t>
      </w:r>
    </w:p>
    <w:p w14:paraId="4E2A40AB" w14:textId="77777777" w:rsidR="00C47154" w:rsidRDefault="00C47154" w:rsidP="00C47154">
      <w:r>
        <w:t>Providers were responsive to feedback and most took steps to improve their claiming practices once issues were identified. Actions included staff training, stronger checks before claims were submitted, requesting more detailed invoices from associated providers and working with software vendors to address system issues.</w:t>
      </w:r>
    </w:p>
    <w:p w14:paraId="5CEF4F1E" w14:textId="2749E76C" w:rsidR="007F25F8" w:rsidRDefault="007F25F8" w:rsidP="00A10FB7">
      <w:r>
        <w:t xml:space="preserve">In response </w:t>
      </w:r>
      <w:r w:rsidR="76A15D7F">
        <w:t>t</w:t>
      </w:r>
      <w:r>
        <w:t xml:space="preserve">o </w:t>
      </w:r>
      <w:r w:rsidR="441F4888">
        <w:t>th</w:t>
      </w:r>
      <w:r>
        <w:t>e</w:t>
      </w:r>
      <w:r w:rsidR="1FD38DC2">
        <w:t xml:space="preserve"> </w:t>
      </w:r>
      <w:r>
        <w:t>review findings, the department has:</w:t>
      </w:r>
    </w:p>
    <w:p w14:paraId="30F97EAE" w14:textId="593FE370" w:rsidR="0096599E" w:rsidRDefault="0096599E" w:rsidP="0096599E">
      <w:pPr>
        <w:pStyle w:val="ListParagraph"/>
        <w:numPr>
          <w:ilvl w:val="0"/>
          <w:numId w:val="17"/>
        </w:numPr>
        <w:rPr>
          <w:kern w:val="2"/>
          <w:szCs w:val="22"/>
          <w14:ligatures w14:val="standardContextual"/>
        </w:rPr>
      </w:pPr>
      <w:r>
        <w:rPr>
          <w:kern w:val="2"/>
          <w:szCs w:val="22"/>
          <w14:ligatures w14:val="standardContextual"/>
        </w:rPr>
        <w:t>updated the claiming guidance in t</w:t>
      </w:r>
      <w:r w:rsidR="00A10FB7" w:rsidRPr="00AB1D2B">
        <w:rPr>
          <w:kern w:val="2"/>
          <w:szCs w:val="22"/>
          <w14:ligatures w14:val="standardContextual"/>
        </w:rPr>
        <w:t xml:space="preserve">he Support at Home program manual </w:t>
      </w:r>
    </w:p>
    <w:p w14:paraId="0C616356" w14:textId="77777777" w:rsidR="0096599E" w:rsidRDefault="0096599E" w:rsidP="0096599E">
      <w:pPr>
        <w:pStyle w:val="ListParagraph"/>
        <w:numPr>
          <w:ilvl w:val="0"/>
          <w:numId w:val="17"/>
        </w:numPr>
        <w:rPr>
          <w:kern w:val="2"/>
          <w:szCs w:val="22"/>
          <w14:ligatures w14:val="standardContextual"/>
        </w:rPr>
      </w:pPr>
      <w:r>
        <w:rPr>
          <w:kern w:val="2"/>
          <w:szCs w:val="22"/>
          <w14:ligatures w14:val="standardContextual"/>
        </w:rPr>
        <w:t>increased provider communications</w:t>
      </w:r>
    </w:p>
    <w:p w14:paraId="4EAA56AA" w14:textId="60DC040F" w:rsidR="0096599E" w:rsidRDefault="0096599E" w:rsidP="0096599E">
      <w:pPr>
        <w:pStyle w:val="ListParagraph"/>
        <w:numPr>
          <w:ilvl w:val="0"/>
          <w:numId w:val="17"/>
        </w:numPr>
        <w:rPr>
          <w:kern w:val="2"/>
          <w:szCs w:val="22"/>
          <w14:ligatures w14:val="standardContextual"/>
        </w:rPr>
      </w:pPr>
      <w:r>
        <w:rPr>
          <w:kern w:val="2"/>
          <w:szCs w:val="22"/>
          <w14:ligatures w14:val="standardContextual"/>
        </w:rPr>
        <w:t>incorporated findings into future assurance activities</w:t>
      </w:r>
      <w:r w:rsidR="00594561">
        <w:rPr>
          <w:kern w:val="2"/>
          <w:szCs w:val="22"/>
          <w14:ligatures w14:val="standardContextual"/>
        </w:rPr>
        <w:t>.</w:t>
      </w:r>
    </w:p>
    <w:p w14:paraId="4A164D74" w14:textId="327412C8" w:rsidR="00A10FB7" w:rsidRPr="00317922" w:rsidRDefault="00594561" w:rsidP="00317922">
      <w:pPr>
        <w:rPr>
          <w:kern w:val="2"/>
          <w:szCs w:val="22"/>
          <w14:ligatures w14:val="standardContextual"/>
        </w:rPr>
      </w:pPr>
      <w:r>
        <w:rPr>
          <w:kern w:val="2"/>
          <w:szCs w:val="22"/>
          <w14:ligatures w14:val="standardContextual"/>
        </w:rPr>
        <w:t xml:space="preserve">The review has also </w:t>
      </w:r>
      <w:r w:rsidRPr="00594561">
        <w:rPr>
          <w:kern w:val="2"/>
          <w:szCs w:val="22"/>
          <w14:ligatures w14:val="standardContextual"/>
        </w:rPr>
        <w:t xml:space="preserve">informed ongoing work to strengthen data </w:t>
      </w:r>
      <w:r w:rsidR="006676DD">
        <w:rPr>
          <w:kern w:val="2"/>
          <w:szCs w:val="22"/>
          <w14:ligatures w14:val="standardContextual"/>
        </w:rPr>
        <w:t>quality</w:t>
      </w:r>
      <w:r w:rsidR="00EE0E19">
        <w:rPr>
          <w:kern w:val="2"/>
          <w:szCs w:val="22"/>
          <w14:ligatures w14:val="standardContextual"/>
        </w:rPr>
        <w:t>, price transparency</w:t>
      </w:r>
      <w:r w:rsidRPr="00594561">
        <w:rPr>
          <w:kern w:val="2"/>
          <w:szCs w:val="22"/>
          <w14:ligatures w14:val="standardContextual"/>
        </w:rPr>
        <w:t xml:space="preserve"> and program </w:t>
      </w:r>
      <w:r w:rsidR="006676DD">
        <w:rPr>
          <w:kern w:val="2"/>
          <w:szCs w:val="22"/>
          <w14:ligatures w14:val="standardContextual"/>
        </w:rPr>
        <w:t>integrity</w:t>
      </w:r>
      <w:r>
        <w:rPr>
          <w:kern w:val="2"/>
          <w:szCs w:val="22"/>
          <w14:ligatures w14:val="standardContextual"/>
        </w:rPr>
        <w:t>.</w:t>
      </w:r>
    </w:p>
    <w:tbl>
      <w:tblPr>
        <w:tblW w:w="5000" w:type="pct"/>
        <w:tblBorders>
          <w:top w:val="single" w:sz="12" w:space="0" w:color="358189"/>
          <w:left w:val="single" w:sz="12" w:space="0" w:color="358189"/>
          <w:bottom w:val="single" w:sz="12" w:space="0" w:color="358189"/>
          <w:right w:val="single" w:sz="12" w:space="0" w:color="358189"/>
          <w:insideH w:val="single" w:sz="12" w:space="0" w:color="358189"/>
          <w:insideV w:val="single" w:sz="12" w:space="0" w:color="358189"/>
        </w:tblBorders>
        <w:shd w:val="clear" w:color="auto" w:fill="EAF6F7"/>
        <w:tblCellMar>
          <w:left w:w="0" w:type="dxa"/>
          <w:right w:w="0" w:type="dxa"/>
        </w:tblCellMar>
        <w:tblLook w:val="04A0" w:firstRow="1" w:lastRow="0" w:firstColumn="1" w:lastColumn="0" w:noHBand="0" w:noVBand="1"/>
      </w:tblPr>
      <w:tblGrid>
        <w:gridCol w:w="9040"/>
      </w:tblGrid>
      <w:tr w:rsidR="007509B7" w14:paraId="0AC9B48C" w14:textId="77777777" w:rsidTr="009D6C46">
        <w:tc>
          <w:tcPr>
            <w:tcW w:w="0" w:type="auto"/>
            <w:shd w:val="clear" w:color="auto" w:fill="EAF6F7"/>
            <w:tcMar>
              <w:top w:w="160" w:type="dxa"/>
              <w:left w:w="200" w:type="dxa"/>
              <w:bottom w:w="160" w:type="dxa"/>
              <w:right w:w="200" w:type="dxa"/>
            </w:tcMar>
            <w:vAlign w:val="center"/>
            <w:hideMark/>
          </w:tcPr>
          <w:p w14:paraId="283923D5" w14:textId="4C136430" w:rsidR="007509B7" w:rsidRDefault="007509B7">
            <w:pPr>
              <w:shd w:val="clear" w:color="auto" w:fill="EAF6F7"/>
              <w:spacing w:before="0"/>
            </w:pPr>
            <w:r>
              <w:t>The review found that incorrect claiming can make prices appear higher than the amount actually charged for a service</w:t>
            </w:r>
            <w:r w:rsidR="00171604">
              <w:t xml:space="preserve">. Accurate claiming supports the </w:t>
            </w:r>
            <w:r>
              <w:t>department’s ability to monitor pricing across Support at Home</w:t>
            </w:r>
            <w:r w:rsidR="00146F28" w:rsidRPr="00146F28">
              <w:rPr>
                <w:rFonts w:ascii="Segoe UI" w:hAnsi="Segoe UI" w:cs="Segoe UI"/>
                <w:color w:val="auto"/>
                <w:sz w:val="21"/>
                <w:szCs w:val="21"/>
                <w:lang w:eastAsia="en-AU"/>
              </w:rPr>
              <w:t xml:space="preserve"> </w:t>
            </w:r>
            <w:r w:rsidR="00146F28" w:rsidRPr="00146F28">
              <w:t>and helps ensure participants receive clear and accurate information about how their budget has been spent.</w:t>
            </w:r>
          </w:p>
          <w:p w14:paraId="3320654A" w14:textId="77777777" w:rsidR="007509B7" w:rsidRDefault="007509B7">
            <w:pPr>
              <w:shd w:val="clear" w:color="auto" w:fill="EAF6F7"/>
              <w:spacing w:before="0" w:after="60"/>
            </w:pPr>
            <w:r>
              <w:t>When making claims under Support at Home, providers must:</w:t>
            </w:r>
          </w:p>
          <w:p w14:paraId="48C8F030" w14:textId="64CB6965" w:rsidR="00F92FEC" w:rsidRDefault="007509B7" w:rsidP="00F92FEC">
            <w:pPr>
              <w:pStyle w:val="ListParagraph"/>
              <w:numPr>
                <w:ilvl w:val="0"/>
                <w:numId w:val="16"/>
              </w:numPr>
              <w:shd w:val="clear" w:color="auto" w:fill="EAF6F7"/>
              <w:spacing w:before="0" w:after="40"/>
            </w:pPr>
            <w:r>
              <w:t>separately itemise service episodes</w:t>
            </w:r>
          </w:p>
          <w:p w14:paraId="231C6D3A" w14:textId="3504EDD7" w:rsidR="00F92FEC" w:rsidRDefault="007509B7" w:rsidP="00F92FEC">
            <w:pPr>
              <w:pStyle w:val="ListParagraph"/>
              <w:numPr>
                <w:ilvl w:val="0"/>
                <w:numId w:val="16"/>
              </w:numPr>
              <w:shd w:val="clear" w:color="auto" w:fill="EAF6F7"/>
              <w:spacing w:before="0" w:after="40"/>
            </w:pPr>
            <w:r>
              <w:t>specify the service delivery date, service type, service unit type and service unit price</w:t>
            </w:r>
          </w:p>
          <w:p w14:paraId="6C7555C7" w14:textId="5A8ABF6A" w:rsidR="00F92FEC" w:rsidRDefault="007509B7" w:rsidP="00F92FEC">
            <w:pPr>
              <w:pStyle w:val="ListParagraph"/>
              <w:numPr>
                <w:ilvl w:val="0"/>
                <w:numId w:val="16"/>
              </w:numPr>
              <w:shd w:val="clear" w:color="auto" w:fill="EAF6F7"/>
              <w:spacing w:before="0" w:after="40"/>
            </w:pPr>
            <w:r>
              <w:t>include the correct unit of measurement, such as an hour, meal or trip</w:t>
            </w:r>
          </w:p>
          <w:p w14:paraId="6695B173" w14:textId="17DE1C81" w:rsidR="007509B7" w:rsidRDefault="007509B7" w:rsidP="00F92FEC">
            <w:pPr>
              <w:pStyle w:val="ListParagraph"/>
              <w:numPr>
                <w:ilvl w:val="0"/>
                <w:numId w:val="16"/>
              </w:numPr>
              <w:shd w:val="clear" w:color="auto" w:fill="EAF6F7"/>
              <w:spacing w:before="0" w:after="40"/>
            </w:pPr>
            <w:r>
              <w:t>record the appropriate quantity.</w:t>
            </w:r>
          </w:p>
          <w:p w14:paraId="17C5653E" w14:textId="2A759C51" w:rsidR="007509B7" w:rsidRDefault="007509B7">
            <w:pPr>
              <w:shd w:val="clear" w:color="auto" w:fill="EAF6F7"/>
              <w:spacing w:before="0" w:after="0"/>
            </w:pPr>
            <w:r>
              <w:t xml:space="preserve">Registered providers </w:t>
            </w:r>
            <w:r w:rsidR="00EA1921">
              <w:t>are</w:t>
            </w:r>
            <w:r>
              <w:t xml:space="preserve"> responsible for accurate and compliant claiming, including where services are delivered by associated providers. Providers should check claims carefully before submitting them.</w:t>
            </w:r>
          </w:p>
        </w:tc>
      </w:tr>
    </w:tbl>
    <w:p w14:paraId="718AB7DE" w14:textId="77777777" w:rsidR="00C10B7E" w:rsidRDefault="00C10B7E">
      <w:pPr>
        <w:rPr>
          <w:kern w:val="2"/>
          <w:szCs w:val="22"/>
          <w14:ligatures w14:val="standardContextual"/>
        </w:rPr>
      </w:pPr>
    </w:p>
    <w:tbl>
      <w:tblPr>
        <w:tblW w:w="5000" w:type="pct"/>
        <w:tblBorders>
          <w:top w:val="single" w:sz="12" w:space="0" w:color="ACACAC" w:themeColor="background2" w:themeShade="BF"/>
          <w:left w:val="single" w:sz="12" w:space="0" w:color="ACACAC" w:themeColor="background2" w:themeShade="BF"/>
          <w:bottom w:val="single" w:sz="12" w:space="0" w:color="ACACAC" w:themeColor="background2" w:themeShade="BF"/>
          <w:right w:val="single" w:sz="12" w:space="0" w:color="ACACAC" w:themeColor="background2" w:themeShade="BF"/>
          <w:insideH w:val="single" w:sz="12" w:space="0" w:color="ACACAC" w:themeColor="background2" w:themeShade="BF"/>
          <w:insideV w:val="single" w:sz="12" w:space="0" w:color="ACACAC" w:themeColor="background2" w:themeShade="BF"/>
        </w:tblBorders>
        <w:shd w:val="clear" w:color="auto" w:fill="F7F7F7"/>
        <w:tblCellMar>
          <w:left w:w="0" w:type="dxa"/>
          <w:right w:w="0" w:type="dxa"/>
        </w:tblCellMar>
        <w:tblLook w:val="04A0" w:firstRow="1" w:lastRow="0" w:firstColumn="1" w:lastColumn="0" w:noHBand="0" w:noVBand="1"/>
      </w:tblPr>
      <w:tblGrid>
        <w:gridCol w:w="9040"/>
      </w:tblGrid>
      <w:tr w:rsidR="00DA7A45" w14:paraId="0B331ECF" w14:textId="77777777" w:rsidTr="009D6C46">
        <w:tc>
          <w:tcPr>
            <w:tcW w:w="0" w:type="auto"/>
            <w:shd w:val="clear" w:color="auto" w:fill="F7F7F7"/>
            <w:tcMar>
              <w:top w:w="120" w:type="dxa"/>
              <w:left w:w="160" w:type="dxa"/>
              <w:bottom w:w="120" w:type="dxa"/>
              <w:right w:w="160" w:type="dxa"/>
            </w:tcMar>
            <w:vAlign w:val="center"/>
            <w:hideMark/>
          </w:tcPr>
          <w:p w14:paraId="09B630DD" w14:textId="77777777" w:rsidR="00DA7A45" w:rsidRDefault="00DA7A45">
            <w:pPr>
              <w:shd w:val="clear" w:color="auto" w:fill="F7F7F7"/>
              <w:spacing w:before="0" w:after="80"/>
              <w:rPr>
                <w:kern w:val="2"/>
                <w:szCs w:val="22"/>
                <w14:ligatures w14:val="standardContextual"/>
              </w:rPr>
            </w:pPr>
            <w:r>
              <w:rPr>
                <w:b/>
                <w:bCs/>
              </w:rPr>
              <w:t>Find out more</w:t>
            </w:r>
          </w:p>
          <w:p w14:paraId="2D7D36D3" w14:textId="32221E76" w:rsidR="00DA7A45" w:rsidRDefault="00DA7A45" w:rsidP="00BE4DA7">
            <w:pPr>
              <w:pStyle w:val="ListParagraph"/>
              <w:numPr>
                <w:ilvl w:val="0"/>
                <w:numId w:val="8"/>
              </w:numPr>
              <w:shd w:val="clear" w:color="auto" w:fill="F7F7F7"/>
              <w:spacing w:before="0" w:after="60"/>
            </w:pPr>
            <w:r>
              <w:t xml:space="preserve">Chapter 16, provider claiming and payment arrangements, in the </w:t>
            </w:r>
            <w:hyperlink r:id="rId17" w:history="1">
              <w:r>
                <w:rPr>
                  <w:rStyle w:val="Hyperlink"/>
                </w:rPr>
                <w:t>Support at Home program manual</w:t>
              </w:r>
            </w:hyperlink>
            <w:r>
              <w:t>, updated August 2026</w:t>
            </w:r>
          </w:p>
          <w:p w14:paraId="37ACFA65" w14:textId="6249D7DC" w:rsidR="00DA7A45" w:rsidRDefault="00DA7A45" w:rsidP="00BE4DA7">
            <w:pPr>
              <w:pStyle w:val="ListParagraph"/>
              <w:numPr>
                <w:ilvl w:val="0"/>
                <w:numId w:val="8"/>
              </w:numPr>
              <w:shd w:val="clear" w:color="auto" w:fill="F7F7F7"/>
              <w:spacing w:before="0" w:after="60"/>
            </w:pPr>
            <w:hyperlink r:id="rId18" w:history="1">
              <w:r>
                <w:rPr>
                  <w:rStyle w:val="Hyperlink"/>
                </w:rPr>
                <w:t>Services Australia guidance on claiming Support at Home services</w:t>
              </w:r>
            </w:hyperlink>
          </w:p>
          <w:p w14:paraId="020EC1F2" w14:textId="4ACFD4E3" w:rsidR="00DA7A45" w:rsidRDefault="00DA7A45" w:rsidP="00BE4DA7">
            <w:pPr>
              <w:pStyle w:val="ListParagraph"/>
              <w:numPr>
                <w:ilvl w:val="0"/>
                <w:numId w:val="8"/>
              </w:numPr>
              <w:shd w:val="clear" w:color="auto" w:fill="F7F7F7"/>
              <w:spacing w:before="0" w:after="0"/>
            </w:pPr>
            <w:hyperlink r:id="rId19" w:anchor="elearn" w:history="1">
              <w:r>
                <w:rPr>
                  <w:rStyle w:val="Hyperlink"/>
                </w:rPr>
                <w:t>Services Australia Aged Care Provider Portal support resources and eLearning</w:t>
              </w:r>
            </w:hyperlink>
          </w:p>
        </w:tc>
      </w:tr>
    </w:tbl>
    <w:p w14:paraId="0A98670C" w14:textId="77777777" w:rsidR="005A2D66" w:rsidRPr="005A2D66" w:rsidRDefault="005A2D66" w:rsidP="00245314">
      <w:pPr>
        <w:pStyle w:val="Heading2"/>
        <w:rPr>
          <w:b w:val="0"/>
          <w:bCs w:val="0"/>
          <w:iCs w:val="0"/>
        </w:rPr>
      </w:pPr>
      <w:bookmarkStart w:id="13" w:name="_Toc237538708"/>
      <w:r w:rsidRPr="005A2D66">
        <w:lastRenderedPageBreak/>
        <w:t>Providers can strengthen how they justify pricing decisions</w:t>
      </w:r>
      <w:bookmarkEnd w:id="13"/>
    </w:p>
    <w:p w14:paraId="151E6D1D" w14:textId="081F7570" w:rsidR="009D1824" w:rsidRPr="00257E7E" w:rsidRDefault="009D1824">
      <w:r>
        <w:t xml:space="preserve">While most apparent high prices identified through the review were caused by claiming issues, </w:t>
      </w:r>
      <w:r w:rsidR="00257E7E">
        <w:t xml:space="preserve">all </w:t>
      </w:r>
      <w:r>
        <w:t xml:space="preserve">providers </w:t>
      </w:r>
      <w:r w:rsidR="00257E7E">
        <w:t xml:space="preserve">in the review </w:t>
      </w:r>
      <w:r>
        <w:t xml:space="preserve">were </w:t>
      </w:r>
      <w:r w:rsidR="005A2D66">
        <w:t xml:space="preserve">asked </w:t>
      </w:r>
      <w:r>
        <w:t>to explain how their prices had been set and provide evidence to support their pricing approach.</w:t>
      </w:r>
      <w:r w:rsidR="002E0F13">
        <w:t xml:space="preserve"> </w:t>
      </w:r>
      <w:r w:rsidR="0012496C" w:rsidRPr="0012496C">
        <w:t>Providers should be able to clearly explain and justify their prices to older people, the department or the Commission.</w:t>
      </w:r>
    </w:p>
    <w:p w14:paraId="7BA22EDD" w14:textId="6D301672" w:rsidR="001F0702" w:rsidRDefault="001F0702">
      <w:pPr>
        <w:rPr>
          <w:kern w:val="2"/>
          <w:szCs w:val="22"/>
          <w14:ligatures w14:val="standardContextual"/>
        </w:rPr>
      </w:pPr>
      <w:r w:rsidRPr="001F0702">
        <w:rPr>
          <w:kern w:val="2"/>
          <w:szCs w:val="22"/>
          <w14:ligatures w14:val="standardContextual"/>
        </w:rPr>
        <w:t>The review identified opportunities for providers to strengthen pricing practices, including by improving their ability to justify and evidence pricing decisions</w:t>
      </w:r>
      <w:r w:rsidR="003D08D4">
        <w:rPr>
          <w:kern w:val="2"/>
          <w:szCs w:val="22"/>
          <w14:ligatures w14:val="standardContextual"/>
        </w:rPr>
        <w:t>.</w:t>
      </w:r>
    </w:p>
    <w:tbl>
      <w:tblPr>
        <w:tblStyle w:val="PlainTable4"/>
        <w:tblW w:w="5000" w:type="pct"/>
        <w:tblInd w:w="0" w:type="dxa"/>
        <w:tblBorders>
          <w:insideH w:val="single" w:sz="4" w:space="0" w:color="3F4A75" w:themeColor="text2"/>
          <w:insideV w:val="single" w:sz="4" w:space="0" w:color="3F4A75" w:themeColor="text2"/>
        </w:tblBorders>
        <w:tblLook w:val="04A0" w:firstRow="1" w:lastRow="0" w:firstColumn="1" w:lastColumn="0" w:noHBand="0" w:noVBand="1"/>
      </w:tblPr>
      <w:tblGrid>
        <w:gridCol w:w="2993"/>
        <w:gridCol w:w="3084"/>
        <w:gridCol w:w="2993"/>
      </w:tblGrid>
      <w:tr w:rsidR="009D1824" w:rsidRPr="009A53D5" w14:paraId="6320BB80" w14:textId="77777777" w:rsidTr="008A49F3">
        <w:tc>
          <w:tcPr>
            <w:tcW w:w="0" w:type="auto"/>
            <w:gridSpan w:val="3"/>
            <w:shd w:val="clear" w:color="auto" w:fill="3F4A75"/>
            <w:tcMar>
              <w:top w:w="100" w:type="dxa"/>
              <w:left w:w="120" w:type="dxa"/>
              <w:bottom w:w="100" w:type="dxa"/>
              <w:right w:w="120" w:type="dxa"/>
            </w:tcMar>
            <w:vAlign w:val="center"/>
            <w:hideMark/>
          </w:tcPr>
          <w:p w14:paraId="17FD1524" w14:textId="0A0E2685" w:rsidR="009D1824" w:rsidRPr="009A53D5" w:rsidRDefault="009D1824">
            <w:pPr>
              <w:spacing w:before="0" w:after="0"/>
              <w:jc w:val="center"/>
              <w:rPr>
                <w:b/>
                <w:color w:val="FFFFFF"/>
                <w:sz w:val="20"/>
                <w:szCs w:val="20"/>
              </w:rPr>
            </w:pPr>
            <w:r w:rsidRPr="009A53D5">
              <w:rPr>
                <w:b/>
                <w:color w:val="FFFFFF"/>
                <w:sz w:val="20"/>
                <w:szCs w:val="20"/>
              </w:rPr>
              <w:t>Review rating of providers’ pricing methodology explanations</w:t>
            </w:r>
          </w:p>
        </w:tc>
      </w:tr>
      <w:tr w:rsidR="009D1824" w:rsidRPr="009A53D5" w14:paraId="0D3A5F76" w14:textId="77777777" w:rsidTr="008A49F3">
        <w:tc>
          <w:tcPr>
            <w:tcW w:w="1650" w:type="pct"/>
            <w:shd w:val="clear" w:color="auto" w:fill="F2F2F2"/>
            <w:tcMar>
              <w:top w:w="120" w:type="dxa"/>
              <w:left w:w="120" w:type="dxa"/>
              <w:bottom w:w="120" w:type="dxa"/>
              <w:right w:w="120" w:type="dxa"/>
            </w:tcMar>
            <w:vAlign w:val="center"/>
            <w:hideMark/>
          </w:tcPr>
          <w:p w14:paraId="79C60AE4" w14:textId="77777777" w:rsidR="009D1824" w:rsidRPr="009A53D5" w:rsidRDefault="009D1824">
            <w:pPr>
              <w:spacing w:before="0" w:after="0"/>
              <w:jc w:val="center"/>
              <w:rPr>
                <w:sz w:val="20"/>
                <w:szCs w:val="20"/>
              </w:rPr>
            </w:pPr>
            <w:r w:rsidRPr="009A53D5">
              <w:rPr>
                <w:b/>
                <w:color w:val="3F4A75"/>
                <w:sz w:val="20"/>
                <w:szCs w:val="20"/>
              </w:rPr>
              <w:t>24</w:t>
            </w:r>
          </w:p>
          <w:p w14:paraId="3D9CD486" w14:textId="77777777" w:rsidR="009D1824" w:rsidRPr="009A53D5" w:rsidRDefault="009D1824">
            <w:pPr>
              <w:spacing w:before="0" w:after="0"/>
              <w:jc w:val="center"/>
              <w:rPr>
                <w:sz w:val="20"/>
                <w:szCs w:val="20"/>
              </w:rPr>
            </w:pPr>
            <w:r w:rsidRPr="009A53D5">
              <w:rPr>
                <w:b/>
                <w:sz w:val="20"/>
                <w:szCs w:val="20"/>
              </w:rPr>
              <w:t>Satisfactory explanation</w:t>
            </w:r>
          </w:p>
          <w:p w14:paraId="4491F0B8" w14:textId="77777777" w:rsidR="009D1824" w:rsidRPr="009A53D5" w:rsidRDefault="009D1824">
            <w:pPr>
              <w:spacing w:before="0" w:after="0"/>
              <w:jc w:val="center"/>
              <w:rPr>
                <w:sz w:val="20"/>
                <w:szCs w:val="20"/>
              </w:rPr>
            </w:pPr>
            <w:r w:rsidRPr="009A53D5">
              <w:rPr>
                <w:sz w:val="20"/>
                <w:szCs w:val="20"/>
              </w:rPr>
              <w:t>Clear, supported and aligned with guidance</w:t>
            </w:r>
          </w:p>
        </w:tc>
        <w:tc>
          <w:tcPr>
            <w:tcW w:w="1700" w:type="pct"/>
            <w:shd w:val="clear" w:color="auto" w:fill="F2F2F2"/>
            <w:tcMar>
              <w:top w:w="120" w:type="dxa"/>
              <w:left w:w="120" w:type="dxa"/>
              <w:bottom w:w="120" w:type="dxa"/>
              <w:right w:w="120" w:type="dxa"/>
            </w:tcMar>
            <w:vAlign w:val="center"/>
            <w:hideMark/>
          </w:tcPr>
          <w:p w14:paraId="2DCCAD18" w14:textId="77777777" w:rsidR="009D1824" w:rsidRPr="009A53D5" w:rsidRDefault="009D1824">
            <w:pPr>
              <w:spacing w:before="0" w:after="0"/>
              <w:jc w:val="center"/>
              <w:rPr>
                <w:sz w:val="20"/>
                <w:szCs w:val="20"/>
              </w:rPr>
            </w:pPr>
            <w:r w:rsidRPr="009A53D5">
              <w:rPr>
                <w:b/>
                <w:color w:val="3F4A75"/>
                <w:sz w:val="20"/>
                <w:szCs w:val="20"/>
              </w:rPr>
              <w:t>17</w:t>
            </w:r>
          </w:p>
          <w:p w14:paraId="20193AED" w14:textId="77777777" w:rsidR="009D1824" w:rsidRPr="009A53D5" w:rsidRDefault="009D1824">
            <w:pPr>
              <w:spacing w:before="0" w:after="0"/>
              <w:jc w:val="center"/>
              <w:rPr>
                <w:sz w:val="20"/>
                <w:szCs w:val="20"/>
              </w:rPr>
            </w:pPr>
            <w:r w:rsidRPr="009A53D5">
              <w:rPr>
                <w:b/>
                <w:sz w:val="20"/>
                <w:szCs w:val="20"/>
              </w:rPr>
              <w:t xml:space="preserve">Partial explanation </w:t>
            </w:r>
          </w:p>
          <w:p w14:paraId="02F65B56" w14:textId="77777777" w:rsidR="009D1824" w:rsidRPr="009A53D5" w:rsidRDefault="009D1824">
            <w:pPr>
              <w:spacing w:before="0" w:after="0"/>
              <w:jc w:val="center"/>
              <w:rPr>
                <w:sz w:val="20"/>
                <w:szCs w:val="20"/>
              </w:rPr>
            </w:pPr>
            <w:r w:rsidRPr="009A53D5">
              <w:rPr>
                <w:sz w:val="20"/>
                <w:szCs w:val="20"/>
              </w:rPr>
              <w:t>Some explanation, but with gaps or weak evidence</w:t>
            </w:r>
          </w:p>
        </w:tc>
        <w:tc>
          <w:tcPr>
            <w:tcW w:w="1650" w:type="pct"/>
            <w:shd w:val="clear" w:color="auto" w:fill="F2F2F2"/>
            <w:tcMar>
              <w:top w:w="120" w:type="dxa"/>
              <w:left w:w="120" w:type="dxa"/>
              <w:bottom w:w="120" w:type="dxa"/>
              <w:right w:w="120" w:type="dxa"/>
            </w:tcMar>
            <w:vAlign w:val="center"/>
            <w:hideMark/>
          </w:tcPr>
          <w:p w14:paraId="401A9F6D" w14:textId="77777777" w:rsidR="009D1824" w:rsidRPr="009A53D5" w:rsidRDefault="009D1824">
            <w:pPr>
              <w:spacing w:before="0" w:after="0"/>
              <w:jc w:val="center"/>
              <w:rPr>
                <w:sz w:val="20"/>
                <w:szCs w:val="20"/>
              </w:rPr>
            </w:pPr>
            <w:r w:rsidRPr="009A53D5">
              <w:rPr>
                <w:b/>
                <w:color w:val="3F4A75"/>
                <w:sz w:val="20"/>
                <w:szCs w:val="20"/>
              </w:rPr>
              <w:t>5</w:t>
            </w:r>
          </w:p>
          <w:p w14:paraId="5862E061" w14:textId="77777777" w:rsidR="009D1824" w:rsidRPr="009A53D5" w:rsidRDefault="009D1824">
            <w:pPr>
              <w:spacing w:before="0" w:after="0"/>
              <w:jc w:val="center"/>
              <w:rPr>
                <w:sz w:val="20"/>
                <w:szCs w:val="20"/>
              </w:rPr>
            </w:pPr>
            <w:r w:rsidRPr="009A53D5">
              <w:rPr>
                <w:b/>
                <w:sz w:val="20"/>
                <w:szCs w:val="20"/>
              </w:rPr>
              <w:t>Minimal explanation</w:t>
            </w:r>
          </w:p>
          <w:p w14:paraId="6446DA87" w14:textId="77777777" w:rsidR="009D1824" w:rsidRPr="009A53D5" w:rsidRDefault="009D1824">
            <w:pPr>
              <w:spacing w:before="0" w:after="0"/>
              <w:jc w:val="center"/>
              <w:rPr>
                <w:sz w:val="20"/>
                <w:szCs w:val="20"/>
              </w:rPr>
            </w:pPr>
            <w:r w:rsidRPr="009A53D5">
              <w:rPr>
                <w:sz w:val="20"/>
                <w:szCs w:val="20"/>
              </w:rPr>
              <w:t>Limited or generic explanation, with little supporting evidence</w:t>
            </w:r>
          </w:p>
        </w:tc>
      </w:tr>
    </w:tbl>
    <w:p w14:paraId="190AD357" w14:textId="5D9137BB" w:rsidR="00E05D22" w:rsidRPr="00E05D22" w:rsidRDefault="00336B0F" w:rsidP="00E05D22">
      <w:r>
        <w:t>Most providers were able to describe factors that influenced their pricing</w:t>
      </w:r>
      <w:r w:rsidR="00B7298D">
        <w:t xml:space="preserve">. </w:t>
      </w:r>
      <w:r w:rsidR="00E05D22" w:rsidRPr="00E05D22">
        <w:t xml:space="preserve">Cost components included </w:t>
      </w:r>
      <w:r w:rsidR="00340872">
        <w:t>expenses</w:t>
      </w:r>
      <w:r w:rsidR="00E05D22" w:rsidRPr="00E05D22">
        <w:t xml:space="preserve"> like staff wages, compliance, technology, administration, overheads, profit and associated provider charges. Circumstances that may affect delivery included location, organisation size and structure, </w:t>
      </w:r>
      <w:r w:rsidR="00166977">
        <w:t>participant</w:t>
      </w:r>
      <w:r w:rsidR="00166977" w:rsidRPr="00E05D22">
        <w:t xml:space="preserve"> </w:t>
      </w:r>
      <w:r w:rsidR="00E05D22" w:rsidRPr="00E05D22">
        <w:t>mix, specialised or high-complexity services, thin market conditions and workforce availability.</w:t>
      </w:r>
    </w:p>
    <w:p w14:paraId="4F5A770A" w14:textId="061DD4E4" w:rsidR="00E05D22" w:rsidRPr="00E05D22" w:rsidRDefault="006A4112" w:rsidP="00E05D22">
      <w:r>
        <w:t>T</w:t>
      </w:r>
      <w:r w:rsidR="00E40373">
        <w:t xml:space="preserve">he level of detail and supporting evidence </w:t>
      </w:r>
      <w:r w:rsidR="00F71C2F">
        <w:t xml:space="preserve">for these factors </w:t>
      </w:r>
      <w:r w:rsidR="00E40373">
        <w:t xml:space="preserve">varied considerably. </w:t>
      </w:r>
      <w:r w:rsidR="00E40373" w:rsidRPr="00E05D22">
        <w:t xml:space="preserve">Responses assessed as satisfactory generally showed a clearer link between prices, the costs of delivering a service and the circumstances that may affect delivery. </w:t>
      </w:r>
      <w:r w:rsidR="00E05D22" w:rsidRPr="00E05D22">
        <w:t>In some cases, providers were unable to demonstrate a documented pricing methodology and instead relied largely on published indicative prices, national medians or competitor pricing to justify prices charged.</w:t>
      </w:r>
      <w:r w:rsidR="0046262D">
        <w:t xml:space="preserve"> </w:t>
      </w:r>
    </w:p>
    <w:p w14:paraId="3E6905D1" w14:textId="77777777" w:rsidR="00F6081F" w:rsidRPr="00F6081F" w:rsidRDefault="00F6081F" w:rsidP="00F6081F">
      <w:r w:rsidRPr="00BF2D0D">
        <w:t>These findings are broadly consistent with the Commission’s financial and prudential review activities, which have identified similar concerns about some providers’ capability to develop and evidence pricing methodologies under Support at Home.</w:t>
      </w:r>
    </w:p>
    <w:p w14:paraId="3969D0E2" w14:textId="5D127A5D" w:rsidR="001F1161" w:rsidRPr="001F1161" w:rsidRDefault="000B1FF5" w:rsidP="001F1161">
      <w:r>
        <w:t xml:space="preserve">As the program </w:t>
      </w:r>
      <w:r w:rsidR="0036334D">
        <w:t>matures, i</w:t>
      </w:r>
      <w:r w:rsidR="00913D75">
        <w:t xml:space="preserve">t is </w:t>
      </w:r>
      <w:r w:rsidR="0031674F">
        <w:t>important that</w:t>
      </w:r>
      <w:r w:rsidR="001F1161" w:rsidRPr="001F1161">
        <w:t xml:space="preserve"> providers ensur</w:t>
      </w:r>
      <w:r w:rsidR="00C742DA">
        <w:t>e</w:t>
      </w:r>
      <w:r w:rsidR="001F1161" w:rsidRPr="001F1161">
        <w:t xml:space="preserve"> their prices are reasonable</w:t>
      </w:r>
      <w:r w:rsidR="00511B6B">
        <w:t xml:space="preserve"> (</w:t>
      </w:r>
      <w:r w:rsidR="004E18FA">
        <w:t>based on costs plus a margin)</w:t>
      </w:r>
      <w:r w:rsidR="001F1161" w:rsidRPr="001F1161">
        <w:t xml:space="preserve"> and </w:t>
      </w:r>
      <w:r w:rsidR="00700430">
        <w:t xml:space="preserve">that they </w:t>
      </w:r>
      <w:r w:rsidR="00560B7F">
        <w:t>have sufficient</w:t>
      </w:r>
      <w:r w:rsidR="001F1161" w:rsidRPr="001F1161">
        <w:t xml:space="preserve"> evidence to support pricing decisions. </w:t>
      </w:r>
    </w:p>
    <w:p w14:paraId="4E10D5DD" w14:textId="77777777" w:rsidR="00DB3EF4" w:rsidRDefault="00DB3EF4">
      <w:pPr>
        <w:rPr>
          <w:kern w:val="2"/>
          <w:szCs w:val="22"/>
          <w14:ligatures w14:val="standardContextual"/>
        </w:rPr>
      </w:pPr>
      <w:r>
        <w:t>The review also identified other pricing findings:</w:t>
      </w:r>
    </w:p>
    <w:p w14:paraId="547E044B" w14:textId="1FAB27A5" w:rsidR="00DB3EF4" w:rsidRPr="00DB3EF4" w:rsidRDefault="008E2D05" w:rsidP="00BE4DA7">
      <w:pPr>
        <w:pStyle w:val="ListParagraph"/>
        <w:numPr>
          <w:ilvl w:val="0"/>
          <w:numId w:val="10"/>
        </w:numPr>
        <w:rPr>
          <w:kern w:val="2"/>
          <w:szCs w:val="22"/>
          <w14:ligatures w14:val="standardContextual"/>
        </w:rPr>
      </w:pPr>
      <w:r>
        <w:rPr>
          <w:b/>
          <w:bCs/>
        </w:rPr>
        <w:t>Additional fees</w:t>
      </w:r>
      <w:r w:rsidR="00323077">
        <w:rPr>
          <w:b/>
          <w:bCs/>
        </w:rPr>
        <w:t>:</w:t>
      </w:r>
      <w:r w:rsidR="00426031">
        <w:rPr>
          <w:b/>
          <w:bCs/>
        </w:rPr>
        <w:t xml:space="preserve"> </w:t>
      </w:r>
      <w:r w:rsidR="00DB3EF4" w:rsidRPr="00574ECF">
        <w:t>Some providers charged fees</w:t>
      </w:r>
      <w:r w:rsidR="00DB3EF4" w:rsidRPr="00426031">
        <w:t xml:space="preserve">, </w:t>
      </w:r>
      <w:r w:rsidR="00DB3EF4">
        <w:t xml:space="preserve">such as separate administration fees, onboarding fees or loadings. Service prices </w:t>
      </w:r>
      <w:r w:rsidR="00D46820">
        <w:t xml:space="preserve">must </w:t>
      </w:r>
      <w:r w:rsidR="00DB3EF4">
        <w:t>reflect the full cost of delivering the service.</w:t>
      </w:r>
    </w:p>
    <w:p w14:paraId="017793EE" w14:textId="48BE5FB1" w:rsidR="00DB3EF4" w:rsidRDefault="00323077" w:rsidP="00BE4DA7">
      <w:pPr>
        <w:pStyle w:val="ListParagraph"/>
        <w:numPr>
          <w:ilvl w:val="0"/>
          <w:numId w:val="10"/>
        </w:numPr>
      </w:pPr>
      <w:r>
        <w:rPr>
          <w:b/>
          <w:bCs/>
        </w:rPr>
        <w:t xml:space="preserve">Limited oversight </w:t>
      </w:r>
      <w:r w:rsidR="001D113F">
        <w:rPr>
          <w:b/>
          <w:bCs/>
        </w:rPr>
        <w:t>of</w:t>
      </w:r>
      <w:r w:rsidR="00DB3EF4">
        <w:rPr>
          <w:b/>
          <w:bCs/>
        </w:rPr>
        <w:t xml:space="preserve"> associated provider</w:t>
      </w:r>
      <w:r w:rsidR="00B34259">
        <w:rPr>
          <w:b/>
          <w:bCs/>
        </w:rPr>
        <w:t xml:space="preserve"> pricing:</w:t>
      </w:r>
      <w:r w:rsidR="00DB3EF4">
        <w:t xml:space="preserve"> Registered providers remain responsible for ensuring prices charged to participants are reasonable, even where services are delivered by an associated provider.</w:t>
      </w:r>
    </w:p>
    <w:p w14:paraId="3BBD9983" w14:textId="783D2F84" w:rsidR="003B4D9C" w:rsidRPr="003B4D9C" w:rsidRDefault="00A763C8" w:rsidP="003B4D9C">
      <w:pPr>
        <w:pStyle w:val="ListParagraph"/>
        <w:numPr>
          <w:ilvl w:val="0"/>
          <w:numId w:val="10"/>
        </w:numPr>
      </w:pPr>
      <w:r>
        <w:rPr>
          <w:b/>
          <w:bCs/>
        </w:rPr>
        <w:t xml:space="preserve">High </w:t>
      </w:r>
      <w:r w:rsidR="003B4D9C">
        <w:rPr>
          <w:b/>
          <w:bCs/>
        </w:rPr>
        <w:t>administrative mark-ups</w:t>
      </w:r>
      <w:r w:rsidR="009721D2">
        <w:rPr>
          <w:b/>
          <w:bCs/>
        </w:rPr>
        <w:t>:</w:t>
      </w:r>
      <w:r w:rsidR="003B4D9C">
        <w:t xml:space="preserve"> Providers remain responsible for ensuring the final price charged to a </w:t>
      </w:r>
      <w:r w:rsidR="003B4D9C" w:rsidRPr="00E93450">
        <w:t xml:space="preserve">participant </w:t>
      </w:r>
      <w:r w:rsidR="00E93450" w:rsidRPr="00E93450">
        <w:t xml:space="preserve">for </w:t>
      </w:r>
      <w:r w:rsidR="00E93450" w:rsidRPr="00574ECF">
        <w:t>associated provider services</w:t>
      </w:r>
      <w:r w:rsidR="00E93450">
        <w:t xml:space="preserve"> </w:t>
      </w:r>
      <w:r w:rsidR="00FB7AF2">
        <w:t>are reasonable.</w:t>
      </w:r>
      <w:r w:rsidR="003B4D9C">
        <w:t xml:space="preserve"> </w:t>
      </w:r>
    </w:p>
    <w:p w14:paraId="0286F095" w14:textId="42E7FAD2" w:rsidR="004751F6" w:rsidRDefault="00D239D1" w:rsidP="00BE4DA7">
      <w:pPr>
        <w:pStyle w:val="ListParagraph"/>
        <w:numPr>
          <w:ilvl w:val="0"/>
          <w:numId w:val="10"/>
        </w:numPr>
      </w:pPr>
      <w:r>
        <w:rPr>
          <w:b/>
          <w:bCs/>
        </w:rPr>
        <w:t>Incorrect GST charges</w:t>
      </w:r>
      <w:r w:rsidR="00764DD5">
        <w:rPr>
          <w:b/>
          <w:bCs/>
        </w:rPr>
        <w:t>:</w:t>
      </w:r>
      <w:r>
        <w:rPr>
          <w:b/>
          <w:bCs/>
        </w:rPr>
        <w:t xml:space="preserve"> </w:t>
      </w:r>
      <w:r w:rsidR="004751F6">
        <w:t xml:space="preserve">Services delivered under Support at Home are GST-free for participants. GST should not be charged to a participant’s budget, even where a </w:t>
      </w:r>
      <w:r w:rsidR="004751F6">
        <w:lastRenderedPageBreak/>
        <w:t xml:space="preserve">provider pays GST to an associated provider. Providers may claim GST credits </w:t>
      </w:r>
      <w:r w:rsidR="00BF2D0D">
        <w:t>through the Australian Tax Office</w:t>
      </w:r>
      <w:r w:rsidR="004751F6">
        <w:t>.</w:t>
      </w:r>
    </w:p>
    <w:p w14:paraId="74A47C25" w14:textId="6631DF2E" w:rsidR="007C520D" w:rsidRDefault="00117893" w:rsidP="00EF4370">
      <w:pPr>
        <w:pStyle w:val="ListParagraph"/>
        <w:numPr>
          <w:ilvl w:val="0"/>
          <w:numId w:val="10"/>
        </w:numPr>
      </w:pPr>
      <w:r>
        <w:rPr>
          <w:b/>
          <w:bCs/>
        </w:rPr>
        <w:t xml:space="preserve">Lack of </w:t>
      </w:r>
      <w:r w:rsidR="00C80AFF">
        <w:rPr>
          <w:b/>
          <w:bCs/>
        </w:rPr>
        <w:t xml:space="preserve">pricing transparency: </w:t>
      </w:r>
      <w:r w:rsidR="007C520D">
        <w:t xml:space="preserve"> </w:t>
      </w:r>
      <w:r w:rsidR="00EF4370">
        <w:t>T</w:t>
      </w:r>
      <w:r w:rsidR="00EF4370" w:rsidRPr="00EF4370">
        <w:t>his included not publishing the</w:t>
      </w:r>
      <w:r w:rsidR="00A33743">
        <w:t>ir</w:t>
      </w:r>
      <w:r w:rsidR="00EF4370" w:rsidRPr="00EF4370">
        <w:t xml:space="preserve"> most frequently charged price</w:t>
      </w:r>
      <w:r w:rsidR="00CB3112">
        <w:t>s</w:t>
      </w:r>
      <w:r w:rsidR="00EF4370" w:rsidRPr="00EF4370">
        <w:t xml:space="preserve"> for all services </w:t>
      </w:r>
      <w:r w:rsidR="00574ECF" w:rsidRPr="00EF4370">
        <w:t>offered or</w:t>
      </w:r>
      <w:r w:rsidR="00EF4370" w:rsidRPr="00EF4370">
        <w:t xml:space="preserve"> not publishing prices on both My Aged Care and their business website.</w:t>
      </w:r>
    </w:p>
    <w:p w14:paraId="5B09AFD5" w14:textId="1691C5C5" w:rsidR="007C520D" w:rsidRPr="00574ECF" w:rsidRDefault="00C00374" w:rsidP="00BE4DA7">
      <w:pPr>
        <w:pStyle w:val="ListParagraph"/>
        <w:numPr>
          <w:ilvl w:val="0"/>
          <w:numId w:val="10"/>
        </w:numPr>
      </w:pPr>
      <w:r>
        <w:rPr>
          <w:b/>
          <w:bCs/>
        </w:rPr>
        <w:t>M</w:t>
      </w:r>
      <w:r w:rsidR="007C520D" w:rsidRPr="00574ECF">
        <w:rPr>
          <w:b/>
          <w:bCs/>
        </w:rPr>
        <w:t>inimum service times</w:t>
      </w:r>
      <w:r>
        <w:rPr>
          <w:b/>
          <w:bCs/>
        </w:rPr>
        <w:t>:</w:t>
      </w:r>
      <w:r w:rsidR="007C520D" w:rsidRPr="00574ECF">
        <w:t xml:space="preserve"> </w:t>
      </w:r>
      <w:r w:rsidR="005C1394" w:rsidRPr="00574ECF">
        <w:t xml:space="preserve">The department encourages providers to consider efficient scheduling and rostering arrangements that meet participant needs while complying with the </w:t>
      </w:r>
      <w:r w:rsidR="002A20EB" w:rsidRPr="00574ECF">
        <w:t>Social, Community, Home Care and Disability Services Award</w:t>
      </w:r>
      <w:r w:rsidR="005C1394" w:rsidRPr="00574ECF">
        <w:t>.</w:t>
      </w:r>
    </w:p>
    <w:tbl>
      <w:tblPr>
        <w:tblW w:w="5000" w:type="pct"/>
        <w:tblBorders>
          <w:top w:val="single" w:sz="12" w:space="0" w:color="358189"/>
          <w:left w:val="single" w:sz="12" w:space="0" w:color="358189"/>
          <w:bottom w:val="single" w:sz="12" w:space="0" w:color="358189"/>
          <w:right w:val="single" w:sz="12" w:space="0" w:color="358189"/>
          <w:insideH w:val="single" w:sz="12" w:space="0" w:color="358189"/>
          <w:insideV w:val="single" w:sz="12" w:space="0" w:color="358189"/>
        </w:tblBorders>
        <w:shd w:val="clear" w:color="auto" w:fill="EAF6F7"/>
        <w:tblCellMar>
          <w:left w:w="0" w:type="dxa"/>
          <w:right w:w="0" w:type="dxa"/>
        </w:tblCellMar>
        <w:tblLook w:val="04A0" w:firstRow="1" w:lastRow="0" w:firstColumn="1" w:lastColumn="0" w:noHBand="0" w:noVBand="1"/>
      </w:tblPr>
      <w:tblGrid>
        <w:gridCol w:w="9040"/>
      </w:tblGrid>
      <w:tr w:rsidR="009D6C46" w14:paraId="65F536B2" w14:textId="77777777" w:rsidTr="009D6C46">
        <w:tc>
          <w:tcPr>
            <w:tcW w:w="0" w:type="auto"/>
            <w:shd w:val="clear" w:color="auto" w:fill="EAF6F7"/>
            <w:tcMar>
              <w:top w:w="160" w:type="dxa"/>
              <w:left w:w="200" w:type="dxa"/>
              <w:bottom w:w="160" w:type="dxa"/>
              <w:right w:w="200" w:type="dxa"/>
            </w:tcMar>
            <w:vAlign w:val="center"/>
            <w:hideMark/>
          </w:tcPr>
          <w:p w14:paraId="710B9F8F" w14:textId="0C6E98CE" w:rsidR="009D6C46" w:rsidRDefault="009D6C46">
            <w:pPr>
              <w:shd w:val="clear" w:color="auto" w:fill="EAF6F7"/>
              <w:spacing w:before="0" w:after="0"/>
              <w:rPr>
                <w:kern w:val="2"/>
                <w:szCs w:val="22"/>
                <w14:ligatures w14:val="standardContextual"/>
              </w:rPr>
            </w:pPr>
            <w:r>
              <w:t xml:space="preserve">Providers are responsible for setting their own prices. Prices must be all-inclusive and reasonable. Providers should be able to explain </w:t>
            </w:r>
            <w:r w:rsidR="00EC181F">
              <w:t xml:space="preserve">their prices </w:t>
            </w:r>
            <w:r w:rsidR="000F5886">
              <w:t>to an older person, the department or the Commission</w:t>
            </w:r>
            <w:r w:rsidR="00AF1DEB">
              <w:t>,</w:t>
            </w:r>
            <w:r w:rsidR="008C6A2E">
              <w:t xml:space="preserve"> </w:t>
            </w:r>
            <w:r>
              <w:t xml:space="preserve">and </w:t>
            </w:r>
            <w:r w:rsidR="008C6A2E">
              <w:t xml:space="preserve">must </w:t>
            </w:r>
            <w:r>
              <w:t>keep evidence to support th</w:t>
            </w:r>
            <w:r w:rsidR="00FE7E3F">
              <w:t>eir</w:t>
            </w:r>
            <w:r>
              <w:t xml:space="preserve"> pricing decisions, including where services are delivered by associated providers.</w:t>
            </w:r>
          </w:p>
        </w:tc>
      </w:tr>
    </w:tbl>
    <w:p w14:paraId="0FE78CFE" w14:textId="77777777" w:rsidR="009D6C46" w:rsidRDefault="009D6C46">
      <w:pPr>
        <w:spacing w:before="60" w:after="60"/>
        <w:rPr>
          <w:kern w:val="2"/>
          <w:szCs w:val="22"/>
          <w14:ligatures w14:val="standardContextual"/>
        </w:rPr>
      </w:pPr>
    </w:p>
    <w:tbl>
      <w:tblPr>
        <w:tblW w:w="5000" w:type="pct"/>
        <w:tblBorders>
          <w:top w:val="single" w:sz="12" w:space="0" w:color="C9C9C9"/>
          <w:left w:val="single" w:sz="12" w:space="0" w:color="C9C9C9"/>
          <w:bottom w:val="single" w:sz="12" w:space="0" w:color="C9C9C9"/>
          <w:right w:val="single" w:sz="12" w:space="0" w:color="C9C9C9"/>
          <w:insideH w:val="single" w:sz="12" w:space="0" w:color="C9C9C9"/>
          <w:insideV w:val="single" w:sz="12" w:space="0" w:color="C9C9C9"/>
        </w:tblBorders>
        <w:shd w:val="clear" w:color="auto" w:fill="F7F7F7"/>
        <w:tblCellMar>
          <w:left w:w="0" w:type="dxa"/>
          <w:right w:w="0" w:type="dxa"/>
        </w:tblCellMar>
        <w:tblLook w:val="04A0" w:firstRow="1" w:lastRow="0" w:firstColumn="1" w:lastColumn="0" w:noHBand="0" w:noVBand="1"/>
      </w:tblPr>
      <w:tblGrid>
        <w:gridCol w:w="9040"/>
      </w:tblGrid>
      <w:tr w:rsidR="009D6C46" w14:paraId="4FA47D8C" w14:textId="77777777" w:rsidTr="009D6C46">
        <w:tc>
          <w:tcPr>
            <w:tcW w:w="0" w:type="auto"/>
            <w:shd w:val="clear" w:color="auto" w:fill="F7F7F7"/>
            <w:tcMar>
              <w:top w:w="120" w:type="dxa"/>
              <w:left w:w="160" w:type="dxa"/>
              <w:bottom w:w="120" w:type="dxa"/>
              <w:right w:w="160" w:type="dxa"/>
            </w:tcMar>
            <w:vAlign w:val="center"/>
            <w:hideMark/>
          </w:tcPr>
          <w:p w14:paraId="351ECF46" w14:textId="77777777" w:rsidR="009D6C46" w:rsidRDefault="009D6C46">
            <w:pPr>
              <w:shd w:val="clear" w:color="auto" w:fill="F7F7F7"/>
              <w:spacing w:before="0" w:after="80"/>
              <w:rPr>
                <w:kern w:val="2"/>
                <w:szCs w:val="22"/>
                <w14:ligatures w14:val="standardContextual"/>
              </w:rPr>
            </w:pPr>
            <w:r>
              <w:rPr>
                <w:b/>
                <w:bCs/>
              </w:rPr>
              <w:t>Find out more</w:t>
            </w:r>
          </w:p>
          <w:p w14:paraId="606DCB38" w14:textId="21FCD83E" w:rsidR="000D4B1C" w:rsidRDefault="000D4B1C" w:rsidP="00BE4DA7">
            <w:pPr>
              <w:pStyle w:val="ListParagraph"/>
              <w:numPr>
                <w:ilvl w:val="0"/>
                <w:numId w:val="9"/>
              </w:numPr>
              <w:shd w:val="clear" w:color="auto" w:fill="F7F7F7"/>
              <w:spacing w:before="0" w:after="60"/>
              <w:contextualSpacing w:val="0"/>
            </w:pPr>
            <w:hyperlink r:id="rId20" w:history="1">
              <w:r w:rsidRPr="000D4B1C">
                <w:rPr>
                  <w:rStyle w:val="Hyperlink"/>
                </w:rPr>
                <w:t>Prices for Support at Home participants</w:t>
              </w:r>
            </w:hyperlink>
          </w:p>
          <w:p w14:paraId="4195F3AA" w14:textId="77777777" w:rsidR="009D6C46" w:rsidRDefault="009D6C46" w:rsidP="00BE4DA7">
            <w:pPr>
              <w:pStyle w:val="ListParagraph"/>
              <w:numPr>
                <w:ilvl w:val="0"/>
                <w:numId w:val="9"/>
              </w:numPr>
              <w:shd w:val="clear" w:color="auto" w:fill="F7F7F7"/>
              <w:spacing w:before="0" w:after="60"/>
              <w:contextualSpacing w:val="0"/>
            </w:pPr>
            <w:r>
              <w:t xml:space="preserve">Support at Home </w:t>
            </w:r>
            <w:hyperlink r:id="rId21" w:history="1">
              <w:r>
                <w:rPr>
                  <w:rStyle w:val="Hyperlink"/>
                </w:rPr>
                <w:t>pricing resources</w:t>
              </w:r>
            </w:hyperlink>
          </w:p>
          <w:p w14:paraId="7A0291E8" w14:textId="1DAC59B6" w:rsidR="009D6C46" w:rsidRDefault="007B118F" w:rsidP="00BE4DA7">
            <w:pPr>
              <w:pStyle w:val="ListParagraph"/>
              <w:numPr>
                <w:ilvl w:val="0"/>
                <w:numId w:val="9"/>
              </w:numPr>
              <w:shd w:val="clear" w:color="auto" w:fill="F7F7F7"/>
              <w:spacing w:before="0" w:after="60"/>
              <w:contextualSpacing w:val="0"/>
            </w:pPr>
            <w:hyperlink r:id="rId22" w:history="1">
              <w:r w:rsidRPr="00E95BF1">
                <w:rPr>
                  <w:rStyle w:val="Hyperlink"/>
                </w:rPr>
                <w:t>Financial viability and capability support for aged care providers</w:t>
              </w:r>
            </w:hyperlink>
          </w:p>
        </w:tc>
      </w:tr>
    </w:tbl>
    <w:p w14:paraId="7E4B2DB0" w14:textId="77777777" w:rsidR="00D36900" w:rsidRDefault="00D36900" w:rsidP="00D36900">
      <w:pPr>
        <w:pStyle w:val="Heading1"/>
      </w:pPr>
      <w:bookmarkStart w:id="14" w:name="_Toc236397541"/>
      <w:bookmarkStart w:id="15" w:name="_Toc237515846"/>
      <w:bookmarkStart w:id="16" w:name="_Toc237538709"/>
      <w:r>
        <w:t>Review outcomes and next steps</w:t>
      </w:r>
      <w:bookmarkEnd w:id="14"/>
      <w:bookmarkEnd w:id="15"/>
      <w:bookmarkEnd w:id="16"/>
    </w:p>
    <w:p w14:paraId="6B50AA20" w14:textId="4F614429" w:rsidR="00E302D0" w:rsidRDefault="00E302D0">
      <w:pPr>
        <w:pStyle w:val="Heading2"/>
        <w:rPr>
          <w:kern w:val="2"/>
          <w:szCs w:val="36"/>
          <w14:ligatures w14:val="standardContextual"/>
        </w:rPr>
      </w:pPr>
      <w:bookmarkStart w:id="17" w:name="_Toc237515847"/>
      <w:bookmarkStart w:id="18" w:name="_Toc237538710"/>
      <w:r>
        <w:t xml:space="preserve">Impact of the review on provider </w:t>
      </w:r>
      <w:bookmarkEnd w:id="17"/>
      <w:r>
        <w:t>practice</w:t>
      </w:r>
      <w:r w:rsidR="00DA075B">
        <w:t>s</w:t>
      </w:r>
      <w:bookmarkEnd w:id="18"/>
    </w:p>
    <w:p w14:paraId="55DAB2A6" w14:textId="77777777" w:rsidR="005E7084" w:rsidRPr="006813A6" w:rsidRDefault="006813A6" w:rsidP="005E7084">
      <w:pPr>
        <w:rPr>
          <w:kern w:val="2"/>
          <w:szCs w:val="22"/>
          <w14:ligatures w14:val="standardContextual"/>
        </w:rPr>
      </w:pPr>
      <w:r w:rsidRPr="006813A6">
        <w:rPr>
          <w:kern w:val="2"/>
          <w:szCs w:val="22"/>
          <w14:ligatures w14:val="standardContextual"/>
        </w:rPr>
        <w:t xml:space="preserve">The review supported practical improvements in provider pricing and claiming practices. </w:t>
      </w:r>
      <w:r w:rsidR="005E7084" w:rsidRPr="006813A6">
        <w:rPr>
          <w:kern w:val="2"/>
          <w:szCs w:val="22"/>
          <w14:ligatures w14:val="standardContextual"/>
        </w:rPr>
        <w:t>For example, providers said the review:</w:t>
      </w:r>
    </w:p>
    <w:p w14:paraId="420474C7" w14:textId="77777777" w:rsidR="005E7084" w:rsidRPr="00771808" w:rsidRDefault="005E7084" w:rsidP="005E7084">
      <w:pPr>
        <w:pStyle w:val="ListParagraph"/>
        <w:numPr>
          <w:ilvl w:val="0"/>
          <w:numId w:val="7"/>
        </w:numPr>
      </w:pPr>
      <w:r w:rsidRPr="00771808">
        <w:t xml:space="preserve">helped them better understand Support at Home pricing and claiming requirements </w:t>
      </w:r>
    </w:p>
    <w:p w14:paraId="4000D467" w14:textId="77777777" w:rsidR="005E7084" w:rsidRPr="00771808" w:rsidRDefault="005E7084" w:rsidP="005E7084">
      <w:pPr>
        <w:pStyle w:val="ListParagraph"/>
        <w:numPr>
          <w:ilvl w:val="0"/>
          <w:numId w:val="7"/>
        </w:numPr>
      </w:pPr>
      <w:r w:rsidRPr="00771808">
        <w:t xml:space="preserve">provided constructive feedback and practical observations </w:t>
      </w:r>
    </w:p>
    <w:p w14:paraId="7F0D8714" w14:textId="55E818FB" w:rsidR="00B73D03" w:rsidRPr="00D07EEB" w:rsidRDefault="005E7084" w:rsidP="00D07EEB">
      <w:pPr>
        <w:pStyle w:val="ListParagraph"/>
        <w:numPr>
          <w:ilvl w:val="0"/>
          <w:numId w:val="7"/>
        </w:numPr>
        <w:rPr>
          <w:kern w:val="2"/>
          <w:szCs w:val="22"/>
          <w14:ligatures w14:val="standardContextual"/>
        </w:rPr>
      </w:pPr>
      <w:r w:rsidRPr="00771808">
        <w:t>helped them identify improvements and develop action plans.</w:t>
      </w:r>
    </w:p>
    <w:p w14:paraId="3A300EB7" w14:textId="08B4BDE2" w:rsidR="00E302D0" w:rsidRPr="00E302D0" w:rsidRDefault="009A19D6" w:rsidP="00E302D0">
      <w:pPr>
        <w:rPr>
          <w:kern w:val="2"/>
          <w:szCs w:val="22"/>
          <w14:ligatures w14:val="standardContextual"/>
        </w:rPr>
      </w:pPr>
      <w:r>
        <w:rPr>
          <w:kern w:val="2"/>
          <w:szCs w:val="22"/>
          <w14:ligatures w14:val="standardContextual"/>
        </w:rPr>
        <w:t>Examples of improvements made by providers included</w:t>
      </w:r>
      <w:r w:rsidR="00413BEC">
        <w:rPr>
          <w:kern w:val="2"/>
          <w:szCs w:val="22"/>
          <w14:ligatures w14:val="standardContextual"/>
        </w:rPr>
        <w:t>:</w:t>
      </w:r>
    </w:p>
    <w:tbl>
      <w:tblPr>
        <w:tblW w:w="5000" w:type="pct"/>
        <w:shd w:val="clear" w:color="auto" w:fill="EAF6F7"/>
        <w:tblCellMar>
          <w:left w:w="0" w:type="dxa"/>
          <w:right w:w="0" w:type="dxa"/>
        </w:tblCellMar>
        <w:tblLook w:val="04A0" w:firstRow="1" w:lastRow="0" w:firstColumn="1" w:lastColumn="0" w:noHBand="0" w:noVBand="1"/>
      </w:tblPr>
      <w:tblGrid>
        <w:gridCol w:w="9040"/>
      </w:tblGrid>
      <w:tr w:rsidR="00E302D0" w14:paraId="2F31DB52" w14:textId="77777777">
        <w:tc>
          <w:tcPr>
            <w:tcW w:w="0" w:type="auto"/>
            <w:tcBorders>
              <w:top w:val="single" w:sz="12" w:space="0" w:color="358189"/>
              <w:left w:val="single" w:sz="12" w:space="0" w:color="358189"/>
              <w:bottom w:val="single" w:sz="12" w:space="0" w:color="358189"/>
              <w:right w:val="single" w:sz="12" w:space="0" w:color="358189"/>
            </w:tcBorders>
            <w:shd w:val="clear" w:color="auto" w:fill="EAF6F7"/>
            <w:tcMar>
              <w:top w:w="160" w:type="dxa"/>
              <w:left w:w="200" w:type="dxa"/>
              <w:bottom w:w="160" w:type="dxa"/>
              <w:right w:w="200" w:type="dxa"/>
            </w:tcMar>
            <w:vAlign w:val="center"/>
            <w:hideMark/>
          </w:tcPr>
          <w:p w14:paraId="003899D4" w14:textId="785A11C8" w:rsidR="00E302D0" w:rsidRDefault="00E0795B">
            <w:pPr>
              <w:shd w:val="clear" w:color="auto" w:fill="EAF6F7"/>
              <w:spacing w:before="0"/>
              <w:rPr>
                <w:kern w:val="2"/>
                <w:szCs w:val="22"/>
                <w14:ligatures w14:val="standardContextual"/>
              </w:rPr>
            </w:pPr>
            <w:r>
              <w:rPr>
                <w:b/>
                <w:bCs/>
              </w:rPr>
              <w:t>Im</w:t>
            </w:r>
            <w:r w:rsidR="00E302D0">
              <w:rPr>
                <w:b/>
                <w:bCs/>
              </w:rPr>
              <w:t>prov</w:t>
            </w:r>
            <w:r>
              <w:rPr>
                <w:b/>
                <w:bCs/>
              </w:rPr>
              <w:t>ed</w:t>
            </w:r>
            <w:r w:rsidR="00E302D0">
              <w:rPr>
                <w:b/>
                <w:bCs/>
              </w:rPr>
              <w:t xml:space="preserve"> pricing practices</w:t>
            </w:r>
          </w:p>
          <w:p w14:paraId="167204E1" w14:textId="4774EC78" w:rsidR="00E302D0" w:rsidRDefault="00764D4F">
            <w:pPr>
              <w:shd w:val="clear" w:color="auto" w:fill="EAF6F7"/>
              <w:spacing w:before="0" w:after="0"/>
            </w:pPr>
            <w:r>
              <w:t>A</w:t>
            </w:r>
            <w:r w:rsidR="000943F6" w:rsidRPr="000943F6">
              <w:t xml:space="preserve"> provider re</w:t>
            </w:r>
            <w:r w:rsidR="00F942D7">
              <w:t>considered</w:t>
            </w:r>
            <w:r w:rsidR="000943F6" w:rsidRPr="000943F6">
              <w:t xml:space="preserve"> its pricing model after the review found some prices were not sufficiently supported by evidence </w:t>
            </w:r>
            <w:r w:rsidR="00627D0A">
              <w:t>that</w:t>
            </w:r>
            <w:r w:rsidR="00E4653A">
              <w:t xml:space="preserve"> </w:t>
            </w:r>
            <w:r w:rsidR="000943F6" w:rsidRPr="000943F6">
              <w:t>reflected the cost of delivering th</w:t>
            </w:r>
            <w:r w:rsidR="00DC09F5">
              <w:t>os</w:t>
            </w:r>
            <w:r w:rsidR="000943F6" w:rsidRPr="000943F6">
              <w:t>e service</w:t>
            </w:r>
            <w:r w:rsidR="00A5731F">
              <w:t>s</w:t>
            </w:r>
            <w:r w:rsidR="000943F6" w:rsidRPr="000943F6">
              <w:t>. The provider engaged external aged care pricing expertise, lowered relevant prices and indicated it intended to refund participants where appropriate</w:t>
            </w:r>
            <w:r w:rsidR="00E302D0">
              <w:t>.</w:t>
            </w:r>
          </w:p>
        </w:tc>
      </w:tr>
      <w:tr w:rsidR="00E302D0" w14:paraId="5134C956" w14:textId="77777777" w:rsidTr="00E0795B">
        <w:trPr>
          <w:trHeight w:val="1429"/>
        </w:trPr>
        <w:tc>
          <w:tcPr>
            <w:tcW w:w="0" w:type="auto"/>
            <w:tcBorders>
              <w:top w:val="single" w:sz="12" w:space="0" w:color="358189"/>
              <w:left w:val="single" w:sz="12" w:space="0" w:color="358189"/>
              <w:bottom w:val="single" w:sz="12" w:space="0" w:color="358189"/>
              <w:right w:val="single" w:sz="12" w:space="0" w:color="358189"/>
            </w:tcBorders>
            <w:shd w:val="clear" w:color="auto" w:fill="EAF6F7"/>
            <w:tcMar>
              <w:top w:w="160" w:type="dxa"/>
              <w:left w:w="200" w:type="dxa"/>
              <w:bottom w:w="160" w:type="dxa"/>
              <w:right w:w="200" w:type="dxa"/>
            </w:tcMar>
            <w:vAlign w:val="center"/>
            <w:hideMark/>
          </w:tcPr>
          <w:p w14:paraId="4E7C391B" w14:textId="32690BB6" w:rsidR="00E302D0" w:rsidRDefault="00E302D0">
            <w:pPr>
              <w:shd w:val="clear" w:color="auto" w:fill="EAF6F7"/>
              <w:spacing w:before="0"/>
              <w:rPr>
                <w:kern w:val="2"/>
                <w:szCs w:val="22"/>
                <w14:ligatures w14:val="standardContextual"/>
              </w:rPr>
            </w:pPr>
            <w:r>
              <w:rPr>
                <w:b/>
                <w:bCs/>
              </w:rPr>
              <w:t>Improv</w:t>
            </w:r>
            <w:r w:rsidR="00E0795B">
              <w:rPr>
                <w:b/>
                <w:bCs/>
              </w:rPr>
              <w:t>ed</w:t>
            </w:r>
            <w:r>
              <w:rPr>
                <w:b/>
                <w:bCs/>
              </w:rPr>
              <w:t xml:space="preserve"> claiming practices</w:t>
            </w:r>
          </w:p>
          <w:p w14:paraId="2693FC3D" w14:textId="13C22952" w:rsidR="00EB6B52" w:rsidRDefault="00764D4F">
            <w:pPr>
              <w:shd w:val="clear" w:color="auto" w:fill="EAF6F7"/>
              <w:spacing w:before="0" w:after="0"/>
            </w:pPr>
            <w:r>
              <w:t>A</w:t>
            </w:r>
            <w:r w:rsidR="00EB6B52">
              <w:t xml:space="preserve"> provider advised the identified claiming issues were caused by staff entering claim information incorrectly. This included claims not being recorded with the correct service dates, quantities or itemised details.</w:t>
            </w:r>
          </w:p>
          <w:p w14:paraId="478B7C01" w14:textId="77777777" w:rsidR="00EB6B52" w:rsidRDefault="00EB6B52">
            <w:pPr>
              <w:shd w:val="clear" w:color="auto" w:fill="EAF6F7"/>
              <w:spacing w:before="0" w:after="0"/>
              <w:rPr>
                <w:kern w:val="2"/>
                <w:szCs w:val="22"/>
                <w14:ligatures w14:val="standardContextual"/>
              </w:rPr>
            </w:pPr>
          </w:p>
          <w:p w14:paraId="0EA7AA16" w14:textId="0DB83EA0" w:rsidR="00E302D0" w:rsidRPr="00E0795B" w:rsidRDefault="00EB6B52">
            <w:pPr>
              <w:shd w:val="clear" w:color="auto" w:fill="EAF6F7"/>
              <w:spacing w:before="0" w:after="0"/>
              <w:rPr>
                <w:kern w:val="2"/>
                <w:szCs w:val="22"/>
                <w14:ligatures w14:val="standardContextual"/>
              </w:rPr>
            </w:pPr>
            <w:r>
              <w:lastRenderedPageBreak/>
              <w:t>Once the issue was identified, the provider delivered staff training to improve understanding of accurate claiming requirements. This supported more accurate claim entry and helped ensure information flowing through to participant monthly statements was correctly dated and itemised.</w:t>
            </w:r>
          </w:p>
        </w:tc>
      </w:tr>
    </w:tbl>
    <w:p w14:paraId="4B334B77" w14:textId="366CB10C" w:rsidR="002B1FB7" w:rsidRPr="002F4664" w:rsidRDefault="00AD1A1F" w:rsidP="002F4664">
      <w:pPr>
        <w:spacing w:before="0" w:after="0" w:line="300" w:lineRule="atLeast"/>
        <w:rPr>
          <w:kern w:val="2"/>
          <w:szCs w:val="22"/>
          <w14:ligatures w14:val="standardContextual"/>
        </w:rPr>
      </w:pPr>
      <w:r>
        <w:rPr>
          <w:kern w:val="2"/>
          <w:szCs w:val="22"/>
          <w14:ligatures w14:val="standardContextual"/>
        </w:rPr>
        <w:lastRenderedPageBreak/>
        <w:t>T</w:t>
      </w:r>
      <w:r w:rsidR="002F4664" w:rsidRPr="002F4664">
        <w:rPr>
          <w:kern w:val="2"/>
          <w:szCs w:val="22"/>
          <w14:ligatures w14:val="standardContextual"/>
        </w:rPr>
        <w:t>hree providers were referred to the Commission for further assessment</w:t>
      </w:r>
      <w:r w:rsidR="002C42B3">
        <w:rPr>
          <w:kern w:val="2"/>
          <w:szCs w:val="22"/>
          <w14:ligatures w14:val="standardContextual"/>
        </w:rPr>
        <w:t xml:space="preserve"> </w:t>
      </w:r>
      <w:r w:rsidR="002B1FB7">
        <w:rPr>
          <w:kern w:val="2"/>
          <w:szCs w:val="22"/>
          <w14:ligatures w14:val="standardContextual"/>
        </w:rPr>
        <w:t xml:space="preserve">as the review team considered their prices </w:t>
      </w:r>
      <w:r w:rsidR="00304F88">
        <w:rPr>
          <w:kern w:val="2"/>
          <w:szCs w:val="22"/>
          <w14:ligatures w14:val="standardContextual"/>
        </w:rPr>
        <w:t>may be unreasonable</w:t>
      </w:r>
      <w:r w:rsidR="002F4664" w:rsidRPr="002F4664">
        <w:rPr>
          <w:kern w:val="2"/>
          <w:szCs w:val="22"/>
          <w14:ligatures w14:val="standardContextual"/>
        </w:rPr>
        <w:t>. The Commission</w:t>
      </w:r>
      <w:r w:rsidR="00345FBB">
        <w:rPr>
          <w:kern w:val="2"/>
          <w:szCs w:val="22"/>
          <w14:ligatures w14:val="standardContextual"/>
        </w:rPr>
        <w:t xml:space="preserve">’s regulatory actions have resulted in participant refunds, improved pricing practices, or are subject to further investigation. </w:t>
      </w:r>
      <w:r w:rsidR="002B1FB7">
        <w:t>An additional six providers were referred to the Commission through established intelligence-sharing arrangements due to a range of issues identified with their practices.</w:t>
      </w:r>
      <w:r w:rsidR="00054EE3" w:rsidRPr="00054EE3">
        <w:t xml:space="preserve"> </w:t>
      </w:r>
      <w:r w:rsidR="00054EE3">
        <w:t>The Commission will examine this information and determine an appropriate regulatory response.</w:t>
      </w:r>
    </w:p>
    <w:p w14:paraId="405255B8" w14:textId="45EB6521" w:rsidR="006813A6" w:rsidRPr="00847ED6" w:rsidRDefault="00CE7C7E" w:rsidP="00847ED6">
      <w:pPr>
        <w:pStyle w:val="Heading2"/>
      </w:pPr>
      <w:bookmarkStart w:id="19" w:name="_Toc237538711"/>
      <w:bookmarkStart w:id="20" w:name="_Toc237515848"/>
      <w:r>
        <w:t>Ongoing monitoring of prices</w:t>
      </w:r>
      <w:bookmarkEnd w:id="19"/>
      <w:r>
        <w:t xml:space="preserve"> </w:t>
      </w:r>
      <w:bookmarkEnd w:id="20"/>
    </w:p>
    <w:p w14:paraId="006C2B36" w14:textId="44B85F54" w:rsidR="0076508F" w:rsidRPr="00C5622E" w:rsidRDefault="00A05136" w:rsidP="0076508F">
      <w:pPr>
        <w:rPr>
          <w:kern w:val="2"/>
          <w:szCs w:val="22"/>
          <w14:ligatures w14:val="standardContextual"/>
        </w:rPr>
      </w:pPr>
      <w:r w:rsidRPr="00C5622E">
        <w:rPr>
          <w:kern w:val="2"/>
          <w:szCs w:val="22"/>
          <w14:ligatures w14:val="standardContextual"/>
        </w:rPr>
        <w:t xml:space="preserve">The department is </w:t>
      </w:r>
      <w:r>
        <w:rPr>
          <w:kern w:val="2"/>
          <w:szCs w:val="22"/>
          <w14:ligatures w14:val="standardContextual"/>
        </w:rPr>
        <w:t xml:space="preserve">continuing to </w:t>
      </w:r>
      <w:r w:rsidRPr="00C5622E">
        <w:rPr>
          <w:kern w:val="2"/>
          <w:szCs w:val="22"/>
          <w14:ligatures w14:val="standardContextual"/>
        </w:rPr>
        <w:t xml:space="preserve">monitor pricing under Support at Home. </w:t>
      </w:r>
    </w:p>
    <w:p w14:paraId="1B4815DA" w14:textId="2FDE733C" w:rsidR="006E5D22" w:rsidRPr="0072320C" w:rsidRDefault="006E5D22" w:rsidP="006E5D22">
      <w:pPr>
        <w:rPr>
          <w:kern w:val="2"/>
          <w:szCs w:val="22"/>
          <w14:ligatures w14:val="standardContextual"/>
        </w:rPr>
      </w:pPr>
      <w:r w:rsidRPr="0072320C">
        <w:rPr>
          <w:kern w:val="2"/>
          <w:szCs w:val="22"/>
          <w14:ligatures w14:val="standardContextual"/>
        </w:rPr>
        <w:t xml:space="preserve">The department has strengthened </w:t>
      </w:r>
      <w:hyperlink r:id="rId23" w:history="1">
        <w:r w:rsidRPr="0072320C">
          <w:rPr>
            <w:rStyle w:val="Hyperlink"/>
            <w:kern w:val="2"/>
            <w:szCs w:val="22"/>
            <w14:ligatures w14:val="standardContextual"/>
          </w:rPr>
          <w:t>consumer protections</w:t>
        </w:r>
      </w:hyperlink>
      <w:r w:rsidRPr="0072320C">
        <w:rPr>
          <w:kern w:val="2"/>
          <w:szCs w:val="22"/>
          <w14:ligatures w14:val="standardContextual"/>
        </w:rPr>
        <w:t xml:space="preserve"> and increased </w:t>
      </w:r>
      <w:hyperlink r:id="rId24" w:history="1">
        <w:r w:rsidRPr="00C03905">
          <w:rPr>
            <w:rStyle w:val="Hyperlink"/>
            <w:kern w:val="2"/>
            <w:szCs w:val="22"/>
            <w14:ligatures w14:val="standardContextual"/>
          </w:rPr>
          <w:t>pricing transparency</w:t>
        </w:r>
      </w:hyperlink>
      <w:r w:rsidRPr="0072320C">
        <w:rPr>
          <w:kern w:val="2"/>
          <w:szCs w:val="22"/>
          <w14:ligatures w14:val="standardContextual"/>
        </w:rPr>
        <w:t xml:space="preserve"> </w:t>
      </w:r>
      <w:r>
        <w:rPr>
          <w:kern w:val="2"/>
          <w:szCs w:val="22"/>
          <w14:ligatures w14:val="standardContextual"/>
        </w:rPr>
        <w:t xml:space="preserve">under the program, including </w:t>
      </w:r>
      <w:r w:rsidRPr="0072320C">
        <w:rPr>
          <w:kern w:val="2"/>
          <w:szCs w:val="22"/>
          <w14:ligatures w14:val="standardContextual"/>
        </w:rPr>
        <w:t xml:space="preserve">by publishing a new </w:t>
      </w:r>
      <w:hyperlink r:id="rId25" w:history="1">
        <w:r w:rsidRPr="0072320C">
          <w:rPr>
            <w:rStyle w:val="Hyperlink"/>
            <w:kern w:val="2"/>
            <w:szCs w:val="22"/>
            <w14:ligatures w14:val="standardContextual"/>
          </w:rPr>
          <w:t>National Summary of Support at Home Prices</w:t>
        </w:r>
      </w:hyperlink>
      <w:r w:rsidRPr="0072320C">
        <w:rPr>
          <w:kern w:val="2"/>
          <w:szCs w:val="22"/>
          <w14:ligatures w14:val="standardContextual"/>
        </w:rPr>
        <w:t xml:space="preserve"> each quarter.</w:t>
      </w:r>
    </w:p>
    <w:p w14:paraId="377B0F08" w14:textId="77777777" w:rsidR="006E5D22" w:rsidRPr="00C5622E" w:rsidRDefault="006E5D22" w:rsidP="006E5D22">
      <w:pPr>
        <w:rPr>
          <w:kern w:val="2"/>
          <w:szCs w:val="22"/>
          <w14:ligatures w14:val="standardContextual"/>
        </w:rPr>
      </w:pPr>
      <w:r w:rsidRPr="00C5622E">
        <w:rPr>
          <w:kern w:val="2"/>
          <w:szCs w:val="22"/>
          <w14:ligatures w14:val="standardContextual"/>
        </w:rPr>
        <w:t>The Commission oversees provider compliance with Support at Home obligations, including the requirement for prices to be reasonable. It can investigate pricing concerns, enforce compliance and order refunds where providers have overcharged.</w:t>
      </w:r>
    </w:p>
    <w:p w14:paraId="359FF3E2" w14:textId="77777777" w:rsidR="00E046FA" w:rsidRPr="00E046FA" w:rsidRDefault="00E046FA" w:rsidP="00E046FA">
      <w:pPr>
        <w:rPr>
          <w:kern w:val="2"/>
          <w:szCs w:val="22"/>
          <w14:ligatures w14:val="standardContextual"/>
        </w:rPr>
      </w:pPr>
      <w:r w:rsidRPr="00E046FA">
        <w:rPr>
          <w:kern w:val="2"/>
          <w:szCs w:val="22"/>
          <w14:ligatures w14:val="standardContextual"/>
        </w:rPr>
        <w:t>The review findings are informing broader work to support reasonable pricing, accurate claiming and provider understanding of Support at Home requirements. Feedback from the review has already informed updates to the claiming guidance in the Support at Home program manual and is helping identify further opportunities to strengthen guidance, systems and program settings.</w:t>
      </w:r>
    </w:p>
    <w:p w14:paraId="51D7651B" w14:textId="77777777" w:rsidR="00954FAA" w:rsidRDefault="00954FAA">
      <w:pPr>
        <w:rPr>
          <w:kern w:val="2"/>
          <w:szCs w:val="22"/>
          <w14:ligatures w14:val="standardContextual"/>
        </w:rPr>
      </w:pPr>
    </w:p>
    <w:sectPr w:rsidR="00954FAA" w:rsidSect="00814C03">
      <w:headerReference w:type="default" r:id="rId26"/>
      <w:footerReference w:type="default" r:id="rId27"/>
      <w:pgSz w:w="11906" w:h="16838"/>
      <w:pgMar w:top="1701" w:right="1418" w:bottom="1418" w:left="1418"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470849" w14:textId="77777777" w:rsidR="00B654BF" w:rsidRDefault="00B654BF" w:rsidP="00934368">
      <w:r>
        <w:separator/>
      </w:r>
    </w:p>
    <w:p w14:paraId="3015AF10" w14:textId="77777777" w:rsidR="00B654BF" w:rsidRDefault="00B654BF" w:rsidP="00934368"/>
  </w:endnote>
  <w:endnote w:type="continuationSeparator" w:id="0">
    <w:p w14:paraId="06154FEC" w14:textId="77777777" w:rsidR="00B654BF" w:rsidRDefault="00B654BF" w:rsidP="00934368">
      <w:r>
        <w:continuationSeparator/>
      </w:r>
    </w:p>
    <w:p w14:paraId="7AA7CE79" w14:textId="77777777" w:rsidR="00B654BF" w:rsidRDefault="00B654BF" w:rsidP="00934368"/>
  </w:endnote>
  <w:endnote w:type="continuationNotice" w:id="1">
    <w:p w14:paraId="7562245D" w14:textId="77777777" w:rsidR="00B654BF" w:rsidRDefault="00B654BF" w:rsidP="0093436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5BF138" w14:textId="6B0F1669" w:rsidR="00715110" w:rsidRDefault="00F86C27">
    <w:pPr>
      <w:pStyle w:val="Footer"/>
    </w:pPr>
    <w:r>
      <w:rPr>
        <w:noProof/>
      </w:rPr>
      <mc:AlternateContent>
        <mc:Choice Requires="wps">
          <w:drawing>
            <wp:anchor distT="0" distB="0" distL="0" distR="0" simplePos="0" relativeHeight="251658246" behindDoc="0" locked="0" layoutInCell="1" allowOverlap="1" wp14:anchorId="3CDBAE6F" wp14:editId="3DE23620">
              <wp:simplePos x="635" y="635"/>
              <wp:positionH relativeFrom="page">
                <wp:align>center</wp:align>
              </wp:positionH>
              <wp:positionV relativeFrom="page">
                <wp:align>bottom</wp:align>
              </wp:positionV>
              <wp:extent cx="622300" cy="480695"/>
              <wp:effectExtent l="0" t="0" r="6350" b="0"/>
              <wp:wrapNone/>
              <wp:docPr id="627842488"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80695"/>
                      </a:xfrm>
                      <a:prstGeom prst="rect">
                        <a:avLst/>
                      </a:prstGeom>
                      <a:noFill/>
                      <a:ln>
                        <a:noFill/>
                      </a:ln>
                    </wps:spPr>
                    <wps:txbx>
                      <w:txbxContent>
                        <w:p w14:paraId="67029719" w14:textId="696B7CAF" w:rsidR="00F86C27" w:rsidRPr="00F86C27" w:rsidRDefault="00F86C27" w:rsidP="00F86C27">
                          <w:pPr>
                            <w:spacing w:after="0"/>
                            <w:rPr>
                              <w:rFonts w:ascii="Aptos" w:eastAsia="Aptos" w:hAnsi="Aptos" w:cs="Aptos"/>
                              <w:noProof/>
                              <w:color w:val="FF0000"/>
                              <w:sz w:val="24"/>
                            </w:rPr>
                          </w:pPr>
                          <w:r w:rsidRPr="00F86C27">
                            <w:rPr>
                              <w:rFonts w:ascii="Aptos" w:eastAsia="Aptos" w:hAnsi="Aptos" w:cs="Aptos"/>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CDBAE6F" id="_x0000_t202" coordsize="21600,21600" o:spt="202" path="m,l,21600r21600,l21600,xe">
              <v:stroke joinstyle="miter"/>
              <v:path gradientshapeok="t" o:connecttype="rect"/>
            </v:shapetype>
            <v:shape id="Text Box 6" o:spid="_x0000_s1028" type="#_x0000_t202" alt="OFFICIAL" style="position:absolute;left:0;text-align:left;margin-left:0;margin-top:0;width:49pt;height:37.85pt;z-index:25165824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" filled="f" stroked="f">
              <v:textbox style="mso-fit-shape-to-text:t" inset="0,0,0,15pt">
                <w:txbxContent>
                  <w:p w14:paraId="67029719" w14:textId="696B7CAF" w:rsidR="00F86C27" w:rsidRPr="00F86C27" w:rsidRDefault="00F86C27" w:rsidP="00F86C27">
                    <w:pPr>
                      <w:spacing w:after="0"/>
                      <w:rPr>
                        <w:rFonts w:ascii="Aptos" w:eastAsia="Aptos" w:hAnsi="Aptos" w:cs="Aptos"/>
                        <w:noProof/>
                        <w:color w:val="FF0000"/>
                        <w:sz w:val="24"/>
                      </w:rPr>
                    </w:pPr>
                    <w:r w:rsidRPr="00F86C27">
                      <w:rPr>
                        <w:rFonts w:ascii="Aptos" w:eastAsia="Aptos" w:hAnsi="Aptos" w:cs="Aptos"/>
                        <w:noProof/>
                        <w:color w:val="FF0000"/>
                        <w:sz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414C07" w14:textId="71DBF9C3" w:rsidR="00715110" w:rsidRDefault="00F86C27">
    <w:pPr>
      <w:pStyle w:val="Footer"/>
    </w:pPr>
    <w:r>
      <w:rPr>
        <w:noProof/>
      </w:rPr>
      <mc:AlternateContent>
        <mc:Choice Requires="wps">
          <w:drawing>
            <wp:anchor distT="0" distB="0" distL="0" distR="0" simplePos="0" relativeHeight="251658247" behindDoc="0" locked="0" layoutInCell="1" allowOverlap="1" wp14:anchorId="1F099CD0" wp14:editId="6624E31D">
              <wp:simplePos x="635" y="635"/>
              <wp:positionH relativeFrom="page">
                <wp:align>center</wp:align>
              </wp:positionH>
              <wp:positionV relativeFrom="page">
                <wp:align>bottom</wp:align>
              </wp:positionV>
              <wp:extent cx="622300" cy="480695"/>
              <wp:effectExtent l="0" t="0" r="6350" b="0"/>
              <wp:wrapNone/>
              <wp:docPr id="1466987574" name="Text Box 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80695"/>
                      </a:xfrm>
                      <a:prstGeom prst="rect">
                        <a:avLst/>
                      </a:prstGeom>
                      <a:noFill/>
                      <a:ln>
                        <a:noFill/>
                      </a:ln>
                    </wps:spPr>
                    <wps:txbx>
                      <w:txbxContent>
                        <w:p w14:paraId="701D9511" w14:textId="39ECA403" w:rsidR="00F86C27" w:rsidRPr="00F86C27" w:rsidRDefault="00F86C27" w:rsidP="00F86C27">
                          <w:pPr>
                            <w:spacing w:after="0"/>
                            <w:rPr>
                              <w:rFonts w:ascii="Aptos" w:eastAsia="Aptos" w:hAnsi="Aptos" w:cs="Aptos"/>
                              <w:noProof/>
                              <w:color w:val="FF0000"/>
                              <w:sz w:val="24"/>
                            </w:rPr>
                          </w:pPr>
                          <w:r w:rsidRPr="00F86C27">
                            <w:rPr>
                              <w:rFonts w:ascii="Aptos" w:eastAsia="Aptos" w:hAnsi="Aptos" w:cs="Aptos"/>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F099CD0" id="_x0000_t202" coordsize="21600,21600" o:spt="202" path="m,l,21600r21600,l21600,xe">
              <v:stroke joinstyle="miter"/>
              <v:path gradientshapeok="t" o:connecttype="rect"/>
            </v:shapetype>
            <v:shape id="Text Box 7" o:spid="_x0000_s1029" type="#_x0000_t202" alt="OFFICIAL" style="position:absolute;left:0;text-align:left;margin-left:0;margin-top:0;width:49pt;height:37.85pt;z-index:251658247;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" filled="f" stroked="f">
              <v:textbox style="mso-fit-shape-to-text:t" inset="0,0,0,15pt">
                <w:txbxContent>
                  <w:p w14:paraId="701D9511" w14:textId="39ECA403" w:rsidR="00F86C27" w:rsidRPr="00F86C27" w:rsidRDefault="00F86C27" w:rsidP="00F86C27">
                    <w:pPr>
                      <w:spacing w:after="0"/>
                      <w:rPr>
                        <w:rFonts w:ascii="Aptos" w:eastAsia="Aptos" w:hAnsi="Aptos" w:cs="Aptos"/>
                        <w:noProof/>
                        <w:color w:val="FF0000"/>
                        <w:sz w:val="24"/>
                      </w:rPr>
                    </w:pPr>
                    <w:r w:rsidRPr="00F86C27">
                      <w:rPr>
                        <w:rFonts w:ascii="Aptos" w:eastAsia="Aptos" w:hAnsi="Aptos" w:cs="Aptos"/>
                        <w:noProof/>
                        <w:color w:val="FF0000"/>
                        <w:sz w:val="24"/>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F92E0E" w14:textId="3C543B21" w:rsidR="00751A23" w:rsidRPr="00751A23" w:rsidRDefault="00E4484B" w:rsidP="00934368">
    <w:pPr>
      <w:pStyle w:val="Footer"/>
    </w:pPr>
    <w:r>
      <w:t xml:space="preserve">Support at Home </w:t>
    </w:r>
    <w:r w:rsidR="00870F00">
      <w:t>a</w:t>
    </w:r>
    <w:r w:rsidR="00175034">
      <w:t>ssurance</w:t>
    </w:r>
    <w:r w:rsidR="001164CD">
      <w:t>:</w:t>
    </w:r>
    <w:r w:rsidR="00175034">
      <w:t xml:space="preserve"> </w:t>
    </w:r>
    <w:r w:rsidR="009C452C">
      <w:t>p</w:t>
    </w:r>
    <w:r>
      <w:t xml:space="preserve">ricing </w:t>
    </w:r>
    <w:r w:rsidR="009C452C">
      <w:t>r</w:t>
    </w:r>
    <w:r>
      <w:t xml:space="preserve">eview </w:t>
    </w:r>
    <w:r w:rsidR="009C452C">
      <w:t>s</w:t>
    </w:r>
    <w:r w:rsidR="00175034">
      <w:t xml:space="preserve">ummary </w:t>
    </w:r>
    <w:r w:rsidR="009C452C">
      <w:t>r</w:t>
    </w:r>
    <w:r w:rsidR="00175034">
      <w:t xml:space="preserve">eport </w:t>
    </w:r>
    <w:sdt>
      <w:sdtPr>
        <w:id w:val="-443848716"/>
        <w:docPartObj>
          <w:docPartGallery w:val="Page Numbers (Bottom of Page)"/>
          <w:docPartUnique/>
        </w:docPartObj>
      </w:sdtPr>
      <w:sdtEndPr>
        <w:rPr>
          <w:noProof/>
        </w:rPr>
      </w:sdtEndPr>
      <w:sdtContent>
        <w:r w:rsidR="00751A23">
          <w:tab/>
        </w:r>
        <w:r w:rsidR="00751A23" w:rsidRPr="006043C7">
          <w:fldChar w:fldCharType="begin"/>
        </w:r>
        <w:r w:rsidR="00751A23" w:rsidRPr="006043C7">
          <w:instrText xml:space="preserve"> PAGE   \* MERGEFORMAT </w:instrText>
        </w:r>
        <w:r w:rsidR="00751A23" w:rsidRPr="006043C7">
          <w:fldChar w:fldCharType="separate"/>
        </w:r>
        <w:r w:rsidR="007B3D03">
          <w:rPr>
            <w:noProof/>
          </w:rPr>
          <w:t>2</w:t>
        </w:r>
        <w:r w:rsidR="00751A23" w:rsidRPr="006043C7">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CF6E92" w14:textId="77777777" w:rsidR="00B654BF" w:rsidRDefault="00B654BF" w:rsidP="00934368">
      <w:r>
        <w:separator/>
      </w:r>
    </w:p>
    <w:p w14:paraId="48D1D1C5" w14:textId="77777777" w:rsidR="00B654BF" w:rsidRDefault="00B654BF" w:rsidP="00934368"/>
  </w:footnote>
  <w:footnote w:type="continuationSeparator" w:id="0">
    <w:p w14:paraId="49B2E047" w14:textId="77777777" w:rsidR="00B654BF" w:rsidRDefault="00B654BF" w:rsidP="00934368">
      <w:r>
        <w:continuationSeparator/>
      </w:r>
    </w:p>
    <w:p w14:paraId="6E52D4CA" w14:textId="77777777" w:rsidR="00B654BF" w:rsidRDefault="00B654BF" w:rsidP="00934368"/>
  </w:footnote>
  <w:footnote w:type="continuationNotice" w:id="1">
    <w:p w14:paraId="53EE5BF8" w14:textId="77777777" w:rsidR="00B654BF" w:rsidRDefault="00B654BF" w:rsidP="0093436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35E570" w14:textId="79069B1E" w:rsidR="00715110" w:rsidRDefault="00F86C27">
    <w:pPr>
      <w:pStyle w:val="Header"/>
    </w:pPr>
    <w:r>
      <w:rPr>
        <w:noProof/>
      </w:rPr>
      <mc:AlternateContent>
        <mc:Choice Requires="wps">
          <w:drawing>
            <wp:anchor distT="0" distB="0" distL="0" distR="0" simplePos="0" relativeHeight="251658242" behindDoc="0" locked="0" layoutInCell="1" allowOverlap="1" wp14:anchorId="0D79D0BA" wp14:editId="2206A5D1">
              <wp:simplePos x="635" y="635"/>
              <wp:positionH relativeFrom="page">
                <wp:align>center</wp:align>
              </wp:positionH>
              <wp:positionV relativeFrom="page">
                <wp:align>top</wp:align>
              </wp:positionV>
              <wp:extent cx="622300" cy="480695"/>
              <wp:effectExtent l="0" t="0" r="6350" b="14605"/>
              <wp:wrapNone/>
              <wp:docPr id="2119376657"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80695"/>
                      </a:xfrm>
                      <a:prstGeom prst="rect">
                        <a:avLst/>
                      </a:prstGeom>
                      <a:noFill/>
                      <a:ln>
                        <a:noFill/>
                      </a:ln>
                    </wps:spPr>
                    <wps:txbx>
                      <w:txbxContent>
                        <w:p w14:paraId="29FC5CFD" w14:textId="51881A3E" w:rsidR="00F86C27" w:rsidRPr="00F86C27" w:rsidRDefault="00F86C27" w:rsidP="00F86C27">
                          <w:pPr>
                            <w:spacing w:after="0"/>
                            <w:rPr>
                              <w:rFonts w:ascii="Aptos" w:eastAsia="Aptos" w:hAnsi="Aptos" w:cs="Aptos"/>
                              <w:noProof/>
                              <w:color w:val="FF0000"/>
                              <w:sz w:val="24"/>
                            </w:rPr>
                          </w:pPr>
                          <w:r w:rsidRPr="00F86C27">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D79D0BA" id="_x0000_t202" coordsize="21600,21600" o:spt="202" path="m,l,21600r21600,l21600,xe">
              <v:stroke joinstyle="miter"/>
              <v:path gradientshapeok="t" o:connecttype="rect"/>
            </v:shapetype>
            <v:shape id="Text Box 2" o:spid="_x0000_s1026" type="#_x0000_t202" alt="OFFICIAL" style="position:absolute;margin-left:0;margin-top:0;width:49pt;height:37.8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" filled="f" stroked="f">
              <v:textbox style="mso-fit-shape-to-text:t" inset="0,15pt,0,0">
                <w:txbxContent>
                  <w:p w14:paraId="29FC5CFD" w14:textId="51881A3E" w:rsidR="00F86C27" w:rsidRPr="00F86C27" w:rsidRDefault="00F86C27" w:rsidP="00F86C27">
                    <w:pPr>
                      <w:spacing w:after="0"/>
                      <w:rPr>
                        <w:rFonts w:ascii="Aptos" w:eastAsia="Aptos" w:hAnsi="Aptos" w:cs="Aptos"/>
                        <w:noProof/>
                        <w:color w:val="FF0000"/>
                        <w:sz w:val="24"/>
                      </w:rPr>
                    </w:pPr>
                    <w:r w:rsidRPr="00F86C27">
                      <w:rPr>
                        <w:rFonts w:ascii="Aptos" w:eastAsia="Aptos" w:hAnsi="Aptos" w:cs="Aptos"/>
                        <w:noProof/>
                        <w:color w:val="FF0000"/>
                        <w:sz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351B9C" w14:textId="3DFA526B" w:rsidR="00715110" w:rsidRDefault="00F86C27">
    <w:pPr>
      <w:pStyle w:val="Header"/>
    </w:pPr>
    <w:r>
      <w:rPr>
        <w:noProof/>
      </w:rPr>
      <mc:AlternateContent>
        <mc:Choice Requires="wps">
          <w:drawing>
            <wp:anchor distT="0" distB="0" distL="0" distR="0" simplePos="0" relativeHeight="251658243" behindDoc="0" locked="0" layoutInCell="1" allowOverlap="1" wp14:anchorId="47389808" wp14:editId="5214ECBB">
              <wp:simplePos x="635" y="635"/>
              <wp:positionH relativeFrom="page">
                <wp:align>center</wp:align>
              </wp:positionH>
              <wp:positionV relativeFrom="page">
                <wp:align>top</wp:align>
              </wp:positionV>
              <wp:extent cx="622300" cy="480695"/>
              <wp:effectExtent l="0" t="0" r="6350" b="14605"/>
              <wp:wrapNone/>
              <wp:docPr id="612906047"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80695"/>
                      </a:xfrm>
                      <a:prstGeom prst="rect">
                        <a:avLst/>
                      </a:prstGeom>
                      <a:noFill/>
                      <a:ln>
                        <a:noFill/>
                      </a:ln>
                    </wps:spPr>
                    <wps:txbx>
                      <w:txbxContent>
                        <w:p w14:paraId="54F25331" w14:textId="6F6E5770" w:rsidR="00F86C27" w:rsidRPr="00F86C27" w:rsidRDefault="00F86C27" w:rsidP="00F86C27">
                          <w:pPr>
                            <w:spacing w:after="0"/>
                            <w:rPr>
                              <w:rFonts w:ascii="Aptos" w:eastAsia="Aptos" w:hAnsi="Aptos" w:cs="Aptos"/>
                              <w:noProof/>
                              <w:color w:val="FF0000"/>
                              <w:sz w:val="24"/>
                            </w:rPr>
                          </w:pPr>
                          <w:r w:rsidRPr="00F86C27">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7389808" id="_x0000_t202" coordsize="21600,21600" o:spt="202" path="m,l,21600r21600,l21600,xe">
              <v:stroke joinstyle="miter"/>
              <v:path gradientshapeok="t" o:connecttype="rect"/>
            </v:shapetype>
            <v:shape id="Text Box 3" o:spid="_x0000_s1027" type="#_x0000_t202" alt="OFFICIAL" style="position:absolute;margin-left:0;margin-top:0;width:49pt;height:37.85pt;z-index:25165824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" filled="f" stroked="f">
              <v:textbox style="mso-fit-shape-to-text:t" inset="0,15pt,0,0">
                <w:txbxContent>
                  <w:p w14:paraId="54F25331" w14:textId="6F6E5770" w:rsidR="00F86C27" w:rsidRPr="00F86C27" w:rsidRDefault="00F86C27" w:rsidP="00F86C27">
                    <w:pPr>
                      <w:spacing w:after="0"/>
                      <w:rPr>
                        <w:rFonts w:ascii="Aptos" w:eastAsia="Aptos" w:hAnsi="Aptos" w:cs="Aptos"/>
                        <w:noProof/>
                        <w:color w:val="FF0000"/>
                        <w:sz w:val="24"/>
                      </w:rPr>
                    </w:pPr>
                    <w:r w:rsidRPr="00F86C27">
                      <w:rPr>
                        <w:rFonts w:ascii="Aptos" w:eastAsia="Aptos" w:hAnsi="Aptos" w:cs="Aptos"/>
                        <w:noProof/>
                        <w:color w:val="FF0000"/>
                        <w:sz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EF8657" w14:textId="1F20CA3B" w:rsidR="00751A23" w:rsidRDefault="00751A23" w:rsidP="00934368">
    <w:pPr>
      <w:pStyle w:val="Header"/>
    </w:pPr>
    <w:r>
      <w:rPr>
        <w:noProof/>
        <w:lang w:eastAsia="en-AU"/>
      </w:rPr>
      <w:drawing>
        <wp:anchor distT="0" distB="0" distL="114300" distR="114300" simplePos="0" relativeHeight="251658240" behindDoc="1" locked="0" layoutInCell="1" allowOverlap="1" wp14:anchorId="13BF03FD" wp14:editId="47FAF1EE">
          <wp:simplePos x="0" y="0"/>
          <wp:positionH relativeFrom="page">
            <wp:align>center</wp:align>
          </wp:positionH>
          <wp:positionV relativeFrom="page">
            <wp:align>center</wp:align>
          </wp:positionV>
          <wp:extent cx="7559245" cy="10692673"/>
          <wp:effectExtent l="0" t="0" r="0" b="1270"/>
          <wp:wrapNone/>
          <wp:docPr id="1983412394" name="Picture 198341239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9245" cy="10692673"/>
                  </a:xfrm>
                  <a:prstGeom prst="rect">
                    <a:avLst/>
                  </a:prstGeom>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2199E2" w14:textId="542DE1BD" w:rsidR="008E0C77" w:rsidRDefault="008E0C77" w:rsidP="00934368">
    <w:pPr>
      <w:pStyle w:val="Headertex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11526"/>
    <w:multiLevelType w:val="hybridMultilevel"/>
    <w:tmpl w:val="9BE888A2"/>
    <w:lvl w:ilvl="0" w:tplc="7E481060">
      <w:start w:val="1"/>
      <w:numFmt w:val="decimal"/>
      <w:pStyle w:val="Tablelistnumber"/>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4E20B73"/>
    <w:multiLevelType w:val="multilevel"/>
    <w:tmpl w:val="F3EC34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5671F1"/>
    <w:multiLevelType w:val="multilevel"/>
    <w:tmpl w:val="48729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3363506"/>
    <w:multiLevelType w:val="hybridMultilevel"/>
    <w:tmpl w:val="9FEA7CEA"/>
    <w:lvl w:ilvl="0" w:tplc="E96C518A">
      <w:start w:val="1"/>
      <w:numFmt w:val="bullet"/>
      <w:pStyle w:val="ListBullet"/>
      <w:lvlText w:val=""/>
      <w:lvlJc w:val="left"/>
      <w:pPr>
        <w:ind w:left="36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2DDD3816"/>
    <w:multiLevelType w:val="hybridMultilevel"/>
    <w:tmpl w:val="B1EC2FA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2FF04A34"/>
    <w:multiLevelType w:val="multilevel"/>
    <w:tmpl w:val="E3D4E5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4CD50FD"/>
    <w:multiLevelType w:val="hybridMultilevel"/>
    <w:tmpl w:val="2EC6E5F4"/>
    <w:lvl w:ilvl="0" w:tplc="E1921B64">
      <w:start w:val="1"/>
      <w:numFmt w:val="bullet"/>
      <w:pStyle w:val="ListNumber2"/>
      <w:lvlText w:val=""/>
      <w:lvlJc w:val="left"/>
      <w:pPr>
        <w:ind w:left="644" w:hanging="360"/>
      </w:pPr>
      <w:rPr>
        <w:rFonts w:ascii="Symbol" w:hAnsi="Symbol" w:hint="default"/>
        <w:color w:val="auto"/>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7" w15:restartNumberingAfterBreak="0">
    <w:nsid w:val="48116A4D"/>
    <w:multiLevelType w:val="multilevel"/>
    <w:tmpl w:val="ABB27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A682DED"/>
    <w:multiLevelType w:val="hybridMultilevel"/>
    <w:tmpl w:val="29D891B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51E0409D"/>
    <w:multiLevelType w:val="hybridMultilevel"/>
    <w:tmpl w:val="B9020172"/>
    <w:lvl w:ilvl="0" w:tplc="C4020892">
      <w:start w:val="1"/>
      <w:numFmt w:val="bullet"/>
      <w:pStyle w:val="ListNumber3"/>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 w15:restartNumberingAfterBreak="0">
    <w:nsid w:val="5BB91F8C"/>
    <w:multiLevelType w:val="multilevel"/>
    <w:tmpl w:val="D78E1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BCA2C96"/>
    <w:multiLevelType w:val="hybridMultilevel"/>
    <w:tmpl w:val="6310E6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5C1D0360"/>
    <w:multiLevelType w:val="multilevel"/>
    <w:tmpl w:val="40508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F5B67AC"/>
    <w:multiLevelType w:val="hybridMultilevel"/>
    <w:tmpl w:val="08585E1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645C6BC4"/>
    <w:multiLevelType w:val="multilevel"/>
    <w:tmpl w:val="35AA16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CF8287E"/>
    <w:multiLevelType w:val="hybridMultilevel"/>
    <w:tmpl w:val="FE2A36DA"/>
    <w:lvl w:ilvl="0" w:tplc="B6B6120E">
      <w:start w:val="1"/>
      <w:numFmt w:val="bullet"/>
      <w:pStyle w:val="Tablelist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6E254DE3"/>
    <w:multiLevelType w:val="hybridMultilevel"/>
    <w:tmpl w:val="8692FCF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6E866B02"/>
    <w:multiLevelType w:val="multilevel"/>
    <w:tmpl w:val="48729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790B5F8E"/>
    <w:multiLevelType w:val="hybridMultilevel"/>
    <w:tmpl w:val="4ED4928A"/>
    <w:lvl w:ilvl="0" w:tplc="1CBA5190">
      <w:start w:val="1"/>
      <w:numFmt w:val="bullet"/>
      <w:lvlText w:val=""/>
      <w:lvlJc w:val="left"/>
      <w:pPr>
        <w:ind w:left="1020" w:hanging="360"/>
      </w:pPr>
      <w:rPr>
        <w:rFonts w:ascii="Symbol" w:hAnsi="Symbol"/>
      </w:rPr>
    </w:lvl>
    <w:lvl w:ilvl="1" w:tplc="8C5AD40A">
      <w:start w:val="1"/>
      <w:numFmt w:val="bullet"/>
      <w:lvlText w:val=""/>
      <w:lvlJc w:val="left"/>
      <w:pPr>
        <w:ind w:left="1020" w:hanging="360"/>
      </w:pPr>
      <w:rPr>
        <w:rFonts w:ascii="Symbol" w:hAnsi="Symbol"/>
      </w:rPr>
    </w:lvl>
    <w:lvl w:ilvl="2" w:tplc="09102A50">
      <w:start w:val="1"/>
      <w:numFmt w:val="bullet"/>
      <w:lvlText w:val=""/>
      <w:lvlJc w:val="left"/>
      <w:pPr>
        <w:ind w:left="1020" w:hanging="360"/>
      </w:pPr>
      <w:rPr>
        <w:rFonts w:ascii="Symbol" w:hAnsi="Symbol"/>
      </w:rPr>
    </w:lvl>
    <w:lvl w:ilvl="3" w:tplc="BE708090">
      <w:start w:val="1"/>
      <w:numFmt w:val="bullet"/>
      <w:lvlText w:val=""/>
      <w:lvlJc w:val="left"/>
      <w:pPr>
        <w:ind w:left="1020" w:hanging="360"/>
      </w:pPr>
      <w:rPr>
        <w:rFonts w:ascii="Symbol" w:hAnsi="Symbol"/>
      </w:rPr>
    </w:lvl>
    <w:lvl w:ilvl="4" w:tplc="A7E2F43C">
      <w:start w:val="1"/>
      <w:numFmt w:val="bullet"/>
      <w:lvlText w:val=""/>
      <w:lvlJc w:val="left"/>
      <w:pPr>
        <w:ind w:left="1020" w:hanging="360"/>
      </w:pPr>
      <w:rPr>
        <w:rFonts w:ascii="Symbol" w:hAnsi="Symbol"/>
      </w:rPr>
    </w:lvl>
    <w:lvl w:ilvl="5" w:tplc="66BA8128">
      <w:start w:val="1"/>
      <w:numFmt w:val="bullet"/>
      <w:lvlText w:val=""/>
      <w:lvlJc w:val="left"/>
      <w:pPr>
        <w:ind w:left="1020" w:hanging="360"/>
      </w:pPr>
      <w:rPr>
        <w:rFonts w:ascii="Symbol" w:hAnsi="Symbol"/>
      </w:rPr>
    </w:lvl>
    <w:lvl w:ilvl="6" w:tplc="53E6F070">
      <w:start w:val="1"/>
      <w:numFmt w:val="bullet"/>
      <w:lvlText w:val=""/>
      <w:lvlJc w:val="left"/>
      <w:pPr>
        <w:ind w:left="1020" w:hanging="360"/>
      </w:pPr>
      <w:rPr>
        <w:rFonts w:ascii="Symbol" w:hAnsi="Symbol"/>
      </w:rPr>
    </w:lvl>
    <w:lvl w:ilvl="7" w:tplc="8C6C9708">
      <w:start w:val="1"/>
      <w:numFmt w:val="bullet"/>
      <w:lvlText w:val=""/>
      <w:lvlJc w:val="left"/>
      <w:pPr>
        <w:ind w:left="1020" w:hanging="360"/>
      </w:pPr>
      <w:rPr>
        <w:rFonts w:ascii="Symbol" w:hAnsi="Symbol"/>
      </w:rPr>
    </w:lvl>
    <w:lvl w:ilvl="8" w:tplc="B78C247C">
      <w:start w:val="1"/>
      <w:numFmt w:val="bullet"/>
      <w:lvlText w:val=""/>
      <w:lvlJc w:val="left"/>
      <w:pPr>
        <w:ind w:left="1020" w:hanging="360"/>
      </w:pPr>
      <w:rPr>
        <w:rFonts w:ascii="Symbol" w:hAnsi="Symbol"/>
      </w:rPr>
    </w:lvl>
  </w:abstractNum>
  <w:abstractNum w:abstractNumId="19" w15:restartNumberingAfterBreak="0">
    <w:nsid w:val="7E391716"/>
    <w:multiLevelType w:val="hybridMultilevel"/>
    <w:tmpl w:val="DDBC3032"/>
    <w:lvl w:ilvl="0" w:tplc="F4C86310">
      <w:start w:val="1"/>
      <w:numFmt w:val="bullet"/>
      <w:pStyle w:val="ListBullet2"/>
      <w:lvlText w:val="o"/>
      <w:lvlJc w:val="left"/>
      <w:pPr>
        <w:ind w:left="1004" w:hanging="360"/>
      </w:pPr>
      <w:rPr>
        <w:rFonts w:ascii="Courier New" w:hAnsi="Courier New" w:cs="Courier New"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num w:numId="1" w16cid:durableId="583033642">
    <w:abstractNumId w:val="3"/>
  </w:num>
  <w:num w:numId="2" w16cid:durableId="411392521">
    <w:abstractNumId w:val="6"/>
  </w:num>
  <w:num w:numId="3" w16cid:durableId="1149708572">
    <w:abstractNumId w:val="19"/>
  </w:num>
  <w:num w:numId="4" w16cid:durableId="759183430">
    <w:abstractNumId w:val="9"/>
  </w:num>
  <w:num w:numId="5" w16cid:durableId="936640889">
    <w:abstractNumId w:val="15"/>
  </w:num>
  <w:num w:numId="6" w16cid:durableId="682364219">
    <w:abstractNumId w:val="0"/>
  </w:num>
  <w:num w:numId="7" w16cid:durableId="109862901">
    <w:abstractNumId w:val="7"/>
  </w:num>
  <w:num w:numId="8" w16cid:durableId="1653101056">
    <w:abstractNumId w:val="2"/>
  </w:num>
  <w:num w:numId="9" w16cid:durableId="1736078421">
    <w:abstractNumId w:val="17"/>
  </w:num>
  <w:num w:numId="10" w16cid:durableId="1859200585">
    <w:abstractNumId w:val="10"/>
  </w:num>
  <w:num w:numId="11" w16cid:durableId="227545584">
    <w:abstractNumId w:val="18"/>
  </w:num>
  <w:num w:numId="12" w16cid:durableId="1584413947">
    <w:abstractNumId w:val="5"/>
  </w:num>
  <w:num w:numId="13" w16cid:durableId="957566120">
    <w:abstractNumId w:val="12"/>
  </w:num>
  <w:num w:numId="14" w16cid:durableId="1324970162">
    <w:abstractNumId w:val="1"/>
  </w:num>
  <w:num w:numId="15" w16cid:durableId="1410074606">
    <w:abstractNumId w:val="16"/>
  </w:num>
  <w:num w:numId="16" w16cid:durableId="1941641382">
    <w:abstractNumId w:val="11"/>
  </w:num>
  <w:num w:numId="17" w16cid:durableId="447049183">
    <w:abstractNumId w:val="8"/>
  </w:num>
  <w:num w:numId="18" w16cid:durableId="65349649">
    <w:abstractNumId w:val="4"/>
  </w:num>
  <w:num w:numId="19" w16cid:durableId="439228406">
    <w:abstractNumId w:val="14"/>
  </w:num>
  <w:num w:numId="20" w16cid:durableId="1997103386">
    <w:abstractNumId w:val="13"/>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6"/>
  <w:proofState w:spelling="clean" w:grammar="clean"/>
  <w:attachedTemplate r:id="rId1"/>
  <w:stylePaneFormatFilter w:val="7F24" w:allStyles="0" w:customStyles="0" w:latentStyles="1" w:stylesInUse="0" w:headingStyles="1" w:numberingStyles="0" w:tableStyles="0" w:directFormattingOnRuns="1" w:directFormattingOnParagraphs="1" w:directFormattingOnNumbering="1" w:directFormattingOnTables="1" w:clearFormatting="1" w:top3HeadingStyles="1" w:visibleStyles="1" w:alternateStyleNames="0"/>
  <w:stylePaneSortMethod w:val="0000"/>
  <w:documentProtection w:formatting="1"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42EE"/>
    <w:rsid w:val="00000EDD"/>
    <w:rsid w:val="0000102B"/>
    <w:rsid w:val="00001C7D"/>
    <w:rsid w:val="00001E4A"/>
    <w:rsid w:val="00001F41"/>
    <w:rsid w:val="00002B4F"/>
    <w:rsid w:val="00003743"/>
    <w:rsid w:val="000047B4"/>
    <w:rsid w:val="00005712"/>
    <w:rsid w:val="00007FD8"/>
    <w:rsid w:val="00010803"/>
    <w:rsid w:val="000117F8"/>
    <w:rsid w:val="00012314"/>
    <w:rsid w:val="0001307F"/>
    <w:rsid w:val="00015CB5"/>
    <w:rsid w:val="000208CA"/>
    <w:rsid w:val="00026139"/>
    <w:rsid w:val="00027071"/>
    <w:rsid w:val="00027601"/>
    <w:rsid w:val="00033321"/>
    <w:rsid w:val="00033878"/>
    <w:rsid w:val="000338E5"/>
    <w:rsid w:val="00033ECC"/>
    <w:rsid w:val="0003422F"/>
    <w:rsid w:val="0003645A"/>
    <w:rsid w:val="00037B66"/>
    <w:rsid w:val="00040075"/>
    <w:rsid w:val="000417F0"/>
    <w:rsid w:val="0004326F"/>
    <w:rsid w:val="000432E9"/>
    <w:rsid w:val="00043CE2"/>
    <w:rsid w:val="00044571"/>
    <w:rsid w:val="00046FF0"/>
    <w:rsid w:val="00050176"/>
    <w:rsid w:val="00053DFA"/>
    <w:rsid w:val="00054EE3"/>
    <w:rsid w:val="000558BD"/>
    <w:rsid w:val="00056299"/>
    <w:rsid w:val="00056439"/>
    <w:rsid w:val="00060A04"/>
    <w:rsid w:val="000610BE"/>
    <w:rsid w:val="000621F8"/>
    <w:rsid w:val="00062B65"/>
    <w:rsid w:val="000641B5"/>
    <w:rsid w:val="0006488F"/>
    <w:rsid w:val="00064A10"/>
    <w:rsid w:val="00064A96"/>
    <w:rsid w:val="00065051"/>
    <w:rsid w:val="000655E5"/>
    <w:rsid w:val="00067456"/>
    <w:rsid w:val="00070353"/>
    <w:rsid w:val="0007073D"/>
    <w:rsid w:val="0007121B"/>
    <w:rsid w:val="00071506"/>
    <w:rsid w:val="0007154F"/>
    <w:rsid w:val="0007346F"/>
    <w:rsid w:val="000743D5"/>
    <w:rsid w:val="00080EA9"/>
    <w:rsid w:val="00081AB1"/>
    <w:rsid w:val="00083523"/>
    <w:rsid w:val="0008507E"/>
    <w:rsid w:val="00085C0A"/>
    <w:rsid w:val="00087962"/>
    <w:rsid w:val="00090316"/>
    <w:rsid w:val="00090F81"/>
    <w:rsid w:val="00093905"/>
    <w:rsid w:val="00093981"/>
    <w:rsid w:val="00093CD9"/>
    <w:rsid w:val="000943F6"/>
    <w:rsid w:val="000952A6"/>
    <w:rsid w:val="00096A32"/>
    <w:rsid w:val="00097C6C"/>
    <w:rsid w:val="000A24E2"/>
    <w:rsid w:val="000A4114"/>
    <w:rsid w:val="000B02E4"/>
    <w:rsid w:val="000B067A"/>
    <w:rsid w:val="000B1540"/>
    <w:rsid w:val="000B1FF5"/>
    <w:rsid w:val="000B27BD"/>
    <w:rsid w:val="000B33FD"/>
    <w:rsid w:val="000B4ABA"/>
    <w:rsid w:val="000B6872"/>
    <w:rsid w:val="000C1629"/>
    <w:rsid w:val="000C4B16"/>
    <w:rsid w:val="000C50C3"/>
    <w:rsid w:val="000D0142"/>
    <w:rsid w:val="000D05EE"/>
    <w:rsid w:val="000D0621"/>
    <w:rsid w:val="000D0C3D"/>
    <w:rsid w:val="000D21F6"/>
    <w:rsid w:val="000D2503"/>
    <w:rsid w:val="000D3856"/>
    <w:rsid w:val="000D3F1C"/>
    <w:rsid w:val="000D42C3"/>
    <w:rsid w:val="000D4500"/>
    <w:rsid w:val="000D491D"/>
    <w:rsid w:val="000D4B1C"/>
    <w:rsid w:val="000D5080"/>
    <w:rsid w:val="000D7AEA"/>
    <w:rsid w:val="000D7EB7"/>
    <w:rsid w:val="000E01A9"/>
    <w:rsid w:val="000E0BE5"/>
    <w:rsid w:val="000E2097"/>
    <w:rsid w:val="000E2C66"/>
    <w:rsid w:val="000E2DB7"/>
    <w:rsid w:val="000E2F2A"/>
    <w:rsid w:val="000E45B7"/>
    <w:rsid w:val="000E6885"/>
    <w:rsid w:val="000E6E7D"/>
    <w:rsid w:val="000F123C"/>
    <w:rsid w:val="000F262B"/>
    <w:rsid w:val="000F2FED"/>
    <w:rsid w:val="000F3C03"/>
    <w:rsid w:val="000F5886"/>
    <w:rsid w:val="00100927"/>
    <w:rsid w:val="00100AB0"/>
    <w:rsid w:val="001018A6"/>
    <w:rsid w:val="00101C88"/>
    <w:rsid w:val="00101ED3"/>
    <w:rsid w:val="001034AD"/>
    <w:rsid w:val="0010524F"/>
    <w:rsid w:val="0010616D"/>
    <w:rsid w:val="00110478"/>
    <w:rsid w:val="00110832"/>
    <w:rsid w:val="00113727"/>
    <w:rsid w:val="00113D2D"/>
    <w:rsid w:val="0011422B"/>
    <w:rsid w:val="001145C5"/>
    <w:rsid w:val="00114966"/>
    <w:rsid w:val="00115379"/>
    <w:rsid w:val="00115A49"/>
    <w:rsid w:val="00115C5B"/>
    <w:rsid w:val="001164CD"/>
    <w:rsid w:val="00116F3C"/>
    <w:rsid w:val="0011711B"/>
    <w:rsid w:val="00117893"/>
    <w:rsid w:val="00117F8A"/>
    <w:rsid w:val="001213F3"/>
    <w:rsid w:val="00121B9B"/>
    <w:rsid w:val="00121D93"/>
    <w:rsid w:val="00122830"/>
    <w:rsid w:val="00122ADC"/>
    <w:rsid w:val="00123FF5"/>
    <w:rsid w:val="0012413F"/>
    <w:rsid w:val="0012496C"/>
    <w:rsid w:val="001253CC"/>
    <w:rsid w:val="00125F6F"/>
    <w:rsid w:val="00126EED"/>
    <w:rsid w:val="001278C0"/>
    <w:rsid w:val="00127EF5"/>
    <w:rsid w:val="00130F59"/>
    <w:rsid w:val="001311DC"/>
    <w:rsid w:val="00133CB9"/>
    <w:rsid w:val="00133EC0"/>
    <w:rsid w:val="00134326"/>
    <w:rsid w:val="00135D5B"/>
    <w:rsid w:val="00135E70"/>
    <w:rsid w:val="00136434"/>
    <w:rsid w:val="00137AD0"/>
    <w:rsid w:val="00140AA8"/>
    <w:rsid w:val="00141CE5"/>
    <w:rsid w:val="0014261F"/>
    <w:rsid w:val="0014281C"/>
    <w:rsid w:val="00144908"/>
    <w:rsid w:val="00144939"/>
    <w:rsid w:val="001449AC"/>
    <w:rsid w:val="00146984"/>
    <w:rsid w:val="00146A48"/>
    <w:rsid w:val="00146B57"/>
    <w:rsid w:val="00146F28"/>
    <w:rsid w:val="00147B6C"/>
    <w:rsid w:val="00147F74"/>
    <w:rsid w:val="00150729"/>
    <w:rsid w:val="00150C01"/>
    <w:rsid w:val="00152D71"/>
    <w:rsid w:val="001535A8"/>
    <w:rsid w:val="00153D99"/>
    <w:rsid w:val="00155503"/>
    <w:rsid w:val="001571C7"/>
    <w:rsid w:val="00161094"/>
    <w:rsid w:val="00162B3C"/>
    <w:rsid w:val="00166977"/>
    <w:rsid w:val="00166E15"/>
    <w:rsid w:val="00170068"/>
    <w:rsid w:val="00171604"/>
    <w:rsid w:val="00172A55"/>
    <w:rsid w:val="00175034"/>
    <w:rsid w:val="001758CD"/>
    <w:rsid w:val="00176338"/>
    <w:rsid w:val="0017665C"/>
    <w:rsid w:val="00177AC7"/>
    <w:rsid w:val="00177AD2"/>
    <w:rsid w:val="00177B70"/>
    <w:rsid w:val="001806B5"/>
    <w:rsid w:val="0018120C"/>
    <w:rsid w:val="001815A8"/>
    <w:rsid w:val="0018166D"/>
    <w:rsid w:val="001840FA"/>
    <w:rsid w:val="001853FA"/>
    <w:rsid w:val="00186667"/>
    <w:rsid w:val="00190079"/>
    <w:rsid w:val="00190B27"/>
    <w:rsid w:val="00191F19"/>
    <w:rsid w:val="001920D3"/>
    <w:rsid w:val="001948F8"/>
    <w:rsid w:val="00194D08"/>
    <w:rsid w:val="0019622E"/>
    <w:rsid w:val="001966A7"/>
    <w:rsid w:val="001A0167"/>
    <w:rsid w:val="001A4324"/>
    <w:rsid w:val="001A4627"/>
    <w:rsid w:val="001A4979"/>
    <w:rsid w:val="001A6B11"/>
    <w:rsid w:val="001A6FCE"/>
    <w:rsid w:val="001B15D3"/>
    <w:rsid w:val="001B23E3"/>
    <w:rsid w:val="001B255F"/>
    <w:rsid w:val="001B2AFC"/>
    <w:rsid w:val="001B3443"/>
    <w:rsid w:val="001B3C3F"/>
    <w:rsid w:val="001B55BB"/>
    <w:rsid w:val="001B7839"/>
    <w:rsid w:val="001B788D"/>
    <w:rsid w:val="001C0326"/>
    <w:rsid w:val="001C192F"/>
    <w:rsid w:val="001C3C42"/>
    <w:rsid w:val="001C7AB3"/>
    <w:rsid w:val="001D113F"/>
    <w:rsid w:val="001D4347"/>
    <w:rsid w:val="001D6331"/>
    <w:rsid w:val="001D745C"/>
    <w:rsid w:val="001D7869"/>
    <w:rsid w:val="001E03CF"/>
    <w:rsid w:val="001E12DF"/>
    <w:rsid w:val="001E27EB"/>
    <w:rsid w:val="001E37DB"/>
    <w:rsid w:val="001E4ED1"/>
    <w:rsid w:val="001E7FCC"/>
    <w:rsid w:val="001F03EE"/>
    <w:rsid w:val="001F0702"/>
    <w:rsid w:val="001F0991"/>
    <w:rsid w:val="001F0A93"/>
    <w:rsid w:val="001F1161"/>
    <w:rsid w:val="001F1581"/>
    <w:rsid w:val="001F1B45"/>
    <w:rsid w:val="001F2841"/>
    <w:rsid w:val="001F2F78"/>
    <w:rsid w:val="002006E8"/>
    <w:rsid w:val="00201759"/>
    <w:rsid w:val="002026CD"/>
    <w:rsid w:val="002033FC"/>
    <w:rsid w:val="002044BB"/>
    <w:rsid w:val="00204696"/>
    <w:rsid w:val="002066C8"/>
    <w:rsid w:val="00210B09"/>
    <w:rsid w:val="00210C9E"/>
    <w:rsid w:val="00211840"/>
    <w:rsid w:val="002119CC"/>
    <w:rsid w:val="00211EF9"/>
    <w:rsid w:val="0021462A"/>
    <w:rsid w:val="00214EEB"/>
    <w:rsid w:val="002164F9"/>
    <w:rsid w:val="002168A2"/>
    <w:rsid w:val="002171B9"/>
    <w:rsid w:val="002171FD"/>
    <w:rsid w:val="0022012D"/>
    <w:rsid w:val="00220992"/>
    <w:rsid w:val="00220DC6"/>
    <w:rsid w:val="00220E5F"/>
    <w:rsid w:val="002212B5"/>
    <w:rsid w:val="00225A06"/>
    <w:rsid w:val="00226668"/>
    <w:rsid w:val="00227D06"/>
    <w:rsid w:val="00233809"/>
    <w:rsid w:val="00234905"/>
    <w:rsid w:val="002351EC"/>
    <w:rsid w:val="00237E3E"/>
    <w:rsid w:val="00240046"/>
    <w:rsid w:val="00240216"/>
    <w:rsid w:val="00240732"/>
    <w:rsid w:val="002418EE"/>
    <w:rsid w:val="00242EAA"/>
    <w:rsid w:val="00244558"/>
    <w:rsid w:val="00245314"/>
    <w:rsid w:val="00245570"/>
    <w:rsid w:val="00245654"/>
    <w:rsid w:val="00245ECD"/>
    <w:rsid w:val="00246667"/>
    <w:rsid w:val="0024733F"/>
    <w:rsid w:val="0024797F"/>
    <w:rsid w:val="0025119E"/>
    <w:rsid w:val="00251269"/>
    <w:rsid w:val="002535C0"/>
    <w:rsid w:val="00255C63"/>
    <w:rsid w:val="0025707B"/>
    <w:rsid w:val="002579FE"/>
    <w:rsid w:val="00257E7E"/>
    <w:rsid w:val="0026311C"/>
    <w:rsid w:val="00263B45"/>
    <w:rsid w:val="002652B1"/>
    <w:rsid w:val="0026668C"/>
    <w:rsid w:val="00266AC1"/>
    <w:rsid w:val="0026756B"/>
    <w:rsid w:val="0027178C"/>
    <w:rsid w:val="002719FA"/>
    <w:rsid w:val="002723DC"/>
    <w:rsid w:val="00272668"/>
    <w:rsid w:val="00272FB7"/>
    <w:rsid w:val="0027330B"/>
    <w:rsid w:val="0027378D"/>
    <w:rsid w:val="00274083"/>
    <w:rsid w:val="002803AD"/>
    <w:rsid w:val="002812F5"/>
    <w:rsid w:val="00282052"/>
    <w:rsid w:val="00282336"/>
    <w:rsid w:val="00283CFD"/>
    <w:rsid w:val="0028519E"/>
    <w:rsid w:val="002856A5"/>
    <w:rsid w:val="002872ED"/>
    <w:rsid w:val="002905C2"/>
    <w:rsid w:val="00290CB2"/>
    <w:rsid w:val="00292A30"/>
    <w:rsid w:val="00295AF2"/>
    <w:rsid w:val="00295C91"/>
    <w:rsid w:val="00297151"/>
    <w:rsid w:val="00297573"/>
    <w:rsid w:val="002A0242"/>
    <w:rsid w:val="002A0910"/>
    <w:rsid w:val="002A0E64"/>
    <w:rsid w:val="002A1CD7"/>
    <w:rsid w:val="002A20AC"/>
    <w:rsid w:val="002A20EB"/>
    <w:rsid w:val="002A4B62"/>
    <w:rsid w:val="002A4DD6"/>
    <w:rsid w:val="002A5236"/>
    <w:rsid w:val="002A6DD7"/>
    <w:rsid w:val="002A701E"/>
    <w:rsid w:val="002A792F"/>
    <w:rsid w:val="002B141C"/>
    <w:rsid w:val="002B17CA"/>
    <w:rsid w:val="002B1FB7"/>
    <w:rsid w:val="002B20E6"/>
    <w:rsid w:val="002B42A3"/>
    <w:rsid w:val="002B4BD2"/>
    <w:rsid w:val="002B75D2"/>
    <w:rsid w:val="002B7D19"/>
    <w:rsid w:val="002C0CDD"/>
    <w:rsid w:val="002C42B3"/>
    <w:rsid w:val="002C4ED1"/>
    <w:rsid w:val="002C69EE"/>
    <w:rsid w:val="002D11CA"/>
    <w:rsid w:val="002D3F63"/>
    <w:rsid w:val="002D4718"/>
    <w:rsid w:val="002D59EF"/>
    <w:rsid w:val="002E0D6B"/>
    <w:rsid w:val="002E0F13"/>
    <w:rsid w:val="002E0FC9"/>
    <w:rsid w:val="002E1A1D"/>
    <w:rsid w:val="002E1D00"/>
    <w:rsid w:val="002E2B55"/>
    <w:rsid w:val="002E4081"/>
    <w:rsid w:val="002E5B78"/>
    <w:rsid w:val="002F0717"/>
    <w:rsid w:val="002F1B91"/>
    <w:rsid w:val="002F34A8"/>
    <w:rsid w:val="002F3AE3"/>
    <w:rsid w:val="002F463C"/>
    <w:rsid w:val="002F4664"/>
    <w:rsid w:val="002F50C1"/>
    <w:rsid w:val="002F64BA"/>
    <w:rsid w:val="00301927"/>
    <w:rsid w:val="00301CDF"/>
    <w:rsid w:val="0030464B"/>
    <w:rsid w:val="00304F88"/>
    <w:rsid w:val="00305F0E"/>
    <w:rsid w:val="003072E5"/>
    <w:rsid w:val="0030786C"/>
    <w:rsid w:val="00311085"/>
    <w:rsid w:val="0031298C"/>
    <w:rsid w:val="00314780"/>
    <w:rsid w:val="00315912"/>
    <w:rsid w:val="0031674F"/>
    <w:rsid w:val="00317922"/>
    <w:rsid w:val="0032055F"/>
    <w:rsid w:val="00323077"/>
    <w:rsid w:val="003233DE"/>
    <w:rsid w:val="0032466B"/>
    <w:rsid w:val="00324985"/>
    <w:rsid w:val="00327B44"/>
    <w:rsid w:val="00332AD3"/>
    <w:rsid w:val="003330EB"/>
    <w:rsid w:val="003339CE"/>
    <w:rsid w:val="00334ED5"/>
    <w:rsid w:val="00335950"/>
    <w:rsid w:val="003361CF"/>
    <w:rsid w:val="00336495"/>
    <w:rsid w:val="00336605"/>
    <w:rsid w:val="00336B0F"/>
    <w:rsid w:val="003373EC"/>
    <w:rsid w:val="00340872"/>
    <w:rsid w:val="00340FCD"/>
    <w:rsid w:val="0034131A"/>
    <w:rsid w:val="003415FD"/>
    <w:rsid w:val="00341C8C"/>
    <w:rsid w:val="003429F0"/>
    <w:rsid w:val="00342EDC"/>
    <w:rsid w:val="003442F4"/>
    <w:rsid w:val="0034458F"/>
    <w:rsid w:val="00344AFD"/>
    <w:rsid w:val="00344FD5"/>
    <w:rsid w:val="00345FBB"/>
    <w:rsid w:val="0035097A"/>
    <w:rsid w:val="003514C6"/>
    <w:rsid w:val="0035388F"/>
    <w:rsid w:val="003540A4"/>
    <w:rsid w:val="00356C06"/>
    <w:rsid w:val="00357703"/>
    <w:rsid w:val="00360E4E"/>
    <w:rsid w:val="00360E89"/>
    <w:rsid w:val="003631BA"/>
    <w:rsid w:val="0036334D"/>
    <w:rsid w:val="00364053"/>
    <w:rsid w:val="0036535F"/>
    <w:rsid w:val="00365DBA"/>
    <w:rsid w:val="00370AAA"/>
    <w:rsid w:val="003721C5"/>
    <w:rsid w:val="00373072"/>
    <w:rsid w:val="003743BA"/>
    <w:rsid w:val="00374B41"/>
    <w:rsid w:val="00375009"/>
    <w:rsid w:val="00375F77"/>
    <w:rsid w:val="00377A78"/>
    <w:rsid w:val="00381BBE"/>
    <w:rsid w:val="003826D4"/>
    <w:rsid w:val="00382903"/>
    <w:rsid w:val="003846FF"/>
    <w:rsid w:val="003847E3"/>
    <w:rsid w:val="00384D63"/>
    <w:rsid w:val="00385AD4"/>
    <w:rsid w:val="003872C7"/>
    <w:rsid w:val="00387924"/>
    <w:rsid w:val="0039042E"/>
    <w:rsid w:val="00391A3D"/>
    <w:rsid w:val="00391A77"/>
    <w:rsid w:val="00393071"/>
    <w:rsid w:val="003930CC"/>
    <w:rsid w:val="0039384D"/>
    <w:rsid w:val="003938EF"/>
    <w:rsid w:val="003947D8"/>
    <w:rsid w:val="00395C23"/>
    <w:rsid w:val="003960D4"/>
    <w:rsid w:val="003A0DD2"/>
    <w:rsid w:val="003A2E4F"/>
    <w:rsid w:val="003A3E2D"/>
    <w:rsid w:val="003A4190"/>
    <w:rsid w:val="003A4438"/>
    <w:rsid w:val="003A4A39"/>
    <w:rsid w:val="003A5013"/>
    <w:rsid w:val="003A5078"/>
    <w:rsid w:val="003A5556"/>
    <w:rsid w:val="003A57CE"/>
    <w:rsid w:val="003A62DD"/>
    <w:rsid w:val="003A726F"/>
    <w:rsid w:val="003A775A"/>
    <w:rsid w:val="003B0253"/>
    <w:rsid w:val="003B090A"/>
    <w:rsid w:val="003B0DAB"/>
    <w:rsid w:val="003B213A"/>
    <w:rsid w:val="003B3D3E"/>
    <w:rsid w:val="003B43AD"/>
    <w:rsid w:val="003B4D9C"/>
    <w:rsid w:val="003B5F5C"/>
    <w:rsid w:val="003B6A35"/>
    <w:rsid w:val="003C0AFD"/>
    <w:rsid w:val="003C0FEC"/>
    <w:rsid w:val="003C15B8"/>
    <w:rsid w:val="003C2AC8"/>
    <w:rsid w:val="003C30FA"/>
    <w:rsid w:val="003C3453"/>
    <w:rsid w:val="003C46A6"/>
    <w:rsid w:val="003C7898"/>
    <w:rsid w:val="003D08D4"/>
    <w:rsid w:val="003D17F9"/>
    <w:rsid w:val="003D2213"/>
    <w:rsid w:val="003D2CFD"/>
    <w:rsid w:val="003D2D88"/>
    <w:rsid w:val="003D3E27"/>
    <w:rsid w:val="003D41EA"/>
    <w:rsid w:val="003D4850"/>
    <w:rsid w:val="003D535A"/>
    <w:rsid w:val="003D5C31"/>
    <w:rsid w:val="003E12A5"/>
    <w:rsid w:val="003E1D4D"/>
    <w:rsid w:val="003E2531"/>
    <w:rsid w:val="003E2648"/>
    <w:rsid w:val="003E4296"/>
    <w:rsid w:val="003E5265"/>
    <w:rsid w:val="003E74EE"/>
    <w:rsid w:val="003F04CF"/>
    <w:rsid w:val="003F0955"/>
    <w:rsid w:val="003F29BB"/>
    <w:rsid w:val="003F2FDE"/>
    <w:rsid w:val="003F4122"/>
    <w:rsid w:val="003F46F4"/>
    <w:rsid w:val="003F4799"/>
    <w:rsid w:val="003F4B62"/>
    <w:rsid w:val="003F6206"/>
    <w:rsid w:val="003F6B26"/>
    <w:rsid w:val="003F6FE1"/>
    <w:rsid w:val="00400F00"/>
    <w:rsid w:val="00401D59"/>
    <w:rsid w:val="00401F9D"/>
    <w:rsid w:val="00402240"/>
    <w:rsid w:val="00404478"/>
    <w:rsid w:val="00404F8B"/>
    <w:rsid w:val="00405256"/>
    <w:rsid w:val="00405629"/>
    <w:rsid w:val="00406782"/>
    <w:rsid w:val="00406FF9"/>
    <w:rsid w:val="00410031"/>
    <w:rsid w:val="004115A2"/>
    <w:rsid w:val="00412297"/>
    <w:rsid w:val="00413BEC"/>
    <w:rsid w:val="004141A1"/>
    <w:rsid w:val="00415C81"/>
    <w:rsid w:val="00416731"/>
    <w:rsid w:val="004174BA"/>
    <w:rsid w:val="00417D6D"/>
    <w:rsid w:val="00420D1F"/>
    <w:rsid w:val="00421576"/>
    <w:rsid w:val="00423204"/>
    <w:rsid w:val="00423862"/>
    <w:rsid w:val="00424418"/>
    <w:rsid w:val="004244FE"/>
    <w:rsid w:val="00426031"/>
    <w:rsid w:val="00426B0C"/>
    <w:rsid w:val="004306E1"/>
    <w:rsid w:val="00430F86"/>
    <w:rsid w:val="004321B1"/>
    <w:rsid w:val="00432378"/>
    <w:rsid w:val="004336C1"/>
    <w:rsid w:val="004338D9"/>
    <w:rsid w:val="00434EC6"/>
    <w:rsid w:val="00435D83"/>
    <w:rsid w:val="0043623A"/>
    <w:rsid w:val="004366FE"/>
    <w:rsid w:val="004375A3"/>
    <w:rsid w:val="00440D65"/>
    <w:rsid w:val="00441F96"/>
    <w:rsid w:val="004427DE"/>
    <w:rsid w:val="004435E6"/>
    <w:rsid w:val="00443905"/>
    <w:rsid w:val="0044390C"/>
    <w:rsid w:val="00443E8F"/>
    <w:rsid w:val="004442EE"/>
    <w:rsid w:val="00447364"/>
    <w:rsid w:val="00447E31"/>
    <w:rsid w:val="00450F24"/>
    <w:rsid w:val="00452290"/>
    <w:rsid w:val="00453923"/>
    <w:rsid w:val="00454B9B"/>
    <w:rsid w:val="0045653C"/>
    <w:rsid w:val="00457858"/>
    <w:rsid w:val="00460B0B"/>
    <w:rsid w:val="00461023"/>
    <w:rsid w:val="004612A8"/>
    <w:rsid w:val="0046262D"/>
    <w:rsid w:val="00462FAC"/>
    <w:rsid w:val="00464047"/>
    <w:rsid w:val="00464631"/>
    <w:rsid w:val="00464B44"/>
    <w:rsid w:val="00464B79"/>
    <w:rsid w:val="00466236"/>
    <w:rsid w:val="00466602"/>
    <w:rsid w:val="00467BBF"/>
    <w:rsid w:val="00470AA7"/>
    <w:rsid w:val="00471236"/>
    <w:rsid w:val="0047188D"/>
    <w:rsid w:val="00474A34"/>
    <w:rsid w:val="004751F6"/>
    <w:rsid w:val="00477CED"/>
    <w:rsid w:val="00483FF9"/>
    <w:rsid w:val="004867E2"/>
    <w:rsid w:val="0048766D"/>
    <w:rsid w:val="00487CBD"/>
    <w:rsid w:val="00490345"/>
    <w:rsid w:val="00491C28"/>
    <w:rsid w:val="004929A9"/>
    <w:rsid w:val="004957D2"/>
    <w:rsid w:val="00495DE3"/>
    <w:rsid w:val="00496592"/>
    <w:rsid w:val="004A1B7B"/>
    <w:rsid w:val="004A3A9B"/>
    <w:rsid w:val="004A7B71"/>
    <w:rsid w:val="004B0672"/>
    <w:rsid w:val="004B0FF6"/>
    <w:rsid w:val="004B2731"/>
    <w:rsid w:val="004B3D55"/>
    <w:rsid w:val="004B5137"/>
    <w:rsid w:val="004B7059"/>
    <w:rsid w:val="004C063C"/>
    <w:rsid w:val="004C0D99"/>
    <w:rsid w:val="004C2A73"/>
    <w:rsid w:val="004C2FEC"/>
    <w:rsid w:val="004C638D"/>
    <w:rsid w:val="004C6BCF"/>
    <w:rsid w:val="004D22C3"/>
    <w:rsid w:val="004D31DD"/>
    <w:rsid w:val="004D324D"/>
    <w:rsid w:val="004D58BF"/>
    <w:rsid w:val="004D5D69"/>
    <w:rsid w:val="004D6095"/>
    <w:rsid w:val="004D71D6"/>
    <w:rsid w:val="004D74C6"/>
    <w:rsid w:val="004D7701"/>
    <w:rsid w:val="004E144F"/>
    <w:rsid w:val="004E1592"/>
    <w:rsid w:val="004E18FA"/>
    <w:rsid w:val="004E19C7"/>
    <w:rsid w:val="004E1C57"/>
    <w:rsid w:val="004E4335"/>
    <w:rsid w:val="004E4A74"/>
    <w:rsid w:val="004E5ACF"/>
    <w:rsid w:val="004E6FF8"/>
    <w:rsid w:val="004F03DB"/>
    <w:rsid w:val="004F0C18"/>
    <w:rsid w:val="004F0E3B"/>
    <w:rsid w:val="004F13EE"/>
    <w:rsid w:val="004F1F85"/>
    <w:rsid w:val="004F2022"/>
    <w:rsid w:val="004F24D1"/>
    <w:rsid w:val="004F3245"/>
    <w:rsid w:val="004F3919"/>
    <w:rsid w:val="004F4DBA"/>
    <w:rsid w:val="004F4FB3"/>
    <w:rsid w:val="004F5C2D"/>
    <w:rsid w:val="004F5FBC"/>
    <w:rsid w:val="004F7C05"/>
    <w:rsid w:val="00500F96"/>
    <w:rsid w:val="00501C94"/>
    <w:rsid w:val="00502C14"/>
    <w:rsid w:val="00505781"/>
    <w:rsid w:val="00506432"/>
    <w:rsid w:val="00506974"/>
    <w:rsid w:val="00506CA8"/>
    <w:rsid w:val="00510BDD"/>
    <w:rsid w:val="00511B6B"/>
    <w:rsid w:val="0051219B"/>
    <w:rsid w:val="0051242B"/>
    <w:rsid w:val="005141A8"/>
    <w:rsid w:val="005146F1"/>
    <w:rsid w:val="00514A9E"/>
    <w:rsid w:val="00514B5D"/>
    <w:rsid w:val="00515C2E"/>
    <w:rsid w:val="00515F69"/>
    <w:rsid w:val="00515FF5"/>
    <w:rsid w:val="00516620"/>
    <w:rsid w:val="0052051D"/>
    <w:rsid w:val="005209B6"/>
    <w:rsid w:val="00525DAF"/>
    <w:rsid w:val="00526001"/>
    <w:rsid w:val="00530439"/>
    <w:rsid w:val="00530D7E"/>
    <w:rsid w:val="005333A7"/>
    <w:rsid w:val="00534AF3"/>
    <w:rsid w:val="005351D7"/>
    <w:rsid w:val="00536927"/>
    <w:rsid w:val="005369D3"/>
    <w:rsid w:val="0053744D"/>
    <w:rsid w:val="00545EE6"/>
    <w:rsid w:val="00546139"/>
    <w:rsid w:val="00547730"/>
    <w:rsid w:val="00551278"/>
    <w:rsid w:val="00551863"/>
    <w:rsid w:val="0055339F"/>
    <w:rsid w:val="00553A85"/>
    <w:rsid w:val="005550E7"/>
    <w:rsid w:val="00555455"/>
    <w:rsid w:val="005558DF"/>
    <w:rsid w:val="00555F1E"/>
    <w:rsid w:val="005564FB"/>
    <w:rsid w:val="0055668B"/>
    <w:rsid w:val="005572C7"/>
    <w:rsid w:val="00557A0A"/>
    <w:rsid w:val="00560B7F"/>
    <w:rsid w:val="005614CF"/>
    <w:rsid w:val="00561C2B"/>
    <w:rsid w:val="00564000"/>
    <w:rsid w:val="005650ED"/>
    <w:rsid w:val="00572ADF"/>
    <w:rsid w:val="00574ECF"/>
    <w:rsid w:val="00574F7A"/>
    <w:rsid w:val="00575754"/>
    <w:rsid w:val="005814A1"/>
    <w:rsid w:val="00581FA6"/>
    <w:rsid w:val="005842DD"/>
    <w:rsid w:val="0058651F"/>
    <w:rsid w:val="0059033B"/>
    <w:rsid w:val="00591E20"/>
    <w:rsid w:val="00593816"/>
    <w:rsid w:val="00594339"/>
    <w:rsid w:val="00594561"/>
    <w:rsid w:val="00595408"/>
    <w:rsid w:val="005959A5"/>
    <w:rsid w:val="00595E84"/>
    <w:rsid w:val="00597D79"/>
    <w:rsid w:val="005A0C59"/>
    <w:rsid w:val="005A257D"/>
    <w:rsid w:val="005A2ACB"/>
    <w:rsid w:val="005A2D66"/>
    <w:rsid w:val="005A3CF5"/>
    <w:rsid w:val="005A4558"/>
    <w:rsid w:val="005A48EB"/>
    <w:rsid w:val="005A6CFB"/>
    <w:rsid w:val="005A7849"/>
    <w:rsid w:val="005B28A2"/>
    <w:rsid w:val="005B3333"/>
    <w:rsid w:val="005C1394"/>
    <w:rsid w:val="005C5AEB"/>
    <w:rsid w:val="005C5BF8"/>
    <w:rsid w:val="005C69B8"/>
    <w:rsid w:val="005D396D"/>
    <w:rsid w:val="005D6D1D"/>
    <w:rsid w:val="005D7F5C"/>
    <w:rsid w:val="005E0982"/>
    <w:rsid w:val="005E0A3F"/>
    <w:rsid w:val="005E0A70"/>
    <w:rsid w:val="005E1717"/>
    <w:rsid w:val="005E5691"/>
    <w:rsid w:val="005E6089"/>
    <w:rsid w:val="005E63A2"/>
    <w:rsid w:val="005E6883"/>
    <w:rsid w:val="005E7084"/>
    <w:rsid w:val="005E772F"/>
    <w:rsid w:val="005F0518"/>
    <w:rsid w:val="005F3288"/>
    <w:rsid w:val="005F38C9"/>
    <w:rsid w:val="005F3933"/>
    <w:rsid w:val="005F4B31"/>
    <w:rsid w:val="005F4ECA"/>
    <w:rsid w:val="005F6107"/>
    <w:rsid w:val="005F7060"/>
    <w:rsid w:val="005F70AF"/>
    <w:rsid w:val="005F734B"/>
    <w:rsid w:val="00601205"/>
    <w:rsid w:val="006041BE"/>
    <w:rsid w:val="006041FB"/>
    <w:rsid w:val="006043C7"/>
    <w:rsid w:val="006073DE"/>
    <w:rsid w:val="00611428"/>
    <w:rsid w:val="006135FB"/>
    <w:rsid w:val="006142B6"/>
    <w:rsid w:val="006155F8"/>
    <w:rsid w:val="00616381"/>
    <w:rsid w:val="00616E4D"/>
    <w:rsid w:val="00617DAC"/>
    <w:rsid w:val="00620E98"/>
    <w:rsid w:val="00623C34"/>
    <w:rsid w:val="0062470A"/>
    <w:rsid w:val="00624B52"/>
    <w:rsid w:val="00625C80"/>
    <w:rsid w:val="00625CF7"/>
    <w:rsid w:val="00627D0A"/>
    <w:rsid w:val="006315E0"/>
    <w:rsid w:val="00631DF4"/>
    <w:rsid w:val="00633A95"/>
    <w:rsid w:val="00634175"/>
    <w:rsid w:val="00634374"/>
    <w:rsid w:val="00634EF0"/>
    <w:rsid w:val="006377B5"/>
    <w:rsid w:val="00640022"/>
    <w:rsid w:val="006408AC"/>
    <w:rsid w:val="0064093F"/>
    <w:rsid w:val="00640D22"/>
    <w:rsid w:val="00645807"/>
    <w:rsid w:val="00647421"/>
    <w:rsid w:val="006511B6"/>
    <w:rsid w:val="00652742"/>
    <w:rsid w:val="00652F96"/>
    <w:rsid w:val="0065368A"/>
    <w:rsid w:val="00655A70"/>
    <w:rsid w:val="00656A8F"/>
    <w:rsid w:val="00657FF8"/>
    <w:rsid w:val="00661675"/>
    <w:rsid w:val="00663C01"/>
    <w:rsid w:val="00664592"/>
    <w:rsid w:val="00665BD9"/>
    <w:rsid w:val="006676DD"/>
    <w:rsid w:val="00670D99"/>
    <w:rsid w:val="00670E2B"/>
    <w:rsid w:val="0067166F"/>
    <w:rsid w:val="00672743"/>
    <w:rsid w:val="006734BB"/>
    <w:rsid w:val="00673C02"/>
    <w:rsid w:val="0067731C"/>
    <w:rsid w:val="006774C2"/>
    <w:rsid w:val="00677B7B"/>
    <w:rsid w:val="00677D21"/>
    <w:rsid w:val="00680432"/>
    <w:rsid w:val="006813A6"/>
    <w:rsid w:val="00681A34"/>
    <w:rsid w:val="00681EF6"/>
    <w:rsid w:val="006821EB"/>
    <w:rsid w:val="00683DC5"/>
    <w:rsid w:val="006853A6"/>
    <w:rsid w:val="00685E9B"/>
    <w:rsid w:val="006911D6"/>
    <w:rsid w:val="00692619"/>
    <w:rsid w:val="00694771"/>
    <w:rsid w:val="006A0C15"/>
    <w:rsid w:val="006A3580"/>
    <w:rsid w:val="006A4112"/>
    <w:rsid w:val="006A44B4"/>
    <w:rsid w:val="006A6734"/>
    <w:rsid w:val="006B01CC"/>
    <w:rsid w:val="006B1761"/>
    <w:rsid w:val="006B1EB9"/>
    <w:rsid w:val="006B2286"/>
    <w:rsid w:val="006B2CE9"/>
    <w:rsid w:val="006B51E4"/>
    <w:rsid w:val="006B56BB"/>
    <w:rsid w:val="006B7648"/>
    <w:rsid w:val="006B7E43"/>
    <w:rsid w:val="006C3718"/>
    <w:rsid w:val="006C3C46"/>
    <w:rsid w:val="006C5675"/>
    <w:rsid w:val="006C77A8"/>
    <w:rsid w:val="006D0057"/>
    <w:rsid w:val="006D00FF"/>
    <w:rsid w:val="006D2EAA"/>
    <w:rsid w:val="006D4098"/>
    <w:rsid w:val="006D5C5E"/>
    <w:rsid w:val="006D7681"/>
    <w:rsid w:val="006D7AF3"/>
    <w:rsid w:val="006D7B2E"/>
    <w:rsid w:val="006E02EA"/>
    <w:rsid w:val="006E0968"/>
    <w:rsid w:val="006E14DB"/>
    <w:rsid w:val="006E180E"/>
    <w:rsid w:val="006E1A2D"/>
    <w:rsid w:val="006E2AF6"/>
    <w:rsid w:val="006E4C1C"/>
    <w:rsid w:val="006E5D22"/>
    <w:rsid w:val="006E7445"/>
    <w:rsid w:val="006E7AAD"/>
    <w:rsid w:val="006E7CA7"/>
    <w:rsid w:val="006F2951"/>
    <w:rsid w:val="006F2C75"/>
    <w:rsid w:val="00700430"/>
    <w:rsid w:val="00700ADE"/>
    <w:rsid w:val="00701275"/>
    <w:rsid w:val="0070263E"/>
    <w:rsid w:val="007029FA"/>
    <w:rsid w:val="00702BBF"/>
    <w:rsid w:val="00703096"/>
    <w:rsid w:val="00703180"/>
    <w:rsid w:val="0070338E"/>
    <w:rsid w:val="00704911"/>
    <w:rsid w:val="0070500F"/>
    <w:rsid w:val="00707F56"/>
    <w:rsid w:val="00710FB0"/>
    <w:rsid w:val="007115FF"/>
    <w:rsid w:val="00713558"/>
    <w:rsid w:val="00715110"/>
    <w:rsid w:val="00715968"/>
    <w:rsid w:val="0071705F"/>
    <w:rsid w:val="007171C0"/>
    <w:rsid w:val="00720288"/>
    <w:rsid w:val="007204DA"/>
    <w:rsid w:val="00720D08"/>
    <w:rsid w:val="0072118D"/>
    <w:rsid w:val="00722817"/>
    <w:rsid w:val="0072320C"/>
    <w:rsid w:val="0072498E"/>
    <w:rsid w:val="00724AF5"/>
    <w:rsid w:val="007253E7"/>
    <w:rsid w:val="0072597C"/>
    <w:rsid w:val="007263B9"/>
    <w:rsid w:val="007268EB"/>
    <w:rsid w:val="00726CB8"/>
    <w:rsid w:val="00730A7E"/>
    <w:rsid w:val="007334E4"/>
    <w:rsid w:val="007334F8"/>
    <w:rsid w:val="00733584"/>
    <w:rsid w:val="007335AD"/>
    <w:rsid w:val="00733865"/>
    <w:rsid w:val="007339CD"/>
    <w:rsid w:val="00733AF4"/>
    <w:rsid w:val="00734731"/>
    <w:rsid w:val="00735172"/>
    <w:rsid w:val="007354E5"/>
    <w:rsid w:val="007359D8"/>
    <w:rsid w:val="007362D4"/>
    <w:rsid w:val="00736756"/>
    <w:rsid w:val="00737A8C"/>
    <w:rsid w:val="007403E2"/>
    <w:rsid w:val="00743C29"/>
    <w:rsid w:val="007452EB"/>
    <w:rsid w:val="00747195"/>
    <w:rsid w:val="00750202"/>
    <w:rsid w:val="007509B7"/>
    <w:rsid w:val="00751A23"/>
    <w:rsid w:val="0075379C"/>
    <w:rsid w:val="00755A89"/>
    <w:rsid w:val="00756685"/>
    <w:rsid w:val="00760336"/>
    <w:rsid w:val="00760EEF"/>
    <w:rsid w:val="00764769"/>
    <w:rsid w:val="00764D4F"/>
    <w:rsid w:val="00764DD5"/>
    <w:rsid w:val="0076508F"/>
    <w:rsid w:val="00765657"/>
    <w:rsid w:val="0076672A"/>
    <w:rsid w:val="007667AC"/>
    <w:rsid w:val="00771061"/>
    <w:rsid w:val="00771117"/>
    <w:rsid w:val="007717AD"/>
    <w:rsid w:val="00771808"/>
    <w:rsid w:val="0077301C"/>
    <w:rsid w:val="007736F9"/>
    <w:rsid w:val="00775B4F"/>
    <w:rsid w:val="00775E45"/>
    <w:rsid w:val="00776D46"/>
    <w:rsid w:val="00776E74"/>
    <w:rsid w:val="00777743"/>
    <w:rsid w:val="00780407"/>
    <w:rsid w:val="007812C9"/>
    <w:rsid w:val="007838F4"/>
    <w:rsid w:val="00784A9A"/>
    <w:rsid w:val="00785169"/>
    <w:rsid w:val="00790A59"/>
    <w:rsid w:val="00790CF6"/>
    <w:rsid w:val="00790DB7"/>
    <w:rsid w:val="007914AF"/>
    <w:rsid w:val="007919B9"/>
    <w:rsid w:val="007923CD"/>
    <w:rsid w:val="007954AB"/>
    <w:rsid w:val="007972A0"/>
    <w:rsid w:val="007A14C5"/>
    <w:rsid w:val="007A36A3"/>
    <w:rsid w:val="007A3999"/>
    <w:rsid w:val="007A3E38"/>
    <w:rsid w:val="007A4A10"/>
    <w:rsid w:val="007A7B60"/>
    <w:rsid w:val="007B0545"/>
    <w:rsid w:val="007B118F"/>
    <w:rsid w:val="007B1760"/>
    <w:rsid w:val="007B1969"/>
    <w:rsid w:val="007B26FE"/>
    <w:rsid w:val="007B3D03"/>
    <w:rsid w:val="007B5BE7"/>
    <w:rsid w:val="007C19D0"/>
    <w:rsid w:val="007C236B"/>
    <w:rsid w:val="007C43D0"/>
    <w:rsid w:val="007C4DD3"/>
    <w:rsid w:val="007C520D"/>
    <w:rsid w:val="007C5BB2"/>
    <w:rsid w:val="007C6D9C"/>
    <w:rsid w:val="007C7387"/>
    <w:rsid w:val="007C7DDB"/>
    <w:rsid w:val="007D17F5"/>
    <w:rsid w:val="007D1F79"/>
    <w:rsid w:val="007D2CC7"/>
    <w:rsid w:val="007D2D03"/>
    <w:rsid w:val="007D3EA6"/>
    <w:rsid w:val="007D5240"/>
    <w:rsid w:val="007D673D"/>
    <w:rsid w:val="007D69D8"/>
    <w:rsid w:val="007D6D6B"/>
    <w:rsid w:val="007D7A5C"/>
    <w:rsid w:val="007E4C18"/>
    <w:rsid w:val="007E52DD"/>
    <w:rsid w:val="007E5651"/>
    <w:rsid w:val="007E6079"/>
    <w:rsid w:val="007F0698"/>
    <w:rsid w:val="007F08C1"/>
    <w:rsid w:val="007F1AE4"/>
    <w:rsid w:val="007F2220"/>
    <w:rsid w:val="007F229A"/>
    <w:rsid w:val="007F25F8"/>
    <w:rsid w:val="007F2D08"/>
    <w:rsid w:val="007F3069"/>
    <w:rsid w:val="007F4968"/>
    <w:rsid w:val="007F4B3E"/>
    <w:rsid w:val="007F4FAC"/>
    <w:rsid w:val="007F588A"/>
    <w:rsid w:val="0080040F"/>
    <w:rsid w:val="00800922"/>
    <w:rsid w:val="00805060"/>
    <w:rsid w:val="0080526E"/>
    <w:rsid w:val="00805D10"/>
    <w:rsid w:val="0081245C"/>
    <w:rsid w:val="008127AF"/>
    <w:rsid w:val="00812B46"/>
    <w:rsid w:val="00814094"/>
    <w:rsid w:val="00814C03"/>
    <w:rsid w:val="008152C5"/>
    <w:rsid w:val="00815700"/>
    <w:rsid w:val="00817B70"/>
    <w:rsid w:val="0082017F"/>
    <w:rsid w:val="00820B89"/>
    <w:rsid w:val="0082314E"/>
    <w:rsid w:val="00824000"/>
    <w:rsid w:val="008264EB"/>
    <w:rsid w:val="00826882"/>
    <w:rsid w:val="00826B8F"/>
    <w:rsid w:val="00826BCF"/>
    <w:rsid w:val="00831E8A"/>
    <w:rsid w:val="00835C76"/>
    <w:rsid w:val="008365AA"/>
    <w:rsid w:val="00837C47"/>
    <w:rsid w:val="00843049"/>
    <w:rsid w:val="00843543"/>
    <w:rsid w:val="00843697"/>
    <w:rsid w:val="00844BDA"/>
    <w:rsid w:val="00844C6F"/>
    <w:rsid w:val="00845E8F"/>
    <w:rsid w:val="0084731D"/>
    <w:rsid w:val="00847ED6"/>
    <w:rsid w:val="0085209B"/>
    <w:rsid w:val="00852BF6"/>
    <w:rsid w:val="0085546A"/>
    <w:rsid w:val="0085557A"/>
    <w:rsid w:val="00855BB0"/>
    <w:rsid w:val="008567E7"/>
    <w:rsid w:val="00856B66"/>
    <w:rsid w:val="00857309"/>
    <w:rsid w:val="008575B9"/>
    <w:rsid w:val="008604DF"/>
    <w:rsid w:val="0086092E"/>
    <w:rsid w:val="00860EDF"/>
    <w:rsid w:val="00861A5F"/>
    <w:rsid w:val="00861FCD"/>
    <w:rsid w:val="00863421"/>
    <w:rsid w:val="00864229"/>
    <w:rsid w:val="008644AD"/>
    <w:rsid w:val="00865735"/>
    <w:rsid w:val="008658D2"/>
    <w:rsid w:val="00865DDB"/>
    <w:rsid w:val="008661BC"/>
    <w:rsid w:val="00867538"/>
    <w:rsid w:val="00867676"/>
    <w:rsid w:val="0087043B"/>
    <w:rsid w:val="00870F00"/>
    <w:rsid w:val="008724FF"/>
    <w:rsid w:val="00873D90"/>
    <w:rsid w:val="00873FC8"/>
    <w:rsid w:val="00874151"/>
    <w:rsid w:val="00874745"/>
    <w:rsid w:val="008747AA"/>
    <w:rsid w:val="00875A94"/>
    <w:rsid w:val="0087637A"/>
    <w:rsid w:val="00880A18"/>
    <w:rsid w:val="0088469C"/>
    <w:rsid w:val="00884C63"/>
    <w:rsid w:val="00884CF4"/>
    <w:rsid w:val="0088509C"/>
    <w:rsid w:val="00885908"/>
    <w:rsid w:val="008864B7"/>
    <w:rsid w:val="00886AF6"/>
    <w:rsid w:val="00887483"/>
    <w:rsid w:val="00887ECC"/>
    <w:rsid w:val="00890EB2"/>
    <w:rsid w:val="00891CB8"/>
    <w:rsid w:val="00892D24"/>
    <w:rsid w:val="008932B0"/>
    <w:rsid w:val="00894ACC"/>
    <w:rsid w:val="0089500A"/>
    <w:rsid w:val="0089677E"/>
    <w:rsid w:val="00896E8C"/>
    <w:rsid w:val="00897E28"/>
    <w:rsid w:val="008A098C"/>
    <w:rsid w:val="008A2317"/>
    <w:rsid w:val="008A2FFE"/>
    <w:rsid w:val="008A49F3"/>
    <w:rsid w:val="008A6A38"/>
    <w:rsid w:val="008A7438"/>
    <w:rsid w:val="008A7444"/>
    <w:rsid w:val="008A77D9"/>
    <w:rsid w:val="008B01E4"/>
    <w:rsid w:val="008B1334"/>
    <w:rsid w:val="008B220B"/>
    <w:rsid w:val="008B3043"/>
    <w:rsid w:val="008B5A0C"/>
    <w:rsid w:val="008B60BB"/>
    <w:rsid w:val="008B7B1A"/>
    <w:rsid w:val="008C0236"/>
    <w:rsid w:val="008C0278"/>
    <w:rsid w:val="008C132F"/>
    <w:rsid w:val="008C1E78"/>
    <w:rsid w:val="008C24E9"/>
    <w:rsid w:val="008C5FC8"/>
    <w:rsid w:val="008C6A2E"/>
    <w:rsid w:val="008C78DB"/>
    <w:rsid w:val="008C7B6E"/>
    <w:rsid w:val="008D0533"/>
    <w:rsid w:val="008D28AC"/>
    <w:rsid w:val="008D42CB"/>
    <w:rsid w:val="008D48C9"/>
    <w:rsid w:val="008D5571"/>
    <w:rsid w:val="008D5B79"/>
    <w:rsid w:val="008D609F"/>
    <w:rsid w:val="008D6381"/>
    <w:rsid w:val="008D6781"/>
    <w:rsid w:val="008D6ECA"/>
    <w:rsid w:val="008E09A8"/>
    <w:rsid w:val="008E0C77"/>
    <w:rsid w:val="008E1DF2"/>
    <w:rsid w:val="008E2CF6"/>
    <w:rsid w:val="008E2D05"/>
    <w:rsid w:val="008E2EF9"/>
    <w:rsid w:val="008E47B4"/>
    <w:rsid w:val="008E5F1B"/>
    <w:rsid w:val="008E625F"/>
    <w:rsid w:val="008E6BCC"/>
    <w:rsid w:val="008F05C4"/>
    <w:rsid w:val="008F0A99"/>
    <w:rsid w:val="008F0BB5"/>
    <w:rsid w:val="008F0DFB"/>
    <w:rsid w:val="008F0EA3"/>
    <w:rsid w:val="008F1586"/>
    <w:rsid w:val="008F264D"/>
    <w:rsid w:val="008F2CB0"/>
    <w:rsid w:val="008F6540"/>
    <w:rsid w:val="00900AD3"/>
    <w:rsid w:val="009016B6"/>
    <w:rsid w:val="00901944"/>
    <w:rsid w:val="00901A3A"/>
    <w:rsid w:val="00901E12"/>
    <w:rsid w:val="00901E97"/>
    <w:rsid w:val="00904BBD"/>
    <w:rsid w:val="009062A2"/>
    <w:rsid w:val="009074E1"/>
    <w:rsid w:val="009112F7"/>
    <w:rsid w:val="009115FA"/>
    <w:rsid w:val="0091173B"/>
    <w:rsid w:val="009122AF"/>
    <w:rsid w:val="009127BC"/>
    <w:rsid w:val="00912D54"/>
    <w:rsid w:val="0091389F"/>
    <w:rsid w:val="00913D75"/>
    <w:rsid w:val="0091591B"/>
    <w:rsid w:val="00915BDB"/>
    <w:rsid w:val="009208F7"/>
    <w:rsid w:val="009219AC"/>
    <w:rsid w:val="00922517"/>
    <w:rsid w:val="00922722"/>
    <w:rsid w:val="009230AC"/>
    <w:rsid w:val="00924C38"/>
    <w:rsid w:val="009261E6"/>
    <w:rsid w:val="009268E1"/>
    <w:rsid w:val="00930011"/>
    <w:rsid w:val="009308F8"/>
    <w:rsid w:val="0093413C"/>
    <w:rsid w:val="00934368"/>
    <w:rsid w:val="00934393"/>
    <w:rsid w:val="009344BE"/>
    <w:rsid w:val="00934CA3"/>
    <w:rsid w:val="009356D6"/>
    <w:rsid w:val="00937DF4"/>
    <w:rsid w:val="00940F70"/>
    <w:rsid w:val="00941454"/>
    <w:rsid w:val="00945E7F"/>
    <w:rsid w:val="00946F9D"/>
    <w:rsid w:val="00947322"/>
    <w:rsid w:val="00947C9B"/>
    <w:rsid w:val="009520BC"/>
    <w:rsid w:val="00954E2D"/>
    <w:rsid w:val="00954FAA"/>
    <w:rsid w:val="009551F5"/>
    <w:rsid w:val="009556C1"/>
    <w:rsid w:val="009557C1"/>
    <w:rsid w:val="0095657F"/>
    <w:rsid w:val="00960D6E"/>
    <w:rsid w:val="00961994"/>
    <w:rsid w:val="009623B4"/>
    <w:rsid w:val="00962EFA"/>
    <w:rsid w:val="0096599E"/>
    <w:rsid w:val="00966B7B"/>
    <w:rsid w:val="0096787F"/>
    <w:rsid w:val="009721D2"/>
    <w:rsid w:val="00972BC1"/>
    <w:rsid w:val="00974B59"/>
    <w:rsid w:val="00975FBA"/>
    <w:rsid w:val="00980A6D"/>
    <w:rsid w:val="00983347"/>
    <w:rsid w:val="0098340B"/>
    <w:rsid w:val="00983957"/>
    <w:rsid w:val="009845CA"/>
    <w:rsid w:val="00986830"/>
    <w:rsid w:val="00986C64"/>
    <w:rsid w:val="0098745F"/>
    <w:rsid w:val="00990546"/>
    <w:rsid w:val="00990B0D"/>
    <w:rsid w:val="009924C3"/>
    <w:rsid w:val="00992823"/>
    <w:rsid w:val="00993102"/>
    <w:rsid w:val="009936DC"/>
    <w:rsid w:val="0099669F"/>
    <w:rsid w:val="00996834"/>
    <w:rsid w:val="00996CD8"/>
    <w:rsid w:val="00996F00"/>
    <w:rsid w:val="00997076"/>
    <w:rsid w:val="009A03B3"/>
    <w:rsid w:val="009A19D6"/>
    <w:rsid w:val="009A3AA2"/>
    <w:rsid w:val="009A502A"/>
    <w:rsid w:val="009A53D5"/>
    <w:rsid w:val="009A7496"/>
    <w:rsid w:val="009B2583"/>
    <w:rsid w:val="009C12E1"/>
    <w:rsid w:val="009C16D7"/>
    <w:rsid w:val="009C452C"/>
    <w:rsid w:val="009C4A39"/>
    <w:rsid w:val="009C6A3B"/>
    <w:rsid w:val="009C6F10"/>
    <w:rsid w:val="009D05C8"/>
    <w:rsid w:val="009D148F"/>
    <w:rsid w:val="009D1824"/>
    <w:rsid w:val="009D3D70"/>
    <w:rsid w:val="009D41E3"/>
    <w:rsid w:val="009D6AA2"/>
    <w:rsid w:val="009D6C46"/>
    <w:rsid w:val="009E1E23"/>
    <w:rsid w:val="009E60B9"/>
    <w:rsid w:val="009E6F7E"/>
    <w:rsid w:val="009E7A57"/>
    <w:rsid w:val="009E7C78"/>
    <w:rsid w:val="009F0552"/>
    <w:rsid w:val="009F28DF"/>
    <w:rsid w:val="009F28F2"/>
    <w:rsid w:val="009F4206"/>
    <w:rsid w:val="009F4F6A"/>
    <w:rsid w:val="009F5336"/>
    <w:rsid w:val="009F5560"/>
    <w:rsid w:val="009F5EF5"/>
    <w:rsid w:val="009F75BD"/>
    <w:rsid w:val="009F7933"/>
    <w:rsid w:val="00A01492"/>
    <w:rsid w:val="00A01AAC"/>
    <w:rsid w:val="00A0351F"/>
    <w:rsid w:val="00A04084"/>
    <w:rsid w:val="00A04174"/>
    <w:rsid w:val="00A05136"/>
    <w:rsid w:val="00A062DD"/>
    <w:rsid w:val="00A1066A"/>
    <w:rsid w:val="00A10FB7"/>
    <w:rsid w:val="00A11740"/>
    <w:rsid w:val="00A136E6"/>
    <w:rsid w:val="00A16C8A"/>
    <w:rsid w:val="00A16E36"/>
    <w:rsid w:val="00A20181"/>
    <w:rsid w:val="00A20EE5"/>
    <w:rsid w:val="00A24585"/>
    <w:rsid w:val="00A24706"/>
    <w:rsid w:val="00A24961"/>
    <w:rsid w:val="00A24B10"/>
    <w:rsid w:val="00A2511D"/>
    <w:rsid w:val="00A25239"/>
    <w:rsid w:val="00A25589"/>
    <w:rsid w:val="00A270EC"/>
    <w:rsid w:val="00A27E1A"/>
    <w:rsid w:val="00A30E9B"/>
    <w:rsid w:val="00A323D8"/>
    <w:rsid w:val="00A32A75"/>
    <w:rsid w:val="00A331EC"/>
    <w:rsid w:val="00A332B0"/>
    <w:rsid w:val="00A33460"/>
    <w:rsid w:val="00A33743"/>
    <w:rsid w:val="00A33BFB"/>
    <w:rsid w:val="00A34AFE"/>
    <w:rsid w:val="00A35CFC"/>
    <w:rsid w:val="00A4023E"/>
    <w:rsid w:val="00A43FB9"/>
    <w:rsid w:val="00A4512D"/>
    <w:rsid w:val="00A45207"/>
    <w:rsid w:val="00A50244"/>
    <w:rsid w:val="00A50583"/>
    <w:rsid w:val="00A52C99"/>
    <w:rsid w:val="00A547D6"/>
    <w:rsid w:val="00A56F17"/>
    <w:rsid w:val="00A56F50"/>
    <w:rsid w:val="00A5731F"/>
    <w:rsid w:val="00A57F1C"/>
    <w:rsid w:val="00A60741"/>
    <w:rsid w:val="00A627D7"/>
    <w:rsid w:val="00A630D7"/>
    <w:rsid w:val="00A64A64"/>
    <w:rsid w:val="00A656C7"/>
    <w:rsid w:val="00A65A7B"/>
    <w:rsid w:val="00A705AF"/>
    <w:rsid w:val="00A7148C"/>
    <w:rsid w:val="00A722D2"/>
    <w:rsid w:val="00A72454"/>
    <w:rsid w:val="00A73D49"/>
    <w:rsid w:val="00A74345"/>
    <w:rsid w:val="00A756FB"/>
    <w:rsid w:val="00A760DD"/>
    <w:rsid w:val="00A763C8"/>
    <w:rsid w:val="00A769F1"/>
    <w:rsid w:val="00A77696"/>
    <w:rsid w:val="00A776AF"/>
    <w:rsid w:val="00A80557"/>
    <w:rsid w:val="00A81D33"/>
    <w:rsid w:val="00A8273C"/>
    <w:rsid w:val="00A8334A"/>
    <w:rsid w:val="00A844FA"/>
    <w:rsid w:val="00A8632C"/>
    <w:rsid w:val="00A87D5A"/>
    <w:rsid w:val="00A929CE"/>
    <w:rsid w:val="00A92ABB"/>
    <w:rsid w:val="00A930AE"/>
    <w:rsid w:val="00A94EA1"/>
    <w:rsid w:val="00A957A9"/>
    <w:rsid w:val="00A95B4D"/>
    <w:rsid w:val="00A976FF"/>
    <w:rsid w:val="00AA1A95"/>
    <w:rsid w:val="00AA260F"/>
    <w:rsid w:val="00AA2E29"/>
    <w:rsid w:val="00AA50D8"/>
    <w:rsid w:val="00AA5C4D"/>
    <w:rsid w:val="00AA602A"/>
    <w:rsid w:val="00AB020C"/>
    <w:rsid w:val="00AB13F3"/>
    <w:rsid w:val="00AB1574"/>
    <w:rsid w:val="00AB1BC0"/>
    <w:rsid w:val="00AB1D2B"/>
    <w:rsid w:val="00AB1EE7"/>
    <w:rsid w:val="00AB4B37"/>
    <w:rsid w:val="00AB5762"/>
    <w:rsid w:val="00AB70E7"/>
    <w:rsid w:val="00AB718C"/>
    <w:rsid w:val="00AC23FD"/>
    <w:rsid w:val="00AC2679"/>
    <w:rsid w:val="00AC4BE4"/>
    <w:rsid w:val="00AC6BF9"/>
    <w:rsid w:val="00AD05E6"/>
    <w:rsid w:val="00AD0D3F"/>
    <w:rsid w:val="00AD1A1F"/>
    <w:rsid w:val="00AD1C5A"/>
    <w:rsid w:val="00AD30F6"/>
    <w:rsid w:val="00AD32C9"/>
    <w:rsid w:val="00AD397E"/>
    <w:rsid w:val="00AD4972"/>
    <w:rsid w:val="00AD72B9"/>
    <w:rsid w:val="00AE0DB3"/>
    <w:rsid w:val="00AE1D7D"/>
    <w:rsid w:val="00AE2A8B"/>
    <w:rsid w:val="00AE3F64"/>
    <w:rsid w:val="00AE5452"/>
    <w:rsid w:val="00AE66CE"/>
    <w:rsid w:val="00AE6A40"/>
    <w:rsid w:val="00AE77A1"/>
    <w:rsid w:val="00AF15FB"/>
    <w:rsid w:val="00AF1DEB"/>
    <w:rsid w:val="00AF44F3"/>
    <w:rsid w:val="00AF6AE5"/>
    <w:rsid w:val="00AF7386"/>
    <w:rsid w:val="00AF7934"/>
    <w:rsid w:val="00B00273"/>
    <w:rsid w:val="00B00B81"/>
    <w:rsid w:val="00B01EDE"/>
    <w:rsid w:val="00B04580"/>
    <w:rsid w:val="00B0471E"/>
    <w:rsid w:val="00B04B09"/>
    <w:rsid w:val="00B0677F"/>
    <w:rsid w:val="00B067D4"/>
    <w:rsid w:val="00B06A2D"/>
    <w:rsid w:val="00B07CA0"/>
    <w:rsid w:val="00B14070"/>
    <w:rsid w:val="00B14E79"/>
    <w:rsid w:val="00B16A51"/>
    <w:rsid w:val="00B16A81"/>
    <w:rsid w:val="00B17183"/>
    <w:rsid w:val="00B205C3"/>
    <w:rsid w:val="00B22309"/>
    <w:rsid w:val="00B24362"/>
    <w:rsid w:val="00B2475A"/>
    <w:rsid w:val="00B25440"/>
    <w:rsid w:val="00B30471"/>
    <w:rsid w:val="00B32222"/>
    <w:rsid w:val="00B32FDD"/>
    <w:rsid w:val="00B34259"/>
    <w:rsid w:val="00B3618D"/>
    <w:rsid w:val="00B36233"/>
    <w:rsid w:val="00B371F9"/>
    <w:rsid w:val="00B37E9E"/>
    <w:rsid w:val="00B405AA"/>
    <w:rsid w:val="00B42851"/>
    <w:rsid w:val="00B45AC7"/>
    <w:rsid w:val="00B514E2"/>
    <w:rsid w:val="00B5372F"/>
    <w:rsid w:val="00B54556"/>
    <w:rsid w:val="00B54707"/>
    <w:rsid w:val="00B57086"/>
    <w:rsid w:val="00B57949"/>
    <w:rsid w:val="00B61129"/>
    <w:rsid w:val="00B61379"/>
    <w:rsid w:val="00B64512"/>
    <w:rsid w:val="00B654BF"/>
    <w:rsid w:val="00B66D3E"/>
    <w:rsid w:val="00B67E7F"/>
    <w:rsid w:val="00B7270E"/>
    <w:rsid w:val="00B7298D"/>
    <w:rsid w:val="00B73D03"/>
    <w:rsid w:val="00B74250"/>
    <w:rsid w:val="00B75A04"/>
    <w:rsid w:val="00B765CB"/>
    <w:rsid w:val="00B77F2A"/>
    <w:rsid w:val="00B80A91"/>
    <w:rsid w:val="00B818C0"/>
    <w:rsid w:val="00B839B2"/>
    <w:rsid w:val="00B83E39"/>
    <w:rsid w:val="00B842DA"/>
    <w:rsid w:val="00B851BB"/>
    <w:rsid w:val="00B918BE"/>
    <w:rsid w:val="00B91C98"/>
    <w:rsid w:val="00B93A40"/>
    <w:rsid w:val="00B94252"/>
    <w:rsid w:val="00B95CD5"/>
    <w:rsid w:val="00B968DB"/>
    <w:rsid w:val="00B9715A"/>
    <w:rsid w:val="00B9719A"/>
    <w:rsid w:val="00B97BB4"/>
    <w:rsid w:val="00BA02FD"/>
    <w:rsid w:val="00BA13E3"/>
    <w:rsid w:val="00BA14BE"/>
    <w:rsid w:val="00BA2732"/>
    <w:rsid w:val="00BA293D"/>
    <w:rsid w:val="00BA49BC"/>
    <w:rsid w:val="00BA56B7"/>
    <w:rsid w:val="00BA6AB0"/>
    <w:rsid w:val="00BA6EDC"/>
    <w:rsid w:val="00BA75EB"/>
    <w:rsid w:val="00BA7A1E"/>
    <w:rsid w:val="00BA7CA9"/>
    <w:rsid w:val="00BB1278"/>
    <w:rsid w:val="00BB1883"/>
    <w:rsid w:val="00BB2F6C"/>
    <w:rsid w:val="00BB3875"/>
    <w:rsid w:val="00BB5860"/>
    <w:rsid w:val="00BB6AAD"/>
    <w:rsid w:val="00BB6E21"/>
    <w:rsid w:val="00BB70C9"/>
    <w:rsid w:val="00BB748D"/>
    <w:rsid w:val="00BB78C9"/>
    <w:rsid w:val="00BC0E3C"/>
    <w:rsid w:val="00BC4A19"/>
    <w:rsid w:val="00BC4E6D"/>
    <w:rsid w:val="00BC5DDB"/>
    <w:rsid w:val="00BD0617"/>
    <w:rsid w:val="00BD09EF"/>
    <w:rsid w:val="00BD2650"/>
    <w:rsid w:val="00BD2E9B"/>
    <w:rsid w:val="00BD5893"/>
    <w:rsid w:val="00BE4DA7"/>
    <w:rsid w:val="00BE5347"/>
    <w:rsid w:val="00BF1A9B"/>
    <w:rsid w:val="00BF2D0D"/>
    <w:rsid w:val="00BF41C3"/>
    <w:rsid w:val="00BF542E"/>
    <w:rsid w:val="00BF6781"/>
    <w:rsid w:val="00BF67B6"/>
    <w:rsid w:val="00BF7AD7"/>
    <w:rsid w:val="00BF7CF3"/>
    <w:rsid w:val="00C00374"/>
    <w:rsid w:val="00C00930"/>
    <w:rsid w:val="00C0144F"/>
    <w:rsid w:val="00C02C63"/>
    <w:rsid w:val="00C03905"/>
    <w:rsid w:val="00C04992"/>
    <w:rsid w:val="00C060AD"/>
    <w:rsid w:val="00C0670D"/>
    <w:rsid w:val="00C07AE3"/>
    <w:rsid w:val="00C10B7E"/>
    <w:rsid w:val="00C113BF"/>
    <w:rsid w:val="00C1625B"/>
    <w:rsid w:val="00C1762A"/>
    <w:rsid w:val="00C179A1"/>
    <w:rsid w:val="00C2176E"/>
    <w:rsid w:val="00C2198B"/>
    <w:rsid w:val="00C23430"/>
    <w:rsid w:val="00C23626"/>
    <w:rsid w:val="00C2527F"/>
    <w:rsid w:val="00C25B8C"/>
    <w:rsid w:val="00C27AC6"/>
    <w:rsid w:val="00C27D67"/>
    <w:rsid w:val="00C307B1"/>
    <w:rsid w:val="00C31699"/>
    <w:rsid w:val="00C31B92"/>
    <w:rsid w:val="00C327DC"/>
    <w:rsid w:val="00C32A3B"/>
    <w:rsid w:val="00C34C06"/>
    <w:rsid w:val="00C35551"/>
    <w:rsid w:val="00C37233"/>
    <w:rsid w:val="00C3781C"/>
    <w:rsid w:val="00C4080A"/>
    <w:rsid w:val="00C41EB0"/>
    <w:rsid w:val="00C41F92"/>
    <w:rsid w:val="00C4631F"/>
    <w:rsid w:val="00C47154"/>
    <w:rsid w:val="00C50576"/>
    <w:rsid w:val="00C50E16"/>
    <w:rsid w:val="00C50E58"/>
    <w:rsid w:val="00C52296"/>
    <w:rsid w:val="00C522E5"/>
    <w:rsid w:val="00C54D3B"/>
    <w:rsid w:val="00C54E33"/>
    <w:rsid w:val="00C55258"/>
    <w:rsid w:val="00C5622E"/>
    <w:rsid w:val="00C56D57"/>
    <w:rsid w:val="00C5796C"/>
    <w:rsid w:val="00C64287"/>
    <w:rsid w:val="00C67D36"/>
    <w:rsid w:val="00C72E4A"/>
    <w:rsid w:val="00C742DA"/>
    <w:rsid w:val="00C7789E"/>
    <w:rsid w:val="00C80AFF"/>
    <w:rsid w:val="00C82EEB"/>
    <w:rsid w:val="00C85B10"/>
    <w:rsid w:val="00C86CEE"/>
    <w:rsid w:val="00C907B1"/>
    <w:rsid w:val="00C913F2"/>
    <w:rsid w:val="00C924F3"/>
    <w:rsid w:val="00C94633"/>
    <w:rsid w:val="00C965F4"/>
    <w:rsid w:val="00C96E2B"/>
    <w:rsid w:val="00C971DC"/>
    <w:rsid w:val="00C972AB"/>
    <w:rsid w:val="00C97516"/>
    <w:rsid w:val="00CA0DC1"/>
    <w:rsid w:val="00CA15CE"/>
    <w:rsid w:val="00CA16B7"/>
    <w:rsid w:val="00CA4BE3"/>
    <w:rsid w:val="00CA4ECF"/>
    <w:rsid w:val="00CA5ACD"/>
    <w:rsid w:val="00CA62AE"/>
    <w:rsid w:val="00CB134D"/>
    <w:rsid w:val="00CB21F1"/>
    <w:rsid w:val="00CB3112"/>
    <w:rsid w:val="00CB5050"/>
    <w:rsid w:val="00CB5832"/>
    <w:rsid w:val="00CB5B1A"/>
    <w:rsid w:val="00CB6EF7"/>
    <w:rsid w:val="00CC1569"/>
    <w:rsid w:val="00CC1F25"/>
    <w:rsid w:val="00CC220B"/>
    <w:rsid w:val="00CC5C43"/>
    <w:rsid w:val="00CD02AE"/>
    <w:rsid w:val="00CD08EB"/>
    <w:rsid w:val="00CD2040"/>
    <w:rsid w:val="00CD2A4F"/>
    <w:rsid w:val="00CD4DF9"/>
    <w:rsid w:val="00CD62AF"/>
    <w:rsid w:val="00CD75CF"/>
    <w:rsid w:val="00CE01E2"/>
    <w:rsid w:val="00CE03CA"/>
    <w:rsid w:val="00CE109F"/>
    <w:rsid w:val="00CE216E"/>
    <w:rsid w:val="00CE22F1"/>
    <w:rsid w:val="00CE2CCE"/>
    <w:rsid w:val="00CE4477"/>
    <w:rsid w:val="00CE50F2"/>
    <w:rsid w:val="00CE5545"/>
    <w:rsid w:val="00CE5AB1"/>
    <w:rsid w:val="00CE61A0"/>
    <w:rsid w:val="00CE6502"/>
    <w:rsid w:val="00CE7189"/>
    <w:rsid w:val="00CE7C7E"/>
    <w:rsid w:val="00CF044F"/>
    <w:rsid w:val="00CF52AE"/>
    <w:rsid w:val="00CF7D3C"/>
    <w:rsid w:val="00D009D1"/>
    <w:rsid w:val="00D02AF2"/>
    <w:rsid w:val="00D031BB"/>
    <w:rsid w:val="00D03933"/>
    <w:rsid w:val="00D03E0F"/>
    <w:rsid w:val="00D04DEA"/>
    <w:rsid w:val="00D060A2"/>
    <w:rsid w:val="00D06809"/>
    <w:rsid w:val="00D07EEB"/>
    <w:rsid w:val="00D13075"/>
    <w:rsid w:val="00D147EB"/>
    <w:rsid w:val="00D15DB6"/>
    <w:rsid w:val="00D215B7"/>
    <w:rsid w:val="00D22B91"/>
    <w:rsid w:val="00D239D1"/>
    <w:rsid w:val="00D24E57"/>
    <w:rsid w:val="00D27EE7"/>
    <w:rsid w:val="00D322F6"/>
    <w:rsid w:val="00D34667"/>
    <w:rsid w:val="00D34B55"/>
    <w:rsid w:val="00D36900"/>
    <w:rsid w:val="00D36B3F"/>
    <w:rsid w:val="00D36F1B"/>
    <w:rsid w:val="00D401E1"/>
    <w:rsid w:val="00D408B4"/>
    <w:rsid w:val="00D423B1"/>
    <w:rsid w:val="00D42549"/>
    <w:rsid w:val="00D43705"/>
    <w:rsid w:val="00D4382B"/>
    <w:rsid w:val="00D45D94"/>
    <w:rsid w:val="00D46820"/>
    <w:rsid w:val="00D46B48"/>
    <w:rsid w:val="00D50239"/>
    <w:rsid w:val="00D50C3B"/>
    <w:rsid w:val="00D513C5"/>
    <w:rsid w:val="00D51609"/>
    <w:rsid w:val="00D52202"/>
    <w:rsid w:val="00D524C8"/>
    <w:rsid w:val="00D5466A"/>
    <w:rsid w:val="00D54BDE"/>
    <w:rsid w:val="00D554B1"/>
    <w:rsid w:val="00D56706"/>
    <w:rsid w:val="00D571DA"/>
    <w:rsid w:val="00D60E25"/>
    <w:rsid w:val="00D63A64"/>
    <w:rsid w:val="00D64C63"/>
    <w:rsid w:val="00D65912"/>
    <w:rsid w:val="00D66287"/>
    <w:rsid w:val="00D70E24"/>
    <w:rsid w:val="00D72B61"/>
    <w:rsid w:val="00D745DD"/>
    <w:rsid w:val="00D751E4"/>
    <w:rsid w:val="00D815EB"/>
    <w:rsid w:val="00D83A25"/>
    <w:rsid w:val="00D85C3E"/>
    <w:rsid w:val="00D861A8"/>
    <w:rsid w:val="00D87099"/>
    <w:rsid w:val="00D90104"/>
    <w:rsid w:val="00D92406"/>
    <w:rsid w:val="00D92E82"/>
    <w:rsid w:val="00D95537"/>
    <w:rsid w:val="00DA075B"/>
    <w:rsid w:val="00DA114C"/>
    <w:rsid w:val="00DA1AB9"/>
    <w:rsid w:val="00DA3D1D"/>
    <w:rsid w:val="00DA4B6F"/>
    <w:rsid w:val="00DA4E49"/>
    <w:rsid w:val="00DA4F98"/>
    <w:rsid w:val="00DA7576"/>
    <w:rsid w:val="00DA7A45"/>
    <w:rsid w:val="00DA7BDD"/>
    <w:rsid w:val="00DB0138"/>
    <w:rsid w:val="00DB117C"/>
    <w:rsid w:val="00DB1563"/>
    <w:rsid w:val="00DB2C38"/>
    <w:rsid w:val="00DB3EF4"/>
    <w:rsid w:val="00DB5435"/>
    <w:rsid w:val="00DB5859"/>
    <w:rsid w:val="00DB6286"/>
    <w:rsid w:val="00DB645F"/>
    <w:rsid w:val="00DB76E9"/>
    <w:rsid w:val="00DC02C3"/>
    <w:rsid w:val="00DC09F5"/>
    <w:rsid w:val="00DC0A67"/>
    <w:rsid w:val="00DC1D5E"/>
    <w:rsid w:val="00DC2313"/>
    <w:rsid w:val="00DC4EEF"/>
    <w:rsid w:val="00DC5220"/>
    <w:rsid w:val="00DC7910"/>
    <w:rsid w:val="00DD2061"/>
    <w:rsid w:val="00DD6966"/>
    <w:rsid w:val="00DD6E93"/>
    <w:rsid w:val="00DD7DAB"/>
    <w:rsid w:val="00DE2F3B"/>
    <w:rsid w:val="00DE3012"/>
    <w:rsid w:val="00DE3355"/>
    <w:rsid w:val="00DE4D22"/>
    <w:rsid w:val="00DE7464"/>
    <w:rsid w:val="00DF24C7"/>
    <w:rsid w:val="00DF486F"/>
    <w:rsid w:val="00DF5B5B"/>
    <w:rsid w:val="00DF6F12"/>
    <w:rsid w:val="00DF7619"/>
    <w:rsid w:val="00E00BF5"/>
    <w:rsid w:val="00E04293"/>
    <w:rsid w:val="00E042D8"/>
    <w:rsid w:val="00E045DC"/>
    <w:rsid w:val="00E046FA"/>
    <w:rsid w:val="00E05D22"/>
    <w:rsid w:val="00E05ECF"/>
    <w:rsid w:val="00E070D8"/>
    <w:rsid w:val="00E0739B"/>
    <w:rsid w:val="00E0795B"/>
    <w:rsid w:val="00E07E00"/>
    <w:rsid w:val="00E07EE7"/>
    <w:rsid w:val="00E1103B"/>
    <w:rsid w:val="00E11D04"/>
    <w:rsid w:val="00E1360C"/>
    <w:rsid w:val="00E13FF2"/>
    <w:rsid w:val="00E15438"/>
    <w:rsid w:val="00E176A0"/>
    <w:rsid w:val="00E17AE7"/>
    <w:rsid w:val="00E17B44"/>
    <w:rsid w:val="00E22BC6"/>
    <w:rsid w:val="00E2515D"/>
    <w:rsid w:val="00E27FEA"/>
    <w:rsid w:val="00E302D0"/>
    <w:rsid w:val="00E30F7C"/>
    <w:rsid w:val="00E3431C"/>
    <w:rsid w:val="00E374CE"/>
    <w:rsid w:val="00E37A87"/>
    <w:rsid w:val="00E40373"/>
    <w:rsid w:val="00E4086F"/>
    <w:rsid w:val="00E43517"/>
    <w:rsid w:val="00E43A27"/>
    <w:rsid w:val="00E43AA1"/>
    <w:rsid w:val="00E43B3C"/>
    <w:rsid w:val="00E4484B"/>
    <w:rsid w:val="00E4653A"/>
    <w:rsid w:val="00E50188"/>
    <w:rsid w:val="00E515CB"/>
    <w:rsid w:val="00E52260"/>
    <w:rsid w:val="00E538EB"/>
    <w:rsid w:val="00E54AF8"/>
    <w:rsid w:val="00E57443"/>
    <w:rsid w:val="00E5747C"/>
    <w:rsid w:val="00E613BD"/>
    <w:rsid w:val="00E61D06"/>
    <w:rsid w:val="00E638F7"/>
    <w:rsid w:val="00E639B6"/>
    <w:rsid w:val="00E6434B"/>
    <w:rsid w:val="00E6463D"/>
    <w:rsid w:val="00E6564F"/>
    <w:rsid w:val="00E65CF3"/>
    <w:rsid w:val="00E66FDB"/>
    <w:rsid w:val="00E700EC"/>
    <w:rsid w:val="00E72E9B"/>
    <w:rsid w:val="00E74DA1"/>
    <w:rsid w:val="00E755CA"/>
    <w:rsid w:val="00E757D1"/>
    <w:rsid w:val="00E75CB9"/>
    <w:rsid w:val="00E7668F"/>
    <w:rsid w:val="00E82B59"/>
    <w:rsid w:val="00E8485A"/>
    <w:rsid w:val="00E849DA"/>
    <w:rsid w:val="00E853B0"/>
    <w:rsid w:val="00E87920"/>
    <w:rsid w:val="00E90951"/>
    <w:rsid w:val="00E90954"/>
    <w:rsid w:val="00E90BD3"/>
    <w:rsid w:val="00E90F74"/>
    <w:rsid w:val="00E91856"/>
    <w:rsid w:val="00E93450"/>
    <w:rsid w:val="00E9354C"/>
    <w:rsid w:val="00E9462E"/>
    <w:rsid w:val="00E94D5E"/>
    <w:rsid w:val="00E95BF1"/>
    <w:rsid w:val="00EA1921"/>
    <w:rsid w:val="00EA3D1C"/>
    <w:rsid w:val="00EA3E7E"/>
    <w:rsid w:val="00EA40B0"/>
    <w:rsid w:val="00EA470E"/>
    <w:rsid w:val="00EA47A7"/>
    <w:rsid w:val="00EA4DA1"/>
    <w:rsid w:val="00EA57EB"/>
    <w:rsid w:val="00EA6F99"/>
    <w:rsid w:val="00EB04ED"/>
    <w:rsid w:val="00EB06F6"/>
    <w:rsid w:val="00EB0B92"/>
    <w:rsid w:val="00EB2EDF"/>
    <w:rsid w:val="00EB3226"/>
    <w:rsid w:val="00EB5296"/>
    <w:rsid w:val="00EB57AE"/>
    <w:rsid w:val="00EB6B52"/>
    <w:rsid w:val="00EB6D5A"/>
    <w:rsid w:val="00EB76CA"/>
    <w:rsid w:val="00EC0077"/>
    <w:rsid w:val="00EC181F"/>
    <w:rsid w:val="00EC213A"/>
    <w:rsid w:val="00EC21EB"/>
    <w:rsid w:val="00EC24C8"/>
    <w:rsid w:val="00EC6603"/>
    <w:rsid w:val="00EC6674"/>
    <w:rsid w:val="00EC7744"/>
    <w:rsid w:val="00ED070B"/>
    <w:rsid w:val="00ED0DAD"/>
    <w:rsid w:val="00ED0F46"/>
    <w:rsid w:val="00ED1E4A"/>
    <w:rsid w:val="00ED2006"/>
    <w:rsid w:val="00ED2373"/>
    <w:rsid w:val="00ED25ED"/>
    <w:rsid w:val="00ED2B24"/>
    <w:rsid w:val="00ED3A53"/>
    <w:rsid w:val="00ED4DF3"/>
    <w:rsid w:val="00ED5021"/>
    <w:rsid w:val="00ED6041"/>
    <w:rsid w:val="00EE0E19"/>
    <w:rsid w:val="00EE2647"/>
    <w:rsid w:val="00EE2849"/>
    <w:rsid w:val="00EE2FA3"/>
    <w:rsid w:val="00EE3E8A"/>
    <w:rsid w:val="00EF0D14"/>
    <w:rsid w:val="00EF155D"/>
    <w:rsid w:val="00EF3A6E"/>
    <w:rsid w:val="00EF4370"/>
    <w:rsid w:val="00EF4BB7"/>
    <w:rsid w:val="00EF6ECA"/>
    <w:rsid w:val="00F00E98"/>
    <w:rsid w:val="00F0111C"/>
    <w:rsid w:val="00F0142A"/>
    <w:rsid w:val="00F024E1"/>
    <w:rsid w:val="00F031AC"/>
    <w:rsid w:val="00F03A0D"/>
    <w:rsid w:val="00F03D64"/>
    <w:rsid w:val="00F049F6"/>
    <w:rsid w:val="00F05D0E"/>
    <w:rsid w:val="00F06C10"/>
    <w:rsid w:val="00F07374"/>
    <w:rsid w:val="00F1096F"/>
    <w:rsid w:val="00F10FC7"/>
    <w:rsid w:val="00F117D6"/>
    <w:rsid w:val="00F12589"/>
    <w:rsid w:val="00F12595"/>
    <w:rsid w:val="00F134D9"/>
    <w:rsid w:val="00F1403D"/>
    <w:rsid w:val="00F1463F"/>
    <w:rsid w:val="00F17E85"/>
    <w:rsid w:val="00F21302"/>
    <w:rsid w:val="00F22E86"/>
    <w:rsid w:val="00F23E50"/>
    <w:rsid w:val="00F2582B"/>
    <w:rsid w:val="00F26F6C"/>
    <w:rsid w:val="00F27675"/>
    <w:rsid w:val="00F312F4"/>
    <w:rsid w:val="00F321DE"/>
    <w:rsid w:val="00F33777"/>
    <w:rsid w:val="00F34C57"/>
    <w:rsid w:val="00F369A2"/>
    <w:rsid w:val="00F40648"/>
    <w:rsid w:val="00F41842"/>
    <w:rsid w:val="00F41959"/>
    <w:rsid w:val="00F42498"/>
    <w:rsid w:val="00F43570"/>
    <w:rsid w:val="00F43BEB"/>
    <w:rsid w:val="00F454F3"/>
    <w:rsid w:val="00F4648E"/>
    <w:rsid w:val="00F466BC"/>
    <w:rsid w:val="00F47DA2"/>
    <w:rsid w:val="00F5114A"/>
    <w:rsid w:val="00F519FC"/>
    <w:rsid w:val="00F51C35"/>
    <w:rsid w:val="00F52323"/>
    <w:rsid w:val="00F52AB2"/>
    <w:rsid w:val="00F52E0C"/>
    <w:rsid w:val="00F544DD"/>
    <w:rsid w:val="00F5456B"/>
    <w:rsid w:val="00F6081F"/>
    <w:rsid w:val="00F6239D"/>
    <w:rsid w:val="00F6577B"/>
    <w:rsid w:val="00F6612B"/>
    <w:rsid w:val="00F66B6B"/>
    <w:rsid w:val="00F67C7A"/>
    <w:rsid w:val="00F7014A"/>
    <w:rsid w:val="00F71414"/>
    <w:rsid w:val="00F715D2"/>
    <w:rsid w:val="00F71C2F"/>
    <w:rsid w:val="00F72295"/>
    <w:rsid w:val="00F72723"/>
    <w:rsid w:val="00F7274F"/>
    <w:rsid w:val="00F745D6"/>
    <w:rsid w:val="00F74EED"/>
    <w:rsid w:val="00F76330"/>
    <w:rsid w:val="00F7657D"/>
    <w:rsid w:val="00F76FA8"/>
    <w:rsid w:val="00F7771D"/>
    <w:rsid w:val="00F80B8E"/>
    <w:rsid w:val="00F81FD3"/>
    <w:rsid w:val="00F844CF"/>
    <w:rsid w:val="00F84DE5"/>
    <w:rsid w:val="00F8653E"/>
    <w:rsid w:val="00F86C27"/>
    <w:rsid w:val="00F9035E"/>
    <w:rsid w:val="00F92EF6"/>
    <w:rsid w:val="00F92FEC"/>
    <w:rsid w:val="00F93F08"/>
    <w:rsid w:val="00F942D7"/>
    <w:rsid w:val="00F94CED"/>
    <w:rsid w:val="00F963F0"/>
    <w:rsid w:val="00F9749E"/>
    <w:rsid w:val="00F97B43"/>
    <w:rsid w:val="00FA0B9A"/>
    <w:rsid w:val="00FA1821"/>
    <w:rsid w:val="00FA2260"/>
    <w:rsid w:val="00FA2CEE"/>
    <w:rsid w:val="00FA318C"/>
    <w:rsid w:val="00FA4039"/>
    <w:rsid w:val="00FA502C"/>
    <w:rsid w:val="00FB2B2F"/>
    <w:rsid w:val="00FB2D2C"/>
    <w:rsid w:val="00FB3220"/>
    <w:rsid w:val="00FB360A"/>
    <w:rsid w:val="00FB4C6A"/>
    <w:rsid w:val="00FB6F92"/>
    <w:rsid w:val="00FB75BD"/>
    <w:rsid w:val="00FB7AF2"/>
    <w:rsid w:val="00FC026E"/>
    <w:rsid w:val="00FC04BC"/>
    <w:rsid w:val="00FC09A0"/>
    <w:rsid w:val="00FC272F"/>
    <w:rsid w:val="00FC47AC"/>
    <w:rsid w:val="00FC5124"/>
    <w:rsid w:val="00FC6161"/>
    <w:rsid w:val="00FC6EA3"/>
    <w:rsid w:val="00FC7DB1"/>
    <w:rsid w:val="00FD06A4"/>
    <w:rsid w:val="00FD291B"/>
    <w:rsid w:val="00FD293D"/>
    <w:rsid w:val="00FD4731"/>
    <w:rsid w:val="00FE1304"/>
    <w:rsid w:val="00FE1D5D"/>
    <w:rsid w:val="00FE50BA"/>
    <w:rsid w:val="00FE51B5"/>
    <w:rsid w:val="00FE5DAA"/>
    <w:rsid w:val="00FE5F79"/>
    <w:rsid w:val="00FE74C4"/>
    <w:rsid w:val="00FE7E3F"/>
    <w:rsid w:val="00FF0292"/>
    <w:rsid w:val="00FF0AB0"/>
    <w:rsid w:val="00FF1AF3"/>
    <w:rsid w:val="00FF28AC"/>
    <w:rsid w:val="00FF3CEC"/>
    <w:rsid w:val="00FF445F"/>
    <w:rsid w:val="00FF4ED1"/>
    <w:rsid w:val="00FF7409"/>
    <w:rsid w:val="00FF7BD5"/>
    <w:rsid w:val="00FF7F62"/>
    <w:rsid w:val="0D680BC6"/>
    <w:rsid w:val="12CD3EAE"/>
    <w:rsid w:val="1FD38DC2"/>
    <w:rsid w:val="25C707D4"/>
    <w:rsid w:val="30ED7CA7"/>
    <w:rsid w:val="441F4888"/>
    <w:rsid w:val="499D88B2"/>
    <w:rsid w:val="5155B952"/>
    <w:rsid w:val="76A15D7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900241F"/>
  <w15:docId w15:val="{7ADE9C2C-CD70-4787-84B8-DD80314357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heading 1" w:uiPriority="9" w:qFormat="1"/>
    <w:lsdException w:name="heading 2" w:uiPriority="9" w:qFormat="1"/>
    <w:lsdException w:name="heading 3" w:qFormat="1"/>
    <w:lsdException w:name="heading 4" w:qFormat="1"/>
    <w:lsdException w:name="heading 7" w:semiHidden="1" w:unhideWhenUsed="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qFormat="1"/>
    <w:lsdException w:name="footer" w:semiHidden="1" w:uiPriority="99" w:unhideWhenUsed="1" w:qFormat="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semiHidden="1" w:unhideWhenUsed="1"/>
    <w:lsdException w:name="Table Colorful 1" w:locked="1" w:semiHidden="1" w:unhideWhenUsed="1"/>
    <w:lsdException w:name="Table Colorful 2" w:locked="1"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Theme" w:locked="1" w:semiHidden="1" w:unhideWhenUsed="1"/>
    <w:lsdException w:name="Placeholder Text" w:semiHidden="1" w:uiPriority="99"/>
    <w:lsdException w:name="No Spacing" w:uiPriority="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uiPriority="99"/>
    <w:lsdException w:name="List Paragraph" w:uiPriority="34" w:qFormat="1"/>
    <w:lsdException w:name="Quote" w:uiPriority="29" w:qFormat="1"/>
    <w:lsdException w:name="Intense Quote" w:uiPriority="30"/>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3C46A6"/>
    <w:pPr>
      <w:spacing w:before="120" w:after="120" w:line="276" w:lineRule="auto"/>
    </w:pPr>
    <w:rPr>
      <w:rFonts w:ascii="Arial" w:hAnsi="Arial"/>
      <w:color w:val="000000" w:themeColor="text1"/>
      <w:sz w:val="22"/>
      <w:szCs w:val="24"/>
      <w:lang w:eastAsia="en-US"/>
    </w:rPr>
  </w:style>
  <w:style w:type="paragraph" w:styleId="Heading1">
    <w:name w:val="heading 1"/>
    <w:next w:val="Normal"/>
    <w:link w:val="Heading1Char"/>
    <w:uiPriority w:val="9"/>
    <w:qFormat/>
    <w:rsid w:val="00BF7AD7"/>
    <w:pPr>
      <w:keepNext/>
      <w:spacing w:before="240" w:after="60"/>
      <w:outlineLvl w:val="0"/>
    </w:pPr>
    <w:rPr>
      <w:rFonts w:ascii="Arial" w:hAnsi="Arial" w:cs="Arial"/>
      <w:b/>
      <w:bCs/>
      <w:color w:val="3F4A75"/>
      <w:kern w:val="28"/>
      <w:sz w:val="44"/>
      <w:szCs w:val="36"/>
      <w:lang w:eastAsia="en-US"/>
    </w:rPr>
  </w:style>
  <w:style w:type="paragraph" w:styleId="Heading2">
    <w:name w:val="heading 2"/>
    <w:next w:val="Normal"/>
    <w:link w:val="Heading2Char"/>
    <w:uiPriority w:val="9"/>
    <w:qFormat/>
    <w:rsid w:val="00BF7AD7"/>
    <w:pPr>
      <w:keepNext/>
      <w:spacing w:before="240" w:after="60"/>
      <w:outlineLvl w:val="1"/>
    </w:pPr>
    <w:rPr>
      <w:rFonts w:ascii="Arial" w:hAnsi="Arial" w:cs="Arial"/>
      <w:b/>
      <w:bCs/>
      <w:iCs/>
      <w:color w:val="358189"/>
      <w:sz w:val="36"/>
      <w:szCs w:val="28"/>
      <w:lang w:eastAsia="en-US"/>
    </w:rPr>
  </w:style>
  <w:style w:type="paragraph" w:styleId="Heading3">
    <w:name w:val="heading 3"/>
    <w:next w:val="Normal"/>
    <w:qFormat/>
    <w:rsid w:val="00BF7AD7"/>
    <w:pPr>
      <w:keepNext/>
      <w:spacing w:before="180" w:after="60"/>
      <w:outlineLvl w:val="2"/>
    </w:pPr>
    <w:rPr>
      <w:rFonts w:ascii="Arial" w:hAnsi="Arial" w:cs="Arial"/>
      <w:b/>
      <w:bCs/>
      <w:color w:val="358189"/>
      <w:sz w:val="32"/>
      <w:szCs w:val="26"/>
      <w:lang w:eastAsia="en-US"/>
    </w:rPr>
  </w:style>
  <w:style w:type="paragraph" w:styleId="Heading4">
    <w:name w:val="heading 4"/>
    <w:next w:val="Normal"/>
    <w:qFormat/>
    <w:rsid w:val="00BF7AD7"/>
    <w:pPr>
      <w:keepNext/>
      <w:spacing w:before="240" w:after="60"/>
      <w:outlineLvl w:val="3"/>
    </w:pPr>
    <w:rPr>
      <w:rFonts w:ascii="Arial" w:hAnsi="Arial"/>
      <w:b/>
      <w:bCs/>
      <w:i/>
      <w:color w:val="358189" w:themeColor="accent2"/>
      <w:sz w:val="28"/>
      <w:szCs w:val="28"/>
      <w:lang w:eastAsia="en-US"/>
    </w:rPr>
  </w:style>
  <w:style w:type="paragraph" w:styleId="Heading5">
    <w:name w:val="heading 5"/>
    <w:next w:val="Normal"/>
    <w:rsid w:val="00BF7AD7"/>
    <w:pPr>
      <w:keepNext/>
      <w:spacing w:before="240" w:after="60"/>
      <w:outlineLvl w:val="4"/>
    </w:pPr>
    <w:rPr>
      <w:rFonts w:ascii="Arial" w:hAnsi="Arial"/>
      <w:b/>
      <w:bCs/>
      <w:iCs/>
      <w:color w:val="358189" w:themeColor="accent2"/>
      <w:sz w:val="24"/>
      <w:szCs w:val="26"/>
      <w:lang w:eastAsia="en-US"/>
    </w:rPr>
  </w:style>
  <w:style w:type="paragraph" w:styleId="Heading6">
    <w:name w:val="heading 6"/>
    <w:next w:val="Normal"/>
    <w:rsid w:val="00BF7AD7"/>
    <w:pPr>
      <w:keepNext/>
      <w:spacing w:before="240" w:after="60"/>
      <w:outlineLvl w:val="5"/>
    </w:pPr>
    <w:rPr>
      <w:rFonts w:ascii="Arial" w:hAnsi="Arial"/>
      <w:b/>
      <w:bCs/>
      <w:sz w:val="22"/>
      <w:szCs w:val="22"/>
      <w:lang w:eastAsia="en-US"/>
    </w:rPr>
  </w:style>
  <w:style w:type="paragraph" w:styleId="Heading7">
    <w:name w:val="heading 7"/>
    <w:next w:val="Normal"/>
    <w:link w:val="Heading7Char"/>
    <w:semiHidden/>
    <w:unhideWhenUsed/>
    <w:rsid w:val="00BF7AD7"/>
    <w:pPr>
      <w:keepNext/>
      <w:keepLines/>
      <w:spacing w:before="40"/>
      <w:outlineLvl w:val="6"/>
    </w:pPr>
    <w:rPr>
      <w:rFonts w:ascii="Arial" w:eastAsiaTheme="majorEastAsia" w:hAnsi="Arial" w:cstheme="majorBidi"/>
      <w:b/>
      <w:i/>
      <w:iCs/>
      <w:color w:val="1F243A" w:themeColor="accent1" w:themeShade="7F"/>
      <w:sz w:val="22"/>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rsid w:val="00BF7AD7"/>
    <w:rPr>
      <w:i/>
      <w:iCs/>
    </w:rPr>
  </w:style>
  <w:style w:type="character" w:styleId="Strong">
    <w:name w:val="Strong"/>
    <w:basedOn w:val="DefaultParagraphFont"/>
    <w:rsid w:val="00BF7AD7"/>
    <w:rPr>
      <w:b/>
      <w:bCs/>
    </w:rPr>
  </w:style>
  <w:style w:type="paragraph" w:styleId="Subtitle">
    <w:name w:val="Subtitle"/>
    <w:next w:val="Normal"/>
    <w:link w:val="SubtitleChar"/>
    <w:qFormat/>
    <w:rsid w:val="00BF7AD7"/>
    <w:pPr>
      <w:numPr>
        <w:ilvl w:val="1"/>
      </w:numPr>
      <w:spacing w:before="120" w:after="60"/>
    </w:pPr>
    <w:rPr>
      <w:rFonts w:ascii="Arial" w:eastAsiaTheme="majorEastAsia" w:hAnsi="Arial" w:cstheme="majorBidi"/>
      <w:iCs/>
      <w:color w:val="3F4A75"/>
      <w:spacing w:val="15"/>
      <w:sz w:val="40"/>
      <w:szCs w:val="24"/>
      <w:lang w:eastAsia="en-US"/>
    </w:rPr>
  </w:style>
  <w:style w:type="character" w:customStyle="1" w:styleId="SubtitleChar">
    <w:name w:val="Subtitle Char"/>
    <w:basedOn w:val="DefaultParagraphFont"/>
    <w:link w:val="Subtitle"/>
    <w:rsid w:val="00BF7AD7"/>
    <w:rPr>
      <w:rFonts w:ascii="Arial" w:eastAsiaTheme="majorEastAsia" w:hAnsi="Arial" w:cstheme="majorBidi"/>
      <w:iCs/>
      <w:color w:val="3F4A75"/>
      <w:spacing w:val="15"/>
      <w:sz w:val="40"/>
      <w:szCs w:val="24"/>
      <w:lang w:eastAsia="en-US"/>
    </w:rPr>
  </w:style>
  <w:style w:type="paragraph" w:styleId="Title">
    <w:name w:val="Title"/>
    <w:next w:val="Normal"/>
    <w:link w:val="TitleChar"/>
    <w:qFormat/>
    <w:rsid w:val="00BF7AD7"/>
    <w:pPr>
      <w:spacing w:before="2160" w:after="120"/>
      <w:contextualSpacing/>
    </w:pPr>
    <w:rPr>
      <w:rFonts w:ascii="Arial" w:eastAsiaTheme="majorEastAsia" w:hAnsi="Arial" w:cstheme="majorBidi"/>
      <w:b/>
      <w:color w:val="3F4A75"/>
      <w:kern w:val="28"/>
      <w:sz w:val="48"/>
      <w:szCs w:val="52"/>
      <w:lang w:eastAsia="en-US"/>
    </w:rPr>
  </w:style>
  <w:style w:type="character" w:customStyle="1" w:styleId="TitleChar">
    <w:name w:val="Title Char"/>
    <w:basedOn w:val="DefaultParagraphFont"/>
    <w:link w:val="Title"/>
    <w:rsid w:val="00BF7AD7"/>
    <w:rPr>
      <w:rFonts w:ascii="Arial" w:eastAsiaTheme="majorEastAsia" w:hAnsi="Arial" w:cstheme="majorBidi"/>
      <w:b/>
      <w:color w:val="3F4A75"/>
      <w:kern w:val="28"/>
      <w:sz w:val="48"/>
      <w:szCs w:val="52"/>
      <w:lang w:eastAsia="en-US"/>
    </w:rPr>
  </w:style>
  <w:style w:type="paragraph" w:styleId="NoSpacing">
    <w:name w:val="No Spacing"/>
    <w:uiPriority w:val="1"/>
    <w:rsid w:val="00BF7AD7"/>
    <w:rPr>
      <w:sz w:val="24"/>
      <w:szCs w:val="24"/>
      <w:lang w:eastAsia="en-US"/>
    </w:rPr>
  </w:style>
  <w:style w:type="character" w:styleId="SubtleEmphasis">
    <w:name w:val="Subtle Emphasis"/>
    <w:basedOn w:val="DefaultParagraphFont"/>
    <w:uiPriority w:val="19"/>
    <w:rsid w:val="00BF7AD7"/>
    <w:rPr>
      <w:i/>
      <w:iCs/>
      <w:color w:val="808080" w:themeColor="text1" w:themeTint="7F"/>
    </w:rPr>
  </w:style>
  <w:style w:type="character" w:styleId="IntenseEmphasis">
    <w:name w:val="Intense Emphasis"/>
    <w:basedOn w:val="DefaultParagraphFont"/>
    <w:uiPriority w:val="21"/>
    <w:rsid w:val="00BF7AD7"/>
    <w:rPr>
      <w:b/>
      <w:bCs/>
      <w:i/>
      <w:iCs/>
      <w:color w:val="3F4A75" w:themeColor="accent1"/>
    </w:rPr>
  </w:style>
  <w:style w:type="paragraph" w:styleId="Quote">
    <w:name w:val="Quote"/>
    <w:next w:val="Normal"/>
    <w:link w:val="QuoteChar"/>
    <w:uiPriority w:val="29"/>
    <w:qFormat/>
    <w:rsid w:val="00BF7AD7"/>
    <w:pPr>
      <w:ind w:left="720"/>
    </w:pPr>
    <w:rPr>
      <w:rFonts w:ascii="Arial" w:hAnsi="Arial"/>
      <w:i/>
      <w:iCs/>
      <w:color w:val="000000" w:themeColor="text1"/>
      <w:sz w:val="22"/>
      <w:szCs w:val="24"/>
      <w:lang w:eastAsia="en-US"/>
    </w:rPr>
  </w:style>
  <w:style w:type="character" w:customStyle="1" w:styleId="QuoteChar">
    <w:name w:val="Quote Char"/>
    <w:basedOn w:val="DefaultParagraphFont"/>
    <w:link w:val="Quote"/>
    <w:uiPriority w:val="29"/>
    <w:rsid w:val="00BF7AD7"/>
    <w:rPr>
      <w:rFonts w:ascii="Arial" w:hAnsi="Arial"/>
      <w:i/>
      <w:iCs/>
      <w:color w:val="000000" w:themeColor="text1"/>
      <w:sz w:val="22"/>
      <w:szCs w:val="24"/>
      <w:lang w:eastAsia="en-US"/>
    </w:rPr>
  </w:style>
  <w:style w:type="paragraph" w:styleId="IntenseQuote">
    <w:name w:val="Intense Quote"/>
    <w:next w:val="Normal"/>
    <w:link w:val="IntenseQuoteChar"/>
    <w:uiPriority w:val="30"/>
    <w:rsid w:val="00BF7AD7"/>
    <w:pPr>
      <w:pBdr>
        <w:bottom w:val="single" w:sz="4" w:space="4" w:color="3F4A75" w:themeColor="accent1"/>
      </w:pBdr>
      <w:spacing w:before="200" w:after="280"/>
      <w:ind w:left="936" w:right="936"/>
    </w:pPr>
    <w:rPr>
      <w:rFonts w:ascii="Arial" w:hAnsi="Arial"/>
      <w:b/>
      <w:bCs/>
      <w:i/>
      <w:iCs/>
      <w:color w:val="3F4A75" w:themeColor="accent1"/>
      <w:sz w:val="22"/>
      <w:szCs w:val="24"/>
      <w:lang w:eastAsia="en-US"/>
    </w:rPr>
  </w:style>
  <w:style w:type="character" w:customStyle="1" w:styleId="IntenseQuoteChar">
    <w:name w:val="Intense Quote Char"/>
    <w:basedOn w:val="DefaultParagraphFont"/>
    <w:link w:val="IntenseQuote"/>
    <w:uiPriority w:val="30"/>
    <w:rsid w:val="00BF7AD7"/>
    <w:rPr>
      <w:rFonts w:ascii="Arial" w:hAnsi="Arial"/>
      <w:b/>
      <w:bCs/>
      <w:i/>
      <w:iCs/>
      <w:color w:val="3F4A75" w:themeColor="accent1"/>
      <w:sz w:val="22"/>
      <w:szCs w:val="24"/>
      <w:lang w:eastAsia="en-US"/>
    </w:rPr>
  </w:style>
  <w:style w:type="character" w:styleId="SubtleReference">
    <w:name w:val="Subtle Reference"/>
    <w:basedOn w:val="DefaultParagraphFont"/>
    <w:uiPriority w:val="31"/>
    <w:rsid w:val="00BF7AD7"/>
    <w:rPr>
      <w:smallCaps/>
      <w:color w:val="358189" w:themeColor="accent2"/>
      <w:u w:val="single"/>
    </w:rPr>
  </w:style>
  <w:style w:type="character" w:styleId="IntenseReference">
    <w:name w:val="Intense Reference"/>
    <w:basedOn w:val="DefaultParagraphFont"/>
    <w:uiPriority w:val="32"/>
    <w:rsid w:val="00BF7AD7"/>
    <w:rPr>
      <w:b/>
      <w:bCs/>
      <w:i/>
      <w:smallCaps/>
      <w:color w:val="358189" w:themeColor="accent2"/>
      <w:spacing w:val="5"/>
      <w:u w:val="none"/>
    </w:rPr>
  </w:style>
  <w:style w:type="paragraph" w:styleId="ListBullet2">
    <w:name w:val="List Bullet 2"/>
    <w:basedOn w:val="ListNumber2"/>
    <w:rsid w:val="00BF7AD7"/>
    <w:pPr>
      <w:numPr>
        <w:numId w:val="3"/>
      </w:numPr>
    </w:pPr>
  </w:style>
  <w:style w:type="paragraph" w:styleId="ListNumber2">
    <w:name w:val="List Number 2"/>
    <w:basedOn w:val="ListBullet"/>
    <w:qFormat/>
    <w:rsid w:val="00BF7AD7"/>
    <w:pPr>
      <w:numPr>
        <w:numId w:val="2"/>
      </w:numPr>
    </w:pPr>
  </w:style>
  <w:style w:type="paragraph" w:styleId="ListBullet">
    <w:name w:val="List Bullet"/>
    <w:basedOn w:val="Normal"/>
    <w:qFormat/>
    <w:rsid w:val="00BF7AD7"/>
    <w:pPr>
      <w:numPr>
        <w:numId w:val="1"/>
      </w:numPr>
      <w:tabs>
        <w:tab w:val="left" w:pos="340"/>
        <w:tab w:val="left" w:pos="680"/>
      </w:tabs>
      <w:spacing w:before="60" w:after="60"/>
    </w:pPr>
  </w:style>
  <w:style w:type="paragraph" w:styleId="ListParagraph">
    <w:name w:val="List Paragraph"/>
    <w:aliases w:val="List Paragraph1,Recommendation,#List Paragraph,L,List Paragraph11,Bullet point,Bullets,CV text,Dot pt,F5 List Paragraph,FooterText,List Paragraph111,List Paragraph2,Medium Grid 1 - Accent 21,NAST Quote,NFP GP Bulleted List,列,Figure_name,l"/>
    <w:basedOn w:val="Normal"/>
    <w:link w:val="ListParagraphChar"/>
    <w:uiPriority w:val="34"/>
    <w:qFormat/>
    <w:rsid w:val="00BF7AD7"/>
    <w:pPr>
      <w:ind w:left="720"/>
      <w:contextualSpacing/>
    </w:pPr>
  </w:style>
  <w:style w:type="paragraph" w:styleId="ListNumber3">
    <w:name w:val="List Number 3"/>
    <w:aliases w:val="List Third Level"/>
    <w:basedOn w:val="ListNumber2"/>
    <w:rsid w:val="00BF7AD7"/>
    <w:pPr>
      <w:numPr>
        <w:numId w:val="4"/>
      </w:numPr>
      <w:tabs>
        <w:tab w:val="num" w:pos="1440"/>
      </w:tabs>
    </w:pPr>
    <w:rPr>
      <w:rFonts w:eastAsia="Cambria"/>
      <w:color w:val="auto"/>
      <w:szCs w:val="22"/>
      <w:lang w:val="en-US"/>
    </w:rPr>
  </w:style>
  <w:style w:type="paragraph" w:customStyle="1" w:styleId="ImageTitle">
    <w:name w:val="Image Title"/>
    <w:locked/>
    <w:rsid w:val="00BF7AD7"/>
    <w:pPr>
      <w:tabs>
        <w:tab w:val="num" w:pos="1080"/>
      </w:tabs>
      <w:spacing w:before="120" w:line="240" w:lineRule="exact"/>
    </w:pPr>
    <w:rPr>
      <w:rFonts w:ascii="Arial" w:hAnsi="Arial"/>
      <w:color w:val="000000" w:themeColor="text1"/>
      <w:sz w:val="22"/>
      <w:szCs w:val="24"/>
      <w:lang w:eastAsia="en-US"/>
    </w:rPr>
  </w:style>
  <w:style w:type="paragraph" w:styleId="BalloonText">
    <w:name w:val="Balloon Text"/>
    <w:basedOn w:val="Normal"/>
    <w:link w:val="BalloonTextChar"/>
    <w:rsid w:val="00BF7AD7"/>
    <w:rPr>
      <w:rFonts w:ascii="Tahoma" w:hAnsi="Tahoma" w:cs="Tahoma"/>
      <w:sz w:val="16"/>
      <w:szCs w:val="16"/>
    </w:rPr>
  </w:style>
  <w:style w:type="character" w:customStyle="1" w:styleId="BalloonTextChar">
    <w:name w:val="Balloon Text Char"/>
    <w:basedOn w:val="DefaultParagraphFont"/>
    <w:link w:val="BalloonText"/>
    <w:rsid w:val="00BF7AD7"/>
    <w:rPr>
      <w:rFonts w:ascii="Tahoma" w:hAnsi="Tahoma" w:cs="Tahoma"/>
      <w:color w:val="000000" w:themeColor="text1"/>
      <w:sz w:val="16"/>
      <w:szCs w:val="16"/>
      <w:lang w:eastAsia="en-US"/>
    </w:rPr>
  </w:style>
  <w:style w:type="table" w:styleId="TableGrid">
    <w:name w:val="Table Grid"/>
    <w:basedOn w:val="TableNormal"/>
    <w:locked/>
    <w:rsid w:val="00BF7A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Columns3">
    <w:name w:val="Table Columns 3"/>
    <w:basedOn w:val="TableNormal"/>
    <w:locked/>
    <w:rsid w:val="00BF7AD7"/>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paragraph" w:customStyle="1" w:styleId="Tabletextleft">
    <w:name w:val="Table text left"/>
    <w:autoRedefine/>
    <w:qFormat/>
    <w:locked/>
    <w:rsid w:val="00BF7AD7"/>
    <w:pPr>
      <w:spacing w:before="60" w:after="60"/>
    </w:pPr>
    <w:rPr>
      <w:rFonts w:ascii="Arial" w:hAnsi="Arial"/>
      <w:color w:val="000000" w:themeColor="text1"/>
      <w:sz w:val="21"/>
      <w:szCs w:val="24"/>
      <w:lang w:eastAsia="en-US"/>
    </w:rPr>
  </w:style>
  <w:style w:type="table" w:styleId="TableColumns2">
    <w:name w:val="Table Columns 2"/>
    <w:basedOn w:val="TableNormal"/>
    <w:locked/>
    <w:rsid w:val="00BF7AD7"/>
    <w:pPr>
      <w:spacing w:before="120" w:line="240" w:lineRule="exac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1">
    <w:name w:val="Table Columns 1"/>
    <w:basedOn w:val="TableNormal"/>
    <w:locked/>
    <w:rsid w:val="00BF7AD7"/>
    <w:rPr>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ourful3">
    <w:name w:val="Table Colorful 3"/>
    <w:basedOn w:val="TableNormal"/>
    <w:locked/>
    <w:rsid w:val="00BF7AD7"/>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4">
    <w:name w:val="Table Classic 4"/>
    <w:basedOn w:val="TableNormal"/>
    <w:locked/>
    <w:rsid w:val="00BF7AD7"/>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Grid8">
    <w:name w:val="Table Grid 8"/>
    <w:basedOn w:val="TableNormal"/>
    <w:locked/>
    <w:rsid w:val="00BF7AD7"/>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TableTitle">
    <w:name w:val="Table Title"/>
    <w:link w:val="TableTitleChar"/>
    <w:qFormat/>
    <w:locked/>
    <w:rsid w:val="00BF7AD7"/>
    <w:pPr>
      <w:spacing w:before="120" w:after="120"/>
    </w:pPr>
    <w:rPr>
      <w:rFonts w:ascii="Arial" w:hAnsi="Arial"/>
      <w:b/>
      <w:color w:val="000000" w:themeColor="text1"/>
      <w:sz w:val="22"/>
      <w:szCs w:val="24"/>
      <w:lang w:val="en-US" w:eastAsia="en-US"/>
    </w:rPr>
  </w:style>
  <w:style w:type="paragraph" w:styleId="Header">
    <w:name w:val="header"/>
    <w:link w:val="HeaderChar"/>
    <w:qFormat/>
    <w:rsid w:val="00BF7AD7"/>
    <w:pPr>
      <w:tabs>
        <w:tab w:val="center" w:pos="4513"/>
        <w:tab w:val="right" w:pos="9026"/>
      </w:tabs>
    </w:pPr>
    <w:rPr>
      <w:rFonts w:ascii="Arial" w:hAnsi="Arial"/>
      <w:sz w:val="22"/>
      <w:szCs w:val="24"/>
      <w:lang w:eastAsia="en-US"/>
    </w:rPr>
  </w:style>
  <w:style w:type="character" w:customStyle="1" w:styleId="HeaderChar">
    <w:name w:val="Header Char"/>
    <w:basedOn w:val="DefaultParagraphFont"/>
    <w:link w:val="Header"/>
    <w:rsid w:val="00BF7AD7"/>
    <w:rPr>
      <w:rFonts w:ascii="Arial" w:hAnsi="Arial"/>
      <w:sz w:val="22"/>
      <w:szCs w:val="24"/>
      <w:lang w:eastAsia="en-US"/>
    </w:rPr>
  </w:style>
  <w:style w:type="paragraph" w:styleId="Footer">
    <w:name w:val="footer"/>
    <w:link w:val="FooterChar"/>
    <w:uiPriority w:val="99"/>
    <w:qFormat/>
    <w:rsid w:val="00BF7AD7"/>
    <w:pPr>
      <w:tabs>
        <w:tab w:val="center" w:pos="0"/>
        <w:tab w:val="right" w:pos="9026"/>
      </w:tabs>
      <w:jc w:val="right"/>
    </w:pPr>
    <w:rPr>
      <w:rFonts w:ascii="Arial" w:hAnsi="Arial"/>
      <w:szCs w:val="24"/>
      <w:lang w:eastAsia="en-US"/>
    </w:rPr>
  </w:style>
  <w:style w:type="character" w:customStyle="1" w:styleId="FooterChar">
    <w:name w:val="Footer Char"/>
    <w:basedOn w:val="DefaultParagraphFont"/>
    <w:link w:val="Footer"/>
    <w:uiPriority w:val="99"/>
    <w:rsid w:val="00BF7AD7"/>
    <w:rPr>
      <w:rFonts w:ascii="Arial" w:hAnsi="Arial"/>
      <w:szCs w:val="24"/>
      <w:lang w:eastAsia="en-US"/>
    </w:rPr>
  </w:style>
  <w:style w:type="paragraph" w:customStyle="1" w:styleId="TableHeaderWhite">
    <w:name w:val="Table Header White"/>
    <w:basedOn w:val="Normal"/>
    <w:next w:val="Tabletextleft"/>
    <w:qFormat/>
    <w:rsid w:val="00BF7AD7"/>
    <w:pPr>
      <w:spacing w:before="80" w:after="80"/>
    </w:pPr>
    <w:rPr>
      <w:rFonts w:eastAsia="Cambria"/>
      <w:b/>
      <w:color w:val="FFFFFF" w:themeColor="background1"/>
      <w:szCs w:val="22"/>
      <w:lang w:val="en-US"/>
    </w:rPr>
  </w:style>
  <w:style w:type="table" w:styleId="TableGrid7">
    <w:name w:val="Table Grid 7"/>
    <w:basedOn w:val="TableNormal"/>
    <w:locked/>
    <w:rsid w:val="00BF7AD7"/>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customStyle="1" w:styleId="Tablehead">
    <w:name w:val="Table_head"/>
    <w:basedOn w:val="Normal"/>
    <w:locked/>
    <w:rsid w:val="00BF7AD7"/>
    <w:pPr>
      <w:spacing w:before="60"/>
    </w:pPr>
    <w:rPr>
      <w:rFonts w:cs="Arial"/>
      <w:b/>
      <w:sz w:val="20"/>
    </w:rPr>
  </w:style>
  <w:style w:type="paragraph" w:customStyle="1" w:styleId="FigureTitle">
    <w:name w:val="Figure Title"/>
    <w:next w:val="Normal"/>
    <w:qFormat/>
    <w:rsid w:val="00BF7AD7"/>
    <w:pPr>
      <w:spacing w:before="120" w:after="120"/>
    </w:pPr>
    <w:rPr>
      <w:rFonts w:ascii="Arial" w:hAnsi="Arial" w:cs="Arial"/>
      <w:b/>
      <w:bCs/>
      <w:iCs/>
      <w:color w:val="000000" w:themeColor="text1"/>
      <w:sz w:val="22"/>
      <w:szCs w:val="22"/>
      <w:lang w:eastAsia="en-US"/>
    </w:rPr>
  </w:style>
  <w:style w:type="paragraph" w:styleId="NormalWeb">
    <w:name w:val="Normal (Web)"/>
    <w:basedOn w:val="Normal"/>
    <w:uiPriority w:val="99"/>
    <w:unhideWhenUsed/>
    <w:rsid w:val="00BF7AD7"/>
    <w:pPr>
      <w:spacing w:before="100" w:beforeAutospacing="1" w:after="100" w:afterAutospacing="1"/>
    </w:pPr>
    <w:rPr>
      <w:rFonts w:ascii="Times New Roman" w:hAnsi="Times New Roman"/>
      <w:sz w:val="24"/>
      <w:lang w:eastAsia="en-AU"/>
    </w:rPr>
  </w:style>
  <w:style w:type="paragraph" w:customStyle="1" w:styleId="Headertext">
    <w:name w:val="Header text"/>
    <w:rsid w:val="00BF7AD7"/>
    <w:pPr>
      <w:jc w:val="right"/>
    </w:pPr>
    <w:rPr>
      <w:rFonts w:ascii="Arial" w:hAnsi="Arial"/>
      <w:szCs w:val="24"/>
      <w:lang w:eastAsia="en-US"/>
    </w:rPr>
  </w:style>
  <w:style w:type="character" w:styleId="Hyperlink">
    <w:name w:val="Hyperlink"/>
    <w:basedOn w:val="DefaultParagraphFont"/>
    <w:uiPriority w:val="99"/>
    <w:qFormat/>
    <w:rsid w:val="00BF7AD7"/>
    <w:rPr>
      <w:color w:val="0000FF" w:themeColor="hyperlink"/>
      <w:u w:val="single"/>
    </w:rPr>
  </w:style>
  <w:style w:type="table" w:customStyle="1" w:styleId="PHNGreyTable">
    <w:name w:val="PHN Grey Table"/>
    <w:basedOn w:val="TableNormal"/>
    <w:uiPriority w:val="99"/>
    <w:rsid w:val="00BF7AD7"/>
    <w:pPr>
      <w:spacing w:before="120" w:after="120"/>
    </w:pPr>
    <w:rPr>
      <w:rFonts w:ascii="Arial" w:hAnsi="Arial"/>
      <w:sz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blStylePr w:type="firstRow">
      <w:rPr>
        <w:rFonts w:ascii="Arial" w:hAnsi="Arial"/>
        <w:b/>
        <w:color w:val="FFFFFF" w:themeColor="background1"/>
        <w:sz w:val="22"/>
      </w:rPr>
      <w:tblPr/>
      <w:tcPr>
        <w:shd w:val="clear" w:color="auto" w:fill="32373A"/>
      </w:tcPr>
    </w:tblStylePr>
  </w:style>
  <w:style w:type="paragraph" w:customStyle="1" w:styleId="Tablelistbullet">
    <w:name w:val="Table list bullet"/>
    <w:basedOn w:val="Tabletextleft"/>
    <w:qFormat/>
    <w:rsid w:val="00BF7AD7"/>
    <w:pPr>
      <w:numPr>
        <w:numId w:val="5"/>
      </w:numPr>
    </w:pPr>
    <w:rPr>
      <w:szCs w:val="20"/>
    </w:rPr>
  </w:style>
  <w:style w:type="paragraph" w:customStyle="1" w:styleId="Tablelistnumber">
    <w:name w:val="Table list number"/>
    <w:basedOn w:val="Tabletextleft"/>
    <w:qFormat/>
    <w:rsid w:val="00BF7AD7"/>
    <w:pPr>
      <w:numPr>
        <w:numId w:val="6"/>
      </w:numPr>
    </w:pPr>
    <w:rPr>
      <w:bCs/>
      <w14:numSpacing w14:val="proportional"/>
    </w:rPr>
  </w:style>
  <w:style w:type="paragraph" w:customStyle="1" w:styleId="TableHeader">
    <w:name w:val="Table Header"/>
    <w:basedOn w:val="Normal"/>
    <w:next w:val="Tabletextleft"/>
    <w:qFormat/>
    <w:rsid w:val="00BF7AD7"/>
    <w:pPr>
      <w:spacing w:before="80" w:after="80"/>
    </w:pPr>
    <w:rPr>
      <w:rFonts w:eastAsia="Cambria"/>
      <w:b/>
      <w:color w:val="FFFFFF" w:themeColor="background1"/>
      <w:szCs w:val="22"/>
      <w:lang w:val="en-US"/>
    </w:rPr>
  </w:style>
  <w:style w:type="paragraph" w:customStyle="1" w:styleId="SectionHeading">
    <w:name w:val="Section Heading"/>
    <w:basedOn w:val="Heading1"/>
    <w:next w:val="Normal"/>
    <w:rsid w:val="00BF7AD7"/>
    <w:rPr>
      <w:szCs w:val="32"/>
    </w:rPr>
  </w:style>
  <w:style w:type="paragraph" w:styleId="FootnoteText">
    <w:name w:val="footnote text"/>
    <w:link w:val="FootnoteTextChar"/>
    <w:rsid w:val="00BF7AD7"/>
    <w:rPr>
      <w:rFonts w:ascii="Arial" w:hAnsi="Arial"/>
      <w:lang w:eastAsia="en-US"/>
    </w:rPr>
  </w:style>
  <w:style w:type="character" w:customStyle="1" w:styleId="FootnoteTextChar">
    <w:name w:val="Footnote Text Char"/>
    <w:basedOn w:val="DefaultParagraphFont"/>
    <w:link w:val="FootnoteText"/>
    <w:rsid w:val="00BF7AD7"/>
    <w:rPr>
      <w:rFonts w:ascii="Arial" w:hAnsi="Arial"/>
      <w:lang w:eastAsia="en-US"/>
    </w:rPr>
  </w:style>
  <w:style w:type="paragraph" w:styleId="Caption">
    <w:name w:val="caption"/>
    <w:basedOn w:val="Normal"/>
    <w:next w:val="Normal"/>
    <w:unhideWhenUsed/>
    <w:rsid w:val="00BF7AD7"/>
    <w:pPr>
      <w:spacing w:after="200"/>
    </w:pPr>
    <w:rPr>
      <w:b/>
      <w:bCs/>
      <w:color w:val="3F4A75" w:themeColor="accent1"/>
      <w:sz w:val="18"/>
      <w:szCs w:val="18"/>
    </w:rPr>
  </w:style>
  <w:style w:type="paragraph" w:customStyle="1" w:styleId="VisionBox">
    <w:name w:val="VisionBox"/>
    <w:basedOn w:val="Normal"/>
    <w:qFormat/>
    <w:rsid w:val="00BF7AD7"/>
    <w:pPr>
      <w:pBdr>
        <w:top w:val="single" w:sz="4" w:space="15" w:color="358189"/>
        <w:bottom w:val="single" w:sz="4" w:space="10" w:color="358189"/>
      </w:pBdr>
      <w:spacing w:before="240" w:after="240" w:line="340" w:lineRule="exact"/>
    </w:pPr>
    <w:rPr>
      <w:rFonts w:eastAsiaTheme="minorHAnsi"/>
      <w:color w:val="358189"/>
    </w:rPr>
  </w:style>
  <w:style w:type="paragraph" w:customStyle="1" w:styleId="Style1">
    <w:name w:val="Style1"/>
    <w:next w:val="Normal"/>
    <w:rsid w:val="00BF7AD7"/>
    <w:pPr>
      <w:pBdr>
        <w:top w:val="single" w:sz="6" w:space="20" w:color="358189"/>
        <w:left w:val="single" w:sz="6" w:space="10" w:color="358189"/>
        <w:bottom w:val="single" w:sz="6" w:space="10" w:color="358189"/>
        <w:right w:val="single" w:sz="6" w:space="10" w:color="358189"/>
      </w:pBdr>
      <w:spacing w:after="240" w:line="260" w:lineRule="auto"/>
      <w:ind w:left="227" w:right="227"/>
    </w:pPr>
    <w:rPr>
      <w:rFonts w:ascii="Arial" w:hAnsi="Arial" w:cs="Arial"/>
      <w:color w:val="000000" w:themeColor="text1"/>
      <w:sz w:val="21"/>
      <w:szCs w:val="24"/>
      <w:lang w:val="en" w:eastAsia="en-US"/>
    </w:rPr>
  </w:style>
  <w:style w:type="character" w:customStyle="1" w:styleId="BoldAllCaps">
    <w:name w:val="Bold All Caps"/>
    <w:basedOn w:val="DefaultParagraphFont"/>
    <w:uiPriority w:val="1"/>
    <w:qFormat/>
    <w:rsid w:val="00177AD2"/>
    <w:rPr>
      <w:b/>
      <w:caps/>
      <w:smallCaps w:val="0"/>
      <w:color w:val="358189"/>
      <w:bdr w:val="none" w:sz="0" w:space="0" w:color="auto"/>
    </w:rPr>
  </w:style>
  <w:style w:type="paragraph" w:customStyle="1" w:styleId="PolicyStatement">
    <w:name w:val="PolicyStatement"/>
    <w:basedOn w:val="Normal"/>
    <w:qFormat/>
    <w:rsid w:val="00BF7AD7"/>
    <w:pPr>
      <w:pBdr>
        <w:top w:val="single" w:sz="4" w:space="20" w:color="F2F2F2" w:themeColor="background1" w:themeShade="F2"/>
        <w:left w:val="single" w:sz="4" w:space="10" w:color="F2F2F2" w:themeColor="background1" w:themeShade="F2"/>
        <w:bottom w:val="single" w:sz="4" w:space="10" w:color="F2F2F2" w:themeColor="background1" w:themeShade="F2"/>
        <w:right w:val="single" w:sz="4" w:space="10" w:color="F2F2F2" w:themeColor="background1" w:themeShade="F2"/>
      </w:pBdr>
      <w:shd w:val="clear" w:color="auto" w:fill="F2F2F2" w:themeFill="background1" w:themeFillShade="F2"/>
      <w:spacing w:before="240" w:line="260" w:lineRule="auto"/>
      <w:ind w:left="227" w:right="227"/>
    </w:pPr>
  </w:style>
  <w:style w:type="table" w:customStyle="1" w:styleId="DepartmentofHealthtable">
    <w:name w:val="Department of Health table"/>
    <w:basedOn w:val="TableNormal"/>
    <w:uiPriority w:val="99"/>
    <w:rsid w:val="00BF7AD7"/>
    <w:rPr>
      <w:rFonts w:ascii="Arial" w:hAnsi="Arial"/>
      <w:color w:val="000000" w:themeColor="text1"/>
      <w:sz w:val="21"/>
    </w:rPr>
    <w:tblPr>
      <w:tblStyleRowBandSize w:val="1"/>
      <w:tblBorders>
        <w:top w:val="single" w:sz="4" w:space="0" w:color="auto"/>
        <w:bottom w:val="single" w:sz="4" w:space="0" w:color="auto"/>
        <w:insideH w:val="single" w:sz="4" w:space="0" w:color="auto"/>
      </w:tblBorders>
    </w:tblPr>
    <w:tcPr>
      <w:shd w:val="clear" w:color="auto" w:fill="FFFFFF" w:themeFill="background1"/>
    </w:tcPr>
    <w:tblStylePr w:type="firstRow">
      <w:rPr>
        <w:rFonts w:ascii="Arial" w:hAnsi="Arial"/>
        <w:color w:val="F2F2F2" w:themeColor="background1" w:themeShade="F2"/>
        <w:sz w:val="22"/>
      </w:rPr>
      <w:tblPr/>
      <w:tcPr>
        <w:shd w:val="clear" w:color="auto" w:fill="3F4A75"/>
      </w:tcPr>
    </w:tblStylePr>
    <w:tblStylePr w:type="lastRow">
      <w:rPr>
        <w:rFonts w:ascii="Arial" w:hAnsi="Arial"/>
        <w:color w:val="000000" w:themeColor="text1"/>
      </w:rPr>
      <w:tblPr/>
      <w:tcPr>
        <w:shd w:val="clear" w:color="auto" w:fill="FFFFFF" w:themeFill="background1"/>
      </w:tcPr>
    </w:tblStylePr>
    <w:tblStylePr w:type="firstCol">
      <w:tblPr/>
      <w:tcPr>
        <w:shd w:val="clear" w:color="auto" w:fill="FFFFFF" w:themeFill="background1"/>
      </w:tcPr>
    </w:tblStylePr>
    <w:tblStylePr w:type="band1Horz">
      <w:tblPr/>
      <w:tcPr>
        <w:shd w:val="clear" w:color="auto" w:fill="FFFFFF" w:themeFill="background1"/>
      </w:tcPr>
    </w:tblStylePr>
    <w:tblStylePr w:type="band2Horz">
      <w:tblPr/>
      <w:tcPr>
        <w:shd w:val="clear" w:color="auto" w:fill="FFFFFF" w:themeFill="background1"/>
      </w:tcPr>
    </w:tblStylePr>
  </w:style>
  <w:style w:type="character" w:customStyle="1" w:styleId="TableTitleChar">
    <w:name w:val="Table Title Char"/>
    <w:basedOn w:val="DefaultParagraphFont"/>
    <w:link w:val="TableTitle"/>
    <w:rsid w:val="00BF7AD7"/>
    <w:rPr>
      <w:rFonts w:ascii="Arial" w:hAnsi="Arial"/>
      <w:b/>
      <w:color w:val="000000" w:themeColor="text1"/>
      <w:sz w:val="22"/>
      <w:szCs w:val="24"/>
      <w:lang w:val="en-US" w:eastAsia="en-US"/>
    </w:rPr>
  </w:style>
  <w:style w:type="paragraph" w:customStyle="1" w:styleId="IntroPara">
    <w:name w:val="Intro Para"/>
    <w:basedOn w:val="Normal"/>
    <w:next w:val="Normal"/>
    <w:qFormat/>
    <w:rsid w:val="00BF7AD7"/>
    <w:pPr>
      <w:spacing w:before="480" w:line="400" w:lineRule="exact"/>
    </w:pPr>
    <w:rPr>
      <w:color w:val="358189"/>
      <w:sz w:val="28"/>
    </w:rPr>
  </w:style>
  <w:style w:type="paragraph" w:customStyle="1" w:styleId="TableTextright">
    <w:name w:val="Table Text right"/>
    <w:basedOn w:val="Tabletextleft"/>
    <w:rsid w:val="00BF7AD7"/>
    <w:pPr>
      <w:jc w:val="right"/>
    </w:pPr>
  </w:style>
  <w:style w:type="paragraph" w:customStyle="1" w:styleId="Tabletextright0">
    <w:name w:val="Table text right"/>
    <w:basedOn w:val="Tabletextleft"/>
    <w:rsid w:val="00BF7AD7"/>
    <w:pPr>
      <w:jc w:val="right"/>
    </w:pPr>
  </w:style>
  <w:style w:type="paragraph" w:customStyle="1" w:styleId="Tabletextcentre">
    <w:name w:val="Table text centre"/>
    <w:basedOn w:val="Tabletextleft"/>
    <w:rsid w:val="00BF7AD7"/>
    <w:pPr>
      <w:jc w:val="center"/>
    </w:pPr>
  </w:style>
  <w:style w:type="paragraph" w:customStyle="1" w:styleId="Boxheading">
    <w:name w:val="Box heading"/>
    <w:basedOn w:val="Boxtype"/>
    <w:qFormat/>
    <w:rsid w:val="00BF7AD7"/>
    <w:pPr>
      <w:spacing w:before="240"/>
    </w:pPr>
    <w:rPr>
      <w:rFonts w:cs="Times New Roman"/>
      <w:b/>
      <w:bCs/>
      <w:caps/>
      <w:color w:val="358189"/>
      <w:szCs w:val="20"/>
    </w:rPr>
  </w:style>
  <w:style w:type="paragraph" w:customStyle="1" w:styleId="Boxtype">
    <w:name w:val="Box type"/>
    <w:next w:val="Normal"/>
    <w:qFormat/>
    <w:rsid w:val="00BF7AD7"/>
    <w:pPr>
      <w:pBdr>
        <w:top w:val="single" w:sz="6" w:space="20" w:color="358189"/>
        <w:left w:val="single" w:sz="6" w:space="10" w:color="358189"/>
        <w:bottom w:val="single" w:sz="6" w:space="10" w:color="358189"/>
        <w:right w:val="single" w:sz="6" w:space="10" w:color="358189"/>
      </w:pBdr>
      <w:spacing w:after="240" w:line="276" w:lineRule="auto"/>
      <w:ind w:left="227" w:right="227"/>
    </w:pPr>
    <w:rPr>
      <w:rFonts w:ascii="Arial" w:hAnsi="Arial" w:cs="Arial"/>
      <w:color w:val="000000" w:themeColor="text1"/>
      <w:sz w:val="22"/>
      <w:szCs w:val="24"/>
      <w:lang w:val="en" w:eastAsia="en-US"/>
    </w:rPr>
  </w:style>
  <w:style w:type="paragraph" w:styleId="BodyText">
    <w:name w:val="Body Text"/>
    <w:basedOn w:val="Normal"/>
    <w:link w:val="BodyTextChar"/>
    <w:semiHidden/>
    <w:unhideWhenUsed/>
    <w:rsid w:val="00BF7AD7"/>
  </w:style>
  <w:style w:type="character" w:customStyle="1" w:styleId="BodyTextChar">
    <w:name w:val="Body Text Char"/>
    <w:basedOn w:val="DefaultParagraphFont"/>
    <w:link w:val="BodyText"/>
    <w:semiHidden/>
    <w:rsid w:val="00BF7AD7"/>
    <w:rPr>
      <w:rFonts w:ascii="Arial" w:hAnsi="Arial"/>
      <w:color w:val="000000" w:themeColor="text1"/>
      <w:sz w:val="22"/>
      <w:szCs w:val="24"/>
      <w:lang w:eastAsia="en-US"/>
    </w:rPr>
  </w:style>
  <w:style w:type="paragraph" w:customStyle="1" w:styleId="Footerrightpage">
    <w:name w:val="Footer right page"/>
    <w:basedOn w:val="Footer"/>
    <w:rsid w:val="00BF7AD7"/>
  </w:style>
  <w:style w:type="character" w:customStyle="1" w:styleId="Heading7Char">
    <w:name w:val="Heading 7 Char"/>
    <w:basedOn w:val="DefaultParagraphFont"/>
    <w:link w:val="Heading7"/>
    <w:semiHidden/>
    <w:rsid w:val="00BF7AD7"/>
    <w:rPr>
      <w:rFonts w:ascii="Arial" w:eastAsiaTheme="majorEastAsia" w:hAnsi="Arial" w:cstheme="majorBidi"/>
      <w:b/>
      <w:i/>
      <w:iCs/>
      <w:color w:val="1F243A" w:themeColor="accent1" w:themeShade="7F"/>
      <w:sz w:val="22"/>
      <w:szCs w:val="24"/>
      <w:lang w:eastAsia="en-US"/>
    </w:rPr>
  </w:style>
  <w:style w:type="paragraph" w:customStyle="1" w:styleId="URL">
    <w:name w:val="URL"/>
    <w:basedOn w:val="Normal"/>
    <w:rsid w:val="00BF7AD7"/>
    <w:pPr>
      <w:spacing w:before="3120"/>
      <w:jc w:val="center"/>
    </w:pPr>
    <w:rPr>
      <w:b/>
      <w:bCs/>
      <w:sz w:val="24"/>
      <w:szCs w:val="20"/>
    </w:rPr>
  </w:style>
  <w:style w:type="character" w:customStyle="1" w:styleId="Heading1Char">
    <w:name w:val="Heading 1 Char"/>
    <w:basedOn w:val="DefaultParagraphFont"/>
    <w:link w:val="Heading1"/>
    <w:uiPriority w:val="9"/>
    <w:rsid w:val="004375A3"/>
    <w:rPr>
      <w:rFonts w:ascii="Arial" w:hAnsi="Arial" w:cs="Arial"/>
      <w:b/>
      <w:bCs/>
      <w:color w:val="3F4A75"/>
      <w:kern w:val="28"/>
      <w:sz w:val="44"/>
      <w:szCs w:val="36"/>
      <w:lang w:eastAsia="en-US"/>
    </w:rPr>
  </w:style>
  <w:style w:type="character" w:customStyle="1" w:styleId="Heading2Char">
    <w:name w:val="Heading 2 Char"/>
    <w:basedOn w:val="DefaultParagraphFont"/>
    <w:link w:val="Heading2"/>
    <w:uiPriority w:val="9"/>
    <w:rsid w:val="004375A3"/>
    <w:rPr>
      <w:rFonts w:ascii="Arial" w:hAnsi="Arial" w:cs="Arial"/>
      <w:b/>
      <w:bCs/>
      <w:iCs/>
      <w:color w:val="358189"/>
      <w:sz w:val="36"/>
      <w:szCs w:val="28"/>
      <w:lang w:eastAsia="en-US"/>
    </w:rPr>
  </w:style>
  <w:style w:type="table" w:styleId="GridTable4-Accent1">
    <w:name w:val="Grid Table 4 Accent 1"/>
    <w:basedOn w:val="TableNormal"/>
    <w:uiPriority w:val="49"/>
    <w:rsid w:val="004375A3"/>
    <w:rPr>
      <w:rFonts w:asciiTheme="minorHAnsi" w:eastAsiaTheme="minorHAnsi" w:hAnsiTheme="minorHAnsi"/>
      <w:kern w:val="2"/>
      <w:sz w:val="24"/>
      <w:szCs w:val="24"/>
      <w:lang w:eastAsia="en-US"/>
      <w14:ligatures w14:val="standardContextual"/>
    </w:rPr>
    <w:tblPr>
      <w:tblStyleRowBandSize w:val="1"/>
      <w:tblStyleColBandSize w:val="1"/>
      <w:tblInd w:w="0" w:type="nil"/>
      <w:tblBorders>
        <w:top w:val="single" w:sz="4" w:space="0" w:color="7E8AB9" w:themeColor="accent1" w:themeTint="99"/>
        <w:left w:val="single" w:sz="4" w:space="0" w:color="7E8AB9" w:themeColor="accent1" w:themeTint="99"/>
        <w:bottom w:val="single" w:sz="4" w:space="0" w:color="7E8AB9" w:themeColor="accent1" w:themeTint="99"/>
        <w:right w:val="single" w:sz="4" w:space="0" w:color="7E8AB9" w:themeColor="accent1" w:themeTint="99"/>
        <w:insideH w:val="single" w:sz="4" w:space="0" w:color="7E8AB9" w:themeColor="accent1" w:themeTint="99"/>
        <w:insideV w:val="single" w:sz="4" w:space="0" w:color="7E8AB9" w:themeColor="accent1" w:themeTint="99"/>
      </w:tblBorders>
    </w:tblPr>
  </w:style>
  <w:style w:type="character" w:styleId="CommentReference">
    <w:name w:val="annotation reference"/>
    <w:basedOn w:val="DefaultParagraphFont"/>
    <w:uiPriority w:val="99"/>
    <w:semiHidden/>
    <w:unhideWhenUsed/>
    <w:rsid w:val="004375A3"/>
    <w:rPr>
      <w:sz w:val="16"/>
      <w:szCs w:val="16"/>
    </w:rPr>
  </w:style>
  <w:style w:type="paragraph" w:styleId="CommentText">
    <w:name w:val="annotation text"/>
    <w:basedOn w:val="Normal"/>
    <w:link w:val="CommentTextChar"/>
    <w:uiPriority w:val="99"/>
    <w:unhideWhenUsed/>
    <w:rsid w:val="004375A3"/>
    <w:pPr>
      <w:spacing w:before="0" w:after="160" w:line="240" w:lineRule="auto"/>
    </w:pPr>
    <w:rPr>
      <w:rFonts w:eastAsiaTheme="minorHAnsi"/>
      <w:color w:val="auto"/>
      <w:kern w:val="2"/>
      <w:sz w:val="20"/>
      <w:szCs w:val="20"/>
      <w14:ligatures w14:val="standardContextual"/>
    </w:rPr>
  </w:style>
  <w:style w:type="character" w:customStyle="1" w:styleId="CommentTextChar">
    <w:name w:val="Comment Text Char"/>
    <w:basedOn w:val="DefaultParagraphFont"/>
    <w:link w:val="CommentText"/>
    <w:uiPriority w:val="99"/>
    <w:rsid w:val="004375A3"/>
    <w:rPr>
      <w:rFonts w:ascii="Arial" w:eastAsiaTheme="minorHAnsi" w:hAnsi="Arial"/>
      <w:kern w:val="2"/>
      <w:lang w:eastAsia="en-US"/>
      <w14:ligatures w14:val="standardContextual"/>
    </w:rPr>
  </w:style>
  <w:style w:type="character" w:customStyle="1" w:styleId="ListParagraphChar">
    <w:name w:val="List Paragraph Char"/>
    <w:aliases w:val="List Paragraph1 Char,Recommendation Char,#List Paragraph Char,L Char,List Paragraph11 Char,Bullet point Char,Bullets Char,CV text Char,Dot pt Char,F5 List Paragraph Char,FooterText Char,List Paragraph111 Char,List Paragraph2 Char"/>
    <w:link w:val="ListParagraph"/>
    <w:qFormat/>
    <w:locked/>
    <w:rsid w:val="004375A3"/>
    <w:rPr>
      <w:rFonts w:ascii="Arial" w:hAnsi="Arial"/>
      <w:color w:val="000000" w:themeColor="text1"/>
      <w:sz w:val="22"/>
      <w:szCs w:val="24"/>
      <w:lang w:eastAsia="en-US"/>
    </w:rPr>
  </w:style>
  <w:style w:type="table" w:styleId="PlainTable4">
    <w:name w:val="Plain Table 4"/>
    <w:basedOn w:val="TableNormal"/>
    <w:uiPriority w:val="44"/>
    <w:rsid w:val="004375A3"/>
    <w:rPr>
      <w:rFonts w:asciiTheme="minorHAnsi" w:hAnsiTheme="minorHAnsi"/>
      <w:kern w:val="2"/>
      <w:sz w:val="24"/>
      <w:szCs w:val="24"/>
      <w14:ligatures w14:val="standardContextual"/>
    </w:rPr>
    <w:tblPr>
      <w:tblStyleRowBandSize w:val="1"/>
      <w:tblStyleColBandSize w:val="1"/>
      <w:tblInd w:w="0" w:type="nil"/>
    </w:tblPr>
  </w:style>
  <w:style w:type="paragraph" w:customStyle="1" w:styleId="paragraph">
    <w:name w:val="paragraph"/>
    <w:basedOn w:val="Normal"/>
    <w:rsid w:val="004375A3"/>
    <w:pPr>
      <w:spacing w:before="100" w:beforeAutospacing="1" w:after="100" w:afterAutospacing="1" w:line="240" w:lineRule="auto"/>
    </w:pPr>
    <w:rPr>
      <w:rFonts w:ascii="Times New Roman" w:hAnsi="Times New Roman"/>
      <w:color w:val="auto"/>
      <w:sz w:val="24"/>
      <w:lang w:eastAsia="en-AU"/>
    </w:rPr>
  </w:style>
  <w:style w:type="character" w:styleId="UnresolvedMention">
    <w:name w:val="Unresolved Mention"/>
    <w:basedOn w:val="DefaultParagraphFont"/>
    <w:uiPriority w:val="99"/>
    <w:semiHidden/>
    <w:unhideWhenUsed/>
    <w:rsid w:val="00E91856"/>
    <w:rPr>
      <w:color w:val="605E5C"/>
      <w:shd w:val="clear" w:color="auto" w:fill="E1DFDD"/>
    </w:rPr>
  </w:style>
  <w:style w:type="paragraph" w:styleId="CommentSubject">
    <w:name w:val="annotation subject"/>
    <w:basedOn w:val="CommentText"/>
    <w:next w:val="CommentText"/>
    <w:link w:val="CommentSubjectChar"/>
    <w:semiHidden/>
    <w:unhideWhenUsed/>
    <w:rsid w:val="009D1824"/>
    <w:pPr>
      <w:spacing w:before="120" w:after="120"/>
    </w:pPr>
    <w:rPr>
      <w:rFonts w:eastAsia="Times New Roman"/>
      <w:b/>
      <w:bCs/>
      <w:color w:val="000000" w:themeColor="text1"/>
      <w:kern w:val="0"/>
      <w14:ligatures w14:val="none"/>
    </w:rPr>
  </w:style>
  <w:style w:type="character" w:customStyle="1" w:styleId="CommentSubjectChar">
    <w:name w:val="Comment Subject Char"/>
    <w:basedOn w:val="CommentTextChar"/>
    <w:link w:val="CommentSubject"/>
    <w:semiHidden/>
    <w:rsid w:val="009D1824"/>
    <w:rPr>
      <w:rFonts w:ascii="Arial" w:eastAsiaTheme="minorHAnsi" w:hAnsi="Arial"/>
      <w:b/>
      <w:bCs/>
      <w:color w:val="000000" w:themeColor="text1"/>
      <w:kern w:val="2"/>
      <w:lang w:eastAsia="en-US"/>
      <w14:ligatures w14:val="standardContextual"/>
    </w:rPr>
  </w:style>
  <w:style w:type="paragraph" w:styleId="Revision">
    <w:name w:val="Revision"/>
    <w:hidden/>
    <w:uiPriority w:val="99"/>
    <w:semiHidden/>
    <w:rsid w:val="00891CB8"/>
    <w:rPr>
      <w:rFonts w:ascii="Arial" w:hAnsi="Arial"/>
      <w:color w:val="000000" w:themeColor="text1"/>
      <w:sz w:val="22"/>
      <w:szCs w:val="24"/>
      <w:lang w:eastAsia="en-US"/>
    </w:rPr>
  </w:style>
  <w:style w:type="paragraph" w:styleId="TOCHeading">
    <w:name w:val="TOC Heading"/>
    <w:basedOn w:val="Heading1"/>
    <w:next w:val="Normal"/>
    <w:uiPriority w:val="39"/>
    <w:unhideWhenUsed/>
    <w:qFormat/>
    <w:rsid w:val="003F6B26"/>
    <w:pPr>
      <w:keepLines/>
      <w:spacing w:after="0" w:line="259" w:lineRule="auto"/>
      <w:outlineLvl w:val="9"/>
    </w:pPr>
    <w:rPr>
      <w:rFonts w:asciiTheme="majorHAnsi" w:eastAsiaTheme="majorEastAsia" w:hAnsiTheme="majorHAnsi" w:cstheme="majorBidi"/>
      <w:b w:val="0"/>
      <w:bCs w:val="0"/>
      <w:color w:val="2F3757" w:themeColor="accent1" w:themeShade="BF"/>
      <w:kern w:val="0"/>
      <w:sz w:val="32"/>
      <w:szCs w:val="32"/>
      <w:lang w:eastAsia="en-AU"/>
    </w:rPr>
  </w:style>
  <w:style w:type="paragraph" w:styleId="TOC1">
    <w:name w:val="toc 1"/>
    <w:basedOn w:val="Normal"/>
    <w:next w:val="Normal"/>
    <w:autoRedefine/>
    <w:uiPriority w:val="39"/>
    <w:unhideWhenUsed/>
    <w:rsid w:val="003F6B26"/>
    <w:pPr>
      <w:spacing w:after="100"/>
    </w:pPr>
  </w:style>
  <w:style w:type="paragraph" w:styleId="TOC2">
    <w:name w:val="toc 2"/>
    <w:basedOn w:val="Normal"/>
    <w:next w:val="Normal"/>
    <w:autoRedefine/>
    <w:uiPriority w:val="39"/>
    <w:unhideWhenUsed/>
    <w:rsid w:val="003F6B26"/>
    <w:pPr>
      <w:spacing w:after="100"/>
      <w:ind w:left="220"/>
    </w:pPr>
  </w:style>
  <w:style w:type="character" w:styleId="FootnoteReference">
    <w:name w:val="footnote reference"/>
    <w:basedOn w:val="DefaultParagraphFont"/>
    <w:semiHidden/>
    <w:unhideWhenUsed/>
    <w:rsid w:val="00146A48"/>
    <w:rPr>
      <w:vertAlign w:val="superscript"/>
    </w:rPr>
  </w:style>
  <w:style w:type="character" w:styleId="Mention">
    <w:name w:val="Mention"/>
    <w:basedOn w:val="DefaultParagraphFont"/>
    <w:uiPriority w:val="99"/>
    <w:unhideWhenUsed/>
    <w:rsid w:val="008932B0"/>
    <w:rPr>
      <w:color w:val="2B579A"/>
      <w:shd w:val="clear" w:color="auto" w:fill="E1DFDD"/>
    </w:rPr>
  </w:style>
  <w:style w:type="character" w:styleId="FollowedHyperlink">
    <w:name w:val="FollowedHyperlink"/>
    <w:basedOn w:val="DefaultParagraphFont"/>
    <w:semiHidden/>
    <w:unhideWhenUsed/>
    <w:rsid w:val="00474A3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5596314">
      <w:bodyDiv w:val="1"/>
      <w:marLeft w:val="0"/>
      <w:marRight w:val="0"/>
      <w:marTop w:val="0"/>
      <w:marBottom w:val="0"/>
      <w:divBdr>
        <w:top w:val="none" w:sz="0" w:space="0" w:color="auto"/>
        <w:left w:val="none" w:sz="0" w:space="0" w:color="auto"/>
        <w:bottom w:val="none" w:sz="0" w:space="0" w:color="auto"/>
        <w:right w:val="none" w:sz="0" w:space="0" w:color="auto"/>
      </w:divBdr>
    </w:div>
    <w:div w:id="434401465">
      <w:bodyDiv w:val="1"/>
      <w:marLeft w:val="0"/>
      <w:marRight w:val="0"/>
      <w:marTop w:val="0"/>
      <w:marBottom w:val="0"/>
      <w:divBdr>
        <w:top w:val="none" w:sz="0" w:space="0" w:color="auto"/>
        <w:left w:val="none" w:sz="0" w:space="0" w:color="auto"/>
        <w:bottom w:val="none" w:sz="0" w:space="0" w:color="auto"/>
        <w:right w:val="none" w:sz="0" w:space="0" w:color="auto"/>
      </w:divBdr>
    </w:div>
    <w:div w:id="610670463">
      <w:bodyDiv w:val="1"/>
      <w:marLeft w:val="0"/>
      <w:marRight w:val="0"/>
      <w:marTop w:val="0"/>
      <w:marBottom w:val="0"/>
      <w:divBdr>
        <w:top w:val="none" w:sz="0" w:space="0" w:color="auto"/>
        <w:left w:val="none" w:sz="0" w:space="0" w:color="auto"/>
        <w:bottom w:val="none" w:sz="0" w:space="0" w:color="auto"/>
        <w:right w:val="none" w:sz="0" w:space="0" w:color="auto"/>
      </w:divBdr>
    </w:div>
    <w:div w:id="735668350">
      <w:bodyDiv w:val="1"/>
      <w:marLeft w:val="0"/>
      <w:marRight w:val="0"/>
      <w:marTop w:val="0"/>
      <w:marBottom w:val="0"/>
      <w:divBdr>
        <w:top w:val="none" w:sz="0" w:space="0" w:color="auto"/>
        <w:left w:val="none" w:sz="0" w:space="0" w:color="auto"/>
        <w:bottom w:val="none" w:sz="0" w:space="0" w:color="auto"/>
        <w:right w:val="none" w:sz="0" w:space="0" w:color="auto"/>
      </w:divBdr>
    </w:div>
    <w:div w:id="1229875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s://www.servicesaustralia.gov.au/claim-for-support-home-services?context=20" TargetMode="External"/><Relationship Id="rId26"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yperlink" Target="https://www.health.gov.au/resources/collections/support-at-home-pricing-resources?language=en" TargetMode="Externa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https://www.health.gov.au/resources/publications/support-at-home-program-manual-a-guide-for-registered-providers" TargetMode="External"/><Relationship Id="rId25" Type="http://schemas.openxmlformats.org/officeDocument/2006/relationships/hyperlink" Target="https://www.health.gov.au/resources/publications/national-summary-of-support-at-home-prices-november-to-december-2025?language=en" TargetMode="External"/><Relationship Id="rId2" Type="http://schemas.openxmlformats.org/officeDocument/2006/relationships/customXml" Target="../customXml/item2.xml"/><Relationship Id="rId16" Type="http://schemas.openxmlformats.org/officeDocument/2006/relationships/hyperlink" Target="https://classic.austlii.edu.au/au/legis/cth/num_reg/acr2025202501173122/s273.15.html" TargetMode="External"/><Relationship Id="rId20" Type="http://schemas.openxmlformats.org/officeDocument/2006/relationships/hyperlink" Target="https://www.health.gov.au/our-work/support-at-home/charging-for-support-at-home-services/prices-for-support-at-home-participants"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s://www.health.gov.au/our-work/support-at-home/charging-for-support-at-home-services/prices-for-support-at-home-participants" TargetMode="Externa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hyperlink" Target="https://www.health.gov.au/news/new-consumer-protections-for-support-at-home-services"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hpe.servicesaustralia.gov.au/ACPP_support.htm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s://www.health.gov.au/our-work/aged-care-financial-viability-and-capability/financial-viability-and-capability-support-for-aged-care-providers" TargetMode="External"/><Relationship Id="rId27" Type="http://schemas.openxmlformats.org/officeDocument/2006/relationships/footer" Target="footer3.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ongzh\Downloads\Department%20of%20Health,%20Disability%20and%20Ageing%20short%20document%20template.dotx" TargetMode="External"/></Relationships>
</file>

<file path=word/theme/theme1.xml><?xml version="1.0" encoding="utf-8"?>
<a:theme xmlns:a="http://schemas.openxmlformats.org/drawingml/2006/main" name="Office Theme">
  <a:themeElements>
    <a:clrScheme name="Health">
      <a:dk1>
        <a:sysClr val="windowText" lastClr="000000"/>
      </a:dk1>
      <a:lt1>
        <a:sysClr val="window" lastClr="FFFFFF"/>
      </a:lt1>
      <a:dk2>
        <a:srgbClr val="3F4A75"/>
      </a:dk2>
      <a:lt2>
        <a:srgbClr val="E6E6E6"/>
      </a:lt2>
      <a:accent1>
        <a:srgbClr val="3F4A75"/>
      </a:accent1>
      <a:accent2>
        <a:srgbClr val="358189"/>
      </a:accent2>
      <a:accent3>
        <a:srgbClr val="0078BF"/>
      </a:accent3>
      <a:accent4>
        <a:srgbClr val="9E4C6E"/>
      </a:accent4>
      <a:accent5>
        <a:srgbClr val="3998B5"/>
      </a:accent5>
      <a:accent6>
        <a:srgbClr val="97A92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PDMS Document" ma:contentTypeID="0x010100266966F133664895A6EE3632470D45F50086461D70F523D849B8674E95C7767C71" ma:contentTypeVersion="" ma:contentTypeDescription="PDMS Document Site Content Type" ma:contentTypeScope="" ma:versionID="ad927ce4679e9343417e97dcd4b103e0">
  <xsd:schema xmlns:xsd="http://www.w3.org/2001/XMLSchema" xmlns:xs="http://www.w3.org/2001/XMLSchema" xmlns:p="http://schemas.microsoft.com/office/2006/metadata/properties" xmlns:ns2="8F456509-37C8-4072-8839-5E2D91BBF713" targetNamespace="http://schemas.microsoft.com/office/2006/metadata/properties" ma:root="true" ma:fieldsID="315310547eb51378e379f91a4b65436d" ns2:_="">
    <xsd:import namespace="8F456509-37C8-4072-8839-5E2D91BBF713"/>
    <xsd:element name="properties">
      <xsd:complexType>
        <xsd:sequence>
          <xsd:element name="documentManagement">
            <xsd:complexType>
              <xsd:all>
                <xsd:element ref="ns2:SecurityClassifi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456509-37C8-4072-8839-5E2D91BBF713" elementFormDefault="qualified">
    <xsd:import namespace="http://schemas.microsoft.com/office/2006/documentManagement/types"/>
    <xsd:import namespace="http://schemas.microsoft.com/office/infopath/2007/PartnerControls"/>
    <xsd:element name="SecurityClassification" ma:index="8" nillable="true" ma:displayName="Security Classification" ma:hidden="true" ma:internalName="SecurityClassification">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SecurityClassification xmlns="8F456509-37C8-4072-8839-5E2D91BBF713" xsi:nil="true"/>
  </documentManagement>
</p:properties>
</file>

<file path=customXml/itemProps1.xml><?xml version="1.0" encoding="utf-8"?>
<ds:datastoreItem xmlns:ds="http://schemas.openxmlformats.org/officeDocument/2006/customXml" ds:itemID="{3BFCAFB5-863C-4C24-ACB5-1626D6CA35D8}">
  <ds:schemaRefs>
    <ds:schemaRef ds:uri="http://schemas.microsoft.com/sharepoint/v3/contenttype/forms"/>
  </ds:schemaRefs>
</ds:datastoreItem>
</file>

<file path=customXml/itemProps2.xml><?xml version="1.0" encoding="utf-8"?>
<ds:datastoreItem xmlns:ds="http://schemas.openxmlformats.org/officeDocument/2006/customXml" ds:itemID="{DC0250D2-D540-47B2-BC96-2491D16CA8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456509-37C8-4072-8839-5E2D91BBF7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FB9117E-35B3-4AB3-A88F-834EF93E30D0}">
  <ds:schemaRefs>
    <ds:schemaRef ds:uri="http://schemas.openxmlformats.org/officeDocument/2006/bibliography"/>
  </ds:schemaRefs>
</ds:datastoreItem>
</file>

<file path=customXml/itemProps4.xml><?xml version="1.0" encoding="utf-8"?>
<ds:datastoreItem xmlns:ds="http://schemas.openxmlformats.org/officeDocument/2006/customXml" ds:itemID="{D20C6417-ADBB-487B-9091-DC3471F064BF}">
  <ds:schemaRefs>
    <ds:schemaRef ds:uri="http://schemas.microsoft.com/office/2006/metadata/properties"/>
    <ds:schemaRef ds:uri="http://schemas.microsoft.com/office/infopath/2007/PartnerControls"/>
    <ds:schemaRef ds:uri="8F456509-37C8-4072-8839-5E2D91BBF713"/>
  </ds:schemaRefs>
</ds:datastoreItem>
</file>

<file path=docProps/app.xml><?xml version="1.0" encoding="utf-8"?>
<Properties xmlns="http://schemas.openxmlformats.org/officeDocument/2006/extended-properties" xmlns:vt="http://schemas.openxmlformats.org/officeDocument/2006/docPropsVTypes">
  <Template>Department of Health, Disability and Ageing short document template.dotx</Template>
  <TotalTime>68</TotalTime>
  <Pages>9</Pages>
  <Words>2488</Words>
  <Characters>14807</Characters>
  <Application>Microsoft Office Word</Application>
  <DocSecurity>0</DocSecurity>
  <Lines>309</Lines>
  <Paragraphs>140</Paragraphs>
  <ScaleCrop>false</ScaleCrop>
  <HeadingPairs>
    <vt:vector size="2" baseType="variant">
      <vt:variant>
        <vt:lpstr>Title</vt:lpstr>
      </vt:variant>
      <vt:variant>
        <vt:i4>1</vt:i4>
      </vt:variant>
    </vt:vector>
  </HeadingPairs>
  <TitlesOfParts>
    <vt:vector size="1" baseType="lpstr">
      <vt:lpstr>Short document template</vt:lpstr>
    </vt:vector>
  </TitlesOfParts>
  <Company/>
  <LinksUpToDate>false</LinksUpToDate>
  <CharactersWithSpaces>17217</CharactersWithSpaces>
  <SharedDoc>false</SharedDoc>
  <HLinks>
    <vt:vector size="138" baseType="variant">
      <vt:variant>
        <vt:i4>4849667</vt:i4>
      </vt:variant>
      <vt:variant>
        <vt:i4>84</vt:i4>
      </vt:variant>
      <vt:variant>
        <vt:i4>0</vt:i4>
      </vt:variant>
      <vt:variant>
        <vt:i4>5</vt:i4>
      </vt:variant>
      <vt:variant>
        <vt:lpwstr>https://www.health.gov.au/resources/publications/national-summary-of-support-at-home-prices-november-to-december-2025?language=en</vt:lpwstr>
      </vt:variant>
      <vt:variant>
        <vt:lpwstr/>
      </vt:variant>
      <vt:variant>
        <vt:i4>1769559</vt:i4>
      </vt:variant>
      <vt:variant>
        <vt:i4>81</vt:i4>
      </vt:variant>
      <vt:variant>
        <vt:i4>0</vt:i4>
      </vt:variant>
      <vt:variant>
        <vt:i4>5</vt:i4>
      </vt:variant>
      <vt:variant>
        <vt:lpwstr>https://www.health.gov.au/our-work/support-at-home/charging-for-support-at-home-services/prices-for-support-at-home-participants</vt:lpwstr>
      </vt:variant>
      <vt:variant>
        <vt:lpwstr/>
      </vt:variant>
      <vt:variant>
        <vt:i4>4259855</vt:i4>
      </vt:variant>
      <vt:variant>
        <vt:i4>78</vt:i4>
      </vt:variant>
      <vt:variant>
        <vt:i4>0</vt:i4>
      </vt:variant>
      <vt:variant>
        <vt:i4>5</vt:i4>
      </vt:variant>
      <vt:variant>
        <vt:lpwstr>https://www.health.gov.au/news/new-consumer-protections-for-support-at-home-services</vt:lpwstr>
      </vt:variant>
      <vt:variant>
        <vt:lpwstr/>
      </vt:variant>
      <vt:variant>
        <vt:i4>2818165</vt:i4>
      </vt:variant>
      <vt:variant>
        <vt:i4>75</vt:i4>
      </vt:variant>
      <vt:variant>
        <vt:i4>0</vt:i4>
      </vt:variant>
      <vt:variant>
        <vt:i4>5</vt:i4>
      </vt:variant>
      <vt:variant>
        <vt:lpwstr>https://www.health.gov.au/our-work/aged-care-financial-viability-and-capability/financial-viability-and-capability-support-for-aged-care-providers</vt:lpwstr>
      </vt:variant>
      <vt:variant>
        <vt:lpwstr/>
      </vt:variant>
      <vt:variant>
        <vt:i4>1900609</vt:i4>
      </vt:variant>
      <vt:variant>
        <vt:i4>72</vt:i4>
      </vt:variant>
      <vt:variant>
        <vt:i4>0</vt:i4>
      </vt:variant>
      <vt:variant>
        <vt:i4>5</vt:i4>
      </vt:variant>
      <vt:variant>
        <vt:lpwstr>https://www.health.gov.au/resources/collections/support-at-home-pricing-resources?language=en</vt:lpwstr>
      </vt:variant>
      <vt:variant>
        <vt:lpwstr/>
      </vt:variant>
      <vt:variant>
        <vt:i4>1769559</vt:i4>
      </vt:variant>
      <vt:variant>
        <vt:i4>69</vt:i4>
      </vt:variant>
      <vt:variant>
        <vt:i4>0</vt:i4>
      </vt:variant>
      <vt:variant>
        <vt:i4>5</vt:i4>
      </vt:variant>
      <vt:variant>
        <vt:lpwstr>https://www.health.gov.au/our-work/support-at-home/charging-for-support-at-home-services/prices-for-support-at-home-participants</vt:lpwstr>
      </vt:variant>
      <vt:variant>
        <vt:lpwstr/>
      </vt:variant>
      <vt:variant>
        <vt:i4>3342350</vt:i4>
      </vt:variant>
      <vt:variant>
        <vt:i4>66</vt:i4>
      </vt:variant>
      <vt:variant>
        <vt:i4>0</vt:i4>
      </vt:variant>
      <vt:variant>
        <vt:i4>5</vt:i4>
      </vt:variant>
      <vt:variant>
        <vt:lpwstr>https://hpe.servicesaustralia.gov.au/ACPP_support.html</vt:lpwstr>
      </vt:variant>
      <vt:variant>
        <vt:lpwstr>elearn</vt:lpwstr>
      </vt:variant>
      <vt:variant>
        <vt:i4>4063273</vt:i4>
      </vt:variant>
      <vt:variant>
        <vt:i4>63</vt:i4>
      </vt:variant>
      <vt:variant>
        <vt:i4>0</vt:i4>
      </vt:variant>
      <vt:variant>
        <vt:i4>5</vt:i4>
      </vt:variant>
      <vt:variant>
        <vt:lpwstr>https://www.servicesaustralia.gov.au/claim-for-support-home-services?context=20</vt:lpwstr>
      </vt:variant>
      <vt:variant>
        <vt:lpwstr/>
      </vt:variant>
      <vt:variant>
        <vt:i4>1703953</vt:i4>
      </vt:variant>
      <vt:variant>
        <vt:i4>60</vt:i4>
      </vt:variant>
      <vt:variant>
        <vt:i4>0</vt:i4>
      </vt:variant>
      <vt:variant>
        <vt:i4>5</vt:i4>
      </vt:variant>
      <vt:variant>
        <vt:lpwstr>https://www.health.gov.au/resources/publications/support-at-home-program-manual-a-guide-for-registered-providers</vt:lpwstr>
      </vt:variant>
      <vt:variant>
        <vt:lpwstr/>
      </vt:variant>
      <vt:variant>
        <vt:i4>2883655</vt:i4>
      </vt:variant>
      <vt:variant>
        <vt:i4>57</vt:i4>
      </vt:variant>
      <vt:variant>
        <vt:i4>0</vt:i4>
      </vt:variant>
      <vt:variant>
        <vt:i4>5</vt:i4>
      </vt:variant>
      <vt:variant>
        <vt:lpwstr>https://classic.austlii.edu.au/au/legis/cth/num_reg/acr2025202501173122/s273.15.html</vt:lpwstr>
      </vt:variant>
      <vt:variant>
        <vt:lpwstr/>
      </vt:variant>
      <vt:variant>
        <vt:i4>1572913</vt:i4>
      </vt:variant>
      <vt:variant>
        <vt:i4>50</vt:i4>
      </vt:variant>
      <vt:variant>
        <vt:i4>0</vt:i4>
      </vt:variant>
      <vt:variant>
        <vt:i4>5</vt:i4>
      </vt:variant>
      <vt:variant>
        <vt:lpwstr/>
      </vt:variant>
      <vt:variant>
        <vt:lpwstr>_Toc237538711</vt:lpwstr>
      </vt:variant>
      <vt:variant>
        <vt:i4>1572913</vt:i4>
      </vt:variant>
      <vt:variant>
        <vt:i4>44</vt:i4>
      </vt:variant>
      <vt:variant>
        <vt:i4>0</vt:i4>
      </vt:variant>
      <vt:variant>
        <vt:i4>5</vt:i4>
      </vt:variant>
      <vt:variant>
        <vt:lpwstr/>
      </vt:variant>
      <vt:variant>
        <vt:lpwstr>_Toc237538710</vt:lpwstr>
      </vt:variant>
      <vt:variant>
        <vt:i4>1638449</vt:i4>
      </vt:variant>
      <vt:variant>
        <vt:i4>38</vt:i4>
      </vt:variant>
      <vt:variant>
        <vt:i4>0</vt:i4>
      </vt:variant>
      <vt:variant>
        <vt:i4>5</vt:i4>
      </vt:variant>
      <vt:variant>
        <vt:lpwstr/>
      </vt:variant>
      <vt:variant>
        <vt:lpwstr>_Toc237538709</vt:lpwstr>
      </vt:variant>
      <vt:variant>
        <vt:i4>1638449</vt:i4>
      </vt:variant>
      <vt:variant>
        <vt:i4>32</vt:i4>
      </vt:variant>
      <vt:variant>
        <vt:i4>0</vt:i4>
      </vt:variant>
      <vt:variant>
        <vt:i4>5</vt:i4>
      </vt:variant>
      <vt:variant>
        <vt:lpwstr/>
      </vt:variant>
      <vt:variant>
        <vt:lpwstr>_Toc237538708</vt:lpwstr>
      </vt:variant>
      <vt:variant>
        <vt:i4>1638449</vt:i4>
      </vt:variant>
      <vt:variant>
        <vt:i4>26</vt:i4>
      </vt:variant>
      <vt:variant>
        <vt:i4>0</vt:i4>
      </vt:variant>
      <vt:variant>
        <vt:i4>5</vt:i4>
      </vt:variant>
      <vt:variant>
        <vt:lpwstr/>
      </vt:variant>
      <vt:variant>
        <vt:lpwstr>_Toc237538707</vt:lpwstr>
      </vt:variant>
      <vt:variant>
        <vt:i4>1638449</vt:i4>
      </vt:variant>
      <vt:variant>
        <vt:i4>20</vt:i4>
      </vt:variant>
      <vt:variant>
        <vt:i4>0</vt:i4>
      </vt:variant>
      <vt:variant>
        <vt:i4>5</vt:i4>
      </vt:variant>
      <vt:variant>
        <vt:lpwstr/>
      </vt:variant>
      <vt:variant>
        <vt:lpwstr>_Toc237538706</vt:lpwstr>
      </vt:variant>
      <vt:variant>
        <vt:i4>1638449</vt:i4>
      </vt:variant>
      <vt:variant>
        <vt:i4>14</vt:i4>
      </vt:variant>
      <vt:variant>
        <vt:i4>0</vt:i4>
      </vt:variant>
      <vt:variant>
        <vt:i4>5</vt:i4>
      </vt:variant>
      <vt:variant>
        <vt:lpwstr/>
      </vt:variant>
      <vt:variant>
        <vt:lpwstr>_Toc237538705</vt:lpwstr>
      </vt:variant>
      <vt:variant>
        <vt:i4>1638449</vt:i4>
      </vt:variant>
      <vt:variant>
        <vt:i4>8</vt:i4>
      </vt:variant>
      <vt:variant>
        <vt:i4>0</vt:i4>
      </vt:variant>
      <vt:variant>
        <vt:i4>5</vt:i4>
      </vt:variant>
      <vt:variant>
        <vt:lpwstr/>
      </vt:variant>
      <vt:variant>
        <vt:lpwstr>_Toc237538704</vt:lpwstr>
      </vt:variant>
      <vt:variant>
        <vt:i4>1638449</vt:i4>
      </vt:variant>
      <vt:variant>
        <vt:i4>2</vt:i4>
      </vt:variant>
      <vt:variant>
        <vt:i4>0</vt:i4>
      </vt:variant>
      <vt:variant>
        <vt:i4>5</vt:i4>
      </vt:variant>
      <vt:variant>
        <vt:lpwstr/>
      </vt:variant>
      <vt:variant>
        <vt:lpwstr>_Toc237538703</vt:lpwstr>
      </vt:variant>
      <vt:variant>
        <vt:i4>2818061</vt:i4>
      </vt:variant>
      <vt:variant>
        <vt:i4>9</vt:i4>
      </vt:variant>
      <vt:variant>
        <vt:i4>0</vt:i4>
      </vt:variant>
      <vt:variant>
        <vt:i4>5</vt:i4>
      </vt:variant>
      <vt:variant>
        <vt:lpwstr>mailto:Jennifer.GONG@Health.gov.au</vt:lpwstr>
      </vt:variant>
      <vt:variant>
        <vt:lpwstr/>
      </vt:variant>
      <vt:variant>
        <vt:i4>5111914</vt:i4>
      </vt:variant>
      <vt:variant>
        <vt:i4>6</vt:i4>
      </vt:variant>
      <vt:variant>
        <vt:i4>0</vt:i4>
      </vt:variant>
      <vt:variant>
        <vt:i4>5</vt:i4>
      </vt:variant>
      <vt:variant>
        <vt:lpwstr>mailto:David.CREELMAN@Health.gov.au</vt:lpwstr>
      </vt:variant>
      <vt:variant>
        <vt:lpwstr/>
      </vt:variant>
      <vt:variant>
        <vt:i4>5111914</vt:i4>
      </vt:variant>
      <vt:variant>
        <vt:i4>3</vt:i4>
      </vt:variant>
      <vt:variant>
        <vt:i4>0</vt:i4>
      </vt:variant>
      <vt:variant>
        <vt:i4>5</vt:i4>
      </vt:variant>
      <vt:variant>
        <vt:lpwstr>mailto:David.CREELMAN@Health.gov.au</vt:lpwstr>
      </vt:variant>
      <vt:variant>
        <vt:lpwstr/>
      </vt:variant>
      <vt:variant>
        <vt:i4>2818061</vt:i4>
      </vt:variant>
      <vt:variant>
        <vt:i4>0</vt:i4>
      </vt:variant>
      <vt:variant>
        <vt:i4>0</vt:i4>
      </vt:variant>
      <vt:variant>
        <vt:i4>5</vt:i4>
      </vt:variant>
      <vt:variant>
        <vt:lpwstr>mailto:Jennifer.GONG@Health.gov.au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 at Home Assurance - Pricing review summary report</dc:title>
  <dc:subject>Support at Home payment assurance</dc:subject>
  <dc:creator>Australian Government Department of Health, Disability and Ageing</dc:creator>
  <cp:keywords>Aged care; Support at Home; assurance</cp:keywords>
  <cp:revision>945</cp:revision>
  <cp:lastPrinted>2022-06-26T11:44:00Z</cp:lastPrinted>
  <dcterms:created xsi:type="dcterms:W3CDTF">2025-07-18T15:01:00Z</dcterms:created>
  <dcterms:modified xsi:type="dcterms:W3CDTF">2026-09-21T05:58:00Z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oject">
    <vt:lpwstr>170;#Style Guide|fae42d66-6622-4466-b060-a03a1a4f59f8</vt:lpwstr>
  </property>
  <property fmtid="{D5CDD505-2E9C-101B-9397-08002B2CF9AE}" pid="3" name="File Structure">
    <vt:lpwstr>169;#Style Guide|aa9bcad4-d3b7-4fe1-b475-a8e6573a6ad1</vt:lpwstr>
  </property>
  <property fmtid="{D5CDD505-2E9C-101B-9397-08002B2CF9AE}" pid="4" name="ContentTypeId">
    <vt:lpwstr>0x010100266966F133664895A6EE3632470D45F50086461D70F523D849B8674E95C7767C71</vt:lpwstr>
  </property>
  <property fmtid="{D5CDD505-2E9C-101B-9397-08002B2CF9AE}" pid="5" name="Section">
    <vt:lpwstr>5;#PCPD CC Corporate Communication SN|73cff0d0-7b20-43e0-ad96-75a3b55de641</vt:lpwstr>
  </property>
  <property fmtid="{D5CDD505-2E9C-101B-9397-08002B2CF9AE}" pid="6" name="_dlc_DocIdItemGuid">
    <vt:lpwstr>31723939-1f5e-4599-b4f5-97a6898c18a2</vt:lpwstr>
  </property>
  <property fmtid="{D5CDD505-2E9C-101B-9397-08002B2CF9AE}" pid="7" name="Keywords1">
    <vt:lpwstr>4;#Visual identity|a54ebda2-a0fd-45ec-8fc0-1cf31001b526;#4;# Publication|ceddc8ea-8859-47b3-b823-3ba7a7ee3d12</vt:lpwstr>
  </property>
  <property fmtid="{D5CDD505-2E9C-101B-9397-08002B2CF9AE}" pid="8" name="Information type">
    <vt:lpwstr>42;#Template|0635ea83-9a41-497c-9b11-d9d7178dcab7</vt:lpwstr>
  </property>
  <property fmtid="{D5CDD505-2E9C-101B-9397-08002B2CF9AE}" pid="9" name="MediaServiceImageTags">
    <vt:lpwstr/>
  </property>
  <property fmtid="{D5CDD505-2E9C-101B-9397-08002B2CF9AE}" pid="10" name="Contact">
    <vt:lpwstr>89;#designteam@health.gov.au|08e901f7-7c65-407e-b680-5c7872e4b1fa</vt:lpwstr>
  </property>
  <property fmtid="{D5CDD505-2E9C-101B-9397-08002B2CF9AE}" pid="11" name="cb2019c76ecc464c80d551fda75bd74e">
    <vt:lpwstr>PCPD CC Corporate Communication SN|73cff0d0-7b20-43e0-ad96-75a3b55de641</vt:lpwstr>
  </property>
  <property fmtid="{D5CDD505-2E9C-101B-9397-08002B2CF9AE}" pid="12" name="p76df81b8fed4a2fa2af18761f9ff90d">
    <vt:lpwstr>Visual identity|a54ebda2-a0fd-45ec-8fc0-1cf31001b526; Publication|ceddc8ea-8859-47b3-b823-3ba7a7ee3d12</vt:lpwstr>
  </property>
  <property fmtid="{D5CDD505-2E9C-101B-9397-08002B2CF9AE}" pid="13" name="Intranet">
    <vt:bool>true</vt:bool>
  </property>
  <property fmtid="{D5CDD505-2E9C-101B-9397-08002B2CF9AE}" pid="14" name="Int_x002d_InformationType">
    <vt:lpwstr/>
  </property>
  <property fmtid="{D5CDD505-2E9C-101B-9397-08002B2CF9AE}" pid="15" name="pfd27f99efda4409b63228bea026394d">
    <vt:lpwstr>Template|0635ea83-9a41-497c-9b11-d9d7178dcab7</vt:lpwstr>
  </property>
  <property fmtid="{D5CDD505-2E9C-101B-9397-08002B2CF9AE}" pid="16" name="Int_x002d_Topics">
    <vt:lpwstr/>
  </property>
  <property fmtid="{D5CDD505-2E9C-101B-9397-08002B2CF9AE}" pid="17" name="Last reviewed">
    <vt:filetime>2023-05-10T14:00:00Z</vt:filetime>
  </property>
  <property fmtid="{D5CDD505-2E9C-101B-9397-08002B2CF9AE}" pid="18" name="jf042baad2b143719d8a0cfd36411dfb">
    <vt:lpwstr>designteam@health.gov.au|08e901f7-7c65-407e-b680-5c7872e4b1fa</vt:lpwstr>
  </property>
  <property fmtid="{D5CDD505-2E9C-101B-9397-08002B2CF9AE}" pid="19" name="SharedWithUsers">
    <vt:lpwstr>499;#DESA, Katarina</vt:lpwstr>
  </property>
  <property fmtid="{D5CDD505-2E9C-101B-9397-08002B2CF9AE}" pid="20" name="Int_x002d_Contact">
    <vt:lpwstr/>
  </property>
  <property fmtid="{D5CDD505-2E9C-101B-9397-08002B2CF9AE}" pid="21" name="Int-Contact">
    <vt:lpwstr>89;#|08e901f7-7c65-407e-b680-5c7872e4b1fa</vt:lpwstr>
  </property>
  <property fmtid="{D5CDD505-2E9C-101B-9397-08002B2CF9AE}" pid="22" name="Int-InformationType">
    <vt:lpwstr>42;#|0635ea83-9a41-497c-9b11-d9d7178dcab7</vt:lpwstr>
  </property>
  <property fmtid="{D5CDD505-2E9C-101B-9397-08002B2CF9AE}" pid="23" name="Int-Topics">
    <vt:lpwstr>4;#visual identity|a54ebda2-a0fd-45ec-8fc0-1cf31001b526</vt:lpwstr>
  </property>
  <property fmtid="{D5CDD505-2E9C-101B-9397-08002B2CF9AE}" pid="24" name="lcf76f155ced4ddcb4097134ff3c332f">
    <vt:lpwstr/>
  </property>
  <property fmtid="{D5CDD505-2E9C-101B-9397-08002B2CF9AE}" pid="25" name="docLang">
    <vt:lpwstr>en</vt:lpwstr>
  </property>
  <property fmtid="{D5CDD505-2E9C-101B-9397-08002B2CF9AE}" pid="26" name="ClassificationContentMarkingHeaderShapeIds">
    <vt:lpwstr>56becdfa,7e531f11,2488343f,6d50817d</vt:lpwstr>
  </property>
  <property fmtid="{D5CDD505-2E9C-101B-9397-08002B2CF9AE}" pid="27" name="ClassificationContentMarkingHeaderFontProps">
    <vt:lpwstr>#ff0000,12,Aptos</vt:lpwstr>
  </property>
  <property fmtid="{D5CDD505-2E9C-101B-9397-08002B2CF9AE}" pid="28" name="ClassificationContentMarkingHeaderText">
    <vt:lpwstr>OFFICIAL</vt:lpwstr>
  </property>
  <property fmtid="{D5CDD505-2E9C-101B-9397-08002B2CF9AE}" pid="29" name="ClassificationContentMarkingFooterShapeIds">
    <vt:lpwstr>7e41c122,256c1db8,57707436,45d1ccc5</vt:lpwstr>
  </property>
  <property fmtid="{D5CDD505-2E9C-101B-9397-08002B2CF9AE}" pid="30" name="ClassificationContentMarkingFooterFontProps">
    <vt:lpwstr>#ff0000,12,Aptos</vt:lpwstr>
  </property>
  <property fmtid="{D5CDD505-2E9C-101B-9397-08002B2CF9AE}" pid="31" name="ClassificationContentMarkingFooterText">
    <vt:lpwstr>OFFICIAL</vt:lpwstr>
  </property>
  <property fmtid="{D5CDD505-2E9C-101B-9397-08002B2CF9AE}" pid="32" name="MSIP_Label_7cd3e8b9-ffed-43a8-b7f4-cc2fa0382d36_Enabled">
    <vt:lpwstr>true</vt:lpwstr>
  </property>
  <property fmtid="{D5CDD505-2E9C-101B-9397-08002B2CF9AE}" pid="33" name="MSIP_Label_7cd3e8b9-ffed-43a8-b7f4-cc2fa0382d36_SetDate">
    <vt:lpwstr>2026-08-12T04:20:55Z</vt:lpwstr>
  </property>
  <property fmtid="{D5CDD505-2E9C-101B-9397-08002B2CF9AE}" pid="34" name="MSIP_Label_7cd3e8b9-ffed-43a8-b7f4-cc2fa0382d36_Method">
    <vt:lpwstr>Privileged</vt:lpwstr>
  </property>
  <property fmtid="{D5CDD505-2E9C-101B-9397-08002B2CF9AE}" pid="35" name="MSIP_Label_7cd3e8b9-ffed-43a8-b7f4-cc2fa0382d36_Name">
    <vt:lpwstr>O</vt:lpwstr>
  </property>
  <property fmtid="{D5CDD505-2E9C-101B-9397-08002B2CF9AE}" pid="36" name="MSIP_Label_7cd3e8b9-ffed-43a8-b7f4-cc2fa0382d36_SiteId">
    <vt:lpwstr>34a3929c-73cf-4954-abfe-147dc3517892</vt:lpwstr>
  </property>
  <property fmtid="{D5CDD505-2E9C-101B-9397-08002B2CF9AE}" pid="37" name="MSIP_Label_7cd3e8b9-ffed-43a8-b7f4-cc2fa0382d36_ActionId">
    <vt:lpwstr>83635c1d-4091-4728-8f88-9b9157794a75</vt:lpwstr>
  </property>
  <property fmtid="{D5CDD505-2E9C-101B-9397-08002B2CF9AE}" pid="38" name="MSIP_Label_7cd3e8b9-ffed-43a8-b7f4-cc2fa0382d36_ContentBits">
    <vt:lpwstr>3</vt:lpwstr>
  </property>
  <property fmtid="{D5CDD505-2E9C-101B-9397-08002B2CF9AE}" pid="39" name="MSIP_Label_7cd3e8b9-ffed-43a8-b7f4-cc2fa0382d36_Tag">
    <vt:lpwstr>10, 0, 1, 1</vt:lpwstr>
  </property>
</Properties>
</file>